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16F20" w14:textId="743A06AE" w:rsidR="000149E3" w:rsidRPr="00B25E45" w:rsidRDefault="000149E3" w:rsidP="000F0904">
      <w:pPr>
        <w:pStyle w:val="norml"/>
        <w:spacing w:line="276" w:lineRule="auto"/>
        <w:jc w:val="right"/>
        <w:rPr>
          <w:b/>
          <w:bCs/>
          <w:sz w:val="28"/>
        </w:rPr>
      </w:pPr>
      <w:bookmarkStart w:id="0" w:name="_Toc2878568"/>
      <w:bookmarkStart w:id="1" w:name="_Toc14887476"/>
      <w:bookmarkStart w:id="2" w:name="_Toc25695620"/>
      <w:r w:rsidRPr="00B25E45">
        <w:rPr>
          <w:b/>
          <w:bCs/>
        </w:rPr>
        <w:t>IV.</w:t>
      </w:r>
    </w:p>
    <w:p w14:paraId="0D60FE16" w14:textId="77777777" w:rsidR="000149E3" w:rsidRPr="00B25E45" w:rsidRDefault="000149E3" w:rsidP="000F0904">
      <w:pPr>
        <w:pStyle w:val="norml"/>
        <w:spacing w:line="276" w:lineRule="auto"/>
        <w:jc w:val="center"/>
        <w:rPr>
          <w:sz w:val="28"/>
        </w:rPr>
      </w:pPr>
      <w:r w:rsidRPr="00B25E45">
        <w:rPr>
          <w:sz w:val="28"/>
        </w:rPr>
        <w:t>Důvodová zpráva</w:t>
      </w:r>
      <w:bookmarkEnd w:id="0"/>
      <w:bookmarkEnd w:id="1"/>
      <w:bookmarkEnd w:id="2"/>
    </w:p>
    <w:p w14:paraId="5D005534" w14:textId="77777777" w:rsidR="000149E3" w:rsidRPr="00B25E45" w:rsidRDefault="000149E3" w:rsidP="000F0904">
      <w:pPr>
        <w:spacing w:before="120"/>
        <w:jc w:val="center"/>
        <w:outlineLvl w:val="0"/>
        <w:rPr>
          <w:rFonts w:ascii="Times New Roman" w:hAnsi="Times New Roman"/>
          <w:sz w:val="28"/>
        </w:rPr>
      </w:pPr>
      <w:bookmarkStart w:id="3" w:name="_Toc25695621"/>
      <w:r w:rsidRPr="00B25E45">
        <w:rPr>
          <w:rFonts w:ascii="Times New Roman" w:hAnsi="Times New Roman"/>
          <w:sz w:val="28"/>
        </w:rPr>
        <w:t>I. Obecná část</w:t>
      </w:r>
      <w:bookmarkEnd w:id="3"/>
    </w:p>
    <w:p w14:paraId="70D1831B" w14:textId="77777777" w:rsidR="000149E3" w:rsidRPr="00B25E45" w:rsidRDefault="000149E3" w:rsidP="000F0904">
      <w:pPr>
        <w:spacing w:before="120"/>
        <w:jc w:val="center"/>
        <w:rPr>
          <w:rFonts w:ascii="Times New Roman" w:hAnsi="Times New Roman"/>
          <w:sz w:val="28"/>
        </w:rPr>
      </w:pPr>
    </w:p>
    <w:p w14:paraId="309F8D22" w14:textId="77777777" w:rsidR="000149E3" w:rsidRPr="00B25E45" w:rsidRDefault="000149E3" w:rsidP="000F0904">
      <w:pPr>
        <w:keepNext/>
        <w:numPr>
          <w:ilvl w:val="0"/>
          <w:numId w:val="5"/>
        </w:numPr>
        <w:spacing w:before="120"/>
        <w:ind w:left="0" w:firstLine="0"/>
        <w:jc w:val="both"/>
        <w:outlineLvl w:val="1"/>
        <w:rPr>
          <w:rFonts w:ascii="Times New Roman" w:hAnsi="Times New Roman"/>
          <w:b/>
          <w:sz w:val="28"/>
          <w:u w:val="single"/>
        </w:rPr>
      </w:pPr>
      <w:bookmarkStart w:id="4" w:name="_Toc25695622"/>
      <w:r w:rsidRPr="00B25E45">
        <w:rPr>
          <w:rFonts w:ascii="Times New Roman" w:hAnsi="Times New Roman"/>
          <w:b/>
          <w:sz w:val="28"/>
          <w:u w:val="single"/>
        </w:rPr>
        <w:t>Zhodnocení platného právního stavu včetně zhodnocení současného stavu ve vztahu k zákazu diskriminace a ve vztahu k rovnosti mužů a žen.</w:t>
      </w:r>
      <w:bookmarkEnd w:id="4"/>
    </w:p>
    <w:p w14:paraId="73F62199" w14:textId="77777777" w:rsidR="000149E3" w:rsidRPr="00B25E45" w:rsidRDefault="000149E3" w:rsidP="000F0904">
      <w:pPr>
        <w:keepNext/>
        <w:numPr>
          <w:ilvl w:val="2"/>
          <w:numId w:val="0"/>
        </w:numPr>
        <w:spacing w:before="120"/>
        <w:jc w:val="both"/>
        <w:outlineLvl w:val="2"/>
        <w:rPr>
          <w:rFonts w:ascii="Times New Roman" w:hAnsi="Times New Roman"/>
          <w:b/>
          <w:sz w:val="24"/>
        </w:rPr>
      </w:pPr>
      <w:bookmarkStart w:id="5" w:name="_Toc25695623"/>
      <w:r w:rsidRPr="00B25E45">
        <w:rPr>
          <w:rFonts w:ascii="Times New Roman" w:hAnsi="Times New Roman"/>
          <w:b/>
          <w:sz w:val="24"/>
        </w:rPr>
        <w:t>1.1 Zhodnocení platné právní úpravy</w:t>
      </w:r>
      <w:bookmarkEnd w:id="5"/>
    </w:p>
    <w:p w14:paraId="4B0EC2B6" w14:textId="03DAC15E" w:rsidR="00B20586" w:rsidRPr="00B25E45" w:rsidRDefault="00E24C6B" w:rsidP="000F0904">
      <w:pPr>
        <w:spacing w:before="120"/>
        <w:jc w:val="both"/>
        <w:rPr>
          <w:rFonts w:ascii="Times New Roman" w:hAnsi="Times New Roman"/>
          <w:sz w:val="24"/>
        </w:rPr>
      </w:pPr>
      <w:bookmarkStart w:id="6" w:name="_Toc25695624"/>
      <w:r w:rsidRPr="00B25E45">
        <w:rPr>
          <w:rFonts w:ascii="Times New Roman" w:hAnsi="Times New Roman"/>
          <w:sz w:val="24"/>
        </w:rPr>
        <w:t xml:space="preserve">Zákon č. 150/2002 Sb., soudní řád správní (dále jen „soudní řád správní“ nebo „s. ř. s.“), byl přijat v roce 2002 </w:t>
      </w:r>
      <w:r w:rsidR="00B20586" w:rsidRPr="00B25E45">
        <w:rPr>
          <w:rFonts w:ascii="Times New Roman" w:hAnsi="Times New Roman"/>
          <w:sz w:val="24"/>
        </w:rPr>
        <w:t xml:space="preserve">jako reakce </w:t>
      </w:r>
      <w:r w:rsidRPr="00B25E45">
        <w:rPr>
          <w:rFonts w:ascii="Times New Roman" w:hAnsi="Times New Roman"/>
          <w:sz w:val="24"/>
        </w:rPr>
        <w:t xml:space="preserve">na nález Ústavního soudu </w:t>
      </w:r>
      <w:proofErr w:type="spellStart"/>
      <w:r w:rsidRPr="00B25E45">
        <w:rPr>
          <w:rFonts w:ascii="Times New Roman" w:hAnsi="Times New Roman"/>
          <w:sz w:val="24"/>
        </w:rPr>
        <w:t>sp</w:t>
      </w:r>
      <w:proofErr w:type="spellEnd"/>
      <w:r w:rsidRPr="00B25E45">
        <w:rPr>
          <w:rFonts w:ascii="Times New Roman" w:hAnsi="Times New Roman"/>
          <w:sz w:val="24"/>
        </w:rPr>
        <w:t xml:space="preserve">. zn. </w:t>
      </w:r>
      <w:proofErr w:type="spellStart"/>
      <w:r w:rsidRPr="00B25E45">
        <w:rPr>
          <w:rFonts w:ascii="Times New Roman" w:hAnsi="Times New Roman"/>
          <w:sz w:val="24"/>
        </w:rPr>
        <w:t>Pl</w:t>
      </w:r>
      <w:proofErr w:type="spellEnd"/>
      <w:r w:rsidRPr="00B25E45">
        <w:rPr>
          <w:rFonts w:ascii="Times New Roman" w:hAnsi="Times New Roman"/>
          <w:sz w:val="24"/>
        </w:rPr>
        <w:t>. ÚS 16/99</w:t>
      </w:r>
      <w:r w:rsidR="00B20586" w:rsidRPr="00B25E45">
        <w:rPr>
          <w:rFonts w:ascii="Times New Roman" w:hAnsi="Times New Roman"/>
          <w:sz w:val="24"/>
        </w:rPr>
        <w:t>, v němž tento soud konstatoval, že tehdejší část pátá zákona č. 99/1963 Sb., občanský soudní řád (dále jen „občanský soudní řád“ či „o. s. ř.“), vykazovala v oblasti soudní ochrany veřejných subjektivních práv závažné ústavněprávní deficity</w:t>
      </w:r>
      <w:r w:rsidRPr="00B25E45">
        <w:rPr>
          <w:rFonts w:ascii="Times New Roman" w:hAnsi="Times New Roman"/>
          <w:sz w:val="24"/>
        </w:rPr>
        <w:t xml:space="preserve">. </w:t>
      </w:r>
      <w:r w:rsidR="00B20586" w:rsidRPr="00B25E45">
        <w:rPr>
          <w:rFonts w:ascii="Times New Roman" w:hAnsi="Times New Roman"/>
          <w:sz w:val="24"/>
        </w:rPr>
        <w:t xml:space="preserve">Soudní řád správní </w:t>
      </w:r>
      <w:r w:rsidR="002E2EBF" w:rsidRPr="00B25E45">
        <w:rPr>
          <w:rFonts w:ascii="Times New Roman" w:hAnsi="Times New Roman"/>
          <w:sz w:val="24"/>
        </w:rPr>
        <w:t>zrušenou úpravu</w:t>
      </w:r>
      <w:r w:rsidR="00B20586" w:rsidRPr="00B25E45">
        <w:rPr>
          <w:rFonts w:ascii="Times New Roman" w:hAnsi="Times New Roman"/>
          <w:sz w:val="24"/>
        </w:rPr>
        <w:t xml:space="preserve"> nahradil a nyní </w:t>
      </w:r>
      <w:r w:rsidRPr="00B25E45">
        <w:rPr>
          <w:rFonts w:ascii="Times New Roman" w:hAnsi="Times New Roman"/>
          <w:sz w:val="24"/>
        </w:rPr>
        <w:t>plní</w:t>
      </w:r>
      <w:r w:rsidR="00B20586" w:rsidRPr="00B25E45">
        <w:rPr>
          <w:rFonts w:ascii="Times New Roman" w:hAnsi="Times New Roman"/>
          <w:sz w:val="24"/>
        </w:rPr>
        <w:t xml:space="preserve"> </w:t>
      </w:r>
      <w:r w:rsidR="002E2EBF" w:rsidRPr="00B25E45">
        <w:rPr>
          <w:rFonts w:ascii="Times New Roman" w:hAnsi="Times New Roman"/>
          <w:sz w:val="24"/>
        </w:rPr>
        <w:t>klíčovou</w:t>
      </w:r>
      <w:r w:rsidR="00B20586" w:rsidRPr="00B25E45">
        <w:rPr>
          <w:rFonts w:ascii="Times New Roman" w:hAnsi="Times New Roman"/>
          <w:sz w:val="24"/>
        </w:rPr>
        <w:t xml:space="preserve"> roli</w:t>
      </w:r>
      <w:r w:rsidRPr="00B25E45">
        <w:rPr>
          <w:rFonts w:ascii="Times New Roman" w:hAnsi="Times New Roman"/>
          <w:sz w:val="24"/>
        </w:rPr>
        <w:t xml:space="preserve"> v mnoha oblastech</w:t>
      </w:r>
      <w:r w:rsidR="00B20586" w:rsidRPr="00B25E45">
        <w:rPr>
          <w:rFonts w:ascii="Times New Roman" w:hAnsi="Times New Roman"/>
          <w:sz w:val="24"/>
        </w:rPr>
        <w:t xml:space="preserve"> soudní kontroly veřejné správy</w:t>
      </w:r>
      <w:r w:rsidRPr="00B25E45">
        <w:rPr>
          <w:rFonts w:ascii="Times New Roman" w:hAnsi="Times New Roman"/>
          <w:sz w:val="24"/>
        </w:rPr>
        <w:t>, ať už jde o ochranu před rozhodnutím správního orgánu</w:t>
      </w:r>
      <w:r w:rsidR="00B20586" w:rsidRPr="00B25E45">
        <w:rPr>
          <w:rFonts w:ascii="Times New Roman" w:hAnsi="Times New Roman"/>
          <w:sz w:val="24"/>
        </w:rPr>
        <w:t xml:space="preserve">, </w:t>
      </w:r>
      <w:r w:rsidRPr="00B25E45">
        <w:rPr>
          <w:rFonts w:ascii="Times New Roman" w:hAnsi="Times New Roman"/>
          <w:sz w:val="24"/>
        </w:rPr>
        <w:t>před jeho nečinností</w:t>
      </w:r>
      <w:r w:rsidR="00B20586" w:rsidRPr="00B25E45">
        <w:rPr>
          <w:rFonts w:ascii="Times New Roman" w:hAnsi="Times New Roman"/>
          <w:sz w:val="24"/>
        </w:rPr>
        <w:t xml:space="preserve"> či nezákonným zásahem, pokynem či donucením (dále jen „zásah“) nebo před nezákonným </w:t>
      </w:r>
      <w:r w:rsidRPr="00B25E45">
        <w:rPr>
          <w:rFonts w:ascii="Times New Roman" w:hAnsi="Times New Roman"/>
          <w:sz w:val="24"/>
        </w:rPr>
        <w:t>opatření</w:t>
      </w:r>
      <w:r w:rsidR="00B20586" w:rsidRPr="00B25E45">
        <w:rPr>
          <w:rFonts w:ascii="Times New Roman" w:hAnsi="Times New Roman"/>
          <w:sz w:val="24"/>
        </w:rPr>
        <w:t>m</w:t>
      </w:r>
      <w:r w:rsidRPr="00B25E45">
        <w:rPr>
          <w:rFonts w:ascii="Times New Roman" w:hAnsi="Times New Roman"/>
          <w:sz w:val="24"/>
        </w:rPr>
        <w:t xml:space="preserve"> obecné povahy.</w:t>
      </w:r>
      <w:r w:rsidR="00B20586" w:rsidRPr="00B25E45">
        <w:rPr>
          <w:rFonts w:ascii="Times New Roman" w:hAnsi="Times New Roman"/>
          <w:sz w:val="24"/>
        </w:rPr>
        <w:t xml:space="preserve"> Mimo to poskytuje zákon soudní ochranu také ve věcech volebních, ve věcech politických stran a politických hnutí nebo v otázce zrušení služebního předpisu. Nad rámec výše uvedeného je v soudním řádu správním obsažena </w:t>
      </w:r>
      <w:r w:rsidR="002E2EBF" w:rsidRPr="00B25E45">
        <w:rPr>
          <w:rFonts w:ascii="Times New Roman" w:hAnsi="Times New Roman"/>
          <w:sz w:val="24"/>
        </w:rPr>
        <w:t>i</w:t>
      </w:r>
      <w:r w:rsidR="00B20586" w:rsidRPr="00B25E45">
        <w:rPr>
          <w:rFonts w:ascii="Times New Roman" w:hAnsi="Times New Roman"/>
          <w:sz w:val="24"/>
        </w:rPr>
        <w:t xml:space="preserve"> podrobnější úprava opravných prostředků, zejména kasační stížnosti, a dále</w:t>
      </w:r>
      <w:r w:rsidR="002E2EBF" w:rsidRPr="00B25E45">
        <w:rPr>
          <w:rFonts w:ascii="Times New Roman" w:hAnsi="Times New Roman"/>
          <w:sz w:val="24"/>
        </w:rPr>
        <w:t xml:space="preserve"> postup pro řešení</w:t>
      </w:r>
      <w:r w:rsidR="00B20586" w:rsidRPr="00B25E45">
        <w:rPr>
          <w:rFonts w:ascii="Times New Roman" w:hAnsi="Times New Roman"/>
          <w:sz w:val="24"/>
        </w:rPr>
        <w:t xml:space="preserve"> kompetenční</w:t>
      </w:r>
      <w:r w:rsidR="002E2EBF" w:rsidRPr="00B25E45">
        <w:rPr>
          <w:rFonts w:ascii="Times New Roman" w:hAnsi="Times New Roman"/>
          <w:sz w:val="24"/>
        </w:rPr>
        <w:t>ch</w:t>
      </w:r>
      <w:r w:rsidR="00B20586" w:rsidRPr="00B25E45">
        <w:rPr>
          <w:rFonts w:ascii="Times New Roman" w:hAnsi="Times New Roman"/>
          <w:sz w:val="24"/>
        </w:rPr>
        <w:t xml:space="preserve"> spor</w:t>
      </w:r>
      <w:r w:rsidR="002E2EBF" w:rsidRPr="00B25E45">
        <w:rPr>
          <w:rFonts w:ascii="Times New Roman" w:hAnsi="Times New Roman"/>
          <w:sz w:val="24"/>
        </w:rPr>
        <w:t>ů mezi orgány veřejné správy</w:t>
      </w:r>
      <w:r w:rsidR="00B20586" w:rsidRPr="00B25E45">
        <w:rPr>
          <w:rFonts w:ascii="Times New Roman" w:hAnsi="Times New Roman"/>
          <w:sz w:val="24"/>
        </w:rPr>
        <w:t>.</w:t>
      </w:r>
    </w:p>
    <w:p w14:paraId="6D634DC6" w14:textId="1D1272F7" w:rsidR="002E2EBF" w:rsidRPr="00B25E45" w:rsidRDefault="002E2EBF" w:rsidP="000F0904">
      <w:pPr>
        <w:spacing w:before="120"/>
        <w:jc w:val="both"/>
        <w:rPr>
          <w:rFonts w:ascii="Times New Roman" w:hAnsi="Times New Roman"/>
          <w:sz w:val="24"/>
          <w:szCs w:val="24"/>
        </w:rPr>
      </w:pPr>
      <w:r w:rsidRPr="00B25E45">
        <w:rPr>
          <w:rFonts w:ascii="Times New Roman" w:hAnsi="Times New Roman"/>
          <w:sz w:val="24"/>
          <w:szCs w:val="24"/>
        </w:rPr>
        <w:t xml:space="preserve">K získání kompletní představy o aktuálním nastavení platné úpravy v oblasti správního soudnictví je však nutné spolu se soudním řádem správním vzít v potaz také další zákony. Zejména je </w:t>
      </w:r>
      <w:r w:rsidR="00956155" w:rsidRPr="00B25E45">
        <w:rPr>
          <w:rFonts w:ascii="Times New Roman" w:hAnsi="Times New Roman"/>
          <w:sz w:val="24"/>
          <w:szCs w:val="24"/>
        </w:rPr>
        <w:t>nezbytné</w:t>
      </w:r>
      <w:r w:rsidRPr="00B25E45">
        <w:rPr>
          <w:rFonts w:ascii="Times New Roman" w:hAnsi="Times New Roman"/>
          <w:sz w:val="24"/>
          <w:szCs w:val="24"/>
        </w:rPr>
        <w:t xml:space="preserve"> zohlednit občanský soudní řád v platném znění, který se podle § 64 s. ř. s. použije na postup správních soudů podpůrně. Dále musí být pamatováno i na zvláštní sektorové zákony, v nichž nalezneme odchylky od obecného procesu před správními soudy. Odchylná úprava se nejčastěji týká lhůt pro podání návrhu dle soudního řádu správního či lhůt pro rozhodování správních soudů o těchto návrzích, stanovení místní nebo věcné příslušnosti soudu nebo </w:t>
      </w:r>
      <w:r w:rsidR="001E7E23" w:rsidRPr="00B25E45">
        <w:rPr>
          <w:rFonts w:ascii="Times New Roman" w:hAnsi="Times New Roman"/>
          <w:sz w:val="24"/>
          <w:szCs w:val="24"/>
        </w:rPr>
        <w:t xml:space="preserve">zvláštních pravidel </w:t>
      </w:r>
      <w:r w:rsidRPr="00B25E45">
        <w:rPr>
          <w:rFonts w:ascii="Times New Roman" w:hAnsi="Times New Roman"/>
          <w:sz w:val="24"/>
          <w:szCs w:val="24"/>
        </w:rPr>
        <w:t>odkladného účinku. Mezi tyto zvláštní zákony lze řadit např.:</w:t>
      </w:r>
    </w:p>
    <w:p w14:paraId="6275F084" w14:textId="4F3D5C9E" w:rsidR="002E2EBF" w:rsidRPr="00B25E45" w:rsidRDefault="002E2EBF" w:rsidP="00F6177A">
      <w:pPr>
        <w:pStyle w:val="Odstavecseseznamem"/>
        <w:numPr>
          <w:ilvl w:val="0"/>
          <w:numId w:val="34"/>
        </w:numPr>
        <w:spacing w:before="120" w:after="120" w:line="276" w:lineRule="auto"/>
        <w:jc w:val="both"/>
      </w:pPr>
      <w:r w:rsidRPr="00B25E45">
        <w:t>zákon č. 325/1999 Sb., o azylu, v platném znění;</w:t>
      </w:r>
    </w:p>
    <w:p w14:paraId="2278849D" w14:textId="09AF71A8" w:rsidR="002E2EBF" w:rsidRPr="00B25E45" w:rsidRDefault="002E2EBF" w:rsidP="00F6177A">
      <w:pPr>
        <w:pStyle w:val="Odstavecseseznamem"/>
        <w:numPr>
          <w:ilvl w:val="0"/>
          <w:numId w:val="34"/>
        </w:numPr>
        <w:spacing w:before="120" w:after="120" w:line="276" w:lineRule="auto"/>
        <w:jc w:val="both"/>
      </w:pPr>
      <w:r w:rsidRPr="00B25E45">
        <w:t>zákon č. 326/1999 Sb., o pobytu cizinců na území ČR, v platném znění;</w:t>
      </w:r>
    </w:p>
    <w:p w14:paraId="60C4C88C" w14:textId="08F040CE" w:rsidR="002E2EBF" w:rsidRPr="00B25E45" w:rsidRDefault="002E2EBF" w:rsidP="00F6177A">
      <w:pPr>
        <w:pStyle w:val="Odstavecseseznamem"/>
        <w:numPr>
          <w:ilvl w:val="0"/>
          <w:numId w:val="34"/>
        </w:numPr>
        <w:spacing w:before="120" w:after="120" w:line="276" w:lineRule="auto"/>
        <w:jc w:val="both"/>
      </w:pPr>
      <w:r w:rsidRPr="00B25E45">
        <w:t>zákon č. 416/2009 Sb., o urychlení výstavby dopravní, vodní a energetické infrastruktury a infrastruktury elektronických komunikací (liniový zákon), v platném znění;</w:t>
      </w:r>
    </w:p>
    <w:p w14:paraId="4FD9DD9B" w14:textId="77777777" w:rsidR="001E7E23" w:rsidRPr="00B25E45" w:rsidRDefault="002E2EBF" w:rsidP="00F6177A">
      <w:pPr>
        <w:pStyle w:val="Odstavecseseznamem"/>
        <w:numPr>
          <w:ilvl w:val="0"/>
          <w:numId w:val="34"/>
        </w:numPr>
        <w:spacing w:before="120" w:after="120" w:line="276" w:lineRule="auto"/>
        <w:jc w:val="both"/>
      </w:pPr>
      <w:r w:rsidRPr="00B25E45">
        <w:t>zákon č. 283/2021 Sb., stavební zákon (účinný od 1. 1. 2024)</w:t>
      </w:r>
      <w:r w:rsidR="001E7E23" w:rsidRPr="00B25E45">
        <w:t>;</w:t>
      </w:r>
    </w:p>
    <w:p w14:paraId="34C4118C" w14:textId="7AFD4EF1" w:rsidR="002E2EBF" w:rsidRPr="00B25E45" w:rsidRDefault="001E7E23" w:rsidP="00F6177A">
      <w:pPr>
        <w:pStyle w:val="Odstavecseseznamem"/>
        <w:numPr>
          <w:ilvl w:val="0"/>
          <w:numId w:val="34"/>
        </w:numPr>
        <w:spacing w:before="120" w:after="120" w:line="276" w:lineRule="auto"/>
        <w:jc w:val="both"/>
      </w:pPr>
      <w:r w:rsidRPr="00B25E45">
        <w:t>volební zákony</w:t>
      </w:r>
      <w:r w:rsidR="002E2EBF" w:rsidRPr="00B25E45">
        <w:t>.</w:t>
      </w:r>
    </w:p>
    <w:p w14:paraId="08EE7594" w14:textId="77777777" w:rsidR="002E2EBF" w:rsidRPr="00B25E45" w:rsidRDefault="002E2EBF" w:rsidP="000F0904">
      <w:pPr>
        <w:spacing w:before="120"/>
        <w:jc w:val="both"/>
        <w:rPr>
          <w:rFonts w:ascii="Times New Roman" w:hAnsi="Times New Roman"/>
          <w:sz w:val="24"/>
        </w:rPr>
      </w:pPr>
    </w:p>
    <w:p w14:paraId="014DDE34" w14:textId="09F80AD6" w:rsidR="001E7E23" w:rsidRPr="00B25E45" w:rsidRDefault="00B20586" w:rsidP="000F0904">
      <w:pPr>
        <w:spacing w:before="120"/>
        <w:jc w:val="both"/>
        <w:rPr>
          <w:rFonts w:ascii="Times New Roman" w:hAnsi="Times New Roman"/>
          <w:sz w:val="24"/>
        </w:rPr>
      </w:pPr>
      <w:r w:rsidRPr="00B25E45">
        <w:rPr>
          <w:rFonts w:ascii="Times New Roman" w:hAnsi="Times New Roman"/>
          <w:sz w:val="24"/>
        </w:rPr>
        <w:t xml:space="preserve">Od přijetí soudního řádu správního uplynulo více než 20 let. Za tu dobu se prokázalo, že jde o solidní normu, která co do základní koncepce dokáže plnit svoji funkci, tj. poskytovat adekvátní </w:t>
      </w:r>
      <w:r w:rsidRPr="00B25E45">
        <w:rPr>
          <w:rFonts w:ascii="Times New Roman" w:hAnsi="Times New Roman"/>
          <w:sz w:val="24"/>
        </w:rPr>
        <w:lastRenderedPageBreak/>
        <w:t>procesní rámec při ochraně veřejných subjektivních práv. Po více než 2</w:t>
      </w:r>
      <w:r w:rsidR="00E24C6B" w:rsidRPr="00B25E45">
        <w:rPr>
          <w:rFonts w:ascii="Times New Roman" w:hAnsi="Times New Roman"/>
          <w:sz w:val="24"/>
        </w:rPr>
        <w:t>0 letech</w:t>
      </w:r>
      <w:r w:rsidRPr="00B25E45">
        <w:rPr>
          <w:rFonts w:ascii="Times New Roman" w:hAnsi="Times New Roman"/>
          <w:sz w:val="24"/>
        </w:rPr>
        <w:t xml:space="preserve"> účinnosti </w:t>
      </w:r>
      <w:r w:rsidR="00E24C6B" w:rsidRPr="00B25E45">
        <w:rPr>
          <w:rFonts w:ascii="Times New Roman" w:hAnsi="Times New Roman"/>
          <w:sz w:val="24"/>
        </w:rPr>
        <w:t>je</w:t>
      </w:r>
      <w:r w:rsidRPr="00B25E45">
        <w:rPr>
          <w:rFonts w:ascii="Times New Roman" w:hAnsi="Times New Roman"/>
          <w:sz w:val="24"/>
        </w:rPr>
        <w:t xml:space="preserve"> nicméně</w:t>
      </w:r>
      <w:r w:rsidR="00E24C6B" w:rsidRPr="00B25E45">
        <w:rPr>
          <w:rFonts w:ascii="Times New Roman" w:hAnsi="Times New Roman"/>
          <w:sz w:val="24"/>
        </w:rPr>
        <w:t xml:space="preserve"> již možné</w:t>
      </w:r>
      <w:r w:rsidR="001E7E23" w:rsidRPr="00B25E45">
        <w:rPr>
          <w:rFonts w:ascii="Times New Roman" w:hAnsi="Times New Roman"/>
          <w:sz w:val="24"/>
        </w:rPr>
        <w:t xml:space="preserve"> bilancovat a</w:t>
      </w:r>
      <w:r w:rsidR="00E24C6B" w:rsidRPr="00B25E45">
        <w:rPr>
          <w:rFonts w:ascii="Times New Roman" w:hAnsi="Times New Roman"/>
          <w:sz w:val="24"/>
        </w:rPr>
        <w:t xml:space="preserve"> </w:t>
      </w:r>
      <w:proofErr w:type="gramStart"/>
      <w:r w:rsidRPr="00B25E45">
        <w:rPr>
          <w:rFonts w:ascii="Times New Roman" w:hAnsi="Times New Roman"/>
          <w:sz w:val="24"/>
        </w:rPr>
        <w:t>říci</w:t>
      </w:r>
      <w:proofErr w:type="gramEnd"/>
      <w:r w:rsidR="00E24C6B" w:rsidRPr="00B25E45">
        <w:rPr>
          <w:rFonts w:ascii="Times New Roman" w:hAnsi="Times New Roman"/>
          <w:sz w:val="24"/>
        </w:rPr>
        <w:t xml:space="preserve">, že řada dílčích pravidel </w:t>
      </w:r>
      <w:r w:rsidRPr="00B25E45">
        <w:rPr>
          <w:rFonts w:ascii="Times New Roman" w:hAnsi="Times New Roman"/>
          <w:sz w:val="24"/>
        </w:rPr>
        <w:t xml:space="preserve">se </w:t>
      </w:r>
      <w:r w:rsidR="00E24C6B" w:rsidRPr="00B25E45">
        <w:rPr>
          <w:rFonts w:ascii="Times New Roman" w:hAnsi="Times New Roman"/>
          <w:sz w:val="24"/>
        </w:rPr>
        <w:t>při aplikaci</w:t>
      </w:r>
      <w:r w:rsidRPr="00B25E45">
        <w:rPr>
          <w:rFonts w:ascii="Times New Roman" w:hAnsi="Times New Roman"/>
          <w:sz w:val="24"/>
        </w:rPr>
        <w:t xml:space="preserve"> soudního řádu</w:t>
      </w:r>
      <w:r w:rsidR="00E24C6B" w:rsidRPr="00B25E45">
        <w:rPr>
          <w:rFonts w:ascii="Times New Roman" w:hAnsi="Times New Roman"/>
          <w:sz w:val="24"/>
        </w:rPr>
        <w:t xml:space="preserve"> neosvědčila, a tento zákon tak v některých ohledech již neodpovídá požadavkům praxe. </w:t>
      </w:r>
      <w:r w:rsidR="00333AAD" w:rsidRPr="00B25E45">
        <w:rPr>
          <w:rFonts w:ascii="Times New Roman" w:hAnsi="Times New Roman"/>
          <w:sz w:val="24"/>
        </w:rPr>
        <w:t>Jelikož uvedené nedostatky</w:t>
      </w:r>
      <w:r w:rsidR="001E7E23" w:rsidRPr="00B25E45">
        <w:rPr>
          <w:rFonts w:ascii="Times New Roman" w:hAnsi="Times New Roman"/>
          <w:sz w:val="24"/>
        </w:rPr>
        <w:t xml:space="preserve"> </w:t>
      </w:r>
      <w:r w:rsidR="00333AAD" w:rsidRPr="00B25E45">
        <w:rPr>
          <w:rFonts w:ascii="Times New Roman" w:hAnsi="Times New Roman"/>
          <w:sz w:val="24"/>
        </w:rPr>
        <w:t xml:space="preserve">mají mnoho podob, není možné na tomto místě poskytnout podrobné zhodnocení právní úpravy a v detailu popsat, co konkrétně </w:t>
      </w:r>
      <w:r w:rsidR="00956155" w:rsidRPr="00B25E45">
        <w:rPr>
          <w:rFonts w:ascii="Times New Roman" w:hAnsi="Times New Roman"/>
          <w:sz w:val="24"/>
        </w:rPr>
        <w:t xml:space="preserve">se </w:t>
      </w:r>
      <w:r w:rsidR="00333AAD" w:rsidRPr="00B25E45">
        <w:rPr>
          <w:rFonts w:ascii="Times New Roman" w:hAnsi="Times New Roman"/>
          <w:sz w:val="24"/>
        </w:rPr>
        <w:t xml:space="preserve">ze soudního řádu správního ukazuje jako nevhodné. </w:t>
      </w:r>
      <w:r w:rsidR="00956155" w:rsidRPr="00B25E45">
        <w:rPr>
          <w:rFonts w:ascii="Times New Roman" w:hAnsi="Times New Roman"/>
          <w:sz w:val="24"/>
        </w:rPr>
        <w:t>Dovolujeme si tedy v detailu odkázat</w:t>
      </w:r>
      <w:r w:rsidR="00333AAD" w:rsidRPr="00B25E45">
        <w:rPr>
          <w:rFonts w:ascii="Times New Roman" w:hAnsi="Times New Roman"/>
          <w:sz w:val="24"/>
        </w:rPr>
        <w:t xml:space="preserve"> na zvláštní část důvodové zprávy, v níž je potřeba jednotlivých změn podrobněji zkoumána a podkládána argumenty. Identifikované nedostatky však mají určité společné jmenovatele, které </w:t>
      </w:r>
      <w:r w:rsidR="00956155" w:rsidRPr="00B25E45">
        <w:rPr>
          <w:rFonts w:ascii="Times New Roman" w:hAnsi="Times New Roman"/>
          <w:sz w:val="24"/>
        </w:rPr>
        <w:t>lze podřadit</w:t>
      </w:r>
      <w:r w:rsidR="00333AAD" w:rsidRPr="00B25E45">
        <w:rPr>
          <w:rFonts w:ascii="Times New Roman" w:hAnsi="Times New Roman"/>
          <w:sz w:val="24"/>
        </w:rPr>
        <w:t xml:space="preserve"> do několika kategorií.</w:t>
      </w:r>
    </w:p>
    <w:p w14:paraId="7B71AF98" w14:textId="190C1E11" w:rsidR="00333AAD" w:rsidRPr="00B25E45" w:rsidRDefault="001E7E23" w:rsidP="00F6177A">
      <w:pPr>
        <w:pStyle w:val="Odstavecseseznamem"/>
        <w:numPr>
          <w:ilvl w:val="0"/>
          <w:numId w:val="35"/>
        </w:numPr>
        <w:spacing w:before="120" w:after="120" w:line="276" w:lineRule="auto"/>
        <w:ind w:left="714" w:hanging="357"/>
        <w:jc w:val="both"/>
      </w:pPr>
      <w:r w:rsidRPr="00B25E45">
        <w:t xml:space="preserve">Je tak možné konstatovat, že </w:t>
      </w:r>
      <w:r w:rsidRPr="00B25E45">
        <w:rPr>
          <w:b/>
          <w:bCs/>
        </w:rPr>
        <w:t>n</w:t>
      </w:r>
      <w:r w:rsidR="00E24C6B" w:rsidRPr="00B25E45">
        <w:rPr>
          <w:b/>
          <w:bCs/>
        </w:rPr>
        <w:t>ěkterá ustanovení</w:t>
      </w:r>
      <w:r w:rsidR="00333AAD" w:rsidRPr="00B25E45">
        <w:rPr>
          <w:b/>
          <w:bCs/>
        </w:rPr>
        <w:t xml:space="preserve"> soudního řádu správního</w:t>
      </w:r>
      <w:r w:rsidR="00333AAD" w:rsidRPr="00B25E45">
        <w:t>, popř. ve spojení se souvisejícími předpisy (např. zákon č. 121/2008 Sb., o vyšších soudních úřednících),</w:t>
      </w:r>
      <w:r w:rsidR="00E24C6B" w:rsidRPr="00B25E45">
        <w:rPr>
          <w:b/>
          <w:bCs/>
        </w:rPr>
        <w:t xml:space="preserve"> zbytečně brání </w:t>
      </w:r>
      <w:r w:rsidR="00333AAD" w:rsidRPr="00B25E45">
        <w:rPr>
          <w:b/>
          <w:bCs/>
        </w:rPr>
        <w:t>hospodárnosti správního soudnictví, jeho větší</w:t>
      </w:r>
      <w:r w:rsidR="00E24C6B" w:rsidRPr="00B25E45">
        <w:rPr>
          <w:b/>
          <w:bCs/>
        </w:rPr>
        <w:t xml:space="preserve"> flexibilitě a efektivnější organizaci práce na správních úsecích krajských soudů a Nejvyšším správním soudu</w:t>
      </w:r>
      <w:r w:rsidR="00CA0BA9" w:rsidRPr="00B25E45">
        <w:rPr>
          <w:b/>
          <w:bCs/>
        </w:rPr>
        <w:t xml:space="preserve"> </w:t>
      </w:r>
      <w:r w:rsidR="00CA0BA9" w:rsidRPr="00B25E45">
        <w:t>(dále jen také „NSS“)</w:t>
      </w:r>
      <w:r w:rsidR="00956155" w:rsidRPr="00B25E45">
        <w:t>. Jde například o</w:t>
      </w:r>
      <w:r w:rsidR="00B20586" w:rsidRPr="00B25E45">
        <w:t xml:space="preserve"> otázk</w:t>
      </w:r>
      <w:r w:rsidR="00956155" w:rsidRPr="00B25E45">
        <w:t>u</w:t>
      </w:r>
      <w:r w:rsidR="00B20586" w:rsidRPr="00B25E45">
        <w:t xml:space="preserve"> rozdělení kompetencí mezi předsedu a členy senátu či pravomoci asistentů soudců</w:t>
      </w:r>
      <w:r w:rsidR="00333AAD" w:rsidRPr="00B25E45">
        <w:t xml:space="preserve">, vymezení </w:t>
      </w:r>
      <w:proofErr w:type="spellStart"/>
      <w:r w:rsidR="00333AAD" w:rsidRPr="00B25E45">
        <w:t>samosoudcovských</w:t>
      </w:r>
      <w:proofErr w:type="spellEnd"/>
      <w:r w:rsidR="00333AAD" w:rsidRPr="00B25E45">
        <w:t xml:space="preserve"> věcí nebo rozsah přípustnosti a přijatelnosti kasační stížnosti</w:t>
      </w:r>
      <w:r w:rsidR="00956155" w:rsidRPr="00B25E45">
        <w:t>.</w:t>
      </w:r>
    </w:p>
    <w:p w14:paraId="1009BBDB" w14:textId="61B0B161" w:rsidR="006C55FF" w:rsidRPr="00B25E45" w:rsidRDefault="006C55FF" w:rsidP="00F6177A">
      <w:pPr>
        <w:pStyle w:val="Odstavecseseznamem"/>
        <w:numPr>
          <w:ilvl w:val="0"/>
          <w:numId w:val="35"/>
        </w:numPr>
        <w:spacing w:before="120" w:after="120" w:line="276" w:lineRule="auto"/>
        <w:ind w:left="714" w:hanging="357"/>
        <w:jc w:val="both"/>
      </w:pPr>
      <w:r w:rsidRPr="00B25E45">
        <w:t xml:space="preserve">V několika případech se ukázalo, že </w:t>
      </w:r>
      <w:r w:rsidRPr="00B25E45">
        <w:rPr>
          <w:b/>
          <w:bCs/>
        </w:rPr>
        <w:t>ochrana veřejných subjektivních práv není dle stávající úpravy dostatečná</w:t>
      </w:r>
      <w:r w:rsidRPr="00B25E45">
        <w:t xml:space="preserve">. </w:t>
      </w:r>
      <w:r w:rsidR="00956155" w:rsidRPr="00B25E45">
        <w:t>K tomu dochází kupříkladu z důvodu úzkého</w:t>
      </w:r>
      <w:r w:rsidRPr="00B25E45">
        <w:t xml:space="preserve"> pojetí osoby zúčastněné na řízení nebo tzv. žaloby ve veřejném zájmu či </w:t>
      </w:r>
      <w:r w:rsidR="00956155" w:rsidRPr="00B25E45">
        <w:t>u</w:t>
      </w:r>
      <w:r w:rsidRPr="00B25E45">
        <w:t xml:space="preserve"> posuzování nezákonitosti podkladového aktu v souladu s § 75 odst. 2 s. ř. s.</w:t>
      </w:r>
    </w:p>
    <w:p w14:paraId="2650059F" w14:textId="6F29581D" w:rsidR="00333AAD" w:rsidRPr="00B25E45" w:rsidRDefault="00333AAD" w:rsidP="00F6177A">
      <w:pPr>
        <w:pStyle w:val="Odstavecseseznamem"/>
        <w:numPr>
          <w:ilvl w:val="0"/>
          <w:numId w:val="35"/>
        </w:numPr>
        <w:spacing w:before="120" w:after="120" w:line="276" w:lineRule="auto"/>
        <w:ind w:left="714" w:hanging="357"/>
        <w:jc w:val="both"/>
      </w:pPr>
      <w:r w:rsidRPr="00B25E45">
        <w:t xml:space="preserve">Řada </w:t>
      </w:r>
      <w:r w:rsidRPr="00B25E45">
        <w:rPr>
          <w:b/>
          <w:bCs/>
        </w:rPr>
        <w:t>ustanovení se ve stávající podobě v praxi jednoduše neosvědčila</w:t>
      </w:r>
      <w:r w:rsidRPr="00B25E45">
        <w:t>.</w:t>
      </w:r>
      <w:r w:rsidR="006C55FF" w:rsidRPr="00B25E45">
        <w:t xml:space="preserve"> </w:t>
      </w:r>
      <w:r w:rsidR="00956155" w:rsidRPr="00B25E45">
        <w:t xml:space="preserve">Zmínit lze </w:t>
      </w:r>
      <w:r w:rsidR="006C55FF" w:rsidRPr="00B25E45">
        <w:t xml:space="preserve">například problematický vztah předběžného opatření a odkladného účinku, vymezení přednostně projednávaných věcí nebo vyhlašování rozsudků. </w:t>
      </w:r>
    </w:p>
    <w:p w14:paraId="0B97F954" w14:textId="35DF3E99" w:rsidR="00333AAD" w:rsidRPr="00B25E45" w:rsidRDefault="001E7E23" w:rsidP="00F6177A">
      <w:pPr>
        <w:pStyle w:val="Odstavecseseznamem"/>
        <w:numPr>
          <w:ilvl w:val="0"/>
          <w:numId w:val="35"/>
        </w:numPr>
        <w:spacing w:before="120" w:after="120" w:line="276" w:lineRule="auto"/>
        <w:ind w:left="714" w:hanging="357"/>
        <w:jc w:val="both"/>
      </w:pPr>
      <w:r w:rsidRPr="00B25E45">
        <w:t>U</w:t>
      </w:r>
      <w:r w:rsidR="00E24C6B" w:rsidRPr="00B25E45">
        <w:t xml:space="preserve"> jiných pravidel </w:t>
      </w:r>
      <w:r w:rsidR="00333AAD" w:rsidRPr="00B25E45">
        <w:t>bylo zjištěno, že se</w:t>
      </w:r>
      <w:r w:rsidRPr="00B25E45">
        <w:t xml:space="preserve"> </w:t>
      </w:r>
      <w:r w:rsidR="00E24C6B" w:rsidRPr="00B25E45">
        <w:rPr>
          <w:b/>
          <w:bCs/>
        </w:rPr>
        <w:t xml:space="preserve">dikce zákona již </w:t>
      </w:r>
      <w:r w:rsidRPr="00B25E45">
        <w:rPr>
          <w:b/>
          <w:bCs/>
        </w:rPr>
        <w:t>rozchází s tím</w:t>
      </w:r>
      <w:r w:rsidR="00B20586" w:rsidRPr="00B25E45">
        <w:rPr>
          <w:b/>
          <w:bCs/>
        </w:rPr>
        <w:t xml:space="preserve">, jak se vyvinula navazující judikatura </w:t>
      </w:r>
      <w:r w:rsidR="00B20586" w:rsidRPr="00B25E45">
        <w:t>správních soudů</w:t>
      </w:r>
      <w:r w:rsidRPr="00B25E45">
        <w:t xml:space="preserve">. Ať už </w:t>
      </w:r>
      <w:r w:rsidR="00333AAD" w:rsidRPr="00B25E45">
        <w:t>je uvedený stav způsoben tím</w:t>
      </w:r>
      <w:r w:rsidRPr="00B25E45">
        <w:t xml:space="preserve">, že </w:t>
      </w:r>
      <w:r w:rsidR="00333AAD" w:rsidRPr="00B25E45">
        <w:t xml:space="preserve">se </w:t>
      </w:r>
      <w:r w:rsidRPr="00B25E45">
        <w:t xml:space="preserve">určité pravidlo soudního řádu </w:t>
      </w:r>
      <w:r w:rsidR="00333AAD" w:rsidRPr="00B25E45">
        <w:t xml:space="preserve">správního </w:t>
      </w:r>
      <w:r w:rsidRPr="00B25E45">
        <w:t xml:space="preserve">vykládá v rozhodovací praxi soudů </w:t>
      </w:r>
      <w:r w:rsidR="00333AAD" w:rsidRPr="00B25E45">
        <w:t>v rozporu s doslovným zněním zákona</w:t>
      </w:r>
      <w:r w:rsidRPr="00B25E45">
        <w:t xml:space="preserve">, nebo tím, že judikatura pravidlo doplnila a rozšířila nad rámec zákonné dikce (např. </w:t>
      </w:r>
      <w:r w:rsidR="00956155" w:rsidRPr="00B25E45">
        <w:t>poučovací povinnost ve vztahu k volbě žalobního typu</w:t>
      </w:r>
      <w:r w:rsidRPr="00B25E45">
        <w:t xml:space="preserve">). </w:t>
      </w:r>
    </w:p>
    <w:p w14:paraId="3D9B3F50" w14:textId="4D16E447" w:rsidR="00333AAD" w:rsidRPr="00B25E45" w:rsidRDefault="001E7E23" w:rsidP="00F6177A">
      <w:pPr>
        <w:pStyle w:val="Odstavecseseznamem"/>
        <w:numPr>
          <w:ilvl w:val="0"/>
          <w:numId w:val="35"/>
        </w:numPr>
        <w:spacing w:before="120" w:after="120" w:line="276" w:lineRule="auto"/>
        <w:ind w:left="714" w:hanging="357"/>
        <w:jc w:val="both"/>
      </w:pPr>
      <w:r w:rsidRPr="00B25E45">
        <w:t xml:space="preserve">Zároveň však existují i případy, kdy samotný text soudního řádu správního je v pořádku a </w:t>
      </w:r>
      <w:r w:rsidRPr="00B25E45">
        <w:rPr>
          <w:b/>
          <w:bCs/>
        </w:rPr>
        <w:t xml:space="preserve">problémy vyvolává spíše navazující výklad </w:t>
      </w:r>
      <w:r w:rsidR="00333AAD" w:rsidRPr="00B25E45">
        <w:rPr>
          <w:b/>
          <w:bCs/>
        </w:rPr>
        <w:t>tohoto</w:t>
      </w:r>
      <w:r w:rsidRPr="00B25E45">
        <w:rPr>
          <w:b/>
          <w:bCs/>
        </w:rPr>
        <w:t xml:space="preserve"> textu ze strany správních soudů</w:t>
      </w:r>
      <w:r w:rsidRPr="00B25E45">
        <w:t xml:space="preserve">. I na tyto případy je nutné reagovat tím, že se předmětné normy zpřesní a vyjasní </w:t>
      </w:r>
      <w:r w:rsidR="00333AAD" w:rsidRPr="00B25E45">
        <w:t>tak</w:t>
      </w:r>
      <w:r w:rsidRPr="00B25E45">
        <w:t xml:space="preserve">, </w:t>
      </w:r>
      <w:r w:rsidR="00333AAD" w:rsidRPr="00B25E45">
        <w:t xml:space="preserve">jak </w:t>
      </w:r>
      <w:r w:rsidRPr="00B25E45">
        <w:t>zákonodárce ve většině případů i původně zamýšlel (např. otázka toho, co je myšleno „věcí“ v § 31 s. ř. s., či problematika práva správních orgánů na náhradu nákladů řízení).</w:t>
      </w:r>
    </w:p>
    <w:p w14:paraId="7D0BEC00" w14:textId="5C049F9E" w:rsidR="001E7E23" w:rsidRPr="00B25E45" w:rsidRDefault="001E7E23" w:rsidP="00F6177A">
      <w:pPr>
        <w:pStyle w:val="Odstavecseseznamem"/>
        <w:numPr>
          <w:ilvl w:val="0"/>
          <w:numId w:val="35"/>
        </w:numPr>
        <w:spacing w:before="120" w:after="120" w:line="276" w:lineRule="auto"/>
        <w:ind w:left="714" w:hanging="357"/>
        <w:jc w:val="both"/>
      </w:pPr>
      <w:r w:rsidRPr="00B25E45">
        <w:t xml:space="preserve">Za nedostatek platné úpravy je dále možné označit i situaci, kdy </w:t>
      </w:r>
      <w:r w:rsidRPr="00B25E45">
        <w:rPr>
          <w:b/>
          <w:bCs/>
        </w:rPr>
        <w:t>soudní řád správní počítá s určitým institutem, kter</w:t>
      </w:r>
      <w:r w:rsidR="00956155" w:rsidRPr="00B25E45">
        <w:rPr>
          <w:b/>
          <w:bCs/>
        </w:rPr>
        <w:t>ý</w:t>
      </w:r>
      <w:r w:rsidRPr="00B25E45">
        <w:rPr>
          <w:b/>
          <w:bCs/>
        </w:rPr>
        <w:t xml:space="preserve"> se však v praxi téměř nevyužívá</w:t>
      </w:r>
      <w:r w:rsidRPr="00B25E45">
        <w:t xml:space="preserve">. Jeho přidanou </w:t>
      </w:r>
      <w:r w:rsidRPr="00B25E45">
        <w:lastRenderedPageBreak/>
        <w:t xml:space="preserve">hodnotu </w:t>
      </w:r>
      <w:r w:rsidR="00333AAD" w:rsidRPr="00B25E45">
        <w:t>přitom</w:t>
      </w:r>
      <w:r w:rsidRPr="00B25E45">
        <w:t xml:space="preserve"> teorie nijak nezpochybňuje</w:t>
      </w:r>
      <w:r w:rsidR="00333AAD" w:rsidRPr="00B25E45">
        <w:t xml:space="preserve">. </w:t>
      </w:r>
      <w:r w:rsidR="00956155" w:rsidRPr="00B25E45">
        <w:t xml:space="preserve">K tomu dochází třeba u </w:t>
      </w:r>
      <w:r w:rsidR="00333AAD" w:rsidRPr="00B25E45">
        <w:t>zásadní</w:t>
      </w:r>
      <w:r w:rsidR="00956155" w:rsidRPr="00B25E45">
        <w:t>ho</w:t>
      </w:r>
      <w:r w:rsidR="00333AAD" w:rsidRPr="00B25E45">
        <w:t xml:space="preserve"> usnesení dle § 18 s. ř. s. či </w:t>
      </w:r>
      <w:r w:rsidR="00956155" w:rsidRPr="00B25E45">
        <w:t xml:space="preserve">u </w:t>
      </w:r>
      <w:r w:rsidR="00333AAD" w:rsidRPr="00B25E45">
        <w:t>uspokojení navrhovatele</w:t>
      </w:r>
      <w:r w:rsidRPr="00B25E45">
        <w:t xml:space="preserve">. </w:t>
      </w:r>
    </w:p>
    <w:p w14:paraId="660C09E5" w14:textId="77777777" w:rsidR="00333AAD" w:rsidRPr="00B25E45" w:rsidRDefault="00333AAD" w:rsidP="00F6177A">
      <w:pPr>
        <w:pStyle w:val="Odstavecseseznamem"/>
        <w:numPr>
          <w:ilvl w:val="0"/>
          <w:numId w:val="35"/>
        </w:numPr>
        <w:spacing w:before="120" w:after="120" w:line="276" w:lineRule="auto"/>
        <w:ind w:left="714" w:hanging="357"/>
        <w:jc w:val="both"/>
      </w:pPr>
      <w:r w:rsidRPr="00B25E45">
        <w:t xml:space="preserve">Samostatnou kategorií jsou pak </w:t>
      </w:r>
      <w:r w:rsidRPr="00B25E45">
        <w:rPr>
          <w:b/>
          <w:bCs/>
        </w:rPr>
        <w:t>sporná místa související se subsidiaritou občanského soudního řádu</w:t>
      </w:r>
      <w:r w:rsidRPr="00B25E45">
        <w:t>. Soudní řád správní není vždy zcela jednoznačný a od občanského soudního řádu se odlišuje toliko nepatrně, popř. na něco vůbec nepamatuje, přičemž není zřejmé, zda to byl záměr nebo se počítá s využitím o. s. ř. (např. dílčí odchylky v opravě vad podání a při doručování, možnost spojení či vyloučení věcí). Ideální není ani samotné ustanovení § 64 s. ř. s.</w:t>
      </w:r>
    </w:p>
    <w:p w14:paraId="7C317C73" w14:textId="28340228" w:rsidR="00333AAD" w:rsidRPr="00B25E45" w:rsidRDefault="00333AAD" w:rsidP="00F6177A">
      <w:pPr>
        <w:pStyle w:val="Odstavecseseznamem"/>
        <w:numPr>
          <w:ilvl w:val="0"/>
          <w:numId w:val="35"/>
        </w:numPr>
        <w:spacing w:before="120" w:after="120" w:line="276" w:lineRule="auto"/>
        <w:ind w:left="714" w:hanging="357"/>
        <w:jc w:val="both"/>
      </w:pPr>
      <w:r w:rsidRPr="00B25E45">
        <w:t xml:space="preserve">Z praxe správních soudů vyplynulo také zjištění, že </w:t>
      </w:r>
      <w:r w:rsidRPr="00B25E45">
        <w:rPr>
          <w:b/>
          <w:bCs/>
        </w:rPr>
        <w:t>procesní postup na několika místech zbytečně zatěžuje správní soudy a poskytuje prostor pro procesní obstrukce či zneužití nástrojů</w:t>
      </w:r>
      <w:r w:rsidRPr="00B25E45">
        <w:t xml:space="preserve">, které mají sloužit primárně k legitimní ochraně veřejných subjektivních práv. V konečném důsledku pak správní soudy nemohou v přiměřené lhůtě poskytovat ochranu těm, do jejichž veřejných subjektivních práv bylo skutečně zasaženo. </w:t>
      </w:r>
    </w:p>
    <w:p w14:paraId="130373B2" w14:textId="418F33AA" w:rsidR="00333AAD" w:rsidRPr="00B25E45" w:rsidRDefault="00333AAD" w:rsidP="00F6177A">
      <w:pPr>
        <w:pStyle w:val="Odstavecseseznamem"/>
        <w:numPr>
          <w:ilvl w:val="0"/>
          <w:numId w:val="35"/>
        </w:numPr>
        <w:spacing w:before="120" w:after="120" w:line="276" w:lineRule="auto"/>
        <w:ind w:left="714" w:hanging="357"/>
        <w:jc w:val="both"/>
      </w:pPr>
      <w:r w:rsidRPr="00B25E45">
        <w:t xml:space="preserve">Negativně lze hodnotit také skutečnost, že </w:t>
      </w:r>
      <w:r w:rsidRPr="00B25E45">
        <w:rPr>
          <w:b/>
          <w:bCs/>
        </w:rPr>
        <w:t>ne všechny změny z</w:t>
      </w:r>
      <w:r w:rsidR="006C55FF" w:rsidRPr="00B25E45">
        <w:rPr>
          <w:b/>
          <w:bCs/>
        </w:rPr>
        <w:t xml:space="preserve">e </w:t>
      </w:r>
      <w:r w:rsidRPr="00B25E45">
        <w:rPr>
          <w:b/>
          <w:bCs/>
        </w:rPr>
        <w:t>40 novelizací, kterými soudní řád správní za dobu své existence prošel, byly provedeny důsledně</w:t>
      </w:r>
      <w:r w:rsidRPr="00B25E45">
        <w:t xml:space="preserve">. </w:t>
      </w:r>
      <w:r w:rsidR="00E41176" w:rsidRPr="00B25E45">
        <w:t>Je možné</w:t>
      </w:r>
      <w:r w:rsidR="00AA36C0" w:rsidRPr="00B25E45">
        <w:t xml:space="preserve"> </w:t>
      </w:r>
      <w:r w:rsidR="00E41176" w:rsidRPr="00B25E45">
        <w:t>vyzdvihnout</w:t>
      </w:r>
      <w:r w:rsidR="00AA36C0" w:rsidRPr="00B25E45">
        <w:t xml:space="preserve"> například ne</w:t>
      </w:r>
      <w:r w:rsidRPr="00B25E45">
        <w:t>doplnění</w:t>
      </w:r>
      <w:r w:rsidR="00AA36C0" w:rsidRPr="00B25E45">
        <w:t xml:space="preserve"> později přidaných typů řízení</w:t>
      </w:r>
      <w:r w:rsidRPr="00B25E45">
        <w:t xml:space="preserve"> do</w:t>
      </w:r>
      <w:r w:rsidR="00956155" w:rsidRPr="00B25E45">
        <w:t> </w:t>
      </w:r>
      <w:r w:rsidRPr="00B25E45">
        <w:t>§ 4</w:t>
      </w:r>
      <w:r w:rsidR="00956155" w:rsidRPr="00B25E45">
        <w:t xml:space="preserve"> s. ř. s</w:t>
      </w:r>
      <w:r w:rsidRPr="00B25E45">
        <w:t xml:space="preserve">. </w:t>
      </w:r>
    </w:p>
    <w:p w14:paraId="3CE7CD08" w14:textId="4E39D7ED" w:rsidR="00A5792E" w:rsidRPr="00B25E45" w:rsidRDefault="00A5792E" w:rsidP="00F6177A">
      <w:pPr>
        <w:pStyle w:val="Odstavecseseznamem"/>
        <w:numPr>
          <w:ilvl w:val="0"/>
          <w:numId w:val="35"/>
        </w:numPr>
        <w:spacing w:before="120" w:after="120" w:line="276" w:lineRule="auto"/>
        <w:ind w:left="714" w:hanging="357"/>
        <w:jc w:val="both"/>
      </w:pPr>
      <w:r w:rsidRPr="00B25E45">
        <w:t xml:space="preserve">Konečně </w:t>
      </w:r>
      <w:r w:rsidR="00E41176" w:rsidRPr="00B25E45">
        <w:t>lze</w:t>
      </w:r>
      <w:r w:rsidRPr="00B25E45">
        <w:t xml:space="preserve"> zmínit, že </w:t>
      </w:r>
      <w:r w:rsidRPr="00B25E45">
        <w:rPr>
          <w:b/>
          <w:bCs/>
        </w:rPr>
        <w:t>soudní řád správní nedostatečně zohledňuje plánované posuny v otázce elektronizace a digitalizace justice</w:t>
      </w:r>
      <w:r w:rsidRPr="00B25E45">
        <w:t>. Je třeba normu uzpůsobit tak, aby byla připravena na zavádění elektronického soudního spisu.</w:t>
      </w:r>
    </w:p>
    <w:p w14:paraId="441400C7" w14:textId="5C1F25EA" w:rsidR="00E24C6B" w:rsidRPr="00B25E45" w:rsidRDefault="00A5792E" w:rsidP="000F0904">
      <w:pPr>
        <w:spacing w:before="120"/>
        <w:jc w:val="both"/>
        <w:rPr>
          <w:rFonts w:ascii="Times New Roman" w:hAnsi="Times New Roman"/>
          <w:sz w:val="24"/>
        </w:rPr>
      </w:pPr>
      <w:r w:rsidRPr="00B25E45">
        <w:rPr>
          <w:rFonts w:ascii="Times New Roman" w:hAnsi="Times New Roman"/>
          <w:sz w:val="24"/>
        </w:rPr>
        <w:t>Předestřené výhrady osvědčují, že platná právní úprava není vždy zcela uspokojivá a zasloužila by si revizi.</w:t>
      </w:r>
    </w:p>
    <w:p w14:paraId="0711F05B" w14:textId="41B2C57C" w:rsidR="000149E3" w:rsidRPr="00B25E45" w:rsidRDefault="000149E3" w:rsidP="000F0904">
      <w:pPr>
        <w:keepNext/>
        <w:numPr>
          <w:ilvl w:val="2"/>
          <w:numId w:val="0"/>
        </w:numPr>
        <w:spacing w:before="120"/>
        <w:jc w:val="both"/>
        <w:outlineLvl w:val="2"/>
        <w:rPr>
          <w:rFonts w:ascii="Times New Roman" w:hAnsi="Times New Roman"/>
          <w:b/>
          <w:sz w:val="24"/>
        </w:rPr>
      </w:pPr>
      <w:r w:rsidRPr="00B25E45">
        <w:rPr>
          <w:rFonts w:ascii="Times New Roman" w:hAnsi="Times New Roman"/>
          <w:b/>
          <w:sz w:val="24"/>
        </w:rPr>
        <w:t>1.2 Zhodnocení současného stavu ve vztahu k zákazu diskriminace a ve vztahu k rovnosti mužů a žen.</w:t>
      </w:r>
      <w:bookmarkEnd w:id="6"/>
    </w:p>
    <w:p w14:paraId="563E78D2" w14:textId="21151A4E" w:rsidR="000149E3" w:rsidRPr="00B25E45" w:rsidRDefault="006C55FF" w:rsidP="000F0904">
      <w:pPr>
        <w:spacing w:before="120"/>
        <w:jc w:val="both"/>
        <w:rPr>
          <w:rFonts w:ascii="Times New Roman" w:hAnsi="Times New Roman"/>
          <w:sz w:val="24"/>
        </w:rPr>
      </w:pPr>
      <w:r w:rsidRPr="00B25E45">
        <w:rPr>
          <w:rFonts w:ascii="Times New Roman" w:hAnsi="Times New Roman"/>
          <w:sz w:val="24"/>
        </w:rPr>
        <w:t xml:space="preserve">Stávající úprava je sama o sobě z hlediska zásady rovného zacházení neutrální; uplatní se na všechny osoby bez ohledu na jejich pohlaví, barvu pleti, národnost, věk atd. Zároveň je však možné konstatovat, že pokud dochází k diskriminaci jednotlivců ze strany správních orgánů a ti se obracejí na správní soudy a domáhají se soudní ochrany před správními soudy, negativní jevy, o nichž bylo pojednáno obecně v kapitole 1.1, se pochopitelně projevují také v antidiskriminačních sporech. </w:t>
      </w:r>
      <w:r w:rsidR="00956155" w:rsidRPr="00B25E45">
        <w:rPr>
          <w:rFonts w:ascii="Times New Roman" w:hAnsi="Times New Roman"/>
          <w:sz w:val="24"/>
        </w:rPr>
        <w:t>V této souvislosti</w:t>
      </w:r>
      <w:r w:rsidRPr="00B25E45">
        <w:rPr>
          <w:rFonts w:ascii="Times New Roman" w:hAnsi="Times New Roman"/>
          <w:sz w:val="24"/>
        </w:rPr>
        <w:t xml:space="preserve"> se ukazuje, že žalobní oprávnění veřejného ochránce práv, který je jako státní orgán pověřen kontrolou dodržování zásady rovného zacházení, není nyní ošetřeno dostatečně</w:t>
      </w:r>
      <w:r w:rsidR="00956155" w:rsidRPr="00B25E45">
        <w:rPr>
          <w:rFonts w:ascii="Times New Roman" w:hAnsi="Times New Roman"/>
          <w:sz w:val="24"/>
        </w:rPr>
        <w:t xml:space="preserve">. Ombudsman se může na správní soudy obracet jen s žalobami </w:t>
      </w:r>
      <w:r w:rsidRPr="00B25E45">
        <w:rPr>
          <w:rFonts w:ascii="Times New Roman" w:hAnsi="Times New Roman"/>
          <w:sz w:val="24"/>
        </w:rPr>
        <w:t>proti rozhodnutí správního orgánu (§ 66 odst. 3 s. ř. s.), přitom však k diskriminaci dochází i jinými formami činnosti veřejné správy, ať už mají formu nečinnosti nebo zásahu.</w:t>
      </w:r>
    </w:p>
    <w:p w14:paraId="6F20A172" w14:textId="77777777" w:rsidR="000149E3" w:rsidRPr="00B25E45" w:rsidRDefault="000149E3" w:rsidP="000F0904">
      <w:pPr>
        <w:keepNext/>
        <w:numPr>
          <w:ilvl w:val="0"/>
          <w:numId w:val="5"/>
        </w:numPr>
        <w:spacing w:before="120"/>
        <w:ind w:left="0" w:firstLine="0"/>
        <w:jc w:val="both"/>
        <w:outlineLvl w:val="1"/>
        <w:rPr>
          <w:rFonts w:ascii="Times New Roman" w:hAnsi="Times New Roman"/>
          <w:b/>
          <w:sz w:val="28"/>
          <w:u w:val="single"/>
        </w:rPr>
      </w:pPr>
      <w:bookmarkStart w:id="7" w:name="_Toc25695625"/>
      <w:r w:rsidRPr="00B25E45">
        <w:rPr>
          <w:rFonts w:ascii="Times New Roman" w:hAnsi="Times New Roman"/>
          <w:b/>
          <w:sz w:val="28"/>
          <w:u w:val="single"/>
        </w:rPr>
        <w:lastRenderedPageBreak/>
        <w:t>Odůvodnění hlavních principů navrhované právní úpravy, včetně dopadů navrhovaného řešení ve vztahu k zákazu diskriminace a ve vztahu k rovnosti mužů a žen.</w:t>
      </w:r>
      <w:bookmarkEnd w:id="7"/>
    </w:p>
    <w:p w14:paraId="51DE8F2B" w14:textId="78FB5964" w:rsidR="000149E3" w:rsidRPr="00B25E45" w:rsidRDefault="000149E3" w:rsidP="000F0904">
      <w:pPr>
        <w:keepNext/>
        <w:numPr>
          <w:ilvl w:val="2"/>
          <w:numId w:val="0"/>
        </w:numPr>
        <w:spacing w:before="120"/>
        <w:jc w:val="both"/>
        <w:outlineLvl w:val="2"/>
        <w:rPr>
          <w:rFonts w:ascii="Times New Roman" w:hAnsi="Times New Roman"/>
          <w:b/>
          <w:sz w:val="24"/>
        </w:rPr>
      </w:pPr>
      <w:bookmarkStart w:id="8" w:name="_Toc25695626"/>
      <w:r w:rsidRPr="00B25E45">
        <w:rPr>
          <w:rFonts w:ascii="Times New Roman" w:hAnsi="Times New Roman"/>
          <w:b/>
          <w:sz w:val="24"/>
        </w:rPr>
        <w:t>2.1 Základní účel a cíle navrhované právní úpravy</w:t>
      </w:r>
      <w:bookmarkEnd w:id="8"/>
      <w:r w:rsidRPr="00B25E45">
        <w:rPr>
          <w:rFonts w:ascii="Times New Roman" w:hAnsi="Times New Roman"/>
          <w:b/>
          <w:sz w:val="24"/>
        </w:rPr>
        <w:t xml:space="preserve"> </w:t>
      </w:r>
    </w:p>
    <w:p w14:paraId="5FF38206" w14:textId="0FE9A167" w:rsidR="00A5792E" w:rsidRPr="00B25E45" w:rsidRDefault="00A5792E" w:rsidP="000F0904">
      <w:pPr>
        <w:spacing w:before="120"/>
        <w:jc w:val="both"/>
        <w:rPr>
          <w:rFonts w:ascii="Times New Roman" w:hAnsi="Times New Roman"/>
          <w:sz w:val="24"/>
        </w:rPr>
      </w:pPr>
      <w:r w:rsidRPr="00B25E45">
        <w:rPr>
          <w:rFonts w:ascii="Times New Roman" w:hAnsi="Times New Roman"/>
          <w:sz w:val="24"/>
        </w:rPr>
        <w:t xml:space="preserve">Předchozí kapitola poukázala na vybrané dílčí nedostatky, které byly za více než 20 let existence soudního řádu správního zjištěny v aplikační praxi. Připravovaná novelizace usiluje o to, aby byla tato slabá místa správního soudnictví odstraněna a právní úprava doplněna tak, aby po všech stránkách odpovídala potřebám 21. století a zaručovala účastníkům efektivní a účinný nástroj při prosazování jejich ústavně garantovaného práva na soudní ochranu. </w:t>
      </w:r>
    </w:p>
    <w:p w14:paraId="5DA14278" w14:textId="2B66D97F" w:rsidR="00A5792E" w:rsidRPr="00B25E45" w:rsidRDefault="00A5792E" w:rsidP="000F0904">
      <w:pPr>
        <w:spacing w:before="120"/>
        <w:jc w:val="both"/>
        <w:rPr>
          <w:rFonts w:ascii="Times New Roman" w:hAnsi="Times New Roman"/>
          <w:sz w:val="24"/>
        </w:rPr>
      </w:pPr>
      <w:r w:rsidRPr="00B25E45">
        <w:rPr>
          <w:rFonts w:ascii="Times New Roman" w:hAnsi="Times New Roman"/>
          <w:sz w:val="24"/>
        </w:rPr>
        <w:t>Novelizace si tak především klade za cíl zabránit dalšímu přetěžování správních soudů, zkrátit a zefektivnit soudní řízení, aby byla posílena vymahatelnost veřejných subjektivních práv, snížit počet nedodělků a přizpůsobit text zákona téměř dvacetiletému judikaturnímu vývoji. Tento cíl bude naplněn dílčím zjednodušením řízení před správními soudy při současném zachování práv účastníků řízení, optimalizací dělby práce v rámci správních senátů, odstraněním nedostatků, které vyplynuly z praxe v průběhu let účinnosti zákona, nebo legislativním ukotvením závěrů, k nimž v mezidobí dospěl Nejvyšší správní soud.</w:t>
      </w:r>
    </w:p>
    <w:p w14:paraId="7D4A9A48" w14:textId="0066C99A" w:rsidR="000149E3" w:rsidRPr="00B25E45" w:rsidRDefault="000149E3" w:rsidP="000F0904">
      <w:pPr>
        <w:keepNext/>
        <w:numPr>
          <w:ilvl w:val="2"/>
          <w:numId w:val="0"/>
        </w:numPr>
        <w:spacing w:before="120"/>
        <w:jc w:val="both"/>
        <w:outlineLvl w:val="2"/>
        <w:rPr>
          <w:rFonts w:ascii="Times New Roman" w:hAnsi="Times New Roman"/>
          <w:b/>
          <w:sz w:val="24"/>
        </w:rPr>
      </w:pPr>
      <w:bookmarkStart w:id="9" w:name="_Toc25695628"/>
      <w:r w:rsidRPr="00B25E45">
        <w:rPr>
          <w:rFonts w:ascii="Times New Roman" w:hAnsi="Times New Roman"/>
          <w:b/>
          <w:sz w:val="24"/>
        </w:rPr>
        <w:t>2.</w:t>
      </w:r>
      <w:r w:rsidR="006C55FF" w:rsidRPr="00B25E45">
        <w:rPr>
          <w:rFonts w:ascii="Times New Roman" w:hAnsi="Times New Roman"/>
          <w:b/>
          <w:sz w:val="24"/>
        </w:rPr>
        <w:t>2</w:t>
      </w:r>
      <w:r w:rsidRPr="00B25E45">
        <w:rPr>
          <w:rFonts w:ascii="Times New Roman" w:hAnsi="Times New Roman"/>
          <w:b/>
          <w:sz w:val="24"/>
        </w:rPr>
        <w:t xml:space="preserve"> Hlavní principy navrhované právní úpravy a jejich odůvodnění</w:t>
      </w:r>
      <w:bookmarkEnd w:id="9"/>
    </w:p>
    <w:p w14:paraId="0250D03F" w14:textId="07E5A2FD" w:rsidR="00A5792E" w:rsidRPr="00B25E45" w:rsidRDefault="00A5792E" w:rsidP="000F0904">
      <w:pPr>
        <w:keepNext/>
        <w:numPr>
          <w:ilvl w:val="2"/>
          <w:numId w:val="0"/>
        </w:numPr>
        <w:spacing w:before="120"/>
        <w:jc w:val="both"/>
        <w:outlineLvl w:val="2"/>
        <w:rPr>
          <w:rFonts w:ascii="Times New Roman" w:hAnsi="Times New Roman"/>
          <w:b/>
          <w:sz w:val="24"/>
        </w:rPr>
      </w:pPr>
      <w:r w:rsidRPr="00B25E45">
        <w:rPr>
          <w:rFonts w:ascii="Times New Roman" w:hAnsi="Times New Roman"/>
          <w:b/>
          <w:sz w:val="24"/>
        </w:rPr>
        <w:t>a) Změny soudního řádu správního</w:t>
      </w:r>
    </w:p>
    <w:p w14:paraId="5F6B7B69" w14:textId="5286A4F3" w:rsidR="00A5792E" w:rsidRPr="00B25E45" w:rsidRDefault="000149E3" w:rsidP="000F0904">
      <w:pPr>
        <w:spacing w:before="120"/>
        <w:jc w:val="both"/>
        <w:rPr>
          <w:rFonts w:ascii="Times New Roman" w:hAnsi="Times New Roman"/>
          <w:sz w:val="24"/>
        </w:rPr>
      </w:pPr>
      <w:r w:rsidRPr="00B25E45">
        <w:rPr>
          <w:rFonts w:ascii="Times New Roman" w:hAnsi="Times New Roman"/>
          <w:sz w:val="24"/>
        </w:rPr>
        <w:t xml:space="preserve">Základní principy </w:t>
      </w:r>
      <w:r w:rsidR="00A5792E" w:rsidRPr="00B25E45">
        <w:rPr>
          <w:rFonts w:ascii="Times New Roman" w:hAnsi="Times New Roman"/>
          <w:sz w:val="24"/>
        </w:rPr>
        <w:t xml:space="preserve">navrhovaných změn soudního řádu správního </w:t>
      </w:r>
      <w:r w:rsidRPr="00B25E45">
        <w:rPr>
          <w:rFonts w:ascii="Times New Roman" w:hAnsi="Times New Roman"/>
          <w:sz w:val="24"/>
        </w:rPr>
        <w:t xml:space="preserve">navazují na </w:t>
      </w:r>
      <w:r w:rsidR="00A5792E" w:rsidRPr="00B25E45">
        <w:rPr>
          <w:rFonts w:ascii="Times New Roman" w:hAnsi="Times New Roman"/>
          <w:sz w:val="24"/>
        </w:rPr>
        <w:t xml:space="preserve">účel a cíle vymezené v předcházející kapitole. Ústředním východiskem právní úpravy je proto </w:t>
      </w:r>
      <w:r w:rsidR="00A5792E" w:rsidRPr="00B25E45">
        <w:rPr>
          <w:rFonts w:ascii="Times New Roman" w:hAnsi="Times New Roman"/>
          <w:b/>
          <w:bCs/>
          <w:sz w:val="24"/>
        </w:rPr>
        <w:t>minimalistická snaha o odstranění nedostatků soudního řádu správního při současném zachování všeho, co dosud bezproblémově funguje</w:t>
      </w:r>
      <w:r w:rsidR="00A5792E" w:rsidRPr="00B25E45">
        <w:rPr>
          <w:rFonts w:ascii="Times New Roman" w:hAnsi="Times New Roman"/>
          <w:sz w:val="24"/>
        </w:rPr>
        <w:t>. Navrhované změny jsou tak velmi úzce zacíleny na identifikované neduhy platné právní úpravy a do ostatních oblastí nezasahují vůbec nebo jen v minimálním nezbytně nutném rozsahu. Cílem je ponechat v platnosti pravidla, která se prokázala jako kvalitní a vyhovující aplikační praxi.</w:t>
      </w:r>
    </w:p>
    <w:p w14:paraId="740AFB73" w14:textId="21F04B9B" w:rsidR="00816F0D" w:rsidRPr="00B25E45" w:rsidRDefault="00A5792E" w:rsidP="000F0904">
      <w:pPr>
        <w:spacing w:before="120"/>
        <w:jc w:val="both"/>
        <w:rPr>
          <w:rFonts w:ascii="Times New Roman" w:hAnsi="Times New Roman"/>
          <w:sz w:val="24"/>
        </w:rPr>
      </w:pPr>
      <w:r w:rsidRPr="00B25E45">
        <w:rPr>
          <w:rFonts w:ascii="Times New Roman" w:hAnsi="Times New Roman"/>
          <w:sz w:val="24"/>
        </w:rPr>
        <w:t>Na tento obecný princip dále navazuj</w:t>
      </w:r>
      <w:r w:rsidR="00956155" w:rsidRPr="00B25E45">
        <w:rPr>
          <w:rFonts w:ascii="Times New Roman" w:hAnsi="Times New Roman"/>
          <w:sz w:val="24"/>
        </w:rPr>
        <w:t>í</w:t>
      </w:r>
      <w:r w:rsidRPr="00B25E45">
        <w:rPr>
          <w:rFonts w:ascii="Times New Roman" w:hAnsi="Times New Roman"/>
          <w:sz w:val="24"/>
        </w:rPr>
        <w:t xml:space="preserve"> související zásady předloženého zákona, kdy </w:t>
      </w:r>
      <w:r w:rsidRPr="00B25E45">
        <w:rPr>
          <w:rFonts w:ascii="Times New Roman" w:hAnsi="Times New Roman"/>
          <w:b/>
          <w:bCs/>
          <w:sz w:val="24"/>
        </w:rPr>
        <w:t>nedochází k žádným koncepčním posunům či zásadním věcným změnám</w:t>
      </w:r>
      <w:r w:rsidRPr="00B25E45">
        <w:rPr>
          <w:rFonts w:ascii="Times New Roman" w:hAnsi="Times New Roman"/>
          <w:sz w:val="24"/>
        </w:rPr>
        <w:t xml:space="preserve">. Předložená novela tak nepředstavuje revoluci v oblasti správního soudnictví. Místo toho přináší postupnou a pozvolnou evoluci tak, aby </w:t>
      </w:r>
      <w:proofErr w:type="gramStart"/>
      <w:r w:rsidR="00816F0D" w:rsidRPr="00B25E45">
        <w:rPr>
          <w:rFonts w:ascii="Times New Roman" w:hAnsi="Times New Roman"/>
          <w:sz w:val="24"/>
        </w:rPr>
        <w:t>se</w:t>
      </w:r>
      <w:proofErr w:type="gramEnd"/>
      <w:r w:rsidRPr="00B25E45">
        <w:rPr>
          <w:rFonts w:ascii="Times New Roman" w:hAnsi="Times New Roman"/>
          <w:sz w:val="24"/>
        </w:rPr>
        <w:t xml:space="preserve"> </w:t>
      </w:r>
      <w:r w:rsidR="00816F0D" w:rsidRPr="00B25E45">
        <w:rPr>
          <w:rFonts w:ascii="Times New Roman" w:hAnsi="Times New Roman"/>
          <w:sz w:val="24"/>
        </w:rPr>
        <w:t xml:space="preserve">pokud možno </w:t>
      </w:r>
      <w:r w:rsidRPr="00B25E45">
        <w:rPr>
          <w:rFonts w:ascii="Times New Roman" w:hAnsi="Times New Roman"/>
          <w:sz w:val="24"/>
        </w:rPr>
        <w:t xml:space="preserve">omezil vznik nových </w:t>
      </w:r>
      <w:r w:rsidR="00816F0D" w:rsidRPr="00B25E45">
        <w:rPr>
          <w:rFonts w:ascii="Times New Roman" w:hAnsi="Times New Roman"/>
          <w:sz w:val="24"/>
        </w:rPr>
        <w:t>sporných a problematických pravidel</w:t>
      </w:r>
      <w:r w:rsidRPr="00B25E45">
        <w:rPr>
          <w:rFonts w:ascii="Times New Roman" w:hAnsi="Times New Roman"/>
          <w:sz w:val="24"/>
        </w:rPr>
        <w:t xml:space="preserve">. Cílem je </w:t>
      </w:r>
      <w:r w:rsidR="00816F0D" w:rsidRPr="00B25E45">
        <w:rPr>
          <w:rFonts w:ascii="Times New Roman" w:hAnsi="Times New Roman"/>
          <w:sz w:val="24"/>
        </w:rPr>
        <w:t xml:space="preserve">tedy </w:t>
      </w:r>
      <w:r w:rsidRPr="00B25E45">
        <w:rPr>
          <w:rFonts w:ascii="Times New Roman" w:hAnsi="Times New Roman"/>
          <w:sz w:val="24"/>
        </w:rPr>
        <w:t xml:space="preserve">problémy stávající úpravy vyřešit, aniž by toto řešení vedlo </w:t>
      </w:r>
      <w:r w:rsidR="00816F0D" w:rsidRPr="00B25E45">
        <w:rPr>
          <w:rFonts w:ascii="Times New Roman" w:hAnsi="Times New Roman"/>
          <w:sz w:val="24"/>
        </w:rPr>
        <w:t xml:space="preserve">ke vzniku nových dosud neřešených otázek. </w:t>
      </w:r>
    </w:p>
    <w:p w14:paraId="1272D918" w14:textId="7F63E80D" w:rsidR="00A5792E" w:rsidRPr="00B25E45" w:rsidRDefault="00816F0D" w:rsidP="000F0904">
      <w:pPr>
        <w:spacing w:before="120"/>
        <w:jc w:val="both"/>
        <w:rPr>
          <w:rFonts w:ascii="Times New Roman" w:hAnsi="Times New Roman"/>
          <w:sz w:val="24"/>
        </w:rPr>
      </w:pPr>
      <w:r w:rsidRPr="00B25E45">
        <w:rPr>
          <w:rFonts w:ascii="Times New Roman" w:hAnsi="Times New Roman"/>
          <w:sz w:val="24"/>
        </w:rPr>
        <w:t xml:space="preserve">Navrhovaná úprava tak </w:t>
      </w:r>
      <w:r w:rsidRPr="00B25E45">
        <w:rPr>
          <w:rFonts w:ascii="Times New Roman" w:hAnsi="Times New Roman"/>
          <w:b/>
          <w:bCs/>
          <w:sz w:val="24"/>
        </w:rPr>
        <w:t>nezpochybňuje základní východiska správního soudnictví, ani nemění jeho základní účel</w:t>
      </w:r>
      <w:r w:rsidRPr="00B25E45">
        <w:rPr>
          <w:rFonts w:ascii="Times New Roman" w:hAnsi="Times New Roman"/>
          <w:sz w:val="24"/>
        </w:rPr>
        <w:t>, tj. zajistit adekvátní soudní ochranu veřejným subjektivním právům</w:t>
      </w:r>
      <w:r w:rsidR="00956155" w:rsidRPr="00B25E45">
        <w:rPr>
          <w:rFonts w:ascii="Times New Roman" w:hAnsi="Times New Roman"/>
          <w:sz w:val="24"/>
        </w:rPr>
        <w:t xml:space="preserve">. Úprava </w:t>
      </w:r>
      <w:r w:rsidR="0055370B" w:rsidRPr="00B25E45">
        <w:rPr>
          <w:rFonts w:ascii="Times New Roman" w:hAnsi="Times New Roman"/>
          <w:sz w:val="24"/>
        </w:rPr>
        <w:t>v prvé řadě</w:t>
      </w:r>
      <w:r w:rsidR="00956155" w:rsidRPr="00B25E45">
        <w:rPr>
          <w:rFonts w:ascii="Times New Roman" w:hAnsi="Times New Roman"/>
          <w:sz w:val="24"/>
        </w:rPr>
        <w:t xml:space="preserve"> nezpochybňuje dělení pravomoci mezi správní a civilní soudy, </w:t>
      </w:r>
      <w:r w:rsidR="00D22A28" w:rsidRPr="00B25E45">
        <w:rPr>
          <w:rFonts w:ascii="Times New Roman" w:hAnsi="Times New Roman"/>
          <w:sz w:val="24"/>
        </w:rPr>
        <w:t>spory posuzované dnes podle části páté občanského soudního řádu</w:t>
      </w:r>
      <w:r w:rsidR="00956155" w:rsidRPr="00B25E45">
        <w:rPr>
          <w:rFonts w:ascii="Times New Roman" w:hAnsi="Times New Roman"/>
          <w:sz w:val="24"/>
        </w:rPr>
        <w:t xml:space="preserve"> zůstanou v</w:t>
      </w:r>
      <w:r w:rsidR="0055370B" w:rsidRPr="00B25E45">
        <w:rPr>
          <w:rFonts w:ascii="Times New Roman" w:hAnsi="Times New Roman"/>
          <w:sz w:val="24"/>
        </w:rPr>
        <w:t> civilním režimu</w:t>
      </w:r>
      <w:r w:rsidRPr="00B25E45">
        <w:rPr>
          <w:rFonts w:ascii="Times New Roman" w:hAnsi="Times New Roman"/>
          <w:sz w:val="24"/>
        </w:rPr>
        <w:t>. I nadále se tak</w:t>
      </w:r>
      <w:r w:rsidR="0055370B" w:rsidRPr="00B25E45">
        <w:rPr>
          <w:rFonts w:ascii="Times New Roman" w:hAnsi="Times New Roman"/>
          <w:sz w:val="24"/>
        </w:rPr>
        <w:t>é</w:t>
      </w:r>
      <w:r w:rsidRPr="00B25E45">
        <w:rPr>
          <w:rFonts w:ascii="Times New Roman" w:hAnsi="Times New Roman"/>
          <w:sz w:val="24"/>
        </w:rPr>
        <w:t xml:space="preserve"> počítá s tím, že ve správním soudnictví se odlišují žaloby a návrhy, přičemž u žalob rozeznáváme tři žalobní typy. Stejně tak se návrh kloní ke kasačnímu principu </w:t>
      </w:r>
      <w:r w:rsidRPr="00B25E45">
        <w:rPr>
          <w:rFonts w:ascii="Times New Roman" w:hAnsi="Times New Roman"/>
          <w:sz w:val="24"/>
        </w:rPr>
        <w:lastRenderedPageBreak/>
        <w:t>rozhodování správních soudů</w:t>
      </w:r>
      <w:r w:rsidR="0055370B" w:rsidRPr="00B25E45">
        <w:rPr>
          <w:rFonts w:ascii="Times New Roman" w:hAnsi="Times New Roman"/>
          <w:sz w:val="24"/>
        </w:rPr>
        <w:t xml:space="preserve"> a n</w:t>
      </w:r>
      <w:r w:rsidRPr="00B25E45">
        <w:rPr>
          <w:rFonts w:ascii="Times New Roman" w:hAnsi="Times New Roman"/>
          <w:sz w:val="24"/>
        </w:rPr>
        <w:t xml:space="preserve">ezpochybňuje ani katalog opravných </w:t>
      </w:r>
      <w:r w:rsidR="00D22A28" w:rsidRPr="00B25E45">
        <w:rPr>
          <w:rFonts w:ascii="Times New Roman" w:hAnsi="Times New Roman"/>
          <w:sz w:val="24"/>
        </w:rPr>
        <w:t>prostředků,</w:t>
      </w:r>
      <w:r w:rsidRPr="00B25E45">
        <w:rPr>
          <w:rFonts w:ascii="Times New Roman" w:hAnsi="Times New Roman"/>
          <w:sz w:val="24"/>
        </w:rPr>
        <w:t xml:space="preserve"> </w:t>
      </w:r>
      <w:r w:rsidR="0055370B" w:rsidRPr="00B25E45">
        <w:rPr>
          <w:rFonts w:ascii="Times New Roman" w:hAnsi="Times New Roman"/>
          <w:sz w:val="24"/>
        </w:rPr>
        <w:t>kde</w:t>
      </w:r>
      <w:r w:rsidRPr="00B25E45">
        <w:rPr>
          <w:rFonts w:ascii="Times New Roman" w:hAnsi="Times New Roman"/>
          <w:sz w:val="24"/>
        </w:rPr>
        <w:t xml:space="preserve"> naopak posiluje mimořádn</w:t>
      </w:r>
      <w:r w:rsidR="0055370B" w:rsidRPr="00B25E45">
        <w:rPr>
          <w:rFonts w:ascii="Times New Roman" w:hAnsi="Times New Roman"/>
          <w:sz w:val="24"/>
        </w:rPr>
        <w:t>ou povahu</w:t>
      </w:r>
      <w:r w:rsidRPr="00B25E45">
        <w:rPr>
          <w:rFonts w:ascii="Times New Roman" w:hAnsi="Times New Roman"/>
          <w:sz w:val="24"/>
        </w:rPr>
        <w:t xml:space="preserve"> kasační stížnosti.</w:t>
      </w:r>
    </w:p>
    <w:p w14:paraId="26E80ADB" w14:textId="78E8175D" w:rsidR="00A5792E" w:rsidRPr="00B25E45" w:rsidRDefault="00A5792E" w:rsidP="000F0904">
      <w:pPr>
        <w:spacing w:before="120"/>
        <w:jc w:val="both"/>
        <w:rPr>
          <w:rFonts w:ascii="Times New Roman" w:hAnsi="Times New Roman"/>
          <w:sz w:val="24"/>
        </w:rPr>
      </w:pPr>
      <w:r w:rsidRPr="00B25E45">
        <w:rPr>
          <w:rFonts w:ascii="Times New Roman" w:hAnsi="Times New Roman"/>
          <w:sz w:val="24"/>
        </w:rPr>
        <w:t xml:space="preserve">Úprava dále usiluje o to, aby </w:t>
      </w:r>
      <w:r w:rsidRPr="00B25E45">
        <w:rPr>
          <w:rFonts w:ascii="Times New Roman" w:hAnsi="Times New Roman"/>
          <w:b/>
          <w:bCs/>
          <w:sz w:val="24"/>
        </w:rPr>
        <w:t xml:space="preserve">prováděné změny měly minimální </w:t>
      </w:r>
      <w:r w:rsidR="00816F0D" w:rsidRPr="00B25E45">
        <w:rPr>
          <w:rFonts w:ascii="Times New Roman" w:hAnsi="Times New Roman"/>
          <w:b/>
          <w:bCs/>
          <w:sz w:val="24"/>
        </w:rPr>
        <w:t xml:space="preserve">vliv na práva účastníků v řízení, respektive </w:t>
      </w:r>
      <w:r w:rsidR="00D22A28" w:rsidRPr="00B25E45">
        <w:rPr>
          <w:rFonts w:ascii="Times New Roman" w:hAnsi="Times New Roman"/>
          <w:b/>
          <w:bCs/>
          <w:sz w:val="24"/>
        </w:rPr>
        <w:t>aby tyto změny v konečné důsledku vedly k posílení a zlepšení vymahatelnosti veřejných subjektivních práv</w:t>
      </w:r>
      <w:r w:rsidR="00D22A28" w:rsidRPr="00B25E45">
        <w:rPr>
          <w:rFonts w:ascii="Times New Roman" w:hAnsi="Times New Roman"/>
          <w:sz w:val="24"/>
        </w:rPr>
        <w:t xml:space="preserve">. Toho by mělo být docíleno celkovým zefektivněním a zrychlením řízení před správními soudy a odbřemeněním správních soudů od zjevně šikanózních či bezúspěšných podání. </w:t>
      </w:r>
    </w:p>
    <w:p w14:paraId="0D6E9ADA" w14:textId="1E5C995C" w:rsidR="00D22A28" w:rsidRPr="00B25E45" w:rsidRDefault="00D22A28" w:rsidP="000F0904">
      <w:pPr>
        <w:spacing w:before="120"/>
        <w:jc w:val="both"/>
        <w:rPr>
          <w:rFonts w:ascii="Times New Roman" w:hAnsi="Times New Roman"/>
          <w:sz w:val="24"/>
        </w:rPr>
      </w:pPr>
      <w:r w:rsidRPr="00B25E45">
        <w:rPr>
          <w:rFonts w:ascii="Times New Roman" w:hAnsi="Times New Roman"/>
          <w:sz w:val="24"/>
        </w:rPr>
        <w:t xml:space="preserve">Právě </w:t>
      </w:r>
      <w:r w:rsidRPr="00B25E45">
        <w:rPr>
          <w:rFonts w:ascii="Times New Roman" w:hAnsi="Times New Roman"/>
          <w:b/>
          <w:bCs/>
          <w:sz w:val="24"/>
        </w:rPr>
        <w:t>snaha o zrychlení a racionalizaci řízení ve správním soudnictví</w:t>
      </w:r>
      <w:r w:rsidRPr="00B25E45">
        <w:rPr>
          <w:rFonts w:ascii="Times New Roman" w:hAnsi="Times New Roman"/>
          <w:sz w:val="24"/>
        </w:rPr>
        <w:t xml:space="preserve"> je dalším </w:t>
      </w:r>
      <w:r w:rsidR="00E83B94" w:rsidRPr="00B25E45">
        <w:rPr>
          <w:rFonts w:ascii="Times New Roman" w:hAnsi="Times New Roman"/>
          <w:sz w:val="24"/>
        </w:rPr>
        <w:t>z</w:t>
      </w:r>
      <w:r w:rsidRPr="00B25E45">
        <w:rPr>
          <w:rFonts w:ascii="Times New Roman" w:hAnsi="Times New Roman"/>
          <w:sz w:val="24"/>
        </w:rPr>
        <w:t> čelních principů předkládané právní úpravy. Požadavek na to, aby rozhodnutí byla vydávaná v přiměřených lhůtách, vyplývá z ústavně-právních i mezinárodně-právních závazků České republiky (srov. např. čl. 38 Listiny základních práv a svobod nebo čl. 6 Evropské úmluvy o ochraně lidských práv)</w:t>
      </w:r>
      <w:r w:rsidR="0055370B" w:rsidRPr="00B25E45">
        <w:rPr>
          <w:rFonts w:ascii="Times New Roman" w:hAnsi="Times New Roman"/>
          <w:sz w:val="24"/>
        </w:rPr>
        <w:t>. P</w:t>
      </w:r>
      <w:r w:rsidRPr="00B25E45">
        <w:rPr>
          <w:rFonts w:ascii="Times New Roman" w:hAnsi="Times New Roman"/>
          <w:sz w:val="24"/>
        </w:rPr>
        <w:t>rávě oblast správního soudnictví je</w:t>
      </w:r>
      <w:r w:rsidR="0055370B" w:rsidRPr="00B25E45">
        <w:rPr>
          <w:rFonts w:ascii="Times New Roman" w:hAnsi="Times New Roman"/>
          <w:sz w:val="24"/>
        </w:rPr>
        <w:t xml:space="preserve"> přitom v tomto aspektu </w:t>
      </w:r>
      <w:r w:rsidRPr="00B25E45">
        <w:rPr>
          <w:rFonts w:ascii="Times New Roman" w:hAnsi="Times New Roman"/>
          <w:sz w:val="24"/>
        </w:rPr>
        <w:t xml:space="preserve">opakovaně předmětem kritiky nadnárodních hodnotících mechanismů (srov. např. </w:t>
      </w:r>
      <w:r w:rsidR="0055370B" w:rsidRPr="00B25E45">
        <w:rPr>
          <w:rFonts w:ascii="Times New Roman" w:hAnsi="Times New Roman"/>
          <w:sz w:val="24"/>
        </w:rPr>
        <w:t>z</w:t>
      </w:r>
      <w:r w:rsidRPr="00B25E45">
        <w:rPr>
          <w:rFonts w:ascii="Times New Roman" w:hAnsi="Times New Roman"/>
          <w:sz w:val="24"/>
        </w:rPr>
        <w:t>práv</w:t>
      </w:r>
      <w:r w:rsidR="0055370B" w:rsidRPr="00B25E45">
        <w:rPr>
          <w:rFonts w:ascii="Times New Roman" w:hAnsi="Times New Roman"/>
          <w:sz w:val="24"/>
        </w:rPr>
        <w:t>y</w:t>
      </w:r>
      <w:r w:rsidRPr="00B25E45">
        <w:rPr>
          <w:rFonts w:ascii="Times New Roman" w:hAnsi="Times New Roman"/>
          <w:sz w:val="24"/>
        </w:rPr>
        <w:t xml:space="preserve"> o stavu právního státu pro Českou republiku vydávan</w:t>
      </w:r>
      <w:r w:rsidR="0055370B" w:rsidRPr="00B25E45">
        <w:rPr>
          <w:rFonts w:ascii="Times New Roman" w:hAnsi="Times New Roman"/>
          <w:sz w:val="24"/>
        </w:rPr>
        <w:t xml:space="preserve">é </w:t>
      </w:r>
      <w:r w:rsidRPr="00B25E45">
        <w:rPr>
          <w:rFonts w:ascii="Times New Roman" w:hAnsi="Times New Roman"/>
          <w:sz w:val="24"/>
        </w:rPr>
        <w:t>každoročně Evropskou komisí</w:t>
      </w:r>
      <w:r w:rsidR="0055370B" w:rsidRPr="00B25E45">
        <w:rPr>
          <w:rFonts w:ascii="Times New Roman" w:hAnsi="Times New Roman"/>
          <w:sz w:val="24"/>
        </w:rPr>
        <w:t>, kde se téma neuspokojivé délky řízení ve správním soudnictví v posledních letech objevuje pravidelně</w:t>
      </w:r>
      <w:r w:rsidRPr="00B25E45">
        <w:rPr>
          <w:rStyle w:val="Znakapoznpodarou"/>
          <w:rFonts w:ascii="Times New Roman" w:hAnsi="Times New Roman"/>
          <w:sz w:val="24"/>
        </w:rPr>
        <w:footnoteReference w:id="1"/>
      </w:r>
      <w:r w:rsidRPr="00B25E45">
        <w:rPr>
          <w:rFonts w:ascii="Times New Roman" w:hAnsi="Times New Roman"/>
          <w:sz w:val="24"/>
        </w:rPr>
        <w:t>).</w:t>
      </w:r>
    </w:p>
    <w:p w14:paraId="67F1A2BB" w14:textId="664B9E01" w:rsidR="00A5792E" w:rsidRPr="00B25E45" w:rsidRDefault="00A5792E" w:rsidP="000F0904">
      <w:pPr>
        <w:keepNext/>
        <w:numPr>
          <w:ilvl w:val="2"/>
          <w:numId w:val="0"/>
        </w:numPr>
        <w:spacing w:before="120"/>
        <w:jc w:val="both"/>
        <w:outlineLvl w:val="2"/>
        <w:rPr>
          <w:rFonts w:ascii="Times New Roman" w:hAnsi="Times New Roman"/>
          <w:b/>
          <w:sz w:val="24"/>
        </w:rPr>
      </w:pPr>
      <w:bookmarkStart w:id="10" w:name="_Toc25695630"/>
      <w:r w:rsidRPr="00B25E45">
        <w:rPr>
          <w:rFonts w:ascii="Times New Roman" w:hAnsi="Times New Roman"/>
          <w:b/>
          <w:sz w:val="24"/>
        </w:rPr>
        <w:t>b) Zásahy do dalších právních předpisů</w:t>
      </w:r>
    </w:p>
    <w:p w14:paraId="5370016C" w14:textId="20AFE2B0" w:rsidR="00E83B94" w:rsidRPr="00B25E45" w:rsidRDefault="00E83B94" w:rsidP="000F0904">
      <w:pPr>
        <w:spacing w:before="120"/>
        <w:jc w:val="both"/>
        <w:rPr>
          <w:rFonts w:ascii="Times New Roman" w:hAnsi="Times New Roman"/>
          <w:sz w:val="24"/>
        </w:rPr>
      </w:pPr>
      <w:r w:rsidRPr="00B25E45">
        <w:rPr>
          <w:rFonts w:ascii="Times New Roman" w:hAnsi="Times New Roman"/>
          <w:sz w:val="24"/>
        </w:rPr>
        <w:t xml:space="preserve">Zvlášť je vhodné oddělit popis a odůvodnění základních principů zásahů do dalších právních předpisů, které jsou součást předkládané novely. </w:t>
      </w:r>
    </w:p>
    <w:p w14:paraId="1698429F" w14:textId="4137E42D" w:rsidR="00E83B94" w:rsidRPr="00B25E45" w:rsidRDefault="00E83B94" w:rsidP="000F0904">
      <w:pPr>
        <w:spacing w:before="120"/>
        <w:jc w:val="both"/>
        <w:rPr>
          <w:rFonts w:ascii="Times New Roman" w:hAnsi="Times New Roman"/>
          <w:sz w:val="24"/>
        </w:rPr>
      </w:pPr>
      <w:r w:rsidRPr="00B25E45">
        <w:rPr>
          <w:rFonts w:ascii="Times New Roman" w:hAnsi="Times New Roman"/>
          <w:sz w:val="24"/>
        </w:rPr>
        <w:t>Předkládaný zákon kromě soudního řádu správní</w:t>
      </w:r>
      <w:r w:rsidR="0055370B" w:rsidRPr="00B25E45">
        <w:rPr>
          <w:rFonts w:ascii="Times New Roman" w:hAnsi="Times New Roman"/>
          <w:sz w:val="24"/>
        </w:rPr>
        <w:t>ho</w:t>
      </w:r>
      <w:r w:rsidRPr="00B25E45">
        <w:rPr>
          <w:rFonts w:ascii="Times New Roman" w:hAnsi="Times New Roman"/>
          <w:sz w:val="24"/>
        </w:rPr>
        <w:t xml:space="preserve"> novelizuje také:</w:t>
      </w:r>
    </w:p>
    <w:p w14:paraId="436ECE1C" w14:textId="7FD5239B" w:rsidR="00E83B94" w:rsidRPr="00B25E45" w:rsidRDefault="00E83B94" w:rsidP="00F6177A">
      <w:pPr>
        <w:pStyle w:val="Odstavecseseznamem"/>
        <w:numPr>
          <w:ilvl w:val="0"/>
          <w:numId w:val="34"/>
        </w:numPr>
        <w:spacing w:before="120" w:after="120" w:line="276" w:lineRule="auto"/>
        <w:jc w:val="both"/>
      </w:pPr>
      <w:r w:rsidRPr="00B25E45">
        <w:t>občanský soudní řád;</w:t>
      </w:r>
    </w:p>
    <w:p w14:paraId="5DD645A6" w14:textId="180995B4" w:rsidR="00E83B94" w:rsidRPr="00B25E45" w:rsidRDefault="00E83B94" w:rsidP="00F6177A">
      <w:pPr>
        <w:pStyle w:val="Odstavecseseznamem"/>
        <w:numPr>
          <w:ilvl w:val="0"/>
          <w:numId w:val="34"/>
        </w:numPr>
        <w:spacing w:before="120" w:after="120" w:line="276" w:lineRule="auto"/>
        <w:jc w:val="both"/>
      </w:pPr>
      <w:r w:rsidRPr="00B25E45">
        <w:t>zákon č. 121/2008 Sb., o vyšších soudních úřednících</w:t>
      </w:r>
      <w:r w:rsidR="00F8449B" w:rsidRPr="00B25E45">
        <w:t xml:space="preserve"> a vyšších úřednících státního zastupitelství</w:t>
      </w:r>
      <w:r w:rsidRPr="00B25E45">
        <w:t>, v platném znění (dále jen „zákon o vyšších soudních úřednících</w:t>
      </w:r>
      <w:r w:rsidR="00802B5B" w:rsidRPr="00B25E45">
        <w:t>“</w:t>
      </w:r>
      <w:r w:rsidRPr="00B25E45">
        <w:t xml:space="preserve"> nebo „z. v. s. </w:t>
      </w:r>
      <w:proofErr w:type="spellStart"/>
      <w:r w:rsidRPr="00B25E45">
        <w:t>ú.</w:t>
      </w:r>
      <w:proofErr w:type="spellEnd"/>
      <w:r w:rsidRPr="00B25E45">
        <w:t>“);</w:t>
      </w:r>
    </w:p>
    <w:p w14:paraId="5EE2BE9D" w14:textId="1B1F8CF4" w:rsidR="00E83B94" w:rsidRPr="00B25E45" w:rsidRDefault="00E83B94" w:rsidP="00F6177A">
      <w:pPr>
        <w:pStyle w:val="Odstavecseseznamem"/>
        <w:numPr>
          <w:ilvl w:val="0"/>
          <w:numId w:val="34"/>
        </w:numPr>
        <w:spacing w:before="120" w:after="120" w:line="276" w:lineRule="auto"/>
        <w:jc w:val="both"/>
      </w:pPr>
      <w:r w:rsidRPr="00B25E45">
        <w:t>zákon č. 500/2004 Sb., správní řád, v platném znění (dále jen „správní řád“ nebo „s. ř.“);</w:t>
      </w:r>
    </w:p>
    <w:p w14:paraId="246F389F" w14:textId="0872A5DD" w:rsidR="00E83B94" w:rsidRPr="00B25E45" w:rsidRDefault="00E83B94" w:rsidP="00F6177A">
      <w:pPr>
        <w:pStyle w:val="Odstavecseseznamem"/>
        <w:numPr>
          <w:ilvl w:val="0"/>
          <w:numId w:val="34"/>
        </w:numPr>
        <w:spacing w:before="120" w:after="120" w:line="276" w:lineRule="auto"/>
        <w:jc w:val="both"/>
      </w:pPr>
      <w:r w:rsidRPr="00B25E45">
        <w:t>zákon č. 325/1999 Sb., o azylu, v platném změní (dále jen „azylový zákon“ nebo „z. a.“)</w:t>
      </w:r>
    </w:p>
    <w:p w14:paraId="3151D113" w14:textId="181747CA" w:rsidR="00E83B94" w:rsidRPr="00B25E45" w:rsidRDefault="00E83B94" w:rsidP="00F6177A">
      <w:pPr>
        <w:pStyle w:val="Odstavecseseznamem"/>
        <w:numPr>
          <w:ilvl w:val="0"/>
          <w:numId w:val="34"/>
        </w:numPr>
        <w:spacing w:before="120" w:after="120" w:line="276" w:lineRule="auto"/>
        <w:jc w:val="both"/>
      </w:pPr>
      <w:r w:rsidRPr="00B25E45">
        <w:t>zákon č. 48/1997 Sb., o veřejném zdravotním pojištění</w:t>
      </w:r>
      <w:r w:rsidR="00F8449B" w:rsidRPr="00B25E45">
        <w:t>, v platném znění</w:t>
      </w:r>
      <w:r w:rsidRPr="00B25E45">
        <w:t xml:space="preserve"> (dále jen „zákon o veřejném zdravotním pojištění“ nebo „z. v. z. p.“).</w:t>
      </w:r>
    </w:p>
    <w:p w14:paraId="4B44E784" w14:textId="421A81EE" w:rsidR="00E83B94" w:rsidRPr="00B25E45" w:rsidRDefault="00E83B94" w:rsidP="000F0904">
      <w:pPr>
        <w:spacing w:before="120"/>
        <w:jc w:val="both"/>
      </w:pPr>
    </w:p>
    <w:p w14:paraId="3699997B" w14:textId="77777777" w:rsidR="00802B5B" w:rsidRPr="00B25E45" w:rsidRDefault="00802B5B" w:rsidP="000F0904">
      <w:pPr>
        <w:spacing w:before="120"/>
        <w:jc w:val="both"/>
        <w:rPr>
          <w:rFonts w:ascii="Times New Roman" w:hAnsi="Times New Roman"/>
          <w:sz w:val="24"/>
          <w:szCs w:val="24"/>
        </w:rPr>
      </w:pPr>
      <w:r w:rsidRPr="00B25E45">
        <w:rPr>
          <w:rFonts w:ascii="Times New Roman" w:hAnsi="Times New Roman"/>
          <w:sz w:val="24"/>
          <w:szCs w:val="24"/>
        </w:rPr>
        <w:t xml:space="preserve">Změny v těchto zákonech mají přímou vazbu na změny v soudním řádu správním, přičemž i zde platí, že se </w:t>
      </w:r>
      <w:r w:rsidRPr="00B25E45">
        <w:rPr>
          <w:rFonts w:ascii="Times New Roman" w:hAnsi="Times New Roman"/>
          <w:b/>
          <w:bCs/>
          <w:sz w:val="24"/>
          <w:szCs w:val="24"/>
        </w:rPr>
        <w:t xml:space="preserve">předkladatel snažil k zásahům do právního řádu přistupovat zdrženlivě a </w:t>
      </w:r>
      <w:r w:rsidRPr="00B25E45">
        <w:rPr>
          <w:rFonts w:ascii="Times New Roman" w:hAnsi="Times New Roman"/>
          <w:b/>
          <w:bCs/>
          <w:sz w:val="24"/>
          <w:szCs w:val="24"/>
        </w:rPr>
        <w:lastRenderedPageBreak/>
        <w:t>minimalisticky</w:t>
      </w:r>
      <w:r w:rsidRPr="00B25E45">
        <w:rPr>
          <w:rFonts w:ascii="Times New Roman" w:hAnsi="Times New Roman"/>
          <w:sz w:val="24"/>
          <w:szCs w:val="24"/>
        </w:rPr>
        <w:t>. Přesto bylo zjištěno, že těmto zákonům se nakonec drobné změny nevyhnou, má-li být dosaženo sledovaného cíle vymezeného v kapitole 2.1</w:t>
      </w:r>
    </w:p>
    <w:p w14:paraId="5D5F795D" w14:textId="46F0E282" w:rsidR="00E83B94" w:rsidRPr="00B25E45" w:rsidRDefault="00802B5B" w:rsidP="000F0904">
      <w:pPr>
        <w:spacing w:before="120"/>
        <w:jc w:val="both"/>
        <w:rPr>
          <w:rFonts w:ascii="Times New Roman" w:hAnsi="Times New Roman"/>
          <w:sz w:val="24"/>
          <w:szCs w:val="24"/>
        </w:rPr>
      </w:pPr>
      <w:r w:rsidRPr="00B25E45">
        <w:rPr>
          <w:rFonts w:ascii="Times New Roman" w:hAnsi="Times New Roman"/>
          <w:sz w:val="24"/>
          <w:szCs w:val="24"/>
        </w:rPr>
        <w:t>Změny v ostatních předpisech je možné rozdělit do tří okruhů:</w:t>
      </w:r>
    </w:p>
    <w:p w14:paraId="222E798F" w14:textId="116274BF" w:rsidR="00802B5B" w:rsidRPr="00B25E45" w:rsidRDefault="00802B5B" w:rsidP="000F0904">
      <w:pPr>
        <w:spacing w:before="120"/>
        <w:ind w:firstLine="708"/>
        <w:jc w:val="both"/>
        <w:rPr>
          <w:rFonts w:ascii="Times New Roman" w:hAnsi="Times New Roman"/>
          <w:i/>
          <w:iCs/>
          <w:sz w:val="24"/>
          <w:szCs w:val="24"/>
        </w:rPr>
      </w:pPr>
      <w:r w:rsidRPr="00B25E45">
        <w:rPr>
          <w:rFonts w:ascii="Times New Roman" w:hAnsi="Times New Roman"/>
          <w:i/>
          <w:iCs/>
          <w:sz w:val="24"/>
          <w:szCs w:val="24"/>
        </w:rPr>
        <w:t>I. Změny, které přímo navazují na změny v soudním řádu správním</w:t>
      </w:r>
    </w:p>
    <w:p w14:paraId="5BE9844F" w14:textId="2B05264F" w:rsidR="00802B5B" w:rsidRPr="00B25E45" w:rsidRDefault="00802B5B" w:rsidP="000F0904">
      <w:pPr>
        <w:spacing w:before="120"/>
        <w:jc w:val="both"/>
        <w:rPr>
          <w:rFonts w:ascii="Times New Roman" w:hAnsi="Times New Roman"/>
          <w:sz w:val="24"/>
          <w:szCs w:val="24"/>
        </w:rPr>
      </w:pPr>
      <w:r w:rsidRPr="00B25E45">
        <w:rPr>
          <w:rFonts w:ascii="Times New Roman" w:hAnsi="Times New Roman"/>
          <w:sz w:val="24"/>
          <w:szCs w:val="24"/>
        </w:rPr>
        <w:t xml:space="preserve">Tyto změny jsou přímým důsledkem úprav v soudním řádu správním, neboť bez jejich provedení by nebylo možné dosáhnout sledovaného cíle, s nímž byly úpravy v soudním řádu správní zapracovány. Zejména se to týká úprav odkladného účinku, kdy zásadnější revize tohoto nástroje v s. ř. s. musí být promítnuta do příslušných ustanovení zákona o azylu. </w:t>
      </w:r>
    </w:p>
    <w:p w14:paraId="2C1CBBC0" w14:textId="01408F09" w:rsidR="00802B5B" w:rsidRPr="00B25E45" w:rsidRDefault="00802B5B" w:rsidP="000F0904">
      <w:pPr>
        <w:spacing w:before="120"/>
        <w:ind w:firstLine="708"/>
        <w:jc w:val="both"/>
        <w:rPr>
          <w:rFonts w:ascii="Times New Roman" w:hAnsi="Times New Roman"/>
          <w:i/>
          <w:iCs/>
          <w:sz w:val="24"/>
          <w:szCs w:val="24"/>
        </w:rPr>
      </w:pPr>
      <w:r w:rsidRPr="00B25E45">
        <w:rPr>
          <w:rFonts w:ascii="Times New Roman" w:hAnsi="Times New Roman"/>
          <w:sz w:val="24"/>
          <w:szCs w:val="24"/>
        </w:rPr>
        <w:t xml:space="preserve"> </w:t>
      </w:r>
      <w:r w:rsidRPr="00B25E45">
        <w:rPr>
          <w:rFonts w:ascii="Times New Roman" w:hAnsi="Times New Roman"/>
          <w:i/>
          <w:iCs/>
          <w:sz w:val="24"/>
          <w:szCs w:val="24"/>
        </w:rPr>
        <w:t>II. Změny, které souvisejí se změnami soudního řádu toliko nepřímo</w:t>
      </w:r>
    </w:p>
    <w:p w14:paraId="24BBFDA6" w14:textId="705C838F" w:rsidR="00802B5B" w:rsidRPr="00B25E45" w:rsidRDefault="00802B5B" w:rsidP="000F0904">
      <w:pPr>
        <w:spacing w:before="120"/>
        <w:jc w:val="both"/>
        <w:rPr>
          <w:rFonts w:ascii="Times New Roman" w:hAnsi="Times New Roman"/>
          <w:sz w:val="24"/>
          <w:szCs w:val="24"/>
        </w:rPr>
      </w:pPr>
      <w:r w:rsidRPr="00B25E45">
        <w:rPr>
          <w:rFonts w:ascii="Times New Roman" w:hAnsi="Times New Roman"/>
          <w:sz w:val="24"/>
          <w:szCs w:val="24"/>
        </w:rPr>
        <w:t>Část změn v ostatních právních předpisech sice není nezbytná k tomu, aby mohla nová úprava soudního řádu správního v praxi řádně fungovat. Nicméně v případě jejich nepromítnutí by v právním řádu vznikl neodůvodněn</w:t>
      </w:r>
      <w:r w:rsidR="0055370B" w:rsidRPr="00B25E45">
        <w:rPr>
          <w:rFonts w:ascii="Times New Roman" w:hAnsi="Times New Roman"/>
          <w:sz w:val="24"/>
          <w:szCs w:val="24"/>
        </w:rPr>
        <w:t>ý</w:t>
      </w:r>
      <w:r w:rsidRPr="00B25E45">
        <w:rPr>
          <w:rFonts w:ascii="Times New Roman" w:hAnsi="Times New Roman"/>
          <w:sz w:val="24"/>
          <w:szCs w:val="24"/>
        </w:rPr>
        <w:t xml:space="preserve"> rozpor mezi úpravami soudního řízení v civilních věcech a ve správních věcech. Některé změny v občanském soudním řádu jsou tak reakcí na snahu o zajištění bezrozpornosti právního řádu.</w:t>
      </w:r>
    </w:p>
    <w:p w14:paraId="4891F158" w14:textId="6FEA0EA4" w:rsidR="00802B5B" w:rsidRPr="00B25E45" w:rsidRDefault="00802B5B" w:rsidP="000F0904">
      <w:pPr>
        <w:spacing w:before="120"/>
        <w:ind w:firstLine="708"/>
        <w:jc w:val="both"/>
        <w:rPr>
          <w:rFonts w:ascii="Times New Roman" w:hAnsi="Times New Roman"/>
          <w:i/>
          <w:iCs/>
          <w:sz w:val="24"/>
          <w:szCs w:val="24"/>
        </w:rPr>
      </w:pPr>
      <w:r w:rsidRPr="00B25E45">
        <w:rPr>
          <w:rFonts w:ascii="Times New Roman" w:hAnsi="Times New Roman"/>
          <w:i/>
          <w:iCs/>
          <w:sz w:val="24"/>
          <w:szCs w:val="24"/>
        </w:rPr>
        <w:t>III. Změny odstraňující nedostatky zjištěné v aplikační praxi správního soudnictví</w:t>
      </w:r>
    </w:p>
    <w:p w14:paraId="09258BEC" w14:textId="483ADC4C" w:rsidR="00802B5B" w:rsidRPr="00B25E45" w:rsidRDefault="00802B5B" w:rsidP="000F0904">
      <w:pPr>
        <w:spacing w:before="120"/>
        <w:jc w:val="both"/>
        <w:rPr>
          <w:rFonts w:ascii="Times New Roman" w:hAnsi="Times New Roman"/>
          <w:sz w:val="24"/>
          <w:szCs w:val="24"/>
        </w:rPr>
      </w:pPr>
      <w:r w:rsidRPr="00B25E45">
        <w:rPr>
          <w:rFonts w:ascii="Times New Roman" w:hAnsi="Times New Roman"/>
          <w:sz w:val="24"/>
          <w:szCs w:val="24"/>
        </w:rPr>
        <w:t>Největší část doprovodné novely zaujímají novelizační body reagující na nedostatky, které byly zjištěny během zkoumání aplikace soudního řádu správního</w:t>
      </w:r>
      <w:r w:rsidR="0055370B" w:rsidRPr="00B25E45">
        <w:rPr>
          <w:rFonts w:ascii="Times New Roman" w:hAnsi="Times New Roman"/>
          <w:sz w:val="24"/>
          <w:szCs w:val="24"/>
        </w:rPr>
        <w:t xml:space="preserve"> a</w:t>
      </w:r>
      <w:r w:rsidRPr="00B25E45">
        <w:rPr>
          <w:rFonts w:ascii="Times New Roman" w:hAnsi="Times New Roman"/>
          <w:sz w:val="24"/>
          <w:szCs w:val="24"/>
        </w:rPr>
        <w:t xml:space="preserve"> jejichž náprava není možná změnou soudního řádu správního. Odstranění těchto problémů lze dosáhnout právě jen úpravami v jiných právních předpisech. Jedná se například o otázku pravomocí vyšších soudních úředníků (a tím i asistentů soudců, kteří mají ze zákona tytéž kompetence), vymezení kompetencí civilních soudů rozhodujících podle části páté občanského soudního řádu nebo o mimořádnou úhradu z veřejného zdravotního pojištění podle zákona o veřejném zdravotním pojištění.</w:t>
      </w:r>
    </w:p>
    <w:p w14:paraId="79B7FE94" w14:textId="606D9B74" w:rsidR="000149E3" w:rsidRPr="00B25E45" w:rsidRDefault="000149E3" w:rsidP="000F0904">
      <w:pPr>
        <w:keepNext/>
        <w:numPr>
          <w:ilvl w:val="2"/>
          <w:numId w:val="0"/>
        </w:numPr>
        <w:spacing w:before="120"/>
        <w:jc w:val="both"/>
        <w:outlineLvl w:val="2"/>
        <w:rPr>
          <w:rFonts w:ascii="Times New Roman" w:hAnsi="Times New Roman"/>
          <w:b/>
          <w:sz w:val="24"/>
        </w:rPr>
      </w:pPr>
      <w:r w:rsidRPr="00B25E45">
        <w:rPr>
          <w:rFonts w:ascii="Times New Roman" w:hAnsi="Times New Roman"/>
          <w:b/>
          <w:sz w:val="24"/>
        </w:rPr>
        <w:t>2.</w:t>
      </w:r>
      <w:r w:rsidR="006C55FF" w:rsidRPr="00B25E45">
        <w:rPr>
          <w:rFonts w:ascii="Times New Roman" w:hAnsi="Times New Roman"/>
          <w:b/>
          <w:sz w:val="24"/>
        </w:rPr>
        <w:t>3</w:t>
      </w:r>
      <w:r w:rsidRPr="00B25E45">
        <w:rPr>
          <w:rFonts w:ascii="Times New Roman" w:hAnsi="Times New Roman"/>
          <w:b/>
          <w:sz w:val="24"/>
        </w:rPr>
        <w:t xml:space="preserve"> Dopady navrhovaného řešení ve vztahu k zákazu diskriminace a ve vztahu k rovnosti mužů a žen.</w:t>
      </w:r>
      <w:bookmarkEnd w:id="10"/>
    </w:p>
    <w:p w14:paraId="19B2221F" w14:textId="5CD724A1" w:rsidR="000149E3" w:rsidRPr="00B25E45" w:rsidRDefault="00802B5B" w:rsidP="000F0904">
      <w:pPr>
        <w:spacing w:before="120"/>
        <w:jc w:val="both"/>
        <w:rPr>
          <w:rFonts w:ascii="Times New Roman" w:hAnsi="Times New Roman"/>
          <w:sz w:val="24"/>
          <w:szCs w:val="24"/>
        </w:rPr>
      </w:pPr>
      <w:r w:rsidRPr="00B25E45">
        <w:rPr>
          <w:rFonts w:ascii="Times New Roman" w:hAnsi="Times New Roman"/>
          <w:sz w:val="24"/>
          <w:szCs w:val="24"/>
        </w:rPr>
        <w:t xml:space="preserve">Předkládaná novela </w:t>
      </w:r>
      <w:proofErr w:type="gramStart"/>
      <w:r w:rsidRPr="00B25E45">
        <w:rPr>
          <w:rFonts w:ascii="Times New Roman" w:hAnsi="Times New Roman"/>
          <w:sz w:val="24"/>
          <w:szCs w:val="24"/>
        </w:rPr>
        <w:t>řeší</w:t>
      </w:r>
      <w:proofErr w:type="gramEnd"/>
      <w:r w:rsidRPr="00B25E45">
        <w:rPr>
          <w:rFonts w:ascii="Times New Roman" w:hAnsi="Times New Roman"/>
          <w:sz w:val="24"/>
          <w:szCs w:val="24"/>
        </w:rPr>
        <w:t xml:space="preserve"> otázky procesního charakteru, které jsou ze své podstaty neutrální. Soudní řád správní co do zacházení a přístupu neodlišuje osoby podle toho, jaké mají pohlaví, barvu pleti, národnost, náboženství apod. Nicméně nepřímo bude mít předkládaný zákon na postavení obětí diskriminace pozitivní dopady, a to ze dvou důvodů. </w:t>
      </w:r>
    </w:p>
    <w:p w14:paraId="44A5203C" w14:textId="6843EDAF" w:rsidR="00802B5B" w:rsidRPr="00B25E45" w:rsidRDefault="00802B5B" w:rsidP="000F0904">
      <w:pPr>
        <w:spacing w:before="120"/>
        <w:jc w:val="both"/>
        <w:rPr>
          <w:rFonts w:ascii="Times New Roman" w:hAnsi="Times New Roman"/>
          <w:sz w:val="24"/>
          <w:szCs w:val="24"/>
        </w:rPr>
      </w:pPr>
      <w:r w:rsidRPr="00B25E45">
        <w:rPr>
          <w:rFonts w:ascii="Times New Roman" w:hAnsi="Times New Roman"/>
          <w:sz w:val="24"/>
          <w:szCs w:val="24"/>
        </w:rPr>
        <w:t xml:space="preserve">Zaprvé, i v rámci výkonu veřejné moci může ze strany státu nebo územních samosprávných celků docházet k jednáním, která vykazují prvky diskriminace. </w:t>
      </w:r>
      <w:r w:rsidR="0055370B" w:rsidRPr="00B25E45">
        <w:rPr>
          <w:rFonts w:ascii="Times New Roman" w:hAnsi="Times New Roman"/>
          <w:sz w:val="24"/>
          <w:szCs w:val="24"/>
        </w:rPr>
        <w:t>O</w:t>
      </w:r>
      <w:r w:rsidRPr="00B25E45">
        <w:rPr>
          <w:rFonts w:ascii="Times New Roman" w:hAnsi="Times New Roman"/>
          <w:sz w:val="24"/>
          <w:szCs w:val="24"/>
        </w:rPr>
        <w:t>běti</w:t>
      </w:r>
      <w:r w:rsidR="0055370B" w:rsidRPr="00B25E45">
        <w:rPr>
          <w:rFonts w:ascii="Times New Roman" w:hAnsi="Times New Roman"/>
          <w:sz w:val="24"/>
          <w:szCs w:val="24"/>
        </w:rPr>
        <w:t xml:space="preserve"> těchto jednání</w:t>
      </w:r>
      <w:r w:rsidRPr="00B25E45">
        <w:rPr>
          <w:rFonts w:ascii="Times New Roman" w:hAnsi="Times New Roman"/>
          <w:sz w:val="24"/>
          <w:szCs w:val="24"/>
        </w:rPr>
        <w:t xml:space="preserve"> se následně mohou bránit tím, že podají žalobu nebo návrh podle soudního řádu správního. Je-li cílem předkládaného zákona celkově zefektivnit, zmodernizovat a zrychlit řízení před správními soudy, budou mít oběti v řízeních lepší postavení a </w:t>
      </w:r>
      <w:r w:rsidR="00AA63F5" w:rsidRPr="00B25E45">
        <w:rPr>
          <w:rFonts w:ascii="Times New Roman" w:hAnsi="Times New Roman"/>
          <w:sz w:val="24"/>
          <w:szCs w:val="24"/>
        </w:rPr>
        <w:t>rychleji se domohou soudní ochrany.</w:t>
      </w:r>
    </w:p>
    <w:p w14:paraId="1419FBA2" w14:textId="5D933083" w:rsidR="00AA63F5" w:rsidRPr="00B25E45" w:rsidRDefault="00AA63F5" w:rsidP="000F0904">
      <w:pPr>
        <w:spacing w:before="120"/>
        <w:jc w:val="both"/>
        <w:rPr>
          <w:rFonts w:ascii="Times New Roman" w:hAnsi="Times New Roman"/>
          <w:sz w:val="24"/>
          <w:szCs w:val="24"/>
        </w:rPr>
      </w:pPr>
      <w:r w:rsidRPr="00B25E45">
        <w:rPr>
          <w:rFonts w:ascii="Times New Roman" w:hAnsi="Times New Roman"/>
          <w:sz w:val="24"/>
          <w:szCs w:val="24"/>
        </w:rPr>
        <w:t xml:space="preserve">Zadruhé, navrhovaný předpis rozšiřuje postavení veřejného ochránce práv, jehož působnost podle zákona zahrnuje i oblast práva na rovné zacházení a ochrany před diskriminací. Bude-li mít veřejný ochránce práv širší prostor pro podávání žalob ve veřejném zájmu, nově také v případě nečinnosti, zásahů nebo opatření obecné povahy, povede to v konečném důsledku </w:t>
      </w:r>
      <w:r w:rsidRPr="00B25E45">
        <w:rPr>
          <w:rFonts w:ascii="Times New Roman" w:hAnsi="Times New Roman"/>
          <w:sz w:val="24"/>
          <w:szCs w:val="24"/>
        </w:rPr>
        <w:lastRenderedPageBreak/>
        <w:t>k lepší vymahatelnosti zásady rovného zacházení a zákazu diskriminace ve veřejném právu, zejména pokud se správní orgány dopouštějí v určité veřejnoprávní oblasti systematické diskriminace určité kategorie osob (žáci, studenti, státní úředníci apod.).</w:t>
      </w:r>
    </w:p>
    <w:p w14:paraId="72B8E7E8" w14:textId="77777777" w:rsidR="00E41176" w:rsidRPr="00B25E45" w:rsidRDefault="00E41176" w:rsidP="000F0904">
      <w:pPr>
        <w:spacing w:before="120"/>
        <w:jc w:val="both"/>
        <w:rPr>
          <w:rFonts w:ascii="Times New Roman" w:hAnsi="Times New Roman"/>
          <w:sz w:val="24"/>
          <w:szCs w:val="24"/>
        </w:rPr>
      </w:pPr>
    </w:p>
    <w:p w14:paraId="61D3C40B" w14:textId="77777777" w:rsidR="000149E3" w:rsidRPr="00B25E45" w:rsidRDefault="000149E3" w:rsidP="000F0904">
      <w:pPr>
        <w:keepNext/>
        <w:numPr>
          <w:ilvl w:val="0"/>
          <w:numId w:val="5"/>
        </w:numPr>
        <w:spacing w:before="120"/>
        <w:ind w:left="0" w:firstLine="0"/>
        <w:jc w:val="both"/>
        <w:outlineLvl w:val="1"/>
        <w:rPr>
          <w:rFonts w:ascii="Times New Roman" w:hAnsi="Times New Roman"/>
          <w:b/>
          <w:sz w:val="28"/>
          <w:u w:val="single"/>
        </w:rPr>
      </w:pPr>
      <w:bookmarkStart w:id="11" w:name="_Toc25695631"/>
      <w:r w:rsidRPr="00B25E45">
        <w:rPr>
          <w:rFonts w:ascii="Times New Roman" w:hAnsi="Times New Roman"/>
          <w:b/>
          <w:sz w:val="28"/>
          <w:u w:val="single"/>
        </w:rPr>
        <w:t>Vysvětlení nezbytnosti navrhované právní úpravy</w:t>
      </w:r>
      <w:bookmarkEnd w:id="11"/>
    </w:p>
    <w:p w14:paraId="234C372B" w14:textId="1102490A" w:rsidR="00E24C6B" w:rsidRPr="00B25E45" w:rsidRDefault="00E24C6B" w:rsidP="000F0904">
      <w:pPr>
        <w:spacing w:before="120"/>
        <w:jc w:val="both"/>
        <w:rPr>
          <w:rFonts w:ascii="Times New Roman" w:hAnsi="Times New Roman"/>
          <w:sz w:val="24"/>
        </w:rPr>
      </w:pPr>
      <w:bookmarkStart w:id="12" w:name="_Toc25695632"/>
      <w:r w:rsidRPr="00B25E45">
        <w:rPr>
          <w:rFonts w:ascii="Times New Roman" w:hAnsi="Times New Roman"/>
          <w:sz w:val="24"/>
        </w:rPr>
        <w:t xml:space="preserve">Ačkoliv byl soudní řád správní za dobu své účinnosti mnohokrát novelizován, žádná z novel nepřinesla zásadnější koncepční změny. Správní soudnictví se přitom od roku 2003 významně proměnilo, a to především ve smyslu dlouhodobě narůstajícího nápadu a větší složitosti vyřizovaných věcí. V této souvislosti pochopitelně nelze opomenout ani bohatou rozhodovací praxi Nejvyššího správního soudu, jež v mezidobí posunula význam řady ustanovení soudního řádu správního, případně doplnila mezery v zákoně, na které se v roce 2002 zapomnělo. Soudní řád správní v platném znění tak již v mnoha ohledech neodpovídá realitě a potřebám současného českého správního soudnictví. </w:t>
      </w:r>
    </w:p>
    <w:p w14:paraId="2D1D8880" w14:textId="0F5FDB35" w:rsidR="0055370B" w:rsidRPr="00B25E45" w:rsidRDefault="00E24C6B" w:rsidP="000F0904">
      <w:pPr>
        <w:spacing w:before="120"/>
        <w:jc w:val="both"/>
        <w:rPr>
          <w:rFonts w:ascii="Times New Roman" w:hAnsi="Times New Roman"/>
          <w:sz w:val="24"/>
        </w:rPr>
      </w:pPr>
      <w:r w:rsidRPr="00B25E45">
        <w:rPr>
          <w:rFonts w:ascii="Times New Roman" w:hAnsi="Times New Roman"/>
          <w:sz w:val="24"/>
        </w:rPr>
        <w:t>Popsaný stav vede k mnoha negativním jevům. Jedná se především o přetíženost některých krajských soudů a Nejvyššího správního soudu</w:t>
      </w:r>
      <w:r w:rsidR="0055370B" w:rsidRPr="00B25E45">
        <w:rPr>
          <w:rFonts w:ascii="Times New Roman" w:hAnsi="Times New Roman"/>
          <w:sz w:val="24"/>
        </w:rPr>
        <w:t xml:space="preserve">, </w:t>
      </w:r>
      <w:r w:rsidRPr="00B25E45">
        <w:rPr>
          <w:rFonts w:ascii="Times New Roman" w:hAnsi="Times New Roman"/>
          <w:sz w:val="24"/>
        </w:rPr>
        <w:t xml:space="preserve">nezanedbatelný počet nevyřízených věcí (daný dílem nedodělky z minulosti, dílem </w:t>
      </w:r>
      <w:r w:rsidR="0055370B" w:rsidRPr="00B25E45">
        <w:rPr>
          <w:rFonts w:ascii="Times New Roman" w:hAnsi="Times New Roman"/>
          <w:sz w:val="24"/>
        </w:rPr>
        <w:t>setrvale vysokým</w:t>
      </w:r>
      <w:r w:rsidRPr="00B25E45">
        <w:rPr>
          <w:rFonts w:ascii="Times New Roman" w:hAnsi="Times New Roman"/>
          <w:sz w:val="24"/>
        </w:rPr>
        <w:t xml:space="preserve"> nápadem) a současně také</w:t>
      </w:r>
      <w:r w:rsidR="00AA63F5" w:rsidRPr="00B25E45">
        <w:rPr>
          <w:rFonts w:ascii="Times New Roman" w:hAnsi="Times New Roman"/>
          <w:sz w:val="24"/>
        </w:rPr>
        <w:t xml:space="preserve"> nechvályhodné </w:t>
      </w:r>
      <w:r w:rsidR="0055370B" w:rsidRPr="00B25E45">
        <w:rPr>
          <w:rFonts w:ascii="Times New Roman" w:hAnsi="Times New Roman"/>
          <w:sz w:val="24"/>
        </w:rPr>
        <w:t>hodnocení vyřizování věcí, pokud jde o d</w:t>
      </w:r>
      <w:r w:rsidRPr="00B25E45">
        <w:rPr>
          <w:rFonts w:ascii="Times New Roman" w:hAnsi="Times New Roman"/>
          <w:sz w:val="24"/>
        </w:rPr>
        <w:t>él</w:t>
      </w:r>
      <w:r w:rsidR="00AA63F5" w:rsidRPr="00B25E45">
        <w:rPr>
          <w:rFonts w:ascii="Times New Roman" w:hAnsi="Times New Roman"/>
          <w:sz w:val="24"/>
        </w:rPr>
        <w:t>k</w:t>
      </w:r>
      <w:r w:rsidR="0055370B" w:rsidRPr="00B25E45">
        <w:rPr>
          <w:rFonts w:ascii="Times New Roman" w:hAnsi="Times New Roman"/>
          <w:sz w:val="24"/>
        </w:rPr>
        <w:t>u</w:t>
      </w:r>
      <w:r w:rsidRPr="00B25E45">
        <w:rPr>
          <w:rFonts w:ascii="Times New Roman" w:hAnsi="Times New Roman"/>
          <w:sz w:val="24"/>
        </w:rPr>
        <w:t xml:space="preserve"> řízení. </w:t>
      </w:r>
      <w:r w:rsidR="0055370B" w:rsidRPr="00B25E45">
        <w:rPr>
          <w:rFonts w:ascii="Times New Roman" w:hAnsi="Times New Roman"/>
          <w:sz w:val="24"/>
        </w:rPr>
        <w:t xml:space="preserve">O těchto jevech </w:t>
      </w:r>
      <w:proofErr w:type="gramStart"/>
      <w:r w:rsidR="0055370B" w:rsidRPr="00B25E45">
        <w:rPr>
          <w:rFonts w:ascii="Times New Roman" w:hAnsi="Times New Roman"/>
          <w:sz w:val="24"/>
        </w:rPr>
        <w:t>svědčí</w:t>
      </w:r>
      <w:proofErr w:type="gramEnd"/>
      <w:r w:rsidR="0055370B" w:rsidRPr="00B25E45">
        <w:rPr>
          <w:rFonts w:ascii="Times New Roman" w:hAnsi="Times New Roman"/>
          <w:sz w:val="24"/>
        </w:rPr>
        <w:t xml:space="preserve"> následující statistická data.</w:t>
      </w:r>
      <w:r w:rsidR="0055370B" w:rsidRPr="00B25E45">
        <w:rPr>
          <w:rStyle w:val="Znakapoznpodarou"/>
          <w:rFonts w:ascii="Times New Roman" w:hAnsi="Times New Roman"/>
          <w:sz w:val="24"/>
        </w:rPr>
        <w:footnoteReference w:id="2"/>
      </w:r>
    </w:p>
    <w:p w14:paraId="08479EAE" w14:textId="4E1258A4" w:rsidR="0055370B" w:rsidRPr="00B25E45" w:rsidRDefault="0055370B" w:rsidP="0055370B">
      <w:pPr>
        <w:spacing w:before="120"/>
        <w:rPr>
          <w:rFonts w:ascii="Times New Roman" w:hAnsi="Times New Roman"/>
          <w:b/>
          <w:bCs/>
          <w:sz w:val="24"/>
        </w:rPr>
      </w:pPr>
      <w:r w:rsidRPr="00B25E45">
        <w:rPr>
          <w:rFonts w:ascii="Times New Roman" w:hAnsi="Times New Roman"/>
          <w:b/>
          <w:bCs/>
          <w:i/>
          <w:iCs/>
          <w:sz w:val="24"/>
        </w:rPr>
        <w:t>Délka řízení u krajských soudů v agendě správního soudnictví</w:t>
      </w:r>
      <w:r w:rsidRPr="00B25E45">
        <w:rPr>
          <w:noProof/>
        </w:rPr>
        <w:drawing>
          <wp:inline distT="0" distB="0" distL="0" distR="0" wp14:anchorId="7DC113BE" wp14:editId="291DAE5B">
            <wp:extent cx="5000625" cy="3639576"/>
            <wp:effectExtent l="0" t="0" r="0" b="0"/>
            <wp:docPr id="92" name="Obrázek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0321" cy="3646633"/>
                    </a:xfrm>
                    <a:prstGeom prst="rect">
                      <a:avLst/>
                    </a:prstGeom>
                    <a:noFill/>
                    <a:ln>
                      <a:noFill/>
                    </a:ln>
                  </pic:spPr>
                </pic:pic>
              </a:graphicData>
            </a:graphic>
          </wp:inline>
        </w:drawing>
      </w:r>
    </w:p>
    <w:p w14:paraId="38E86773" w14:textId="45C4BA8B" w:rsidR="0055370B" w:rsidRPr="00B25E45" w:rsidRDefault="0055370B" w:rsidP="000F0904">
      <w:pPr>
        <w:spacing w:before="120"/>
        <w:jc w:val="both"/>
        <w:rPr>
          <w:rFonts w:ascii="Times New Roman" w:hAnsi="Times New Roman"/>
          <w:sz w:val="24"/>
        </w:rPr>
      </w:pPr>
      <w:r w:rsidRPr="00B25E45">
        <w:rPr>
          <w:rFonts w:ascii="Times New Roman" w:hAnsi="Times New Roman"/>
          <w:sz w:val="24"/>
        </w:rPr>
        <w:lastRenderedPageBreak/>
        <w:t>Přitom však mezi soudy jsou velké rozdíly, vůbec nejhorší je situace na Městském soudě v Praze, jak ukazuje následující graf.</w:t>
      </w:r>
    </w:p>
    <w:p w14:paraId="27354415" w14:textId="58BC6242" w:rsidR="0055370B" w:rsidRPr="00B25E45" w:rsidRDefault="0055370B" w:rsidP="000F0904">
      <w:pPr>
        <w:spacing w:before="120"/>
        <w:jc w:val="both"/>
        <w:rPr>
          <w:rFonts w:ascii="Times New Roman" w:hAnsi="Times New Roman"/>
          <w:b/>
          <w:bCs/>
          <w:i/>
          <w:iCs/>
          <w:sz w:val="24"/>
        </w:rPr>
      </w:pPr>
      <w:r w:rsidRPr="00B25E45">
        <w:rPr>
          <w:rFonts w:ascii="Times New Roman" w:hAnsi="Times New Roman"/>
          <w:b/>
          <w:bCs/>
          <w:i/>
          <w:iCs/>
          <w:sz w:val="24"/>
        </w:rPr>
        <w:t>Délka řízení podle správních úseků krajských soudů</w:t>
      </w:r>
    </w:p>
    <w:tbl>
      <w:tblPr>
        <w:tblW w:w="8047" w:type="dxa"/>
        <w:tblCellMar>
          <w:left w:w="70" w:type="dxa"/>
          <w:right w:w="70" w:type="dxa"/>
        </w:tblCellMar>
        <w:tblLook w:val="04A0" w:firstRow="1" w:lastRow="0" w:firstColumn="1" w:lastColumn="0" w:noHBand="0" w:noVBand="1"/>
      </w:tblPr>
      <w:tblGrid>
        <w:gridCol w:w="2406"/>
        <w:gridCol w:w="1010"/>
        <w:gridCol w:w="958"/>
        <w:gridCol w:w="955"/>
        <w:gridCol w:w="963"/>
        <w:gridCol w:w="805"/>
        <w:gridCol w:w="950"/>
      </w:tblGrid>
      <w:tr w:rsidR="0055370B" w:rsidRPr="00B25E45" w14:paraId="2B15C8F0" w14:textId="77777777" w:rsidTr="0055370B">
        <w:trPr>
          <w:trHeight w:val="289"/>
        </w:trPr>
        <w:tc>
          <w:tcPr>
            <w:tcW w:w="2406" w:type="dxa"/>
            <w:vMerge w:val="restart"/>
            <w:tcBorders>
              <w:top w:val="double" w:sz="6" w:space="0" w:color="auto"/>
              <w:left w:val="nil"/>
              <w:bottom w:val="double" w:sz="6" w:space="0" w:color="000000"/>
              <w:right w:val="nil"/>
            </w:tcBorders>
            <w:shd w:val="clear" w:color="auto" w:fill="auto"/>
            <w:noWrap/>
            <w:vAlign w:val="center"/>
            <w:hideMark/>
          </w:tcPr>
          <w:p w14:paraId="64FF627F" w14:textId="77777777" w:rsidR="0055370B" w:rsidRPr="00B25E45" w:rsidRDefault="0055370B" w:rsidP="0055370B">
            <w:pPr>
              <w:spacing w:after="0" w:line="240" w:lineRule="auto"/>
              <w:jc w:val="center"/>
              <w:rPr>
                <w:rFonts w:ascii="Garamond" w:eastAsia="Times New Roman" w:hAnsi="Garamond"/>
                <w:b/>
                <w:bCs/>
                <w:sz w:val="24"/>
                <w:szCs w:val="24"/>
                <w:lang w:eastAsia="cs-CZ"/>
              </w:rPr>
            </w:pPr>
            <w:r w:rsidRPr="00B25E45">
              <w:rPr>
                <w:rFonts w:ascii="Garamond" w:eastAsia="Times New Roman" w:hAnsi="Garamond"/>
                <w:b/>
                <w:bCs/>
                <w:sz w:val="24"/>
                <w:szCs w:val="24"/>
                <w:lang w:eastAsia="cs-CZ"/>
              </w:rPr>
              <w:t>Soud</w:t>
            </w:r>
          </w:p>
        </w:tc>
        <w:tc>
          <w:tcPr>
            <w:tcW w:w="5641" w:type="dxa"/>
            <w:gridSpan w:val="6"/>
            <w:tcBorders>
              <w:top w:val="double" w:sz="6" w:space="0" w:color="auto"/>
              <w:left w:val="nil"/>
              <w:bottom w:val="nil"/>
              <w:right w:val="nil"/>
            </w:tcBorders>
            <w:shd w:val="clear" w:color="auto" w:fill="auto"/>
            <w:noWrap/>
            <w:vAlign w:val="center"/>
            <w:hideMark/>
          </w:tcPr>
          <w:p w14:paraId="347296F3" w14:textId="77777777" w:rsidR="0055370B" w:rsidRPr="00B25E45" w:rsidRDefault="0055370B" w:rsidP="0055370B">
            <w:pPr>
              <w:spacing w:after="0" w:line="240" w:lineRule="auto"/>
              <w:jc w:val="center"/>
              <w:rPr>
                <w:rFonts w:ascii="Garamond" w:eastAsia="Times New Roman" w:hAnsi="Garamond"/>
                <w:b/>
                <w:bCs/>
                <w:sz w:val="24"/>
                <w:szCs w:val="24"/>
                <w:lang w:eastAsia="cs-CZ"/>
              </w:rPr>
            </w:pPr>
            <w:r w:rsidRPr="00B25E45">
              <w:rPr>
                <w:rFonts w:ascii="Garamond" w:eastAsia="Times New Roman" w:hAnsi="Garamond"/>
                <w:b/>
                <w:bCs/>
                <w:sz w:val="24"/>
                <w:szCs w:val="24"/>
                <w:lang w:eastAsia="cs-CZ"/>
              </w:rPr>
              <w:t>Délka řízení</w:t>
            </w:r>
          </w:p>
        </w:tc>
      </w:tr>
      <w:tr w:rsidR="0055370B" w:rsidRPr="00B25E45" w14:paraId="05CC7B45" w14:textId="77777777" w:rsidTr="0055370B">
        <w:trPr>
          <w:trHeight w:val="289"/>
        </w:trPr>
        <w:tc>
          <w:tcPr>
            <w:tcW w:w="2406" w:type="dxa"/>
            <w:vMerge/>
            <w:tcBorders>
              <w:top w:val="double" w:sz="6" w:space="0" w:color="auto"/>
              <w:left w:val="nil"/>
              <w:bottom w:val="double" w:sz="6" w:space="0" w:color="000000"/>
              <w:right w:val="nil"/>
            </w:tcBorders>
            <w:vAlign w:val="center"/>
            <w:hideMark/>
          </w:tcPr>
          <w:p w14:paraId="7DCA5ECC" w14:textId="77777777" w:rsidR="0055370B" w:rsidRPr="00B25E45" w:rsidRDefault="0055370B" w:rsidP="0055370B">
            <w:pPr>
              <w:spacing w:after="0" w:line="240" w:lineRule="auto"/>
              <w:rPr>
                <w:rFonts w:ascii="Garamond" w:eastAsia="Times New Roman" w:hAnsi="Garamond"/>
                <w:b/>
                <w:bCs/>
                <w:sz w:val="24"/>
                <w:szCs w:val="24"/>
                <w:lang w:eastAsia="cs-CZ"/>
              </w:rPr>
            </w:pPr>
          </w:p>
        </w:tc>
        <w:tc>
          <w:tcPr>
            <w:tcW w:w="1968" w:type="dxa"/>
            <w:gridSpan w:val="2"/>
            <w:tcBorders>
              <w:top w:val="nil"/>
              <w:left w:val="nil"/>
              <w:bottom w:val="double" w:sz="6" w:space="0" w:color="auto"/>
              <w:right w:val="nil"/>
            </w:tcBorders>
            <w:shd w:val="clear" w:color="auto" w:fill="auto"/>
            <w:noWrap/>
            <w:vAlign w:val="center"/>
            <w:hideMark/>
          </w:tcPr>
          <w:p w14:paraId="57A3C07A" w14:textId="77777777" w:rsidR="0055370B" w:rsidRPr="00B25E45" w:rsidRDefault="0055370B" w:rsidP="0055370B">
            <w:pPr>
              <w:spacing w:after="0" w:line="240" w:lineRule="auto"/>
              <w:jc w:val="center"/>
              <w:rPr>
                <w:rFonts w:ascii="Garamond" w:eastAsia="Times New Roman" w:hAnsi="Garamond"/>
                <w:b/>
                <w:bCs/>
                <w:sz w:val="24"/>
                <w:szCs w:val="24"/>
                <w:lang w:eastAsia="cs-CZ"/>
              </w:rPr>
            </w:pPr>
            <w:r w:rsidRPr="00B25E45">
              <w:rPr>
                <w:rFonts w:ascii="Garamond" w:eastAsia="Times New Roman" w:hAnsi="Garamond"/>
                <w:b/>
                <w:bCs/>
                <w:sz w:val="24"/>
                <w:szCs w:val="24"/>
                <w:lang w:eastAsia="cs-CZ"/>
              </w:rPr>
              <w:t>Průměr</w:t>
            </w:r>
          </w:p>
        </w:tc>
        <w:tc>
          <w:tcPr>
            <w:tcW w:w="1918" w:type="dxa"/>
            <w:gridSpan w:val="2"/>
            <w:tcBorders>
              <w:top w:val="nil"/>
              <w:left w:val="single" w:sz="4" w:space="0" w:color="auto"/>
              <w:bottom w:val="double" w:sz="6" w:space="0" w:color="auto"/>
              <w:right w:val="single" w:sz="4" w:space="0" w:color="000000"/>
            </w:tcBorders>
            <w:shd w:val="clear" w:color="auto" w:fill="auto"/>
            <w:noWrap/>
            <w:vAlign w:val="center"/>
            <w:hideMark/>
          </w:tcPr>
          <w:p w14:paraId="401BF8A3" w14:textId="77777777" w:rsidR="0055370B" w:rsidRPr="00B25E45" w:rsidRDefault="0055370B" w:rsidP="0055370B">
            <w:pPr>
              <w:spacing w:after="0" w:line="240" w:lineRule="auto"/>
              <w:jc w:val="center"/>
              <w:rPr>
                <w:rFonts w:ascii="Garamond" w:eastAsia="Times New Roman" w:hAnsi="Garamond"/>
                <w:b/>
                <w:bCs/>
                <w:sz w:val="24"/>
                <w:szCs w:val="24"/>
                <w:lang w:eastAsia="cs-CZ"/>
              </w:rPr>
            </w:pPr>
            <w:r w:rsidRPr="00B25E45">
              <w:rPr>
                <w:rFonts w:ascii="Garamond" w:eastAsia="Times New Roman" w:hAnsi="Garamond"/>
                <w:b/>
                <w:bCs/>
                <w:sz w:val="24"/>
                <w:szCs w:val="24"/>
                <w:lang w:eastAsia="cs-CZ"/>
              </w:rPr>
              <w:t>Medián</w:t>
            </w:r>
          </w:p>
        </w:tc>
        <w:tc>
          <w:tcPr>
            <w:tcW w:w="1753" w:type="dxa"/>
            <w:gridSpan w:val="2"/>
            <w:tcBorders>
              <w:top w:val="nil"/>
              <w:left w:val="nil"/>
              <w:bottom w:val="double" w:sz="6" w:space="0" w:color="auto"/>
              <w:right w:val="nil"/>
            </w:tcBorders>
            <w:shd w:val="clear" w:color="auto" w:fill="auto"/>
            <w:noWrap/>
            <w:vAlign w:val="center"/>
            <w:hideMark/>
          </w:tcPr>
          <w:p w14:paraId="0C1E69C6" w14:textId="77777777" w:rsidR="0055370B" w:rsidRPr="00B25E45" w:rsidRDefault="0055370B" w:rsidP="0055370B">
            <w:pPr>
              <w:spacing w:after="0" w:line="240" w:lineRule="auto"/>
              <w:jc w:val="center"/>
              <w:rPr>
                <w:rFonts w:ascii="Garamond" w:eastAsia="Times New Roman" w:hAnsi="Garamond"/>
                <w:b/>
                <w:bCs/>
                <w:sz w:val="24"/>
                <w:szCs w:val="24"/>
                <w:lang w:eastAsia="cs-CZ"/>
              </w:rPr>
            </w:pPr>
            <w:r w:rsidRPr="00B25E45">
              <w:rPr>
                <w:rFonts w:ascii="Garamond" w:eastAsia="Times New Roman" w:hAnsi="Garamond"/>
                <w:b/>
                <w:bCs/>
                <w:sz w:val="24"/>
                <w:szCs w:val="24"/>
                <w:lang w:eastAsia="cs-CZ"/>
              </w:rPr>
              <w:t>Percentil 90</w:t>
            </w:r>
          </w:p>
        </w:tc>
      </w:tr>
      <w:tr w:rsidR="0055370B" w:rsidRPr="00B25E45" w14:paraId="2744467F" w14:textId="77777777" w:rsidTr="0055370B">
        <w:trPr>
          <w:trHeight w:val="289"/>
        </w:trPr>
        <w:tc>
          <w:tcPr>
            <w:tcW w:w="2406" w:type="dxa"/>
            <w:tcBorders>
              <w:top w:val="single" w:sz="4" w:space="0" w:color="auto"/>
              <w:left w:val="nil"/>
              <w:bottom w:val="single" w:sz="4" w:space="0" w:color="auto"/>
              <w:right w:val="nil"/>
            </w:tcBorders>
            <w:shd w:val="clear" w:color="auto" w:fill="auto"/>
            <w:noWrap/>
            <w:vAlign w:val="bottom"/>
            <w:hideMark/>
          </w:tcPr>
          <w:p w14:paraId="10A1AB3C" w14:textId="77777777" w:rsidR="0055370B" w:rsidRPr="00B25E45" w:rsidRDefault="0055370B" w:rsidP="0055370B">
            <w:pPr>
              <w:spacing w:after="0" w:line="240" w:lineRule="auto"/>
              <w:rPr>
                <w:rFonts w:ascii="Garamond" w:eastAsia="Times New Roman" w:hAnsi="Garamond"/>
                <w:sz w:val="24"/>
                <w:szCs w:val="24"/>
                <w:lang w:eastAsia="cs-CZ"/>
              </w:rPr>
            </w:pPr>
            <w:r w:rsidRPr="00B25E45">
              <w:rPr>
                <w:rFonts w:ascii="Garamond" w:eastAsia="Times New Roman" w:hAnsi="Garamond"/>
                <w:sz w:val="24"/>
                <w:szCs w:val="24"/>
                <w:lang w:eastAsia="cs-CZ"/>
              </w:rPr>
              <w:t>MS Praha</w:t>
            </w:r>
          </w:p>
        </w:tc>
        <w:tc>
          <w:tcPr>
            <w:tcW w:w="1010" w:type="dxa"/>
            <w:tcBorders>
              <w:top w:val="single" w:sz="4" w:space="0" w:color="auto"/>
              <w:left w:val="nil"/>
              <w:bottom w:val="single" w:sz="4" w:space="0" w:color="auto"/>
              <w:right w:val="nil"/>
            </w:tcBorders>
            <w:shd w:val="clear" w:color="auto" w:fill="auto"/>
            <w:noWrap/>
            <w:vAlign w:val="bottom"/>
            <w:hideMark/>
          </w:tcPr>
          <w:p w14:paraId="2532D3DF"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643</w:t>
            </w:r>
          </w:p>
        </w:tc>
        <w:tc>
          <w:tcPr>
            <w:tcW w:w="958" w:type="dxa"/>
            <w:tcBorders>
              <w:top w:val="single" w:sz="4" w:space="0" w:color="auto"/>
              <w:left w:val="nil"/>
              <w:bottom w:val="single" w:sz="4" w:space="0" w:color="auto"/>
              <w:right w:val="nil"/>
            </w:tcBorders>
            <w:shd w:val="clear" w:color="auto" w:fill="auto"/>
            <w:noWrap/>
            <w:vAlign w:val="center"/>
            <w:hideMark/>
          </w:tcPr>
          <w:p w14:paraId="29F6D8E5"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-8 %</w:t>
            </w:r>
          </w:p>
        </w:tc>
        <w:tc>
          <w:tcPr>
            <w:tcW w:w="955" w:type="dxa"/>
            <w:tcBorders>
              <w:top w:val="nil"/>
              <w:left w:val="single" w:sz="4" w:space="0" w:color="auto"/>
              <w:bottom w:val="single" w:sz="4" w:space="0" w:color="auto"/>
              <w:right w:val="nil"/>
            </w:tcBorders>
            <w:shd w:val="clear" w:color="auto" w:fill="auto"/>
            <w:noWrap/>
            <w:vAlign w:val="bottom"/>
            <w:hideMark/>
          </w:tcPr>
          <w:p w14:paraId="7DEB9C95"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562</w:t>
            </w:r>
          </w:p>
        </w:tc>
        <w:tc>
          <w:tcPr>
            <w:tcW w:w="963" w:type="dxa"/>
            <w:tcBorders>
              <w:top w:val="nil"/>
              <w:left w:val="nil"/>
              <w:bottom w:val="single" w:sz="4" w:space="0" w:color="auto"/>
              <w:right w:val="single" w:sz="4" w:space="0" w:color="auto"/>
            </w:tcBorders>
            <w:shd w:val="clear" w:color="auto" w:fill="auto"/>
            <w:noWrap/>
            <w:vAlign w:val="center"/>
            <w:hideMark/>
          </w:tcPr>
          <w:p w14:paraId="52E306B3"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-10 %</w:t>
            </w:r>
          </w:p>
        </w:tc>
        <w:tc>
          <w:tcPr>
            <w:tcW w:w="805" w:type="dxa"/>
            <w:tcBorders>
              <w:top w:val="single" w:sz="4" w:space="0" w:color="auto"/>
              <w:left w:val="nil"/>
              <w:bottom w:val="single" w:sz="4" w:space="0" w:color="auto"/>
              <w:right w:val="nil"/>
            </w:tcBorders>
            <w:shd w:val="clear" w:color="auto" w:fill="auto"/>
            <w:noWrap/>
            <w:vAlign w:val="bottom"/>
            <w:hideMark/>
          </w:tcPr>
          <w:p w14:paraId="6A84E38E"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1277</w:t>
            </w:r>
          </w:p>
        </w:tc>
        <w:tc>
          <w:tcPr>
            <w:tcW w:w="948" w:type="dxa"/>
            <w:tcBorders>
              <w:top w:val="single" w:sz="4" w:space="0" w:color="auto"/>
              <w:left w:val="nil"/>
              <w:bottom w:val="single" w:sz="4" w:space="0" w:color="auto"/>
              <w:right w:val="nil"/>
            </w:tcBorders>
            <w:shd w:val="clear" w:color="auto" w:fill="auto"/>
            <w:noWrap/>
            <w:vAlign w:val="center"/>
            <w:hideMark/>
          </w:tcPr>
          <w:p w14:paraId="071AB953"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-10 %</w:t>
            </w:r>
          </w:p>
        </w:tc>
      </w:tr>
      <w:tr w:rsidR="0055370B" w:rsidRPr="00B25E45" w14:paraId="5059BA0C" w14:textId="77777777" w:rsidTr="0055370B">
        <w:trPr>
          <w:trHeight w:val="275"/>
        </w:trPr>
        <w:tc>
          <w:tcPr>
            <w:tcW w:w="2406" w:type="dxa"/>
            <w:tcBorders>
              <w:top w:val="nil"/>
              <w:left w:val="nil"/>
              <w:bottom w:val="single" w:sz="4" w:space="0" w:color="auto"/>
              <w:right w:val="nil"/>
            </w:tcBorders>
            <w:shd w:val="clear" w:color="auto" w:fill="auto"/>
            <w:noWrap/>
            <w:vAlign w:val="bottom"/>
            <w:hideMark/>
          </w:tcPr>
          <w:p w14:paraId="01514976" w14:textId="77777777" w:rsidR="0055370B" w:rsidRPr="00B25E45" w:rsidRDefault="0055370B" w:rsidP="0055370B">
            <w:pPr>
              <w:spacing w:after="0" w:line="240" w:lineRule="auto"/>
              <w:rPr>
                <w:rFonts w:ascii="Garamond" w:eastAsia="Times New Roman" w:hAnsi="Garamond"/>
                <w:sz w:val="24"/>
                <w:szCs w:val="24"/>
                <w:lang w:eastAsia="cs-CZ"/>
              </w:rPr>
            </w:pPr>
            <w:r w:rsidRPr="00B25E45">
              <w:rPr>
                <w:rFonts w:ascii="Garamond" w:eastAsia="Times New Roman" w:hAnsi="Garamond"/>
                <w:sz w:val="24"/>
                <w:szCs w:val="24"/>
                <w:lang w:eastAsia="cs-CZ"/>
              </w:rPr>
              <w:t>KS Praha</w:t>
            </w:r>
          </w:p>
        </w:tc>
        <w:tc>
          <w:tcPr>
            <w:tcW w:w="1010" w:type="dxa"/>
            <w:tcBorders>
              <w:top w:val="nil"/>
              <w:left w:val="nil"/>
              <w:bottom w:val="single" w:sz="4" w:space="0" w:color="auto"/>
              <w:right w:val="nil"/>
            </w:tcBorders>
            <w:shd w:val="clear" w:color="auto" w:fill="auto"/>
            <w:noWrap/>
            <w:vAlign w:val="bottom"/>
            <w:hideMark/>
          </w:tcPr>
          <w:p w14:paraId="267BE6BF"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489</w:t>
            </w:r>
          </w:p>
        </w:tc>
        <w:tc>
          <w:tcPr>
            <w:tcW w:w="958" w:type="dxa"/>
            <w:tcBorders>
              <w:top w:val="nil"/>
              <w:left w:val="nil"/>
              <w:bottom w:val="single" w:sz="4" w:space="0" w:color="auto"/>
              <w:right w:val="nil"/>
            </w:tcBorders>
            <w:shd w:val="clear" w:color="auto" w:fill="auto"/>
            <w:noWrap/>
            <w:vAlign w:val="center"/>
            <w:hideMark/>
          </w:tcPr>
          <w:p w14:paraId="7A4FEDAC"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-6 %</w:t>
            </w:r>
          </w:p>
        </w:tc>
        <w:tc>
          <w:tcPr>
            <w:tcW w:w="955" w:type="dxa"/>
            <w:tcBorders>
              <w:top w:val="nil"/>
              <w:left w:val="single" w:sz="4" w:space="0" w:color="auto"/>
              <w:bottom w:val="single" w:sz="4" w:space="0" w:color="auto"/>
              <w:right w:val="nil"/>
            </w:tcBorders>
            <w:shd w:val="clear" w:color="auto" w:fill="auto"/>
            <w:noWrap/>
            <w:vAlign w:val="bottom"/>
            <w:hideMark/>
          </w:tcPr>
          <w:p w14:paraId="675DE557"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459</w:t>
            </w:r>
          </w:p>
        </w:tc>
        <w:tc>
          <w:tcPr>
            <w:tcW w:w="963" w:type="dxa"/>
            <w:tcBorders>
              <w:top w:val="nil"/>
              <w:left w:val="nil"/>
              <w:bottom w:val="single" w:sz="4" w:space="0" w:color="auto"/>
              <w:right w:val="single" w:sz="4" w:space="0" w:color="auto"/>
            </w:tcBorders>
            <w:shd w:val="clear" w:color="auto" w:fill="auto"/>
            <w:noWrap/>
            <w:vAlign w:val="center"/>
            <w:hideMark/>
          </w:tcPr>
          <w:p w14:paraId="18343AF6"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-3 %</w:t>
            </w:r>
          </w:p>
        </w:tc>
        <w:tc>
          <w:tcPr>
            <w:tcW w:w="805" w:type="dxa"/>
            <w:tcBorders>
              <w:top w:val="nil"/>
              <w:left w:val="nil"/>
              <w:bottom w:val="single" w:sz="4" w:space="0" w:color="auto"/>
              <w:right w:val="nil"/>
            </w:tcBorders>
            <w:shd w:val="clear" w:color="auto" w:fill="auto"/>
            <w:noWrap/>
            <w:vAlign w:val="bottom"/>
            <w:hideMark/>
          </w:tcPr>
          <w:p w14:paraId="26C6A89D"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931</w:t>
            </w:r>
          </w:p>
        </w:tc>
        <w:tc>
          <w:tcPr>
            <w:tcW w:w="948" w:type="dxa"/>
            <w:tcBorders>
              <w:top w:val="nil"/>
              <w:left w:val="nil"/>
              <w:bottom w:val="single" w:sz="4" w:space="0" w:color="auto"/>
              <w:right w:val="nil"/>
            </w:tcBorders>
            <w:shd w:val="clear" w:color="auto" w:fill="auto"/>
            <w:noWrap/>
            <w:vAlign w:val="center"/>
            <w:hideMark/>
          </w:tcPr>
          <w:p w14:paraId="2E3F602F"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-7 %</w:t>
            </w:r>
          </w:p>
        </w:tc>
      </w:tr>
      <w:tr w:rsidR="0055370B" w:rsidRPr="00B25E45" w14:paraId="39FF430D" w14:textId="77777777" w:rsidTr="0055370B">
        <w:trPr>
          <w:trHeight w:val="275"/>
        </w:trPr>
        <w:tc>
          <w:tcPr>
            <w:tcW w:w="2406" w:type="dxa"/>
            <w:tcBorders>
              <w:top w:val="nil"/>
              <w:left w:val="nil"/>
              <w:bottom w:val="single" w:sz="4" w:space="0" w:color="auto"/>
              <w:right w:val="nil"/>
            </w:tcBorders>
            <w:shd w:val="clear" w:color="auto" w:fill="auto"/>
            <w:noWrap/>
            <w:vAlign w:val="bottom"/>
            <w:hideMark/>
          </w:tcPr>
          <w:p w14:paraId="1D43496F" w14:textId="77777777" w:rsidR="0055370B" w:rsidRPr="00B25E45" w:rsidRDefault="0055370B" w:rsidP="0055370B">
            <w:pPr>
              <w:spacing w:after="0" w:line="240" w:lineRule="auto"/>
              <w:rPr>
                <w:rFonts w:ascii="Garamond" w:eastAsia="Times New Roman" w:hAnsi="Garamond"/>
                <w:sz w:val="24"/>
                <w:szCs w:val="24"/>
                <w:lang w:eastAsia="cs-CZ"/>
              </w:rPr>
            </w:pPr>
            <w:r w:rsidRPr="00B25E45">
              <w:rPr>
                <w:rFonts w:ascii="Garamond" w:eastAsia="Times New Roman" w:hAnsi="Garamond"/>
                <w:sz w:val="24"/>
                <w:szCs w:val="24"/>
                <w:lang w:eastAsia="cs-CZ"/>
              </w:rPr>
              <w:t>KS Č. Budějovice</w:t>
            </w:r>
          </w:p>
        </w:tc>
        <w:tc>
          <w:tcPr>
            <w:tcW w:w="1010" w:type="dxa"/>
            <w:tcBorders>
              <w:top w:val="nil"/>
              <w:left w:val="nil"/>
              <w:bottom w:val="single" w:sz="4" w:space="0" w:color="auto"/>
              <w:right w:val="nil"/>
            </w:tcBorders>
            <w:shd w:val="clear" w:color="auto" w:fill="auto"/>
            <w:noWrap/>
            <w:vAlign w:val="bottom"/>
            <w:hideMark/>
          </w:tcPr>
          <w:p w14:paraId="3964F074"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154</w:t>
            </w:r>
          </w:p>
        </w:tc>
        <w:tc>
          <w:tcPr>
            <w:tcW w:w="958" w:type="dxa"/>
            <w:tcBorders>
              <w:top w:val="nil"/>
              <w:left w:val="nil"/>
              <w:bottom w:val="single" w:sz="4" w:space="0" w:color="auto"/>
              <w:right w:val="nil"/>
            </w:tcBorders>
            <w:shd w:val="clear" w:color="auto" w:fill="auto"/>
            <w:noWrap/>
            <w:vAlign w:val="center"/>
            <w:hideMark/>
          </w:tcPr>
          <w:p w14:paraId="706976C4"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-28 %</w:t>
            </w:r>
          </w:p>
        </w:tc>
        <w:tc>
          <w:tcPr>
            <w:tcW w:w="955" w:type="dxa"/>
            <w:tcBorders>
              <w:top w:val="nil"/>
              <w:left w:val="single" w:sz="4" w:space="0" w:color="auto"/>
              <w:bottom w:val="single" w:sz="4" w:space="0" w:color="auto"/>
              <w:right w:val="nil"/>
            </w:tcBorders>
            <w:shd w:val="clear" w:color="auto" w:fill="auto"/>
            <w:noWrap/>
            <w:vAlign w:val="bottom"/>
            <w:hideMark/>
          </w:tcPr>
          <w:p w14:paraId="18FE3B3C"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203</w:t>
            </w:r>
          </w:p>
        </w:tc>
        <w:tc>
          <w:tcPr>
            <w:tcW w:w="963" w:type="dxa"/>
            <w:tcBorders>
              <w:top w:val="nil"/>
              <w:left w:val="nil"/>
              <w:bottom w:val="single" w:sz="4" w:space="0" w:color="auto"/>
              <w:right w:val="single" w:sz="4" w:space="0" w:color="auto"/>
            </w:tcBorders>
            <w:shd w:val="clear" w:color="auto" w:fill="auto"/>
            <w:noWrap/>
            <w:vAlign w:val="center"/>
            <w:hideMark/>
          </w:tcPr>
          <w:p w14:paraId="6C33345A"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+18 %</w:t>
            </w:r>
          </w:p>
        </w:tc>
        <w:tc>
          <w:tcPr>
            <w:tcW w:w="805" w:type="dxa"/>
            <w:tcBorders>
              <w:top w:val="nil"/>
              <w:left w:val="nil"/>
              <w:bottom w:val="single" w:sz="4" w:space="0" w:color="auto"/>
              <w:right w:val="nil"/>
            </w:tcBorders>
            <w:shd w:val="clear" w:color="auto" w:fill="auto"/>
            <w:noWrap/>
            <w:vAlign w:val="bottom"/>
            <w:hideMark/>
          </w:tcPr>
          <w:p w14:paraId="036C4C72"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359</w:t>
            </w:r>
          </w:p>
        </w:tc>
        <w:tc>
          <w:tcPr>
            <w:tcW w:w="948" w:type="dxa"/>
            <w:tcBorders>
              <w:top w:val="nil"/>
              <w:left w:val="nil"/>
              <w:bottom w:val="single" w:sz="4" w:space="0" w:color="auto"/>
              <w:right w:val="nil"/>
            </w:tcBorders>
            <w:shd w:val="clear" w:color="auto" w:fill="auto"/>
            <w:noWrap/>
            <w:vAlign w:val="center"/>
            <w:hideMark/>
          </w:tcPr>
          <w:p w14:paraId="6CBD6CAE"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-12 %</w:t>
            </w:r>
          </w:p>
        </w:tc>
      </w:tr>
      <w:tr w:rsidR="0055370B" w:rsidRPr="00B25E45" w14:paraId="26B6634B" w14:textId="77777777" w:rsidTr="0055370B">
        <w:trPr>
          <w:trHeight w:val="275"/>
        </w:trPr>
        <w:tc>
          <w:tcPr>
            <w:tcW w:w="2406" w:type="dxa"/>
            <w:tcBorders>
              <w:top w:val="nil"/>
              <w:left w:val="nil"/>
              <w:bottom w:val="single" w:sz="4" w:space="0" w:color="auto"/>
              <w:right w:val="nil"/>
            </w:tcBorders>
            <w:shd w:val="clear" w:color="auto" w:fill="auto"/>
            <w:noWrap/>
            <w:vAlign w:val="bottom"/>
            <w:hideMark/>
          </w:tcPr>
          <w:p w14:paraId="10BC1CAC" w14:textId="77777777" w:rsidR="0055370B" w:rsidRPr="00B25E45" w:rsidRDefault="0055370B" w:rsidP="0055370B">
            <w:pPr>
              <w:spacing w:after="0" w:line="240" w:lineRule="auto"/>
              <w:rPr>
                <w:rFonts w:ascii="Garamond" w:eastAsia="Times New Roman" w:hAnsi="Garamond"/>
                <w:sz w:val="24"/>
                <w:szCs w:val="24"/>
                <w:lang w:eastAsia="cs-CZ"/>
              </w:rPr>
            </w:pPr>
            <w:r w:rsidRPr="00B25E45">
              <w:rPr>
                <w:rFonts w:ascii="Garamond" w:eastAsia="Times New Roman" w:hAnsi="Garamond"/>
                <w:sz w:val="24"/>
                <w:szCs w:val="24"/>
                <w:lang w:eastAsia="cs-CZ"/>
              </w:rPr>
              <w:t>KS Plzeň</w:t>
            </w:r>
          </w:p>
        </w:tc>
        <w:tc>
          <w:tcPr>
            <w:tcW w:w="1010" w:type="dxa"/>
            <w:tcBorders>
              <w:top w:val="nil"/>
              <w:left w:val="nil"/>
              <w:bottom w:val="single" w:sz="4" w:space="0" w:color="auto"/>
              <w:right w:val="nil"/>
            </w:tcBorders>
            <w:shd w:val="clear" w:color="auto" w:fill="auto"/>
            <w:noWrap/>
            <w:vAlign w:val="bottom"/>
            <w:hideMark/>
          </w:tcPr>
          <w:p w14:paraId="1BA4A8E3"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305</w:t>
            </w:r>
          </w:p>
        </w:tc>
        <w:tc>
          <w:tcPr>
            <w:tcW w:w="958" w:type="dxa"/>
            <w:tcBorders>
              <w:top w:val="nil"/>
              <w:left w:val="nil"/>
              <w:bottom w:val="single" w:sz="4" w:space="0" w:color="auto"/>
              <w:right w:val="nil"/>
            </w:tcBorders>
            <w:shd w:val="clear" w:color="auto" w:fill="auto"/>
            <w:noWrap/>
            <w:vAlign w:val="center"/>
            <w:hideMark/>
          </w:tcPr>
          <w:p w14:paraId="16EFBB00"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-2 %</w:t>
            </w:r>
          </w:p>
        </w:tc>
        <w:tc>
          <w:tcPr>
            <w:tcW w:w="955" w:type="dxa"/>
            <w:tcBorders>
              <w:top w:val="nil"/>
              <w:left w:val="single" w:sz="4" w:space="0" w:color="auto"/>
              <w:bottom w:val="single" w:sz="4" w:space="0" w:color="auto"/>
              <w:right w:val="nil"/>
            </w:tcBorders>
            <w:shd w:val="clear" w:color="auto" w:fill="auto"/>
            <w:noWrap/>
            <w:vAlign w:val="bottom"/>
            <w:hideMark/>
          </w:tcPr>
          <w:p w14:paraId="05E59AC3"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199</w:t>
            </w:r>
          </w:p>
        </w:tc>
        <w:tc>
          <w:tcPr>
            <w:tcW w:w="963" w:type="dxa"/>
            <w:tcBorders>
              <w:top w:val="nil"/>
              <w:left w:val="nil"/>
              <w:bottom w:val="single" w:sz="4" w:space="0" w:color="auto"/>
              <w:right w:val="single" w:sz="4" w:space="0" w:color="auto"/>
            </w:tcBorders>
            <w:shd w:val="clear" w:color="auto" w:fill="auto"/>
            <w:noWrap/>
            <w:vAlign w:val="center"/>
            <w:hideMark/>
          </w:tcPr>
          <w:p w14:paraId="546EE150"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-16 %</w:t>
            </w:r>
          </w:p>
        </w:tc>
        <w:tc>
          <w:tcPr>
            <w:tcW w:w="805" w:type="dxa"/>
            <w:tcBorders>
              <w:top w:val="nil"/>
              <w:left w:val="nil"/>
              <w:bottom w:val="single" w:sz="4" w:space="0" w:color="auto"/>
              <w:right w:val="nil"/>
            </w:tcBorders>
            <w:shd w:val="clear" w:color="auto" w:fill="auto"/>
            <w:noWrap/>
            <w:vAlign w:val="bottom"/>
            <w:hideMark/>
          </w:tcPr>
          <w:p w14:paraId="3CC695ED"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744</w:t>
            </w:r>
          </w:p>
        </w:tc>
        <w:tc>
          <w:tcPr>
            <w:tcW w:w="948" w:type="dxa"/>
            <w:tcBorders>
              <w:top w:val="nil"/>
              <w:left w:val="nil"/>
              <w:bottom w:val="single" w:sz="4" w:space="0" w:color="auto"/>
              <w:right w:val="nil"/>
            </w:tcBorders>
            <w:shd w:val="clear" w:color="auto" w:fill="auto"/>
            <w:noWrap/>
            <w:vAlign w:val="center"/>
            <w:hideMark/>
          </w:tcPr>
          <w:p w14:paraId="2972731A"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+12 %</w:t>
            </w:r>
          </w:p>
        </w:tc>
      </w:tr>
      <w:tr w:rsidR="0055370B" w:rsidRPr="00B25E45" w14:paraId="63B053FC" w14:textId="77777777" w:rsidTr="0055370B">
        <w:trPr>
          <w:trHeight w:val="275"/>
        </w:trPr>
        <w:tc>
          <w:tcPr>
            <w:tcW w:w="2406" w:type="dxa"/>
            <w:tcBorders>
              <w:top w:val="nil"/>
              <w:left w:val="nil"/>
              <w:bottom w:val="single" w:sz="4" w:space="0" w:color="auto"/>
              <w:right w:val="nil"/>
            </w:tcBorders>
            <w:shd w:val="clear" w:color="auto" w:fill="auto"/>
            <w:noWrap/>
            <w:vAlign w:val="bottom"/>
            <w:hideMark/>
          </w:tcPr>
          <w:p w14:paraId="3E0C0C96" w14:textId="77777777" w:rsidR="0055370B" w:rsidRPr="00B25E45" w:rsidRDefault="0055370B" w:rsidP="0055370B">
            <w:pPr>
              <w:spacing w:after="0" w:line="240" w:lineRule="auto"/>
              <w:rPr>
                <w:rFonts w:ascii="Garamond" w:eastAsia="Times New Roman" w:hAnsi="Garamond"/>
                <w:sz w:val="24"/>
                <w:szCs w:val="24"/>
                <w:lang w:eastAsia="cs-CZ"/>
              </w:rPr>
            </w:pPr>
            <w:r w:rsidRPr="00B25E45">
              <w:rPr>
                <w:rFonts w:ascii="Garamond" w:eastAsia="Times New Roman" w:hAnsi="Garamond"/>
                <w:sz w:val="24"/>
                <w:szCs w:val="24"/>
                <w:lang w:eastAsia="cs-CZ"/>
              </w:rPr>
              <w:t>KS Ústí n. Labem</w:t>
            </w:r>
          </w:p>
        </w:tc>
        <w:tc>
          <w:tcPr>
            <w:tcW w:w="1010" w:type="dxa"/>
            <w:tcBorders>
              <w:top w:val="nil"/>
              <w:left w:val="nil"/>
              <w:bottom w:val="single" w:sz="4" w:space="0" w:color="auto"/>
              <w:right w:val="nil"/>
            </w:tcBorders>
            <w:shd w:val="clear" w:color="auto" w:fill="auto"/>
            <w:noWrap/>
            <w:vAlign w:val="bottom"/>
            <w:hideMark/>
          </w:tcPr>
          <w:p w14:paraId="6F4BB63F"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633</w:t>
            </w:r>
          </w:p>
        </w:tc>
        <w:tc>
          <w:tcPr>
            <w:tcW w:w="958" w:type="dxa"/>
            <w:tcBorders>
              <w:top w:val="nil"/>
              <w:left w:val="nil"/>
              <w:bottom w:val="single" w:sz="4" w:space="0" w:color="auto"/>
              <w:right w:val="nil"/>
            </w:tcBorders>
            <w:shd w:val="clear" w:color="auto" w:fill="auto"/>
            <w:noWrap/>
            <w:vAlign w:val="center"/>
            <w:hideMark/>
          </w:tcPr>
          <w:p w14:paraId="469B9455"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+12 %</w:t>
            </w:r>
          </w:p>
        </w:tc>
        <w:tc>
          <w:tcPr>
            <w:tcW w:w="955" w:type="dxa"/>
            <w:tcBorders>
              <w:top w:val="nil"/>
              <w:left w:val="single" w:sz="4" w:space="0" w:color="auto"/>
              <w:bottom w:val="single" w:sz="4" w:space="0" w:color="auto"/>
              <w:right w:val="nil"/>
            </w:tcBorders>
            <w:shd w:val="clear" w:color="auto" w:fill="auto"/>
            <w:noWrap/>
            <w:vAlign w:val="bottom"/>
            <w:hideMark/>
          </w:tcPr>
          <w:p w14:paraId="59966E0C"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613</w:t>
            </w:r>
          </w:p>
        </w:tc>
        <w:tc>
          <w:tcPr>
            <w:tcW w:w="963" w:type="dxa"/>
            <w:tcBorders>
              <w:top w:val="nil"/>
              <w:left w:val="nil"/>
              <w:bottom w:val="single" w:sz="4" w:space="0" w:color="auto"/>
              <w:right w:val="single" w:sz="4" w:space="0" w:color="auto"/>
            </w:tcBorders>
            <w:shd w:val="clear" w:color="auto" w:fill="auto"/>
            <w:noWrap/>
            <w:vAlign w:val="center"/>
            <w:hideMark/>
          </w:tcPr>
          <w:p w14:paraId="7B08B525"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+34 %</w:t>
            </w:r>
          </w:p>
        </w:tc>
        <w:tc>
          <w:tcPr>
            <w:tcW w:w="805" w:type="dxa"/>
            <w:tcBorders>
              <w:top w:val="nil"/>
              <w:left w:val="nil"/>
              <w:bottom w:val="single" w:sz="4" w:space="0" w:color="auto"/>
              <w:right w:val="nil"/>
            </w:tcBorders>
            <w:shd w:val="clear" w:color="auto" w:fill="auto"/>
            <w:noWrap/>
            <w:vAlign w:val="bottom"/>
            <w:hideMark/>
          </w:tcPr>
          <w:p w14:paraId="181A5723"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1 246</w:t>
            </w:r>
          </w:p>
        </w:tc>
        <w:tc>
          <w:tcPr>
            <w:tcW w:w="948" w:type="dxa"/>
            <w:tcBorders>
              <w:top w:val="nil"/>
              <w:left w:val="nil"/>
              <w:bottom w:val="single" w:sz="4" w:space="0" w:color="auto"/>
              <w:right w:val="nil"/>
            </w:tcBorders>
            <w:shd w:val="clear" w:color="auto" w:fill="auto"/>
            <w:noWrap/>
            <w:vAlign w:val="center"/>
            <w:hideMark/>
          </w:tcPr>
          <w:p w14:paraId="458D9595"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+7 %</w:t>
            </w:r>
          </w:p>
        </w:tc>
      </w:tr>
      <w:tr w:rsidR="0055370B" w:rsidRPr="00B25E45" w14:paraId="3F15D2D9" w14:textId="77777777" w:rsidTr="0055370B">
        <w:trPr>
          <w:trHeight w:val="275"/>
        </w:trPr>
        <w:tc>
          <w:tcPr>
            <w:tcW w:w="2406" w:type="dxa"/>
            <w:tcBorders>
              <w:top w:val="nil"/>
              <w:left w:val="nil"/>
              <w:bottom w:val="single" w:sz="4" w:space="0" w:color="auto"/>
              <w:right w:val="nil"/>
            </w:tcBorders>
            <w:shd w:val="clear" w:color="auto" w:fill="auto"/>
            <w:noWrap/>
            <w:vAlign w:val="bottom"/>
            <w:hideMark/>
          </w:tcPr>
          <w:p w14:paraId="7E92E919" w14:textId="77777777" w:rsidR="0055370B" w:rsidRPr="00B25E45" w:rsidRDefault="0055370B" w:rsidP="0055370B">
            <w:pPr>
              <w:spacing w:after="0" w:line="240" w:lineRule="auto"/>
              <w:rPr>
                <w:rFonts w:ascii="Garamond" w:eastAsia="Times New Roman" w:hAnsi="Garamond"/>
                <w:sz w:val="24"/>
                <w:szCs w:val="24"/>
                <w:lang w:eastAsia="cs-CZ"/>
              </w:rPr>
            </w:pPr>
            <w:r w:rsidRPr="00B25E45">
              <w:rPr>
                <w:rFonts w:ascii="Garamond" w:eastAsia="Times New Roman" w:hAnsi="Garamond"/>
                <w:sz w:val="24"/>
                <w:szCs w:val="24"/>
                <w:lang w:eastAsia="cs-CZ"/>
              </w:rPr>
              <w:t>KS Hr. Králové</w:t>
            </w:r>
          </w:p>
        </w:tc>
        <w:tc>
          <w:tcPr>
            <w:tcW w:w="1010" w:type="dxa"/>
            <w:tcBorders>
              <w:top w:val="nil"/>
              <w:left w:val="nil"/>
              <w:bottom w:val="single" w:sz="4" w:space="0" w:color="auto"/>
              <w:right w:val="nil"/>
            </w:tcBorders>
            <w:shd w:val="clear" w:color="auto" w:fill="auto"/>
            <w:noWrap/>
            <w:vAlign w:val="bottom"/>
            <w:hideMark/>
          </w:tcPr>
          <w:p w14:paraId="65055C44"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365</w:t>
            </w:r>
          </w:p>
        </w:tc>
        <w:tc>
          <w:tcPr>
            <w:tcW w:w="958" w:type="dxa"/>
            <w:tcBorders>
              <w:top w:val="nil"/>
              <w:left w:val="nil"/>
              <w:bottom w:val="single" w:sz="4" w:space="0" w:color="auto"/>
              <w:right w:val="nil"/>
            </w:tcBorders>
            <w:shd w:val="clear" w:color="auto" w:fill="auto"/>
            <w:noWrap/>
            <w:vAlign w:val="center"/>
            <w:hideMark/>
          </w:tcPr>
          <w:p w14:paraId="19B18408"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-16 %</w:t>
            </w:r>
          </w:p>
        </w:tc>
        <w:tc>
          <w:tcPr>
            <w:tcW w:w="955" w:type="dxa"/>
            <w:tcBorders>
              <w:top w:val="nil"/>
              <w:left w:val="single" w:sz="4" w:space="0" w:color="auto"/>
              <w:bottom w:val="single" w:sz="4" w:space="0" w:color="auto"/>
              <w:right w:val="nil"/>
            </w:tcBorders>
            <w:shd w:val="clear" w:color="auto" w:fill="auto"/>
            <w:noWrap/>
            <w:vAlign w:val="bottom"/>
            <w:hideMark/>
          </w:tcPr>
          <w:p w14:paraId="4A22ECE4"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316</w:t>
            </w:r>
          </w:p>
        </w:tc>
        <w:tc>
          <w:tcPr>
            <w:tcW w:w="963" w:type="dxa"/>
            <w:tcBorders>
              <w:top w:val="nil"/>
              <w:left w:val="nil"/>
              <w:bottom w:val="single" w:sz="4" w:space="0" w:color="auto"/>
              <w:right w:val="single" w:sz="4" w:space="0" w:color="auto"/>
            </w:tcBorders>
            <w:shd w:val="clear" w:color="auto" w:fill="auto"/>
            <w:noWrap/>
            <w:vAlign w:val="center"/>
            <w:hideMark/>
          </w:tcPr>
          <w:p w14:paraId="38E6B355"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-19 %</w:t>
            </w:r>
          </w:p>
        </w:tc>
        <w:tc>
          <w:tcPr>
            <w:tcW w:w="805" w:type="dxa"/>
            <w:tcBorders>
              <w:top w:val="nil"/>
              <w:left w:val="nil"/>
              <w:bottom w:val="single" w:sz="4" w:space="0" w:color="auto"/>
              <w:right w:val="nil"/>
            </w:tcBorders>
            <w:shd w:val="clear" w:color="auto" w:fill="auto"/>
            <w:noWrap/>
            <w:vAlign w:val="bottom"/>
            <w:hideMark/>
          </w:tcPr>
          <w:p w14:paraId="057A88D1"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707</w:t>
            </w:r>
          </w:p>
        </w:tc>
        <w:tc>
          <w:tcPr>
            <w:tcW w:w="948" w:type="dxa"/>
            <w:tcBorders>
              <w:top w:val="nil"/>
              <w:left w:val="nil"/>
              <w:bottom w:val="single" w:sz="4" w:space="0" w:color="auto"/>
              <w:right w:val="nil"/>
            </w:tcBorders>
            <w:shd w:val="clear" w:color="auto" w:fill="auto"/>
            <w:noWrap/>
            <w:vAlign w:val="center"/>
            <w:hideMark/>
          </w:tcPr>
          <w:p w14:paraId="48DF7199"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-9 %</w:t>
            </w:r>
          </w:p>
        </w:tc>
      </w:tr>
      <w:tr w:rsidR="0055370B" w:rsidRPr="00B25E45" w14:paraId="7A8642FE" w14:textId="77777777" w:rsidTr="0055370B">
        <w:trPr>
          <w:trHeight w:val="275"/>
        </w:trPr>
        <w:tc>
          <w:tcPr>
            <w:tcW w:w="2406" w:type="dxa"/>
            <w:tcBorders>
              <w:top w:val="nil"/>
              <w:left w:val="nil"/>
              <w:bottom w:val="single" w:sz="4" w:space="0" w:color="auto"/>
              <w:right w:val="nil"/>
            </w:tcBorders>
            <w:shd w:val="clear" w:color="auto" w:fill="auto"/>
            <w:noWrap/>
            <w:vAlign w:val="bottom"/>
            <w:hideMark/>
          </w:tcPr>
          <w:p w14:paraId="4346A79F" w14:textId="77777777" w:rsidR="0055370B" w:rsidRPr="00B25E45" w:rsidRDefault="0055370B" w:rsidP="0055370B">
            <w:pPr>
              <w:spacing w:after="0" w:line="240" w:lineRule="auto"/>
              <w:rPr>
                <w:rFonts w:ascii="Garamond" w:eastAsia="Times New Roman" w:hAnsi="Garamond"/>
                <w:sz w:val="24"/>
                <w:szCs w:val="24"/>
                <w:lang w:eastAsia="cs-CZ"/>
              </w:rPr>
            </w:pPr>
            <w:r w:rsidRPr="00B25E45">
              <w:rPr>
                <w:rFonts w:ascii="Garamond" w:eastAsia="Times New Roman" w:hAnsi="Garamond"/>
                <w:sz w:val="24"/>
                <w:szCs w:val="24"/>
                <w:lang w:eastAsia="cs-CZ"/>
              </w:rPr>
              <w:t>KS Brno</w:t>
            </w:r>
          </w:p>
        </w:tc>
        <w:tc>
          <w:tcPr>
            <w:tcW w:w="1010" w:type="dxa"/>
            <w:tcBorders>
              <w:top w:val="nil"/>
              <w:left w:val="nil"/>
              <w:bottom w:val="single" w:sz="4" w:space="0" w:color="auto"/>
              <w:right w:val="nil"/>
            </w:tcBorders>
            <w:shd w:val="clear" w:color="auto" w:fill="auto"/>
            <w:noWrap/>
            <w:vAlign w:val="bottom"/>
            <w:hideMark/>
          </w:tcPr>
          <w:p w14:paraId="089961F8"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559</w:t>
            </w:r>
          </w:p>
        </w:tc>
        <w:tc>
          <w:tcPr>
            <w:tcW w:w="958" w:type="dxa"/>
            <w:tcBorders>
              <w:top w:val="nil"/>
              <w:left w:val="nil"/>
              <w:bottom w:val="single" w:sz="4" w:space="0" w:color="auto"/>
              <w:right w:val="nil"/>
            </w:tcBorders>
            <w:shd w:val="clear" w:color="auto" w:fill="auto"/>
            <w:noWrap/>
            <w:vAlign w:val="center"/>
            <w:hideMark/>
          </w:tcPr>
          <w:p w14:paraId="7F502D73"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-2 %</w:t>
            </w:r>
          </w:p>
        </w:tc>
        <w:tc>
          <w:tcPr>
            <w:tcW w:w="955" w:type="dxa"/>
            <w:tcBorders>
              <w:top w:val="nil"/>
              <w:left w:val="single" w:sz="4" w:space="0" w:color="auto"/>
              <w:bottom w:val="single" w:sz="4" w:space="0" w:color="auto"/>
              <w:right w:val="nil"/>
            </w:tcBorders>
            <w:shd w:val="clear" w:color="auto" w:fill="auto"/>
            <w:noWrap/>
            <w:vAlign w:val="bottom"/>
            <w:hideMark/>
          </w:tcPr>
          <w:p w14:paraId="41EC841F"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599</w:t>
            </w:r>
          </w:p>
        </w:tc>
        <w:tc>
          <w:tcPr>
            <w:tcW w:w="963" w:type="dxa"/>
            <w:tcBorders>
              <w:top w:val="nil"/>
              <w:left w:val="nil"/>
              <w:bottom w:val="single" w:sz="4" w:space="0" w:color="auto"/>
              <w:right w:val="single" w:sz="4" w:space="0" w:color="auto"/>
            </w:tcBorders>
            <w:shd w:val="clear" w:color="auto" w:fill="auto"/>
            <w:noWrap/>
            <w:vAlign w:val="center"/>
            <w:hideMark/>
          </w:tcPr>
          <w:p w14:paraId="2995701B"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+0 %</w:t>
            </w:r>
          </w:p>
        </w:tc>
        <w:tc>
          <w:tcPr>
            <w:tcW w:w="805" w:type="dxa"/>
            <w:tcBorders>
              <w:top w:val="nil"/>
              <w:left w:val="nil"/>
              <w:bottom w:val="single" w:sz="4" w:space="0" w:color="auto"/>
              <w:right w:val="nil"/>
            </w:tcBorders>
            <w:shd w:val="clear" w:color="auto" w:fill="auto"/>
            <w:noWrap/>
            <w:vAlign w:val="bottom"/>
            <w:hideMark/>
          </w:tcPr>
          <w:p w14:paraId="64FA834A"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874</w:t>
            </w:r>
          </w:p>
        </w:tc>
        <w:tc>
          <w:tcPr>
            <w:tcW w:w="948" w:type="dxa"/>
            <w:tcBorders>
              <w:top w:val="nil"/>
              <w:left w:val="nil"/>
              <w:bottom w:val="single" w:sz="4" w:space="0" w:color="auto"/>
              <w:right w:val="nil"/>
            </w:tcBorders>
            <w:shd w:val="clear" w:color="auto" w:fill="auto"/>
            <w:noWrap/>
            <w:vAlign w:val="center"/>
            <w:hideMark/>
          </w:tcPr>
          <w:p w14:paraId="798B92A8"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-7 %</w:t>
            </w:r>
          </w:p>
        </w:tc>
      </w:tr>
      <w:tr w:rsidR="0055370B" w:rsidRPr="00B25E45" w14:paraId="22441FC7" w14:textId="77777777" w:rsidTr="0055370B">
        <w:trPr>
          <w:trHeight w:val="289"/>
        </w:trPr>
        <w:tc>
          <w:tcPr>
            <w:tcW w:w="2406" w:type="dxa"/>
            <w:tcBorders>
              <w:top w:val="nil"/>
              <w:left w:val="nil"/>
              <w:bottom w:val="double" w:sz="6" w:space="0" w:color="auto"/>
              <w:right w:val="nil"/>
            </w:tcBorders>
            <w:shd w:val="clear" w:color="auto" w:fill="auto"/>
            <w:noWrap/>
            <w:vAlign w:val="bottom"/>
            <w:hideMark/>
          </w:tcPr>
          <w:p w14:paraId="0BC5162B" w14:textId="77777777" w:rsidR="0055370B" w:rsidRPr="00B25E45" w:rsidRDefault="0055370B" w:rsidP="0055370B">
            <w:pPr>
              <w:spacing w:after="0" w:line="240" w:lineRule="auto"/>
              <w:rPr>
                <w:rFonts w:ascii="Garamond" w:eastAsia="Times New Roman" w:hAnsi="Garamond"/>
                <w:sz w:val="24"/>
                <w:szCs w:val="24"/>
                <w:lang w:eastAsia="cs-CZ"/>
              </w:rPr>
            </w:pPr>
            <w:r w:rsidRPr="00B25E45">
              <w:rPr>
                <w:rFonts w:ascii="Garamond" w:eastAsia="Times New Roman" w:hAnsi="Garamond"/>
                <w:sz w:val="24"/>
                <w:szCs w:val="24"/>
                <w:lang w:eastAsia="cs-CZ"/>
              </w:rPr>
              <w:t>KS Ostrava</w:t>
            </w:r>
          </w:p>
        </w:tc>
        <w:tc>
          <w:tcPr>
            <w:tcW w:w="1010" w:type="dxa"/>
            <w:tcBorders>
              <w:top w:val="nil"/>
              <w:left w:val="nil"/>
              <w:bottom w:val="double" w:sz="6" w:space="0" w:color="auto"/>
              <w:right w:val="nil"/>
            </w:tcBorders>
            <w:shd w:val="clear" w:color="auto" w:fill="auto"/>
            <w:noWrap/>
            <w:vAlign w:val="bottom"/>
            <w:hideMark/>
          </w:tcPr>
          <w:p w14:paraId="22F027E5"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281</w:t>
            </w:r>
          </w:p>
        </w:tc>
        <w:tc>
          <w:tcPr>
            <w:tcW w:w="958" w:type="dxa"/>
            <w:tcBorders>
              <w:top w:val="nil"/>
              <w:left w:val="nil"/>
              <w:bottom w:val="double" w:sz="6" w:space="0" w:color="auto"/>
              <w:right w:val="nil"/>
            </w:tcBorders>
            <w:shd w:val="clear" w:color="auto" w:fill="auto"/>
            <w:noWrap/>
            <w:vAlign w:val="center"/>
            <w:hideMark/>
          </w:tcPr>
          <w:p w14:paraId="72373F79"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+21 %</w:t>
            </w:r>
          </w:p>
        </w:tc>
        <w:tc>
          <w:tcPr>
            <w:tcW w:w="955" w:type="dxa"/>
            <w:tcBorders>
              <w:top w:val="nil"/>
              <w:left w:val="single" w:sz="4" w:space="0" w:color="auto"/>
              <w:bottom w:val="double" w:sz="6" w:space="0" w:color="auto"/>
              <w:right w:val="nil"/>
            </w:tcBorders>
            <w:shd w:val="clear" w:color="auto" w:fill="auto"/>
            <w:noWrap/>
            <w:vAlign w:val="bottom"/>
            <w:hideMark/>
          </w:tcPr>
          <w:p w14:paraId="4C8B0981"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220</w:t>
            </w:r>
          </w:p>
        </w:tc>
        <w:tc>
          <w:tcPr>
            <w:tcW w:w="963" w:type="dxa"/>
            <w:tcBorders>
              <w:top w:val="nil"/>
              <w:left w:val="nil"/>
              <w:bottom w:val="double" w:sz="6" w:space="0" w:color="auto"/>
              <w:right w:val="single" w:sz="4" w:space="0" w:color="auto"/>
            </w:tcBorders>
            <w:shd w:val="clear" w:color="auto" w:fill="auto"/>
            <w:noWrap/>
            <w:vAlign w:val="center"/>
            <w:hideMark/>
          </w:tcPr>
          <w:p w14:paraId="0CF88025"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+13 %</w:t>
            </w:r>
          </w:p>
        </w:tc>
        <w:tc>
          <w:tcPr>
            <w:tcW w:w="805" w:type="dxa"/>
            <w:tcBorders>
              <w:top w:val="nil"/>
              <w:left w:val="nil"/>
              <w:bottom w:val="double" w:sz="6" w:space="0" w:color="auto"/>
              <w:right w:val="nil"/>
            </w:tcBorders>
            <w:shd w:val="clear" w:color="auto" w:fill="auto"/>
            <w:noWrap/>
            <w:vAlign w:val="bottom"/>
            <w:hideMark/>
          </w:tcPr>
          <w:p w14:paraId="3458BC98"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537</w:t>
            </w:r>
          </w:p>
        </w:tc>
        <w:tc>
          <w:tcPr>
            <w:tcW w:w="948" w:type="dxa"/>
            <w:tcBorders>
              <w:top w:val="nil"/>
              <w:left w:val="nil"/>
              <w:bottom w:val="double" w:sz="6" w:space="0" w:color="auto"/>
              <w:right w:val="nil"/>
            </w:tcBorders>
            <w:shd w:val="clear" w:color="auto" w:fill="auto"/>
            <w:noWrap/>
            <w:vAlign w:val="center"/>
            <w:hideMark/>
          </w:tcPr>
          <w:p w14:paraId="4B47F30D"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+9 %</w:t>
            </w:r>
          </w:p>
        </w:tc>
      </w:tr>
      <w:tr w:rsidR="0055370B" w:rsidRPr="00B25E45" w14:paraId="19D94CED" w14:textId="77777777" w:rsidTr="0055370B">
        <w:trPr>
          <w:trHeight w:val="302"/>
        </w:trPr>
        <w:tc>
          <w:tcPr>
            <w:tcW w:w="2406" w:type="dxa"/>
            <w:tcBorders>
              <w:top w:val="nil"/>
              <w:left w:val="nil"/>
              <w:bottom w:val="double" w:sz="6" w:space="0" w:color="auto"/>
              <w:right w:val="nil"/>
            </w:tcBorders>
            <w:shd w:val="clear" w:color="auto" w:fill="auto"/>
            <w:noWrap/>
            <w:vAlign w:val="bottom"/>
            <w:hideMark/>
          </w:tcPr>
          <w:p w14:paraId="2A83D7E8" w14:textId="77777777" w:rsidR="0055370B" w:rsidRPr="00B25E45" w:rsidRDefault="0055370B" w:rsidP="0055370B">
            <w:pPr>
              <w:spacing w:after="0" w:line="240" w:lineRule="auto"/>
              <w:rPr>
                <w:rFonts w:ascii="Garamond" w:eastAsia="Times New Roman" w:hAnsi="Garamond"/>
                <w:b/>
                <w:bCs/>
                <w:sz w:val="24"/>
                <w:szCs w:val="24"/>
                <w:lang w:eastAsia="cs-CZ"/>
              </w:rPr>
            </w:pPr>
            <w:r w:rsidRPr="00B25E45">
              <w:rPr>
                <w:rFonts w:ascii="Garamond" w:eastAsia="Times New Roman" w:hAnsi="Garamond"/>
                <w:b/>
                <w:bCs/>
                <w:sz w:val="24"/>
                <w:szCs w:val="24"/>
                <w:lang w:eastAsia="cs-CZ"/>
              </w:rPr>
              <w:t>Celkem ČR</w:t>
            </w:r>
          </w:p>
        </w:tc>
        <w:tc>
          <w:tcPr>
            <w:tcW w:w="1010" w:type="dxa"/>
            <w:tcBorders>
              <w:top w:val="nil"/>
              <w:left w:val="nil"/>
              <w:bottom w:val="double" w:sz="6" w:space="0" w:color="auto"/>
              <w:right w:val="nil"/>
            </w:tcBorders>
            <w:shd w:val="clear" w:color="auto" w:fill="auto"/>
            <w:noWrap/>
            <w:vAlign w:val="bottom"/>
            <w:hideMark/>
          </w:tcPr>
          <w:p w14:paraId="1EFEA51E" w14:textId="77777777" w:rsidR="0055370B" w:rsidRPr="00B25E45" w:rsidRDefault="0055370B" w:rsidP="0055370B">
            <w:pPr>
              <w:spacing w:after="0" w:line="240" w:lineRule="auto"/>
              <w:jc w:val="center"/>
              <w:rPr>
                <w:rFonts w:ascii="Garamond" w:eastAsia="Times New Roman" w:hAnsi="Garamond"/>
                <w:b/>
                <w:bCs/>
                <w:sz w:val="24"/>
                <w:szCs w:val="24"/>
                <w:lang w:eastAsia="cs-CZ"/>
              </w:rPr>
            </w:pPr>
            <w:r w:rsidRPr="00B25E45">
              <w:rPr>
                <w:rFonts w:ascii="Garamond" w:eastAsia="Times New Roman" w:hAnsi="Garamond"/>
                <w:b/>
                <w:bCs/>
                <w:sz w:val="24"/>
                <w:szCs w:val="24"/>
                <w:lang w:eastAsia="cs-CZ"/>
              </w:rPr>
              <w:t>511</w:t>
            </w:r>
          </w:p>
        </w:tc>
        <w:tc>
          <w:tcPr>
            <w:tcW w:w="958" w:type="dxa"/>
            <w:tcBorders>
              <w:top w:val="nil"/>
              <w:left w:val="nil"/>
              <w:bottom w:val="double" w:sz="6" w:space="0" w:color="auto"/>
              <w:right w:val="nil"/>
            </w:tcBorders>
            <w:shd w:val="clear" w:color="auto" w:fill="auto"/>
            <w:noWrap/>
            <w:vAlign w:val="center"/>
            <w:hideMark/>
          </w:tcPr>
          <w:p w14:paraId="2A112E77" w14:textId="77777777" w:rsidR="0055370B" w:rsidRPr="00B25E45" w:rsidRDefault="0055370B" w:rsidP="0055370B">
            <w:pPr>
              <w:spacing w:after="0" w:line="240" w:lineRule="auto"/>
              <w:jc w:val="center"/>
              <w:rPr>
                <w:rFonts w:ascii="Garamond" w:eastAsia="Times New Roman" w:hAnsi="Garamond"/>
                <w:b/>
                <w:bCs/>
                <w:sz w:val="20"/>
                <w:szCs w:val="20"/>
                <w:lang w:eastAsia="cs-CZ"/>
              </w:rPr>
            </w:pPr>
            <w:r w:rsidRPr="00B25E45">
              <w:rPr>
                <w:rFonts w:ascii="Garamond" w:eastAsia="Times New Roman" w:hAnsi="Garamond"/>
                <w:b/>
                <w:bCs/>
                <w:sz w:val="20"/>
                <w:szCs w:val="20"/>
                <w:lang w:eastAsia="cs-CZ"/>
              </w:rPr>
              <w:t>-3 %</w:t>
            </w:r>
          </w:p>
        </w:tc>
        <w:tc>
          <w:tcPr>
            <w:tcW w:w="955" w:type="dxa"/>
            <w:tcBorders>
              <w:top w:val="nil"/>
              <w:left w:val="single" w:sz="4" w:space="0" w:color="auto"/>
              <w:bottom w:val="double" w:sz="6" w:space="0" w:color="auto"/>
              <w:right w:val="nil"/>
            </w:tcBorders>
            <w:shd w:val="clear" w:color="auto" w:fill="auto"/>
            <w:noWrap/>
            <w:vAlign w:val="bottom"/>
            <w:hideMark/>
          </w:tcPr>
          <w:p w14:paraId="70305867" w14:textId="77777777" w:rsidR="0055370B" w:rsidRPr="00B25E45" w:rsidRDefault="0055370B" w:rsidP="0055370B">
            <w:pPr>
              <w:spacing w:after="0" w:line="240" w:lineRule="auto"/>
              <w:jc w:val="center"/>
              <w:rPr>
                <w:rFonts w:ascii="Garamond" w:eastAsia="Times New Roman" w:hAnsi="Garamond"/>
                <w:b/>
                <w:bCs/>
                <w:sz w:val="24"/>
                <w:szCs w:val="24"/>
                <w:lang w:eastAsia="cs-CZ"/>
              </w:rPr>
            </w:pPr>
            <w:r w:rsidRPr="00B25E45">
              <w:rPr>
                <w:rFonts w:ascii="Garamond" w:eastAsia="Times New Roman" w:hAnsi="Garamond"/>
                <w:b/>
                <w:bCs/>
                <w:sz w:val="24"/>
                <w:szCs w:val="24"/>
                <w:lang w:eastAsia="cs-CZ"/>
              </w:rPr>
              <w:t>415</w:t>
            </w:r>
          </w:p>
        </w:tc>
        <w:tc>
          <w:tcPr>
            <w:tcW w:w="963" w:type="dxa"/>
            <w:tcBorders>
              <w:top w:val="nil"/>
              <w:left w:val="nil"/>
              <w:bottom w:val="double" w:sz="6" w:space="0" w:color="auto"/>
              <w:right w:val="single" w:sz="4" w:space="0" w:color="auto"/>
            </w:tcBorders>
            <w:shd w:val="clear" w:color="auto" w:fill="auto"/>
            <w:noWrap/>
            <w:vAlign w:val="center"/>
            <w:hideMark/>
          </w:tcPr>
          <w:p w14:paraId="09BC6B12" w14:textId="77777777" w:rsidR="0055370B" w:rsidRPr="00B25E45" w:rsidRDefault="0055370B" w:rsidP="0055370B">
            <w:pPr>
              <w:spacing w:after="0" w:line="240" w:lineRule="auto"/>
              <w:jc w:val="center"/>
              <w:rPr>
                <w:rFonts w:ascii="Garamond" w:eastAsia="Times New Roman" w:hAnsi="Garamond"/>
                <w:b/>
                <w:bCs/>
                <w:sz w:val="20"/>
                <w:szCs w:val="20"/>
                <w:lang w:eastAsia="cs-CZ"/>
              </w:rPr>
            </w:pPr>
            <w:r w:rsidRPr="00B25E45">
              <w:rPr>
                <w:rFonts w:ascii="Garamond" w:eastAsia="Times New Roman" w:hAnsi="Garamond"/>
                <w:b/>
                <w:bCs/>
                <w:sz w:val="20"/>
                <w:szCs w:val="20"/>
                <w:lang w:eastAsia="cs-CZ"/>
              </w:rPr>
              <w:t>-5 %</w:t>
            </w:r>
          </w:p>
        </w:tc>
        <w:tc>
          <w:tcPr>
            <w:tcW w:w="805" w:type="dxa"/>
            <w:tcBorders>
              <w:top w:val="nil"/>
              <w:left w:val="nil"/>
              <w:bottom w:val="double" w:sz="6" w:space="0" w:color="auto"/>
              <w:right w:val="nil"/>
            </w:tcBorders>
            <w:shd w:val="clear" w:color="auto" w:fill="auto"/>
            <w:noWrap/>
            <w:vAlign w:val="bottom"/>
            <w:hideMark/>
          </w:tcPr>
          <w:p w14:paraId="1C644A90" w14:textId="77777777" w:rsidR="0055370B" w:rsidRPr="00B25E45" w:rsidRDefault="0055370B" w:rsidP="0055370B">
            <w:pPr>
              <w:spacing w:after="0" w:line="240" w:lineRule="auto"/>
              <w:jc w:val="center"/>
              <w:rPr>
                <w:rFonts w:ascii="Garamond" w:eastAsia="Times New Roman" w:hAnsi="Garamond"/>
                <w:b/>
                <w:bCs/>
                <w:sz w:val="24"/>
                <w:szCs w:val="24"/>
                <w:lang w:eastAsia="cs-CZ"/>
              </w:rPr>
            </w:pPr>
            <w:r w:rsidRPr="00B25E45">
              <w:rPr>
                <w:rFonts w:ascii="Garamond" w:eastAsia="Times New Roman" w:hAnsi="Garamond"/>
                <w:b/>
                <w:bCs/>
                <w:sz w:val="24"/>
                <w:szCs w:val="24"/>
                <w:lang w:eastAsia="cs-CZ"/>
              </w:rPr>
              <w:t>1 105</w:t>
            </w:r>
          </w:p>
        </w:tc>
        <w:tc>
          <w:tcPr>
            <w:tcW w:w="948" w:type="dxa"/>
            <w:tcBorders>
              <w:top w:val="nil"/>
              <w:left w:val="nil"/>
              <w:bottom w:val="double" w:sz="6" w:space="0" w:color="auto"/>
              <w:right w:val="nil"/>
            </w:tcBorders>
            <w:shd w:val="clear" w:color="auto" w:fill="auto"/>
            <w:noWrap/>
            <w:vAlign w:val="center"/>
            <w:hideMark/>
          </w:tcPr>
          <w:p w14:paraId="4E8D328E" w14:textId="77777777" w:rsidR="0055370B" w:rsidRPr="00B25E45" w:rsidRDefault="0055370B" w:rsidP="0055370B">
            <w:pPr>
              <w:spacing w:after="0" w:line="240" w:lineRule="auto"/>
              <w:jc w:val="center"/>
              <w:rPr>
                <w:rFonts w:ascii="Garamond" w:eastAsia="Times New Roman" w:hAnsi="Garamond"/>
                <w:b/>
                <w:bCs/>
                <w:sz w:val="20"/>
                <w:szCs w:val="20"/>
                <w:lang w:eastAsia="cs-CZ"/>
              </w:rPr>
            </w:pPr>
            <w:r w:rsidRPr="00B25E45">
              <w:rPr>
                <w:rFonts w:ascii="Garamond" w:eastAsia="Times New Roman" w:hAnsi="Garamond"/>
                <w:b/>
                <w:bCs/>
                <w:sz w:val="20"/>
                <w:szCs w:val="20"/>
                <w:lang w:eastAsia="cs-CZ"/>
              </w:rPr>
              <w:t>-4 %</w:t>
            </w:r>
          </w:p>
        </w:tc>
      </w:tr>
      <w:tr w:rsidR="0055370B" w:rsidRPr="00B25E45" w14:paraId="5A80FFCD" w14:textId="77777777" w:rsidTr="0055370B">
        <w:trPr>
          <w:trHeight w:val="289"/>
        </w:trPr>
        <w:tc>
          <w:tcPr>
            <w:tcW w:w="2406" w:type="dxa"/>
            <w:tcBorders>
              <w:top w:val="nil"/>
              <w:left w:val="nil"/>
              <w:bottom w:val="nil"/>
              <w:right w:val="nil"/>
            </w:tcBorders>
            <w:shd w:val="clear" w:color="auto" w:fill="auto"/>
            <w:noWrap/>
            <w:vAlign w:val="bottom"/>
            <w:hideMark/>
          </w:tcPr>
          <w:p w14:paraId="4068E3AF" w14:textId="77777777" w:rsidR="0055370B" w:rsidRPr="00B25E45" w:rsidRDefault="0055370B" w:rsidP="0055370B">
            <w:pPr>
              <w:spacing w:after="0" w:line="240" w:lineRule="auto"/>
              <w:jc w:val="center"/>
              <w:rPr>
                <w:rFonts w:ascii="Garamond" w:eastAsia="Times New Roman" w:hAnsi="Garamond"/>
                <w:b/>
                <w:bCs/>
                <w:sz w:val="20"/>
                <w:szCs w:val="20"/>
                <w:lang w:eastAsia="cs-CZ"/>
              </w:rPr>
            </w:pPr>
          </w:p>
        </w:tc>
        <w:tc>
          <w:tcPr>
            <w:tcW w:w="1010" w:type="dxa"/>
            <w:tcBorders>
              <w:top w:val="nil"/>
              <w:left w:val="nil"/>
              <w:bottom w:val="nil"/>
              <w:right w:val="nil"/>
            </w:tcBorders>
            <w:shd w:val="clear" w:color="auto" w:fill="auto"/>
            <w:noWrap/>
            <w:vAlign w:val="bottom"/>
            <w:hideMark/>
          </w:tcPr>
          <w:p w14:paraId="12F38446" w14:textId="77777777" w:rsidR="0055370B" w:rsidRPr="00B25E45" w:rsidRDefault="0055370B" w:rsidP="0055370B">
            <w:pPr>
              <w:spacing w:after="0" w:line="240" w:lineRule="auto"/>
              <w:rPr>
                <w:rFonts w:ascii="Times New Roman" w:eastAsia="Times New Roman" w:hAnsi="Times New Roman"/>
                <w:sz w:val="20"/>
                <w:szCs w:val="20"/>
                <w:lang w:eastAsia="cs-CZ"/>
              </w:rPr>
            </w:pPr>
          </w:p>
        </w:tc>
        <w:tc>
          <w:tcPr>
            <w:tcW w:w="958" w:type="dxa"/>
            <w:tcBorders>
              <w:top w:val="nil"/>
              <w:left w:val="nil"/>
              <w:bottom w:val="nil"/>
              <w:right w:val="nil"/>
            </w:tcBorders>
            <w:shd w:val="clear" w:color="auto" w:fill="auto"/>
            <w:noWrap/>
            <w:vAlign w:val="bottom"/>
            <w:hideMark/>
          </w:tcPr>
          <w:p w14:paraId="232620C9" w14:textId="77777777" w:rsidR="0055370B" w:rsidRPr="00B25E45" w:rsidRDefault="0055370B" w:rsidP="0055370B">
            <w:pPr>
              <w:spacing w:after="0" w:line="240" w:lineRule="auto"/>
              <w:rPr>
                <w:rFonts w:ascii="Times New Roman" w:eastAsia="Times New Roman" w:hAnsi="Times New Roman"/>
                <w:sz w:val="20"/>
                <w:szCs w:val="20"/>
                <w:lang w:eastAsia="cs-CZ"/>
              </w:rPr>
            </w:pPr>
          </w:p>
        </w:tc>
        <w:tc>
          <w:tcPr>
            <w:tcW w:w="955" w:type="dxa"/>
            <w:tcBorders>
              <w:top w:val="nil"/>
              <w:left w:val="nil"/>
              <w:bottom w:val="nil"/>
              <w:right w:val="nil"/>
            </w:tcBorders>
            <w:shd w:val="clear" w:color="auto" w:fill="auto"/>
            <w:noWrap/>
            <w:vAlign w:val="bottom"/>
            <w:hideMark/>
          </w:tcPr>
          <w:p w14:paraId="08C49112" w14:textId="77777777" w:rsidR="0055370B" w:rsidRPr="00B25E45" w:rsidRDefault="0055370B" w:rsidP="0055370B">
            <w:pPr>
              <w:spacing w:after="0" w:line="240" w:lineRule="auto"/>
              <w:rPr>
                <w:rFonts w:ascii="Times New Roman" w:eastAsia="Times New Roman" w:hAnsi="Times New Roman"/>
                <w:sz w:val="20"/>
                <w:szCs w:val="20"/>
                <w:lang w:eastAsia="cs-CZ"/>
              </w:rPr>
            </w:pPr>
          </w:p>
        </w:tc>
        <w:tc>
          <w:tcPr>
            <w:tcW w:w="963" w:type="dxa"/>
            <w:tcBorders>
              <w:top w:val="nil"/>
              <w:left w:val="nil"/>
              <w:bottom w:val="nil"/>
              <w:right w:val="nil"/>
            </w:tcBorders>
            <w:shd w:val="clear" w:color="auto" w:fill="auto"/>
            <w:noWrap/>
            <w:vAlign w:val="bottom"/>
            <w:hideMark/>
          </w:tcPr>
          <w:p w14:paraId="77FE0F0A" w14:textId="77777777" w:rsidR="0055370B" w:rsidRPr="00B25E45" w:rsidRDefault="0055370B" w:rsidP="0055370B">
            <w:pPr>
              <w:spacing w:after="0" w:line="240" w:lineRule="auto"/>
              <w:rPr>
                <w:rFonts w:ascii="Times New Roman" w:eastAsia="Times New Roman" w:hAnsi="Times New Roman"/>
                <w:sz w:val="20"/>
                <w:szCs w:val="20"/>
                <w:lang w:eastAsia="cs-CZ"/>
              </w:rPr>
            </w:pPr>
          </w:p>
        </w:tc>
        <w:tc>
          <w:tcPr>
            <w:tcW w:w="805" w:type="dxa"/>
            <w:tcBorders>
              <w:top w:val="nil"/>
              <w:left w:val="nil"/>
              <w:bottom w:val="nil"/>
              <w:right w:val="nil"/>
            </w:tcBorders>
            <w:shd w:val="clear" w:color="auto" w:fill="auto"/>
            <w:noWrap/>
            <w:vAlign w:val="bottom"/>
            <w:hideMark/>
          </w:tcPr>
          <w:p w14:paraId="6893F8FA" w14:textId="77777777" w:rsidR="0055370B" w:rsidRPr="00B25E45" w:rsidRDefault="0055370B" w:rsidP="0055370B">
            <w:pPr>
              <w:spacing w:after="0" w:line="240" w:lineRule="auto"/>
              <w:rPr>
                <w:rFonts w:ascii="Times New Roman" w:eastAsia="Times New Roman" w:hAnsi="Times New Roman"/>
                <w:sz w:val="20"/>
                <w:szCs w:val="20"/>
                <w:lang w:eastAsia="cs-CZ"/>
              </w:rPr>
            </w:pPr>
          </w:p>
        </w:tc>
        <w:tc>
          <w:tcPr>
            <w:tcW w:w="948" w:type="dxa"/>
            <w:tcBorders>
              <w:top w:val="nil"/>
              <w:left w:val="nil"/>
              <w:bottom w:val="nil"/>
              <w:right w:val="nil"/>
            </w:tcBorders>
            <w:shd w:val="clear" w:color="auto" w:fill="auto"/>
            <w:noWrap/>
            <w:vAlign w:val="bottom"/>
            <w:hideMark/>
          </w:tcPr>
          <w:p w14:paraId="0FC382E3" w14:textId="77777777" w:rsidR="0055370B" w:rsidRPr="00B25E45" w:rsidRDefault="0055370B" w:rsidP="0055370B">
            <w:pPr>
              <w:spacing w:after="0" w:line="240" w:lineRule="auto"/>
              <w:rPr>
                <w:rFonts w:ascii="Times New Roman" w:eastAsia="Times New Roman" w:hAnsi="Times New Roman"/>
                <w:sz w:val="20"/>
                <w:szCs w:val="20"/>
                <w:lang w:eastAsia="cs-CZ"/>
              </w:rPr>
            </w:pPr>
          </w:p>
        </w:tc>
      </w:tr>
    </w:tbl>
    <w:p w14:paraId="75350596" w14:textId="0E2451D8" w:rsidR="0055370B" w:rsidRPr="00B25E45" w:rsidRDefault="0055370B" w:rsidP="000F0904">
      <w:pPr>
        <w:spacing w:before="120"/>
        <w:jc w:val="both"/>
        <w:rPr>
          <w:rFonts w:ascii="Times New Roman" w:hAnsi="Times New Roman"/>
          <w:sz w:val="24"/>
        </w:rPr>
      </w:pPr>
      <w:r w:rsidRPr="00B25E45">
        <w:rPr>
          <w:rFonts w:ascii="Times New Roman" w:hAnsi="Times New Roman"/>
          <w:sz w:val="24"/>
        </w:rPr>
        <w:t xml:space="preserve">O tom, že správní soudy se dlouhodobě potýkají s vysokým nápadem, se lze přesvědčit v této souhrnné tabulce, kdy v posledních letech nápad na krajských soudech převyšoval i 11 000 věcí ročně. To se samozřejmě projevuje na tom, že se </w:t>
      </w:r>
      <w:proofErr w:type="gramStart"/>
      <w:r w:rsidRPr="00B25E45">
        <w:rPr>
          <w:rFonts w:ascii="Times New Roman" w:hAnsi="Times New Roman"/>
          <w:sz w:val="24"/>
        </w:rPr>
        <w:t>nedaří</w:t>
      </w:r>
      <w:proofErr w:type="gramEnd"/>
      <w:r w:rsidRPr="00B25E45">
        <w:rPr>
          <w:rFonts w:ascii="Times New Roman" w:hAnsi="Times New Roman"/>
          <w:sz w:val="24"/>
        </w:rPr>
        <w:t xml:space="preserve"> snížit počet nedodělků a délka řízení se významněji nezkracuje, ale spíše stagnuje.</w:t>
      </w:r>
    </w:p>
    <w:p w14:paraId="226472CF" w14:textId="6501A179" w:rsidR="0055370B" w:rsidRPr="00B25E45" w:rsidRDefault="0055370B" w:rsidP="000F0904">
      <w:pPr>
        <w:spacing w:before="120"/>
        <w:jc w:val="both"/>
        <w:rPr>
          <w:rFonts w:ascii="Times New Roman" w:hAnsi="Times New Roman"/>
          <w:b/>
          <w:bCs/>
          <w:i/>
          <w:iCs/>
          <w:sz w:val="24"/>
        </w:rPr>
      </w:pPr>
      <w:r w:rsidRPr="00B25E45">
        <w:rPr>
          <w:rFonts w:ascii="Times New Roman" w:hAnsi="Times New Roman"/>
          <w:b/>
          <w:bCs/>
          <w:i/>
          <w:iCs/>
          <w:sz w:val="24"/>
        </w:rPr>
        <w:t>Nápad na krajských soudech, vč. nedodělků a obživlých věcí</w:t>
      </w:r>
    </w:p>
    <w:p w14:paraId="40D55149" w14:textId="6641610C" w:rsidR="0055370B" w:rsidRPr="00B25E45" w:rsidRDefault="0055370B" w:rsidP="000F0904">
      <w:pPr>
        <w:spacing w:before="120"/>
        <w:jc w:val="both"/>
        <w:rPr>
          <w:rFonts w:ascii="Times New Roman" w:hAnsi="Times New Roman"/>
          <w:sz w:val="24"/>
        </w:rPr>
      </w:pPr>
      <w:r w:rsidRPr="00B25E45">
        <w:rPr>
          <w:noProof/>
        </w:rPr>
        <w:drawing>
          <wp:inline distT="0" distB="0" distL="0" distR="0" wp14:anchorId="4B52B522" wp14:editId="62D588A6">
            <wp:extent cx="4819650" cy="3505199"/>
            <wp:effectExtent l="0" t="0" r="0" b="635"/>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29769" cy="3512558"/>
                    </a:xfrm>
                    <a:prstGeom prst="rect">
                      <a:avLst/>
                    </a:prstGeom>
                    <a:noFill/>
                    <a:ln>
                      <a:noFill/>
                    </a:ln>
                  </pic:spPr>
                </pic:pic>
              </a:graphicData>
            </a:graphic>
          </wp:inline>
        </w:drawing>
      </w:r>
    </w:p>
    <w:p w14:paraId="45E7F818" w14:textId="1F62F026" w:rsidR="0055370B" w:rsidRPr="00B25E45" w:rsidRDefault="0055370B" w:rsidP="000F0904">
      <w:pPr>
        <w:spacing w:before="120"/>
        <w:jc w:val="both"/>
        <w:rPr>
          <w:rFonts w:ascii="Times New Roman" w:hAnsi="Times New Roman"/>
          <w:sz w:val="24"/>
        </w:rPr>
      </w:pPr>
      <w:r w:rsidRPr="00B25E45">
        <w:rPr>
          <w:rFonts w:ascii="Times New Roman" w:hAnsi="Times New Roman"/>
          <w:sz w:val="24"/>
        </w:rPr>
        <w:t>Opět i v otázce nápadu a vyřizování agendy správních úseků krajských soudů se projevuje nevyrovnaná situace mezi jednotlivými soudy.</w:t>
      </w:r>
    </w:p>
    <w:p w14:paraId="31A3B5A7" w14:textId="04404DF2" w:rsidR="0055370B" w:rsidRPr="00B25E45" w:rsidRDefault="0055370B" w:rsidP="000F0904">
      <w:pPr>
        <w:spacing w:before="120"/>
        <w:jc w:val="both"/>
        <w:rPr>
          <w:rFonts w:ascii="Times New Roman" w:hAnsi="Times New Roman"/>
          <w:b/>
          <w:bCs/>
          <w:i/>
          <w:iCs/>
          <w:sz w:val="24"/>
        </w:rPr>
      </w:pPr>
      <w:r w:rsidRPr="00B25E45">
        <w:rPr>
          <w:rFonts w:ascii="Times New Roman" w:hAnsi="Times New Roman"/>
          <w:b/>
          <w:bCs/>
          <w:i/>
          <w:iCs/>
          <w:sz w:val="24"/>
        </w:rPr>
        <w:lastRenderedPageBreak/>
        <w:t>Nápad ve správní agendě podle jednotlivých krajských soudů</w:t>
      </w:r>
    </w:p>
    <w:tbl>
      <w:tblPr>
        <w:tblW w:w="9214" w:type="dxa"/>
        <w:tblCellMar>
          <w:left w:w="70" w:type="dxa"/>
          <w:right w:w="70" w:type="dxa"/>
        </w:tblCellMar>
        <w:tblLook w:val="04A0" w:firstRow="1" w:lastRow="0" w:firstColumn="1" w:lastColumn="0" w:noHBand="0" w:noVBand="1"/>
      </w:tblPr>
      <w:tblGrid>
        <w:gridCol w:w="2036"/>
        <w:gridCol w:w="898"/>
        <w:gridCol w:w="953"/>
        <w:gridCol w:w="1044"/>
        <w:gridCol w:w="953"/>
        <w:gridCol w:w="907"/>
        <w:gridCol w:w="864"/>
        <w:gridCol w:w="1559"/>
      </w:tblGrid>
      <w:tr w:rsidR="0055370B" w:rsidRPr="00B25E45" w14:paraId="37359865" w14:textId="77777777" w:rsidTr="00760B1A">
        <w:trPr>
          <w:trHeight w:val="330"/>
        </w:trPr>
        <w:tc>
          <w:tcPr>
            <w:tcW w:w="2036" w:type="dxa"/>
            <w:vMerge w:val="restart"/>
            <w:tcBorders>
              <w:top w:val="double" w:sz="6" w:space="0" w:color="auto"/>
              <w:left w:val="nil"/>
              <w:bottom w:val="double" w:sz="6" w:space="0" w:color="000000"/>
              <w:right w:val="nil"/>
            </w:tcBorders>
            <w:shd w:val="clear" w:color="auto" w:fill="auto"/>
            <w:noWrap/>
            <w:vAlign w:val="center"/>
            <w:hideMark/>
          </w:tcPr>
          <w:p w14:paraId="066E60AE" w14:textId="77777777" w:rsidR="0055370B" w:rsidRPr="00B25E45" w:rsidRDefault="0055370B" w:rsidP="0055370B">
            <w:pPr>
              <w:spacing w:after="0" w:line="240" w:lineRule="auto"/>
              <w:jc w:val="center"/>
              <w:rPr>
                <w:rFonts w:ascii="Garamond" w:eastAsia="Times New Roman" w:hAnsi="Garamond"/>
                <w:b/>
                <w:bCs/>
                <w:sz w:val="24"/>
                <w:szCs w:val="24"/>
                <w:lang w:eastAsia="cs-CZ"/>
              </w:rPr>
            </w:pPr>
            <w:r w:rsidRPr="00B25E45">
              <w:rPr>
                <w:rFonts w:ascii="Garamond" w:eastAsia="Times New Roman" w:hAnsi="Garamond"/>
                <w:b/>
                <w:bCs/>
                <w:sz w:val="24"/>
                <w:szCs w:val="24"/>
                <w:lang w:eastAsia="cs-CZ"/>
              </w:rPr>
              <w:t>Soud</w:t>
            </w:r>
          </w:p>
        </w:tc>
        <w:tc>
          <w:tcPr>
            <w:tcW w:w="5619" w:type="dxa"/>
            <w:gridSpan w:val="6"/>
            <w:tcBorders>
              <w:top w:val="double" w:sz="6" w:space="0" w:color="auto"/>
              <w:left w:val="nil"/>
              <w:bottom w:val="nil"/>
              <w:right w:val="single" w:sz="4" w:space="0" w:color="000000"/>
            </w:tcBorders>
            <w:shd w:val="clear" w:color="auto" w:fill="auto"/>
            <w:noWrap/>
            <w:vAlign w:val="center"/>
            <w:hideMark/>
          </w:tcPr>
          <w:p w14:paraId="537FAB42" w14:textId="77777777" w:rsidR="0055370B" w:rsidRPr="00B25E45" w:rsidRDefault="0055370B" w:rsidP="0055370B">
            <w:pPr>
              <w:spacing w:after="0" w:line="240" w:lineRule="auto"/>
              <w:jc w:val="center"/>
              <w:rPr>
                <w:rFonts w:ascii="Garamond" w:eastAsia="Times New Roman" w:hAnsi="Garamond"/>
                <w:b/>
                <w:bCs/>
                <w:sz w:val="24"/>
                <w:szCs w:val="24"/>
                <w:lang w:eastAsia="cs-CZ"/>
              </w:rPr>
            </w:pPr>
            <w:r w:rsidRPr="00B25E45">
              <w:rPr>
                <w:rFonts w:ascii="Garamond" w:eastAsia="Times New Roman" w:hAnsi="Garamond"/>
                <w:b/>
                <w:bCs/>
                <w:sz w:val="24"/>
                <w:szCs w:val="24"/>
                <w:lang w:eastAsia="cs-CZ"/>
              </w:rPr>
              <w:t>Počet věcí</w:t>
            </w:r>
          </w:p>
        </w:tc>
        <w:tc>
          <w:tcPr>
            <w:tcW w:w="1559" w:type="dxa"/>
            <w:vMerge w:val="restart"/>
            <w:tcBorders>
              <w:top w:val="double" w:sz="6" w:space="0" w:color="auto"/>
              <w:left w:val="nil"/>
              <w:bottom w:val="double" w:sz="6" w:space="0" w:color="000000"/>
              <w:right w:val="nil"/>
            </w:tcBorders>
            <w:shd w:val="clear" w:color="auto" w:fill="auto"/>
            <w:vAlign w:val="center"/>
            <w:hideMark/>
          </w:tcPr>
          <w:p w14:paraId="63D9D7B8" w14:textId="77777777" w:rsidR="0055370B" w:rsidRPr="00B25E45" w:rsidRDefault="0055370B" w:rsidP="0055370B">
            <w:pPr>
              <w:spacing w:after="0" w:line="240" w:lineRule="auto"/>
              <w:jc w:val="center"/>
              <w:rPr>
                <w:rFonts w:ascii="Garamond" w:eastAsia="Times New Roman" w:hAnsi="Garamond"/>
                <w:b/>
                <w:bCs/>
                <w:sz w:val="24"/>
                <w:szCs w:val="24"/>
                <w:lang w:eastAsia="cs-CZ"/>
              </w:rPr>
            </w:pPr>
            <w:r w:rsidRPr="00B25E45">
              <w:rPr>
                <w:rFonts w:ascii="Garamond" w:eastAsia="Times New Roman" w:hAnsi="Garamond"/>
                <w:b/>
                <w:bCs/>
                <w:sz w:val="24"/>
                <w:szCs w:val="24"/>
                <w:lang w:eastAsia="cs-CZ"/>
              </w:rPr>
              <w:t>Míra vyřizování</w:t>
            </w:r>
          </w:p>
        </w:tc>
      </w:tr>
      <w:tr w:rsidR="0055370B" w:rsidRPr="00B25E45" w14:paraId="3749DAC8" w14:textId="77777777" w:rsidTr="00760B1A">
        <w:trPr>
          <w:trHeight w:val="330"/>
        </w:trPr>
        <w:tc>
          <w:tcPr>
            <w:tcW w:w="2036" w:type="dxa"/>
            <w:vMerge/>
            <w:tcBorders>
              <w:top w:val="double" w:sz="6" w:space="0" w:color="auto"/>
              <w:left w:val="nil"/>
              <w:bottom w:val="double" w:sz="6" w:space="0" w:color="000000"/>
              <w:right w:val="nil"/>
            </w:tcBorders>
            <w:vAlign w:val="center"/>
            <w:hideMark/>
          </w:tcPr>
          <w:p w14:paraId="1E241969" w14:textId="77777777" w:rsidR="0055370B" w:rsidRPr="00B25E45" w:rsidRDefault="0055370B" w:rsidP="0055370B">
            <w:pPr>
              <w:spacing w:after="0" w:line="240" w:lineRule="auto"/>
              <w:rPr>
                <w:rFonts w:ascii="Garamond" w:eastAsia="Times New Roman" w:hAnsi="Garamond"/>
                <w:b/>
                <w:bCs/>
                <w:sz w:val="24"/>
                <w:szCs w:val="24"/>
                <w:lang w:eastAsia="cs-CZ"/>
              </w:rPr>
            </w:pPr>
          </w:p>
        </w:tc>
        <w:tc>
          <w:tcPr>
            <w:tcW w:w="1851" w:type="dxa"/>
            <w:gridSpan w:val="2"/>
            <w:tcBorders>
              <w:top w:val="nil"/>
              <w:left w:val="nil"/>
              <w:bottom w:val="double" w:sz="6" w:space="0" w:color="auto"/>
              <w:right w:val="nil"/>
            </w:tcBorders>
            <w:shd w:val="clear" w:color="auto" w:fill="auto"/>
            <w:noWrap/>
            <w:vAlign w:val="center"/>
            <w:hideMark/>
          </w:tcPr>
          <w:p w14:paraId="69EF85E4" w14:textId="77777777" w:rsidR="0055370B" w:rsidRPr="00B25E45" w:rsidRDefault="0055370B" w:rsidP="0055370B">
            <w:pPr>
              <w:spacing w:after="0" w:line="240" w:lineRule="auto"/>
              <w:jc w:val="center"/>
              <w:rPr>
                <w:rFonts w:ascii="Garamond" w:eastAsia="Times New Roman" w:hAnsi="Garamond"/>
                <w:b/>
                <w:bCs/>
                <w:sz w:val="24"/>
                <w:szCs w:val="24"/>
                <w:lang w:eastAsia="cs-CZ"/>
              </w:rPr>
            </w:pPr>
            <w:r w:rsidRPr="00B25E45">
              <w:rPr>
                <w:rFonts w:ascii="Garamond" w:eastAsia="Times New Roman" w:hAnsi="Garamond"/>
                <w:b/>
                <w:bCs/>
                <w:sz w:val="24"/>
                <w:szCs w:val="24"/>
                <w:lang w:eastAsia="cs-CZ"/>
              </w:rPr>
              <w:t>Nápad + obživa</w:t>
            </w:r>
          </w:p>
        </w:tc>
        <w:tc>
          <w:tcPr>
            <w:tcW w:w="1997" w:type="dxa"/>
            <w:gridSpan w:val="2"/>
            <w:tcBorders>
              <w:top w:val="nil"/>
              <w:left w:val="single" w:sz="4" w:space="0" w:color="auto"/>
              <w:bottom w:val="double" w:sz="6" w:space="0" w:color="auto"/>
              <w:right w:val="single" w:sz="4" w:space="0" w:color="000000"/>
            </w:tcBorders>
            <w:shd w:val="clear" w:color="auto" w:fill="auto"/>
            <w:noWrap/>
            <w:vAlign w:val="center"/>
            <w:hideMark/>
          </w:tcPr>
          <w:p w14:paraId="24F0773D" w14:textId="77777777" w:rsidR="0055370B" w:rsidRPr="00B25E45" w:rsidRDefault="0055370B" w:rsidP="0055370B">
            <w:pPr>
              <w:spacing w:after="0" w:line="240" w:lineRule="auto"/>
              <w:jc w:val="center"/>
              <w:rPr>
                <w:rFonts w:ascii="Garamond" w:eastAsia="Times New Roman" w:hAnsi="Garamond"/>
                <w:b/>
                <w:bCs/>
                <w:sz w:val="24"/>
                <w:szCs w:val="24"/>
                <w:lang w:eastAsia="cs-CZ"/>
              </w:rPr>
            </w:pPr>
            <w:r w:rsidRPr="00B25E45">
              <w:rPr>
                <w:rFonts w:ascii="Garamond" w:eastAsia="Times New Roman" w:hAnsi="Garamond"/>
                <w:b/>
                <w:bCs/>
                <w:sz w:val="24"/>
                <w:szCs w:val="24"/>
                <w:lang w:eastAsia="cs-CZ"/>
              </w:rPr>
              <w:t>Vyřízeno</w:t>
            </w:r>
          </w:p>
        </w:tc>
        <w:tc>
          <w:tcPr>
            <w:tcW w:w="1771" w:type="dxa"/>
            <w:gridSpan w:val="2"/>
            <w:tcBorders>
              <w:top w:val="nil"/>
              <w:left w:val="nil"/>
              <w:bottom w:val="double" w:sz="6" w:space="0" w:color="auto"/>
              <w:right w:val="single" w:sz="4" w:space="0" w:color="000000"/>
            </w:tcBorders>
            <w:shd w:val="clear" w:color="auto" w:fill="auto"/>
            <w:noWrap/>
            <w:vAlign w:val="center"/>
            <w:hideMark/>
          </w:tcPr>
          <w:p w14:paraId="381B18DB" w14:textId="77777777" w:rsidR="0055370B" w:rsidRPr="00B25E45" w:rsidRDefault="0055370B" w:rsidP="0055370B">
            <w:pPr>
              <w:spacing w:after="0" w:line="240" w:lineRule="auto"/>
              <w:jc w:val="center"/>
              <w:rPr>
                <w:rFonts w:ascii="Garamond" w:eastAsia="Times New Roman" w:hAnsi="Garamond"/>
                <w:b/>
                <w:bCs/>
                <w:sz w:val="24"/>
                <w:szCs w:val="24"/>
                <w:lang w:eastAsia="cs-CZ"/>
              </w:rPr>
            </w:pPr>
            <w:r w:rsidRPr="00B25E45">
              <w:rPr>
                <w:rFonts w:ascii="Garamond" w:eastAsia="Times New Roman" w:hAnsi="Garamond"/>
                <w:b/>
                <w:bCs/>
                <w:sz w:val="24"/>
                <w:szCs w:val="24"/>
                <w:lang w:eastAsia="cs-CZ"/>
              </w:rPr>
              <w:t>Nevyřízeno</w:t>
            </w:r>
          </w:p>
        </w:tc>
        <w:tc>
          <w:tcPr>
            <w:tcW w:w="1559" w:type="dxa"/>
            <w:vMerge/>
            <w:tcBorders>
              <w:top w:val="double" w:sz="6" w:space="0" w:color="auto"/>
              <w:left w:val="nil"/>
              <w:bottom w:val="double" w:sz="6" w:space="0" w:color="000000"/>
              <w:right w:val="nil"/>
            </w:tcBorders>
            <w:vAlign w:val="center"/>
            <w:hideMark/>
          </w:tcPr>
          <w:p w14:paraId="02955E28" w14:textId="77777777" w:rsidR="0055370B" w:rsidRPr="00B25E45" w:rsidRDefault="0055370B" w:rsidP="0055370B">
            <w:pPr>
              <w:spacing w:after="0" w:line="240" w:lineRule="auto"/>
              <w:rPr>
                <w:rFonts w:ascii="Garamond" w:eastAsia="Times New Roman" w:hAnsi="Garamond"/>
                <w:b/>
                <w:bCs/>
                <w:sz w:val="24"/>
                <w:szCs w:val="24"/>
                <w:lang w:eastAsia="cs-CZ"/>
              </w:rPr>
            </w:pPr>
          </w:p>
        </w:tc>
      </w:tr>
      <w:tr w:rsidR="0055370B" w:rsidRPr="00B25E45" w14:paraId="7394EAA2" w14:textId="77777777" w:rsidTr="00760B1A">
        <w:trPr>
          <w:trHeight w:val="330"/>
        </w:trPr>
        <w:tc>
          <w:tcPr>
            <w:tcW w:w="2036" w:type="dxa"/>
            <w:tcBorders>
              <w:top w:val="single" w:sz="4" w:space="0" w:color="auto"/>
              <w:left w:val="nil"/>
              <w:bottom w:val="single" w:sz="4" w:space="0" w:color="auto"/>
              <w:right w:val="nil"/>
            </w:tcBorders>
            <w:shd w:val="clear" w:color="auto" w:fill="auto"/>
            <w:noWrap/>
            <w:vAlign w:val="bottom"/>
            <w:hideMark/>
          </w:tcPr>
          <w:p w14:paraId="275AF19E" w14:textId="77777777" w:rsidR="0055370B" w:rsidRPr="00B25E45" w:rsidRDefault="0055370B" w:rsidP="0055370B">
            <w:pPr>
              <w:spacing w:after="0" w:line="240" w:lineRule="auto"/>
              <w:rPr>
                <w:rFonts w:ascii="Garamond" w:eastAsia="Times New Roman" w:hAnsi="Garamond"/>
                <w:sz w:val="24"/>
                <w:szCs w:val="24"/>
                <w:lang w:eastAsia="cs-CZ"/>
              </w:rPr>
            </w:pPr>
            <w:r w:rsidRPr="00B25E45">
              <w:rPr>
                <w:rFonts w:ascii="Garamond" w:eastAsia="Times New Roman" w:hAnsi="Garamond"/>
                <w:sz w:val="24"/>
                <w:szCs w:val="24"/>
                <w:lang w:eastAsia="cs-CZ"/>
              </w:rPr>
              <w:t>MS Praha</w:t>
            </w:r>
          </w:p>
        </w:tc>
        <w:tc>
          <w:tcPr>
            <w:tcW w:w="898" w:type="dxa"/>
            <w:tcBorders>
              <w:top w:val="single" w:sz="4" w:space="0" w:color="auto"/>
              <w:left w:val="nil"/>
              <w:bottom w:val="single" w:sz="4" w:space="0" w:color="auto"/>
              <w:right w:val="nil"/>
            </w:tcBorders>
            <w:shd w:val="clear" w:color="auto" w:fill="auto"/>
            <w:noWrap/>
            <w:vAlign w:val="bottom"/>
            <w:hideMark/>
          </w:tcPr>
          <w:p w14:paraId="66F40566"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3 260</w:t>
            </w:r>
          </w:p>
        </w:tc>
        <w:tc>
          <w:tcPr>
            <w:tcW w:w="953" w:type="dxa"/>
            <w:tcBorders>
              <w:top w:val="single" w:sz="4" w:space="0" w:color="auto"/>
              <w:left w:val="nil"/>
              <w:bottom w:val="single" w:sz="4" w:space="0" w:color="auto"/>
              <w:right w:val="nil"/>
            </w:tcBorders>
            <w:shd w:val="clear" w:color="auto" w:fill="auto"/>
            <w:noWrap/>
            <w:vAlign w:val="center"/>
            <w:hideMark/>
          </w:tcPr>
          <w:p w14:paraId="3A801370"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+3 %</w:t>
            </w:r>
          </w:p>
        </w:tc>
        <w:tc>
          <w:tcPr>
            <w:tcW w:w="1044" w:type="dxa"/>
            <w:tcBorders>
              <w:top w:val="single" w:sz="4" w:space="0" w:color="auto"/>
              <w:left w:val="single" w:sz="4" w:space="0" w:color="auto"/>
              <w:bottom w:val="single" w:sz="4" w:space="0" w:color="auto"/>
              <w:right w:val="nil"/>
            </w:tcBorders>
            <w:shd w:val="clear" w:color="auto" w:fill="auto"/>
            <w:noWrap/>
            <w:vAlign w:val="bottom"/>
            <w:hideMark/>
          </w:tcPr>
          <w:p w14:paraId="5E76936A"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3 851</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14:paraId="060240A6"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-4 %</w:t>
            </w:r>
          </w:p>
        </w:tc>
        <w:tc>
          <w:tcPr>
            <w:tcW w:w="907" w:type="dxa"/>
            <w:tcBorders>
              <w:top w:val="single" w:sz="4" w:space="0" w:color="auto"/>
              <w:left w:val="nil"/>
              <w:bottom w:val="single" w:sz="4" w:space="0" w:color="auto"/>
              <w:right w:val="nil"/>
            </w:tcBorders>
            <w:shd w:val="clear" w:color="auto" w:fill="auto"/>
            <w:noWrap/>
            <w:vAlign w:val="bottom"/>
            <w:hideMark/>
          </w:tcPr>
          <w:p w14:paraId="1F76CC71"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3 206</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2B8DBE01"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-16 %</w:t>
            </w:r>
          </w:p>
        </w:tc>
        <w:tc>
          <w:tcPr>
            <w:tcW w:w="1559" w:type="dxa"/>
            <w:tcBorders>
              <w:top w:val="nil"/>
              <w:left w:val="nil"/>
              <w:bottom w:val="single" w:sz="4" w:space="0" w:color="auto"/>
              <w:right w:val="nil"/>
            </w:tcBorders>
            <w:shd w:val="clear" w:color="auto" w:fill="auto"/>
            <w:noWrap/>
            <w:vAlign w:val="center"/>
            <w:hideMark/>
          </w:tcPr>
          <w:p w14:paraId="77BEF39E"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118,1 %</w:t>
            </w:r>
          </w:p>
        </w:tc>
      </w:tr>
      <w:tr w:rsidR="0055370B" w:rsidRPr="00B25E45" w14:paraId="306F287A" w14:textId="77777777" w:rsidTr="00760B1A">
        <w:trPr>
          <w:trHeight w:val="315"/>
        </w:trPr>
        <w:tc>
          <w:tcPr>
            <w:tcW w:w="2036" w:type="dxa"/>
            <w:tcBorders>
              <w:top w:val="nil"/>
              <w:left w:val="nil"/>
              <w:bottom w:val="single" w:sz="4" w:space="0" w:color="auto"/>
              <w:right w:val="nil"/>
            </w:tcBorders>
            <w:shd w:val="clear" w:color="auto" w:fill="auto"/>
            <w:noWrap/>
            <w:vAlign w:val="bottom"/>
            <w:hideMark/>
          </w:tcPr>
          <w:p w14:paraId="32FA3AF8" w14:textId="77777777" w:rsidR="0055370B" w:rsidRPr="00B25E45" w:rsidRDefault="0055370B" w:rsidP="0055370B">
            <w:pPr>
              <w:spacing w:after="0" w:line="240" w:lineRule="auto"/>
              <w:rPr>
                <w:rFonts w:ascii="Garamond" w:eastAsia="Times New Roman" w:hAnsi="Garamond"/>
                <w:sz w:val="24"/>
                <w:szCs w:val="24"/>
                <w:lang w:eastAsia="cs-CZ"/>
              </w:rPr>
            </w:pPr>
            <w:r w:rsidRPr="00B25E45">
              <w:rPr>
                <w:rFonts w:ascii="Garamond" w:eastAsia="Times New Roman" w:hAnsi="Garamond"/>
                <w:sz w:val="24"/>
                <w:szCs w:val="24"/>
                <w:lang w:eastAsia="cs-CZ"/>
              </w:rPr>
              <w:t>KS Praha</w:t>
            </w:r>
          </w:p>
        </w:tc>
        <w:tc>
          <w:tcPr>
            <w:tcW w:w="898" w:type="dxa"/>
            <w:tcBorders>
              <w:top w:val="nil"/>
              <w:left w:val="nil"/>
              <w:bottom w:val="single" w:sz="4" w:space="0" w:color="auto"/>
              <w:right w:val="nil"/>
            </w:tcBorders>
            <w:shd w:val="clear" w:color="auto" w:fill="auto"/>
            <w:noWrap/>
            <w:vAlign w:val="bottom"/>
            <w:hideMark/>
          </w:tcPr>
          <w:p w14:paraId="44B50825"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892</w:t>
            </w:r>
          </w:p>
        </w:tc>
        <w:tc>
          <w:tcPr>
            <w:tcW w:w="953" w:type="dxa"/>
            <w:tcBorders>
              <w:top w:val="nil"/>
              <w:left w:val="nil"/>
              <w:bottom w:val="single" w:sz="4" w:space="0" w:color="auto"/>
              <w:right w:val="nil"/>
            </w:tcBorders>
            <w:shd w:val="clear" w:color="auto" w:fill="auto"/>
            <w:noWrap/>
            <w:vAlign w:val="center"/>
            <w:hideMark/>
          </w:tcPr>
          <w:p w14:paraId="70065B4A"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-11 %</w:t>
            </w:r>
          </w:p>
        </w:tc>
        <w:tc>
          <w:tcPr>
            <w:tcW w:w="1044" w:type="dxa"/>
            <w:tcBorders>
              <w:top w:val="nil"/>
              <w:left w:val="single" w:sz="4" w:space="0" w:color="auto"/>
              <w:bottom w:val="single" w:sz="4" w:space="0" w:color="auto"/>
              <w:right w:val="nil"/>
            </w:tcBorders>
            <w:shd w:val="clear" w:color="auto" w:fill="auto"/>
            <w:noWrap/>
            <w:vAlign w:val="bottom"/>
            <w:hideMark/>
          </w:tcPr>
          <w:p w14:paraId="3EE91CA5"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1170</w:t>
            </w:r>
          </w:p>
        </w:tc>
        <w:tc>
          <w:tcPr>
            <w:tcW w:w="953" w:type="dxa"/>
            <w:tcBorders>
              <w:top w:val="nil"/>
              <w:left w:val="nil"/>
              <w:bottom w:val="single" w:sz="4" w:space="0" w:color="auto"/>
              <w:right w:val="single" w:sz="4" w:space="0" w:color="auto"/>
            </w:tcBorders>
            <w:shd w:val="clear" w:color="auto" w:fill="auto"/>
            <w:noWrap/>
            <w:vAlign w:val="center"/>
            <w:hideMark/>
          </w:tcPr>
          <w:p w14:paraId="0FFCBC0A"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+15 %</w:t>
            </w:r>
          </w:p>
        </w:tc>
        <w:tc>
          <w:tcPr>
            <w:tcW w:w="907" w:type="dxa"/>
            <w:tcBorders>
              <w:top w:val="nil"/>
              <w:left w:val="nil"/>
              <w:bottom w:val="single" w:sz="4" w:space="0" w:color="auto"/>
              <w:right w:val="nil"/>
            </w:tcBorders>
            <w:shd w:val="clear" w:color="auto" w:fill="auto"/>
            <w:noWrap/>
            <w:vAlign w:val="bottom"/>
            <w:hideMark/>
          </w:tcPr>
          <w:p w14:paraId="6DC673CB"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734</w:t>
            </w:r>
          </w:p>
        </w:tc>
        <w:tc>
          <w:tcPr>
            <w:tcW w:w="864" w:type="dxa"/>
            <w:tcBorders>
              <w:top w:val="nil"/>
              <w:left w:val="nil"/>
              <w:bottom w:val="single" w:sz="4" w:space="0" w:color="auto"/>
              <w:right w:val="single" w:sz="4" w:space="0" w:color="auto"/>
            </w:tcBorders>
            <w:shd w:val="clear" w:color="auto" w:fill="auto"/>
            <w:noWrap/>
            <w:vAlign w:val="center"/>
            <w:hideMark/>
          </w:tcPr>
          <w:p w14:paraId="71551A5F"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-27 %</w:t>
            </w:r>
          </w:p>
        </w:tc>
        <w:tc>
          <w:tcPr>
            <w:tcW w:w="1559" w:type="dxa"/>
            <w:tcBorders>
              <w:top w:val="nil"/>
              <w:left w:val="nil"/>
              <w:bottom w:val="single" w:sz="4" w:space="0" w:color="auto"/>
              <w:right w:val="nil"/>
            </w:tcBorders>
            <w:shd w:val="clear" w:color="auto" w:fill="auto"/>
            <w:noWrap/>
            <w:vAlign w:val="center"/>
            <w:hideMark/>
          </w:tcPr>
          <w:p w14:paraId="68E19071"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131,2 %</w:t>
            </w:r>
          </w:p>
        </w:tc>
      </w:tr>
      <w:tr w:rsidR="0055370B" w:rsidRPr="00B25E45" w14:paraId="6169452B" w14:textId="77777777" w:rsidTr="00760B1A">
        <w:trPr>
          <w:trHeight w:val="315"/>
        </w:trPr>
        <w:tc>
          <w:tcPr>
            <w:tcW w:w="2036" w:type="dxa"/>
            <w:tcBorders>
              <w:top w:val="nil"/>
              <w:left w:val="nil"/>
              <w:bottom w:val="single" w:sz="4" w:space="0" w:color="auto"/>
              <w:right w:val="nil"/>
            </w:tcBorders>
            <w:shd w:val="clear" w:color="auto" w:fill="auto"/>
            <w:noWrap/>
            <w:vAlign w:val="bottom"/>
            <w:hideMark/>
          </w:tcPr>
          <w:p w14:paraId="3370999A" w14:textId="77777777" w:rsidR="0055370B" w:rsidRPr="00B25E45" w:rsidRDefault="0055370B" w:rsidP="0055370B">
            <w:pPr>
              <w:spacing w:after="0" w:line="240" w:lineRule="auto"/>
              <w:rPr>
                <w:rFonts w:ascii="Garamond" w:eastAsia="Times New Roman" w:hAnsi="Garamond"/>
                <w:sz w:val="24"/>
                <w:szCs w:val="24"/>
                <w:lang w:eastAsia="cs-CZ"/>
              </w:rPr>
            </w:pPr>
            <w:r w:rsidRPr="00B25E45">
              <w:rPr>
                <w:rFonts w:ascii="Garamond" w:eastAsia="Times New Roman" w:hAnsi="Garamond"/>
                <w:sz w:val="24"/>
                <w:szCs w:val="24"/>
                <w:lang w:eastAsia="cs-CZ"/>
              </w:rPr>
              <w:t>KS Č. Budějovice</w:t>
            </w:r>
          </w:p>
        </w:tc>
        <w:tc>
          <w:tcPr>
            <w:tcW w:w="898" w:type="dxa"/>
            <w:tcBorders>
              <w:top w:val="nil"/>
              <w:left w:val="nil"/>
              <w:bottom w:val="single" w:sz="4" w:space="0" w:color="auto"/>
              <w:right w:val="nil"/>
            </w:tcBorders>
            <w:shd w:val="clear" w:color="auto" w:fill="auto"/>
            <w:noWrap/>
            <w:vAlign w:val="bottom"/>
            <w:hideMark/>
          </w:tcPr>
          <w:p w14:paraId="01C17527"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376</w:t>
            </w:r>
          </w:p>
        </w:tc>
        <w:tc>
          <w:tcPr>
            <w:tcW w:w="953" w:type="dxa"/>
            <w:tcBorders>
              <w:top w:val="nil"/>
              <w:left w:val="nil"/>
              <w:bottom w:val="single" w:sz="4" w:space="0" w:color="auto"/>
              <w:right w:val="nil"/>
            </w:tcBorders>
            <w:shd w:val="clear" w:color="auto" w:fill="auto"/>
            <w:noWrap/>
            <w:vAlign w:val="center"/>
            <w:hideMark/>
          </w:tcPr>
          <w:p w14:paraId="75B8023A"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+14 %</w:t>
            </w:r>
          </w:p>
        </w:tc>
        <w:tc>
          <w:tcPr>
            <w:tcW w:w="1044" w:type="dxa"/>
            <w:tcBorders>
              <w:top w:val="nil"/>
              <w:left w:val="single" w:sz="4" w:space="0" w:color="auto"/>
              <w:bottom w:val="single" w:sz="4" w:space="0" w:color="auto"/>
              <w:right w:val="nil"/>
            </w:tcBorders>
            <w:shd w:val="clear" w:color="auto" w:fill="auto"/>
            <w:noWrap/>
            <w:vAlign w:val="bottom"/>
            <w:hideMark/>
          </w:tcPr>
          <w:p w14:paraId="2F3A5998"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345</w:t>
            </w:r>
          </w:p>
        </w:tc>
        <w:tc>
          <w:tcPr>
            <w:tcW w:w="953" w:type="dxa"/>
            <w:tcBorders>
              <w:top w:val="nil"/>
              <w:left w:val="nil"/>
              <w:bottom w:val="single" w:sz="4" w:space="0" w:color="auto"/>
              <w:right w:val="single" w:sz="4" w:space="0" w:color="auto"/>
            </w:tcBorders>
            <w:shd w:val="clear" w:color="auto" w:fill="auto"/>
            <w:noWrap/>
            <w:vAlign w:val="center"/>
            <w:hideMark/>
          </w:tcPr>
          <w:p w14:paraId="6C8BE39F"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-3 %</w:t>
            </w:r>
          </w:p>
        </w:tc>
        <w:tc>
          <w:tcPr>
            <w:tcW w:w="907" w:type="dxa"/>
            <w:tcBorders>
              <w:top w:val="nil"/>
              <w:left w:val="nil"/>
              <w:bottom w:val="single" w:sz="4" w:space="0" w:color="auto"/>
              <w:right w:val="nil"/>
            </w:tcBorders>
            <w:shd w:val="clear" w:color="auto" w:fill="auto"/>
            <w:noWrap/>
            <w:vAlign w:val="bottom"/>
            <w:hideMark/>
          </w:tcPr>
          <w:p w14:paraId="4DA84EEF"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189</w:t>
            </w:r>
          </w:p>
        </w:tc>
        <w:tc>
          <w:tcPr>
            <w:tcW w:w="864" w:type="dxa"/>
            <w:tcBorders>
              <w:top w:val="nil"/>
              <w:left w:val="nil"/>
              <w:bottom w:val="single" w:sz="4" w:space="0" w:color="auto"/>
              <w:right w:val="single" w:sz="4" w:space="0" w:color="auto"/>
            </w:tcBorders>
            <w:shd w:val="clear" w:color="auto" w:fill="auto"/>
            <w:noWrap/>
            <w:vAlign w:val="center"/>
            <w:hideMark/>
          </w:tcPr>
          <w:p w14:paraId="4CE9108C"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+20 %</w:t>
            </w:r>
          </w:p>
        </w:tc>
        <w:tc>
          <w:tcPr>
            <w:tcW w:w="1559" w:type="dxa"/>
            <w:tcBorders>
              <w:top w:val="nil"/>
              <w:left w:val="nil"/>
              <w:bottom w:val="single" w:sz="4" w:space="0" w:color="auto"/>
              <w:right w:val="nil"/>
            </w:tcBorders>
            <w:shd w:val="clear" w:color="auto" w:fill="auto"/>
            <w:noWrap/>
            <w:vAlign w:val="center"/>
            <w:hideMark/>
          </w:tcPr>
          <w:p w14:paraId="242CB004"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91,8 %</w:t>
            </w:r>
          </w:p>
        </w:tc>
      </w:tr>
      <w:tr w:rsidR="0055370B" w:rsidRPr="00B25E45" w14:paraId="67FAF8A3" w14:textId="77777777" w:rsidTr="00760B1A">
        <w:trPr>
          <w:trHeight w:val="315"/>
        </w:trPr>
        <w:tc>
          <w:tcPr>
            <w:tcW w:w="2036" w:type="dxa"/>
            <w:tcBorders>
              <w:top w:val="nil"/>
              <w:left w:val="nil"/>
              <w:bottom w:val="single" w:sz="4" w:space="0" w:color="auto"/>
              <w:right w:val="nil"/>
            </w:tcBorders>
            <w:shd w:val="clear" w:color="auto" w:fill="auto"/>
            <w:noWrap/>
            <w:vAlign w:val="bottom"/>
            <w:hideMark/>
          </w:tcPr>
          <w:p w14:paraId="1E8F79E9" w14:textId="77777777" w:rsidR="0055370B" w:rsidRPr="00B25E45" w:rsidRDefault="0055370B" w:rsidP="0055370B">
            <w:pPr>
              <w:spacing w:after="0" w:line="240" w:lineRule="auto"/>
              <w:rPr>
                <w:rFonts w:ascii="Garamond" w:eastAsia="Times New Roman" w:hAnsi="Garamond"/>
                <w:sz w:val="24"/>
                <w:szCs w:val="24"/>
                <w:lang w:eastAsia="cs-CZ"/>
              </w:rPr>
            </w:pPr>
            <w:r w:rsidRPr="00B25E45">
              <w:rPr>
                <w:rFonts w:ascii="Garamond" w:eastAsia="Times New Roman" w:hAnsi="Garamond"/>
                <w:sz w:val="24"/>
                <w:szCs w:val="24"/>
                <w:lang w:eastAsia="cs-CZ"/>
              </w:rPr>
              <w:t>KS Plzeň</w:t>
            </w:r>
          </w:p>
        </w:tc>
        <w:tc>
          <w:tcPr>
            <w:tcW w:w="898" w:type="dxa"/>
            <w:tcBorders>
              <w:top w:val="nil"/>
              <w:left w:val="nil"/>
              <w:bottom w:val="single" w:sz="4" w:space="0" w:color="auto"/>
              <w:right w:val="nil"/>
            </w:tcBorders>
            <w:shd w:val="clear" w:color="auto" w:fill="auto"/>
            <w:noWrap/>
            <w:vAlign w:val="bottom"/>
            <w:hideMark/>
          </w:tcPr>
          <w:p w14:paraId="014499B8"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665</w:t>
            </w:r>
          </w:p>
        </w:tc>
        <w:tc>
          <w:tcPr>
            <w:tcW w:w="953" w:type="dxa"/>
            <w:tcBorders>
              <w:top w:val="nil"/>
              <w:left w:val="nil"/>
              <w:bottom w:val="single" w:sz="4" w:space="0" w:color="auto"/>
              <w:right w:val="nil"/>
            </w:tcBorders>
            <w:shd w:val="clear" w:color="auto" w:fill="auto"/>
            <w:noWrap/>
            <w:vAlign w:val="center"/>
            <w:hideMark/>
          </w:tcPr>
          <w:p w14:paraId="3FC9D28E"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-3 %</w:t>
            </w:r>
          </w:p>
        </w:tc>
        <w:tc>
          <w:tcPr>
            <w:tcW w:w="1044" w:type="dxa"/>
            <w:tcBorders>
              <w:top w:val="nil"/>
              <w:left w:val="single" w:sz="4" w:space="0" w:color="auto"/>
              <w:bottom w:val="single" w:sz="4" w:space="0" w:color="auto"/>
              <w:right w:val="nil"/>
            </w:tcBorders>
            <w:shd w:val="clear" w:color="auto" w:fill="auto"/>
            <w:noWrap/>
            <w:vAlign w:val="bottom"/>
            <w:hideMark/>
          </w:tcPr>
          <w:p w14:paraId="3C9F5998"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714</w:t>
            </w:r>
          </w:p>
        </w:tc>
        <w:tc>
          <w:tcPr>
            <w:tcW w:w="953" w:type="dxa"/>
            <w:tcBorders>
              <w:top w:val="nil"/>
              <w:left w:val="nil"/>
              <w:bottom w:val="single" w:sz="4" w:space="0" w:color="auto"/>
              <w:right w:val="single" w:sz="4" w:space="0" w:color="auto"/>
            </w:tcBorders>
            <w:shd w:val="clear" w:color="auto" w:fill="auto"/>
            <w:noWrap/>
            <w:vAlign w:val="center"/>
            <w:hideMark/>
          </w:tcPr>
          <w:p w14:paraId="483CF083"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-22 %</w:t>
            </w:r>
          </w:p>
        </w:tc>
        <w:tc>
          <w:tcPr>
            <w:tcW w:w="907" w:type="dxa"/>
            <w:tcBorders>
              <w:top w:val="nil"/>
              <w:left w:val="nil"/>
              <w:bottom w:val="single" w:sz="4" w:space="0" w:color="auto"/>
              <w:right w:val="nil"/>
            </w:tcBorders>
            <w:shd w:val="clear" w:color="auto" w:fill="auto"/>
            <w:noWrap/>
            <w:vAlign w:val="bottom"/>
            <w:hideMark/>
          </w:tcPr>
          <w:p w14:paraId="64E3B8B0"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384</w:t>
            </w:r>
          </w:p>
        </w:tc>
        <w:tc>
          <w:tcPr>
            <w:tcW w:w="864" w:type="dxa"/>
            <w:tcBorders>
              <w:top w:val="nil"/>
              <w:left w:val="nil"/>
              <w:bottom w:val="single" w:sz="4" w:space="0" w:color="auto"/>
              <w:right w:val="single" w:sz="4" w:space="0" w:color="auto"/>
            </w:tcBorders>
            <w:shd w:val="clear" w:color="auto" w:fill="auto"/>
            <w:noWrap/>
            <w:vAlign w:val="center"/>
            <w:hideMark/>
          </w:tcPr>
          <w:p w14:paraId="0F3135BF"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-11 %</w:t>
            </w:r>
          </w:p>
        </w:tc>
        <w:tc>
          <w:tcPr>
            <w:tcW w:w="1559" w:type="dxa"/>
            <w:tcBorders>
              <w:top w:val="nil"/>
              <w:left w:val="nil"/>
              <w:bottom w:val="single" w:sz="4" w:space="0" w:color="auto"/>
              <w:right w:val="nil"/>
            </w:tcBorders>
            <w:shd w:val="clear" w:color="auto" w:fill="auto"/>
            <w:noWrap/>
            <w:vAlign w:val="center"/>
            <w:hideMark/>
          </w:tcPr>
          <w:p w14:paraId="6DE792E3"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107,4 %</w:t>
            </w:r>
          </w:p>
        </w:tc>
      </w:tr>
      <w:tr w:rsidR="0055370B" w:rsidRPr="00B25E45" w14:paraId="6B595B1A" w14:textId="77777777" w:rsidTr="00760B1A">
        <w:trPr>
          <w:trHeight w:val="315"/>
        </w:trPr>
        <w:tc>
          <w:tcPr>
            <w:tcW w:w="2036" w:type="dxa"/>
            <w:tcBorders>
              <w:top w:val="nil"/>
              <w:left w:val="nil"/>
              <w:bottom w:val="single" w:sz="4" w:space="0" w:color="auto"/>
              <w:right w:val="nil"/>
            </w:tcBorders>
            <w:shd w:val="clear" w:color="auto" w:fill="auto"/>
            <w:noWrap/>
            <w:vAlign w:val="bottom"/>
            <w:hideMark/>
          </w:tcPr>
          <w:p w14:paraId="22216DE4" w14:textId="77777777" w:rsidR="0055370B" w:rsidRPr="00B25E45" w:rsidRDefault="0055370B" w:rsidP="0055370B">
            <w:pPr>
              <w:spacing w:after="0" w:line="240" w:lineRule="auto"/>
              <w:rPr>
                <w:rFonts w:ascii="Garamond" w:eastAsia="Times New Roman" w:hAnsi="Garamond"/>
                <w:sz w:val="24"/>
                <w:szCs w:val="24"/>
                <w:lang w:eastAsia="cs-CZ"/>
              </w:rPr>
            </w:pPr>
            <w:r w:rsidRPr="00B25E45">
              <w:rPr>
                <w:rFonts w:ascii="Garamond" w:eastAsia="Times New Roman" w:hAnsi="Garamond"/>
                <w:sz w:val="24"/>
                <w:szCs w:val="24"/>
                <w:lang w:eastAsia="cs-CZ"/>
              </w:rPr>
              <w:t>KS Ústí n. Labem</w:t>
            </w:r>
          </w:p>
        </w:tc>
        <w:tc>
          <w:tcPr>
            <w:tcW w:w="898" w:type="dxa"/>
            <w:tcBorders>
              <w:top w:val="nil"/>
              <w:left w:val="nil"/>
              <w:bottom w:val="single" w:sz="4" w:space="0" w:color="auto"/>
              <w:right w:val="nil"/>
            </w:tcBorders>
            <w:shd w:val="clear" w:color="auto" w:fill="auto"/>
            <w:noWrap/>
            <w:vAlign w:val="bottom"/>
            <w:hideMark/>
          </w:tcPr>
          <w:p w14:paraId="77819426"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632</w:t>
            </w:r>
          </w:p>
        </w:tc>
        <w:tc>
          <w:tcPr>
            <w:tcW w:w="953" w:type="dxa"/>
            <w:tcBorders>
              <w:top w:val="nil"/>
              <w:left w:val="nil"/>
              <w:bottom w:val="single" w:sz="4" w:space="0" w:color="auto"/>
              <w:right w:val="nil"/>
            </w:tcBorders>
            <w:shd w:val="clear" w:color="auto" w:fill="auto"/>
            <w:noWrap/>
            <w:vAlign w:val="center"/>
            <w:hideMark/>
          </w:tcPr>
          <w:p w14:paraId="411D6B38"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-16 %</w:t>
            </w:r>
          </w:p>
        </w:tc>
        <w:tc>
          <w:tcPr>
            <w:tcW w:w="1044" w:type="dxa"/>
            <w:tcBorders>
              <w:top w:val="nil"/>
              <w:left w:val="single" w:sz="4" w:space="0" w:color="auto"/>
              <w:bottom w:val="single" w:sz="4" w:space="0" w:color="auto"/>
              <w:right w:val="nil"/>
            </w:tcBorders>
            <w:shd w:val="clear" w:color="auto" w:fill="auto"/>
            <w:noWrap/>
            <w:vAlign w:val="bottom"/>
            <w:hideMark/>
          </w:tcPr>
          <w:p w14:paraId="20A70F19"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828</w:t>
            </w:r>
          </w:p>
        </w:tc>
        <w:tc>
          <w:tcPr>
            <w:tcW w:w="953" w:type="dxa"/>
            <w:tcBorders>
              <w:top w:val="nil"/>
              <w:left w:val="nil"/>
              <w:bottom w:val="single" w:sz="4" w:space="0" w:color="auto"/>
              <w:right w:val="single" w:sz="4" w:space="0" w:color="auto"/>
            </w:tcBorders>
            <w:shd w:val="clear" w:color="auto" w:fill="auto"/>
            <w:noWrap/>
            <w:vAlign w:val="center"/>
            <w:hideMark/>
          </w:tcPr>
          <w:p w14:paraId="43FAFE0F"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-10 %</w:t>
            </w:r>
          </w:p>
        </w:tc>
        <w:tc>
          <w:tcPr>
            <w:tcW w:w="907" w:type="dxa"/>
            <w:tcBorders>
              <w:top w:val="nil"/>
              <w:left w:val="nil"/>
              <w:bottom w:val="single" w:sz="4" w:space="0" w:color="auto"/>
              <w:right w:val="nil"/>
            </w:tcBorders>
            <w:shd w:val="clear" w:color="auto" w:fill="auto"/>
            <w:noWrap/>
            <w:vAlign w:val="bottom"/>
            <w:hideMark/>
          </w:tcPr>
          <w:p w14:paraId="0EF16656"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690</w:t>
            </w:r>
          </w:p>
        </w:tc>
        <w:tc>
          <w:tcPr>
            <w:tcW w:w="864" w:type="dxa"/>
            <w:tcBorders>
              <w:top w:val="nil"/>
              <w:left w:val="nil"/>
              <w:bottom w:val="single" w:sz="4" w:space="0" w:color="auto"/>
              <w:right w:val="single" w:sz="4" w:space="0" w:color="auto"/>
            </w:tcBorders>
            <w:shd w:val="clear" w:color="auto" w:fill="auto"/>
            <w:noWrap/>
            <w:vAlign w:val="center"/>
            <w:hideMark/>
          </w:tcPr>
          <w:p w14:paraId="5DEF9F66"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-22 %</w:t>
            </w:r>
          </w:p>
        </w:tc>
        <w:tc>
          <w:tcPr>
            <w:tcW w:w="1559" w:type="dxa"/>
            <w:tcBorders>
              <w:top w:val="nil"/>
              <w:left w:val="nil"/>
              <w:bottom w:val="single" w:sz="4" w:space="0" w:color="auto"/>
              <w:right w:val="nil"/>
            </w:tcBorders>
            <w:shd w:val="clear" w:color="auto" w:fill="auto"/>
            <w:noWrap/>
            <w:vAlign w:val="center"/>
            <w:hideMark/>
          </w:tcPr>
          <w:p w14:paraId="4CC2E1B3"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131,0 %</w:t>
            </w:r>
          </w:p>
        </w:tc>
      </w:tr>
      <w:tr w:rsidR="0055370B" w:rsidRPr="00B25E45" w14:paraId="43982957" w14:textId="77777777" w:rsidTr="00760B1A">
        <w:trPr>
          <w:trHeight w:val="315"/>
        </w:trPr>
        <w:tc>
          <w:tcPr>
            <w:tcW w:w="2036" w:type="dxa"/>
            <w:tcBorders>
              <w:top w:val="nil"/>
              <w:left w:val="nil"/>
              <w:bottom w:val="single" w:sz="4" w:space="0" w:color="auto"/>
              <w:right w:val="nil"/>
            </w:tcBorders>
            <w:shd w:val="clear" w:color="auto" w:fill="auto"/>
            <w:noWrap/>
            <w:vAlign w:val="bottom"/>
            <w:hideMark/>
          </w:tcPr>
          <w:p w14:paraId="5E08F4CC" w14:textId="77777777" w:rsidR="0055370B" w:rsidRPr="00B25E45" w:rsidRDefault="0055370B" w:rsidP="0055370B">
            <w:pPr>
              <w:spacing w:after="0" w:line="240" w:lineRule="auto"/>
              <w:rPr>
                <w:rFonts w:ascii="Garamond" w:eastAsia="Times New Roman" w:hAnsi="Garamond"/>
                <w:sz w:val="24"/>
                <w:szCs w:val="24"/>
                <w:lang w:eastAsia="cs-CZ"/>
              </w:rPr>
            </w:pPr>
            <w:r w:rsidRPr="00B25E45">
              <w:rPr>
                <w:rFonts w:ascii="Garamond" w:eastAsia="Times New Roman" w:hAnsi="Garamond"/>
                <w:sz w:val="24"/>
                <w:szCs w:val="24"/>
                <w:lang w:eastAsia="cs-CZ"/>
              </w:rPr>
              <w:t>KS Hr. Králové</w:t>
            </w:r>
          </w:p>
        </w:tc>
        <w:tc>
          <w:tcPr>
            <w:tcW w:w="898" w:type="dxa"/>
            <w:tcBorders>
              <w:top w:val="nil"/>
              <w:left w:val="nil"/>
              <w:bottom w:val="single" w:sz="4" w:space="0" w:color="auto"/>
              <w:right w:val="nil"/>
            </w:tcBorders>
            <w:shd w:val="clear" w:color="auto" w:fill="auto"/>
            <w:noWrap/>
            <w:vAlign w:val="bottom"/>
            <w:hideMark/>
          </w:tcPr>
          <w:p w14:paraId="18A415CC"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644</w:t>
            </w:r>
          </w:p>
        </w:tc>
        <w:tc>
          <w:tcPr>
            <w:tcW w:w="953" w:type="dxa"/>
            <w:tcBorders>
              <w:top w:val="nil"/>
              <w:left w:val="nil"/>
              <w:bottom w:val="single" w:sz="4" w:space="0" w:color="auto"/>
              <w:right w:val="nil"/>
            </w:tcBorders>
            <w:shd w:val="clear" w:color="auto" w:fill="auto"/>
            <w:noWrap/>
            <w:vAlign w:val="center"/>
            <w:hideMark/>
          </w:tcPr>
          <w:p w14:paraId="69E4E4DC"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-4 %</w:t>
            </w:r>
          </w:p>
        </w:tc>
        <w:tc>
          <w:tcPr>
            <w:tcW w:w="1044" w:type="dxa"/>
            <w:tcBorders>
              <w:top w:val="nil"/>
              <w:left w:val="single" w:sz="4" w:space="0" w:color="auto"/>
              <w:bottom w:val="single" w:sz="4" w:space="0" w:color="auto"/>
              <w:right w:val="nil"/>
            </w:tcBorders>
            <w:shd w:val="clear" w:color="auto" w:fill="auto"/>
            <w:noWrap/>
            <w:vAlign w:val="bottom"/>
            <w:hideMark/>
          </w:tcPr>
          <w:p w14:paraId="0D2CBD24"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795</w:t>
            </w:r>
          </w:p>
        </w:tc>
        <w:tc>
          <w:tcPr>
            <w:tcW w:w="953" w:type="dxa"/>
            <w:tcBorders>
              <w:top w:val="nil"/>
              <w:left w:val="nil"/>
              <w:bottom w:val="single" w:sz="4" w:space="0" w:color="auto"/>
              <w:right w:val="single" w:sz="4" w:space="0" w:color="auto"/>
            </w:tcBorders>
            <w:shd w:val="clear" w:color="auto" w:fill="auto"/>
            <w:noWrap/>
            <w:vAlign w:val="center"/>
            <w:hideMark/>
          </w:tcPr>
          <w:p w14:paraId="0860D32A"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-3 %</w:t>
            </w:r>
          </w:p>
        </w:tc>
        <w:tc>
          <w:tcPr>
            <w:tcW w:w="907" w:type="dxa"/>
            <w:tcBorders>
              <w:top w:val="nil"/>
              <w:left w:val="nil"/>
              <w:bottom w:val="single" w:sz="4" w:space="0" w:color="auto"/>
              <w:right w:val="nil"/>
            </w:tcBorders>
            <w:shd w:val="clear" w:color="auto" w:fill="auto"/>
            <w:noWrap/>
            <w:vAlign w:val="bottom"/>
            <w:hideMark/>
          </w:tcPr>
          <w:p w14:paraId="0591B7DF"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424</w:t>
            </w:r>
          </w:p>
        </w:tc>
        <w:tc>
          <w:tcPr>
            <w:tcW w:w="864" w:type="dxa"/>
            <w:tcBorders>
              <w:top w:val="nil"/>
              <w:left w:val="nil"/>
              <w:bottom w:val="single" w:sz="4" w:space="0" w:color="auto"/>
              <w:right w:val="single" w:sz="4" w:space="0" w:color="auto"/>
            </w:tcBorders>
            <w:shd w:val="clear" w:color="auto" w:fill="auto"/>
            <w:noWrap/>
            <w:vAlign w:val="center"/>
            <w:hideMark/>
          </w:tcPr>
          <w:p w14:paraId="42478FAC"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-27 %</w:t>
            </w:r>
          </w:p>
        </w:tc>
        <w:tc>
          <w:tcPr>
            <w:tcW w:w="1559" w:type="dxa"/>
            <w:tcBorders>
              <w:top w:val="nil"/>
              <w:left w:val="nil"/>
              <w:bottom w:val="single" w:sz="4" w:space="0" w:color="auto"/>
              <w:right w:val="nil"/>
            </w:tcBorders>
            <w:shd w:val="clear" w:color="auto" w:fill="auto"/>
            <w:noWrap/>
            <w:vAlign w:val="center"/>
            <w:hideMark/>
          </w:tcPr>
          <w:p w14:paraId="4E5F9306"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123,4 %</w:t>
            </w:r>
          </w:p>
        </w:tc>
      </w:tr>
      <w:tr w:rsidR="0055370B" w:rsidRPr="00B25E45" w14:paraId="6C291CDA" w14:textId="77777777" w:rsidTr="00760B1A">
        <w:trPr>
          <w:trHeight w:val="315"/>
        </w:trPr>
        <w:tc>
          <w:tcPr>
            <w:tcW w:w="2036" w:type="dxa"/>
            <w:tcBorders>
              <w:top w:val="nil"/>
              <w:left w:val="nil"/>
              <w:bottom w:val="single" w:sz="4" w:space="0" w:color="auto"/>
              <w:right w:val="nil"/>
            </w:tcBorders>
            <w:shd w:val="clear" w:color="auto" w:fill="auto"/>
            <w:noWrap/>
            <w:vAlign w:val="bottom"/>
            <w:hideMark/>
          </w:tcPr>
          <w:p w14:paraId="3F76D87B" w14:textId="77777777" w:rsidR="0055370B" w:rsidRPr="00B25E45" w:rsidRDefault="0055370B" w:rsidP="0055370B">
            <w:pPr>
              <w:spacing w:after="0" w:line="240" w:lineRule="auto"/>
              <w:rPr>
                <w:rFonts w:ascii="Garamond" w:eastAsia="Times New Roman" w:hAnsi="Garamond"/>
                <w:sz w:val="24"/>
                <w:szCs w:val="24"/>
                <w:lang w:eastAsia="cs-CZ"/>
              </w:rPr>
            </w:pPr>
            <w:r w:rsidRPr="00B25E45">
              <w:rPr>
                <w:rFonts w:ascii="Garamond" w:eastAsia="Times New Roman" w:hAnsi="Garamond"/>
                <w:sz w:val="24"/>
                <w:szCs w:val="24"/>
                <w:lang w:eastAsia="cs-CZ"/>
              </w:rPr>
              <w:t>KS Brno</w:t>
            </w:r>
          </w:p>
        </w:tc>
        <w:tc>
          <w:tcPr>
            <w:tcW w:w="898" w:type="dxa"/>
            <w:tcBorders>
              <w:top w:val="nil"/>
              <w:left w:val="nil"/>
              <w:bottom w:val="single" w:sz="4" w:space="0" w:color="auto"/>
              <w:right w:val="nil"/>
            </w:tcBorders>
            <w:shd w:val="clear" w:color="auto" w:fill="auto"/>
            <w:noWrap/>
            <w:vAlign w:val="bottom"/>
            <w:hideMark/>
          </w:tcPr>
          <w:p w14:paraId="4D5BB369"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1610</w:t>
            </w:r>
          </w:p>
        </w:tc>
        <w:tc>
          <w:tcPr>
            <w:tcW w:w="953" w:type="dxa"/>
            <w:tcBorders>
              <w:top w:val="nil"/>
              <w:left w:val="nil"/>
              <w:bottom w:val="single" w:sz="4" w:space="0" w:color="auto"/>
              <w:right w:val="nil"/>
            </w:tcBorders>
            <w:shd w:val="clear" w:color="auto" w:fill="auto"/>
            <w:noWrap/>
            <w:vAlign w:val="center"/>
            <w:hideMark/>
          </w:tcPr>
          <w:p w14:paraId="51FE9CFC"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-17 %</w:t>
            </w:r>
          </w:p>
        </w:tc>
        <w:tc>
          <w:tcPr>
            <w:tcW w:w="1044" w:type="dxa"/>
            <w:tcBorders>
              <w:top w:val="nil"/>
              <w:left w:val="single" w:sz="4" w:space="0" w:color="auto"/>
              <w:bottom w:val="single" w:sz="4" w:space="0" w:color="auto"/>
              <w:right w:val="nil"/>
            </w:tcBorders>
            <w:shd w:val="clear" w:color="auto" w:fill="auto"/>
            <w:noWrap/>
            <w:vAlign w:val="bottom"/>
            <w:hideMark/>
          </w:tcPr>
          <w:p w14:paraId="2FD94138"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2005</w:t>
            </w:r>
          </w:p>
        </w:tc>
        <w:tc>
          <w:tcPr>
            <w:tcW w:w="953" w:type="dxa"/>
            <w:tcBorders>
              <w:top w:val="nil"/>
              <w:left w:val="nil"/>
              <w:bottom w:val="single" w:sz="4" w:space="0" w:color="auto"/>
              <w:right w:val="single" w:sz="4" w:space="0" w:color="auto"/>
            </w:tcBorders>
            <w:shd w:val="clear" w:color="auto" w:fill="auto"/>
            <w:noWrap/>
            <w:vAlign w:val="center"/>
            <w:hideMark/>
          </w:tcPr>
          <w:p w14:paraId="3CA7DABC"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+3 %</w:t>
            </w:r>
          </w:p>
        </w:tc>
        <w:tc>
          <w:tcPr>
            <w:tcW w:w="907" w:type="dxa"/>
            <w:tcBorders>
              <w:top w:val="nil"/>
              <w:left w:val="nil"/>
              <w:bottom w:val="single" w:sz="4" w:space="0" w:color="auto"/>
              <w:right w:val="nil"/>
            </w:tcBorders>
            <w:shd w:val="clear" w:color="auto" w:fill="auto"/>
            <w:noWrap/>
            <w:vAlign w:val="bottom"/>
            <w:hideMark/>
          </w:tcPr>
          <w:p w14:paraId="0E7F2C86"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1703</w:t>
            </w:r>
          </w:p>
        </w:tc>
        <w:tc>
          <w:tcPr>
            <w:tcW w:w="864" w:type="dxa"/>
            <w:tcBorders>
              <w:top w:val="nil"/>
              <w:left w:val="nil"/>
              <w:bottom w:val="single" w:sz="4" w:space="0" w:color="auto"/>
              <w:right w:val="single" w:sz="4" w:space="0" w:color="auto"/>
            </w:tcBorders>
            <w:shd w:val="clear" w:color="auto" w:fill="auto"/>
            <w:noWrap/>
            <w:vAlign w:val="center"/>
            <w:hideMark/>
          </w:tcPr>
          <w:p w14:paraId="3FDBDC6F"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-19 %</w:t>
            </w:r>
          </w:p>
        </w:tc>
        <w:tc>
          <w:tcPr>
            <w:tcW w:w="1559" w:type="dxa"/>
            <w:tcBorders>
              <w:top w:val="nil"/>
              <w:left w:val="nil"/>
              <w:bottom w:val="single" w:sz="4" w:space="0" w:color="auto"/>
              <w:right w:val="nil"/>
            </w:tcBorders>
            <w:shd w:val="clear" w:color="auto" w:fill="auto"/>
            <w:noWrap/>
            <w:vAlign w:val="center"/>
            <w:hideMark/>
          </w:tcPr>
          <w:p w14:paraId="70A45A4D"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124,5</w:t>
            </w:r>
            <w:r w:rsidRPr="00B25E45">
              <w:rPr>
                <w:rFonts w:ascii="Garamond" w:hAnsi="Garamond"/>
                <w:sz w:val="24"/>
              </w:rPr>
              <w:t> %</w:t>
            </w:r>
          </w:p>
        </w:tc>
      </w:tr>
      <w:tr w:rsidR="0055370B" w:rsidRPr="00B25E45" w14:paraId="4EC45B21" w14:textId="77777777" w:rsidTr="00760B1A">
        <w:trPr>
          <w:trHeight w:val="330"/>
        </w:trPr>
        <w:tc>
          <w:tcPr>
            <w:tcW w:w="2036" w:type="dxa"/>
            <w:tcBorders>
              <w:top w:val="nil"/>
              <w:left w:val="nil"/>
              <w:bottom w:val="double" w:sz="6" w:space="0" w:color="auto"/>
              <w:right w:val="nil"/>
            </w:tcBorders>
            <w:shd w:val="clear" w:color="auto" w:fill="auto"/>
            <w:noWrap/>
            <w:vAlign w:val="bottom"/>
            <w:hideMark/>
          </w:tcPr>
          <w:p w14:paraId="0044D228" w14:textId="77777777" w:rsidR="0055370B" w:rsidRPr="00B25E45" w:rsidRDefault="0055370B" w:rsidP="0055370B">
            <w:pPr>
              <w:spacing w:after="0" w:line="240" w:lineRule="auto"/>
              <w:rPr>
                <w:rFonts w:ascii="Garamond" w:eastAsia="Times New Roman" w:hAnsi="Garamond"/>
                <w:sz w:val="24"/>
                <w:szCs w:val="24"/>
                <w:lang w:eastAsia="cs-CZ"/>
              </w:rPr>
            </w:pPr>
            <w:r w:rsidRPr="00B25E45">
              <w:rPr>
                <w:rFonts w:ascii="Garamond" w:eastAsia="Times New Roman" w:hAnsi="Garamond"/>
                <w:sz w:val="24"/>
                <w:szCs w:val="24"/>
                <w:lang w:eastAsia="cs-CZ"/>
              </w:rPr>
              <w:t>KS Ostrava</w:t>
            </w:r>
          </w:p>
        </w:tc>
        <w:tc>
          <w:tcPr>
            <w:tcW w:w="898" w:type="dxa"/>
            <w:tcBorders>
              <w:top w:val="nil"/>
              <w:left w:val="nil"/>
              <w:bottom w:val="double" w:sz="6" w:space="0" w:color="auto"/>
              <w:right w:val="nil"/>
            </w:tcBorders>
            <w:shd w:val="clear" w:color="auto" w:fill="auto"/>
            <w:noWrap/>
            <w:vAlign w:val="bottom"/>
            <w:hideMark/>
          </w:tcPr>
          <w:p w14:paraId="6B3EFEDA"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1226</w:t>
            </w:r>
          </w:p>
        </w:tc>
        <w:tc>
          <w:tcPr>
            <w:tcW w:w="953" w:type="dxa"/>
            <w:tcBorders>
              <w:top w:val="nil"/>
              <w:left w:val="nil"/>
              <w:bottom w:val="double" w:sz="6" w:space="0" w:color="auto"/>
              <w:right w:val="nil"/>
            </w:tcBorders>
            <w:shd w:val="clear" w:color="auto" w:fill="auto"/>
            <w:noWrap/>
            <w:vAlign w:val="center"/>
            <w:hideMark/>
          </w:tcPr>
          <w:p w14:paraId="6AC3E57C"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-17 %</w:t>
            </w:r>
          </w:p>
        </w:tc>
        <w:tc>
          <w:tcPr>
            <w:tcW w:w="1044" w:type="dxa"/>
            <w:tcBorders>
              <w:top w:val="nil"/>
              <w:left w:val="single" w:sz="4" w:space="0" w:color="auto"/>
              <w:bottom w:val="double" w:sz="6" w:space="0" w:color="auto"/>
              <w:right w:val="nil"/>
            </w:tcBorders>
            <w:shd w:val="clear" w:color="auto" w:fill="auto"/>
            <w:noWrap/>
            <w:vAlign w:val="bottom"/>
            <w:hideMark/>
          </w:tcPr>
          <w:p w14:paraId="7847AAAC"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1356</w:t>
            </w:r>
          </w:p>
        </w:tc>
        <w:tc>
          <w:tcPr>
            <w:tcW w:w="953" w:type="dxa"/>
            <w:tcBorders>
              <w:top w:val="nil"/>
              <w:left w:val="nil"/>
              <w:bottom w:val="double" w:sz="6" w:space="0" w:color="auto"/>
              <w:right w:val="single" w:sz="4" w:space="0" w:color="auto"/>
            </w:tcBorders>
            <w:shd w:val="clear" w:color="auto" w:fill="auto"/>
            <w:noWrap/>
            <w:vAlign w:val="center"/>
            <w:hideMark/>
          </w:tcPr>
          <w:p w14:paraId="706B8683"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+4 %</w:t>
            </w:r>
          </w:p>
        </w:tc>
        <w:tc>
          <w:tcPr>
            <w:tcW w:w="907" w:type="dxa"/>
            <w:tcBorders>
              <w:top w:val="nil"/>
              <w:left w:val="nil"/>
              <w:bottom w:val="double" w:sz="6" w:space="0" w:color="auto"/>
              <w:right w:val="nil"/>
            </w:tcBorders>
            <w:shd w:val="clear" w:color="auto" w:fill="auto"/>
            <w:noWrap/>
            <w:vAlign w:val="bottom"/>
            <w:hideMark/>
          </w:tcPr>
          <w:p w14:paraId="68143D82"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693</w:t>
            </w:r>
          </w:p>
        </w:tc>
        <w:tc>
          <w:tcPr>
            <w:tcW w:w="864" w:type="dxa"/>
            <w:tcBorders>
              <w:top w:val="nil"/>
              <w:left w:val="nil"/>
              <w:bottom w:val="double" w:sz="6" w:space="0" w:color="auto"/>
              <w:right w:val="single" w:sz="4" w:space="0" w:color="auto"/>
            </w:tcBorders>
            <w:shd w:val="clear" w:color="auto" w:fill="auto"/>
            <w:noWrap/>
            <w:vAlign w:val="center"/>
            <w:hideMark/>
          </w:tcPr>
          <w:p w14:paraId="6B88900C" w14:textId="77777777" w:rsidR="0055370B" w:rsidRPr="00B25E45" w:rsidRDefault="0055370B" w:rsidP="0055370B">
            <w:pPr>
              <w:spacing w:after="0" w:line="240" w:lineRule="auto"/>
              <w:jc w:val="center"/>
              <w:rPr>
                <w:rFonts w:ascii="Garamond" w:eastAsia="Times New Roman" w:hAnsi="Garamond"/>
                <w:sz w:val="20"/>
                <w:szCs w:val="20"/>
                <w:lang w:eastAsia="cs-CZ"/>
              </w:rPr>
            </w:pPr>
            <w:r w:rsidRPr="00B25E45">
              <w:rPr>
                <w:rFonts w:ascii="Garamond" w:eastAsia="Times New Roman" w:hAnsi="Garamond"/>
                <w:sz w:val="20"/>
                <w:szCs w:val="20"/>
                <w:lang w:eastAsia="cs-CZ"/>
              </w:rPr>
              <w:t>-16 %</w:t>
            </w:r>
          </w:p>
        </w:tc>
        <w:tc>
          <w:tcPr>
            <w:tcW w:w="1559" w:type="dxa"/>
            <w:tcBorders>
              <w:top w:val="nil"/>
              <w:left w:val="nil"/>
              <w:bottom w:val="nil"/>
              <w:right w:val="nil"/>
            </w:tcBorders>
            <w:shd w:val="clear" w:color="auto" w:fill="auto"/>
            <w:noWrap/>
            <w:vAlign w:val="center"/>
            <w:hideMark/>
          </w:tcPr>
          <w:p w14:paraId="710B04CF" w14:textId="77777777" w:rsidR="0055370B" w:rsidRPr="00B25E45" w:rsidRDefault="0055370B" w:rsidP="0055370B">
            <w:pPr>
              <w:spacing w:after="0" w:line="240" w:lineRule="auto"/>
              <w:jc w:val="center"/>
              <w:rPr>
                <w:rFonts w:ascii="Garamond" w:eastAsia="Times New Roman" w:hAnsi="Garamond"/>
                <w:sz w:val="24"/>
                <w:szCs w:val="24"/>
                <w:lang w:eastAsia="cs-CZ"/>
              </w:rPr>
            </w:pPr>
            <w:r w:rsidRPr="00B25E45">
              <w:rPr>
                <w:rFonts w:ascii="Garamond" w:eastAsia="Times New Roman" w:hAnsi="Garamond"/>
                <w:sz w:val="24"/>
                <w:szCs w:val="24"/>
                <w:lang w:eastAsia="cs-CZ"/>
              </w:rPr>
              <w:t>110,6</w:t>
            </w:r>
            <w:r w:rsidRPr="00B25E45">
              <w:rPr>
                <w:rFonts w:ascii="Garamond" w:hAnsi="Garamond"/>
                <w:sz w:val="24"/>
              </w:rPr>
              <w:t> %</w:t>
            </w:r>
          </w:p>
        </w:tc>
      </w:tr>
      <w:tr w:rsidR="0055370B" w:rsidRPr="00B25E45" w14:paraId="04C07200" w14:textId="77777777" w:rsidTr="00760B1A">
        <w:trPr>
          <w:trHeight w:val="345"/>
        </w:trPr>
        <w:tc>
          <w:tcPr>
            <w:tcW w:w="2036" w:type="dxa"/>
            <w:tcBorders>
              <w:top w:val="nil"/>
              <w:left w:val="nil"/>
              <w:bottom w:val="double" w:sz="6" w:space="0" w:color="auto"/>
              <w:right w:val="nil"/>
            </w:tcBorders>
            <w:shd w:val="clear" w:color="auto" w:fill="auto"/>
            <w:noWrap/>
            <w:vAlign w:val="bottom"/>
            <w:hideMark/>
          </w:tcPr>
          <w:p w14:paraId="5DE8EA69" w14:textId="77777777" w:rsidR="0055370B" w:rsidRPr="00B25E45" w:rsidRDefault="0055370B" w:rsidP="0055370B">
            <w:pPr>
              <w:spacing w:after="0" w:line="240" w:lineRule="auto"/>
              <w:rPr>
                <w:rFonts w:ascii="Garamond" w:eastAsia="Times New Roman" w:hAnsi="Garamond"/>
                <w:b/>
                <w:bCs/>
                <w:sz w:val="24"/>
                <w:szCs w:val="24"/>
                <w:lang w:eastAsia="cs-CZ"/>
              </w:rPr>
            </w:pPr>
            <w:r w:rsidRPr="00B25E45">
              <w:rPr>
                <w:rFonts w:ascii="Garamond" w:eastAsia="Times New Roman" w:hAnsi="Garamond"/>
                <w:b/>
                <w:bCs/>
                <w:sz w:val="24"/>
                <w:szCs w:val="24"/>
                <w:lang w:eastAsia="cs-CZ"/>
              </w:rPr>
              <w:t>Celkem ČR</w:t>
            </w:r>
          </w:p>
        </w:tc>
        <w:tc>
          <w:tcPr>
            <w:tcW w:w="898" w:type="dxa"/>
            <w:tcBorders>
              <w:top w:val="nil"/>
              <w:left w:val="nil"/>
              <w:bottom w:val="double" w:sz="6" w:space="0" w:color="auto"/>
              <w:right w:val="nil"/>
            </w:tcBorders>
            <w:shd w:val="clear" w:color="auto" w:fill="auto"/>
            <w:noWrap/>
            <w:vAlign w:val="bottom"/>
            <w:hideMark/>
          </w:tcPr>
          <w:p w14:paraId="4B75ADCA" w14:textId="77777777" w:rsidR="0055370B" w:rsidRPr="00B25E45" w:rsidRDefault="0055370B" w:rsidP="0055370B">
            <w:pPr>
              <w:spacing w:after="0" w:line="240" w:lineRule="auto"/>
              <w:jc w:val="center"/>
              <w:rPr>
                <w:rFonts w:ascii="Garamond" w:eastAsia="Times New Roman" w:hAnsi="Garamond"/>
                <w:b/>
                <w:bCs/>
                <w:sz w:val="24"/>
                <w:szCs w:val="24"/>
                <w:lang w:eastAsia="cs-CZ"/>
              </w:rPr>
            </w:pPr>
            <w:r w:rsidRPr="00B25E45">
              <w:rPr>
                <w:rFonts w:ascii="Garamond" w:eastAsia="Times New Roman" w:hAnsi="Garamond"/>
                <w:b/>
                <w:bCs/>
                <w:sz w:val="24"/>
                <w:szCs w:val="24"/>
                <w:lang w:eastAsia="cs-CZ"/>
              </w:rPr>
              <w:t>9 305</w:t>
            </w:r>
          </w:p>
        </w:tc>
        <w:tc>
          <w:tcPr>
            <w:tcW w:w="953" w:type="dxa"/>
            <w:tcBorders>
              <w:top w:val="nil"/>
              <w:left w:val="nil"/>
              <w:bottom w:val="double" w:sz="6" w:space="0" w:color="auto"/>
              <w:right w:val="nil"/>
            </w:tcBorders>
            <w:shd w:val="clear" w:color="auto" w:fill="auto"/>
            <w:noWrap/>
            <w:vAlign w:val="center"/>
            <w:hideMark/>
          </w:tcPr>
          <w:p w14:paraId="7C98EA95" w14:textId="77777777" w:rsidR="0055370B" w:rsidRPr="00B25E45" w:rsidRDefault="0055370B" w:rsidP="0055370B">
            <w:pPr>
              <w:spacing w:after="0" w:line="240" w:lineRule="auto"/>
              <w:jc w:val="center"/>
              <w:rPr>
                <w:rFonts w:ascii="Garamond" w:eastAsia="Times New Roman" w:hAnsi="Garamond"/>
                <w:b/>
                <w:bCs/>
                <w:sz w:val="20"/>
                <w:szCs w:val="20"/>
                <w:lang w:eastAsia="cs-CZ"/>
              </w:rPr>
            </w:pPr>
            <w:r w:rsidRPr="00B25E45">
              <w:rPr>
                <w:rFonts w:ascii="Garamond" w:eastAsia="Times New Roman" w:hAnsi="Garamond"/>
                <w:b/>
                <w:bCs/>
                <w:sz w:val="20"/>
                <w:szCs w:val="20"/>
                <w:lang w:eastAsia="cs-CZ"/>
              </w:rPr>
              <w:t>-7 %</w:t>
            </w:r>
          </w:p>
        </w:tc>
        <w:tc>
          <w:tcPr>
            <w:tcW w:w="1044" w:type="dxa"/>
            <w:tcBorders>
              <w:top w:val="nil"/>
              <w:left w:val="single" w:sz="4" w:space="0" w:color="auto"/>
              <w:bottom w:val="double" w:sz="6" w:space="0" w:color="auto"/>
              <w:right w:val="nil"/>
            </w:tcBorders>
            <w:shd w:val="clear" w:color="auto" w:fill="auto"/>
            <w:noWrap/>
            <w:vAlign w:val="bottom"/>
            <w:hideMark/>
          </w:tcPr>
          <w:p w14:paraId="116C4BEB" w14:textId="77777777" w:rsidR="0055370B" w:rsidRPr="00B25E45" w:rsidRDefault="0055370B" w:rsidP="0055370B">
            <w:pPr>
              <w:spacing w:after="0" w:line="240" w:lineRule="auto"/>
              <w:jc w:val="center"/>
              <w:rPr>
                <w:rFonts w:ascii="Garamond" w:eastAsia="Times New Roman" w:hAnsi="Garamond"/>
                <w:b/>
                <w:bCs/>
                <w:sz w:val="24"/>
                <w:szCs w:val="24"/>
                <w:lang w:eastAsia="cs-CZ"/>
              </w:rPr>
            </w:pPr>
            <w:r w:rsidRPr="00B25E45">
              <w:rPr>
                <w:rFonts w:ascii="Garamond" w:eastAsia="Times New Roman" w:hAnsi="Garamond"/>
                <w:b/>
                <w:bCs/>
                <w:sz w:val="24"/>
                <w:szCs w:val="24"/>
                <w:lang w:eastAsia="cs-CZ"/>
              </w:rPr>
              <w:t>11 064</w:t>
            </w:r>
          </w:p>
        </w:tc>
        <w:tc>
          <w:tcPr>
            <w:tcW w:w="953" w:type="dxa"/>
            <w:tcBorders>
              <w:top w:val="nil"/>
              <w:left w:val="nil"/>
              <w:bottom w:val="double" w:sz="6" w:space="0" w:color="auto"/>
              <w:right w:val="single" w:sz="4" w:space="0" w:color="auto"/>
            </w:tcBorders>
            <w:shd w:val="clear" w:color="auto" w:fill="auto"/>
            <w:noWrap/>
            <w:vAlign w:val="center"/>
            <w:hideMark/>
          </w:tcPr>
          <w:p w14:paraId="02A93E88" w14:textId="77777777" w:rsidR="0055370B" w:rsidRPr="00B25E45" w:rsidRDefault="0055370B" w:rsidP="0055370B">
            <w:pPr>
              <w:spacing w:after="0" w:line="240" w:lineRule="auto"/>
              <w:jc w:val="center"/>
              <w:rPr>
                <w:rFonts w:ascii="Garamond" w:eastAsia="Times New Roman" w:hAnsi="Garamond"/>
                <w:b/>
                <w:bCs/>
                <w:sz w:val="20"/>
                <w:szCs w:val="20"/>
                <w:lang w:eastAsia="cs-CZ"/>
              </w:rPr>
            </w:pPr>
            <w:r w:rsidRPr="00B25E45">
              <w:rPr>
                <w:rFonts w:ascii="Garamond" w:eastAsia="Times New Roman" w:hAnsi="Garamond"/>
                <w:b/>
                <w:bCs/>
                <w:sz w:val="20"/>
                <w:szCs w:val="20"/>
                <w:lang w:eastAsia="cs-CZ"/>
              </w:rPr>
              <w:t>-2 %</w:t>
            </w:r>
          </w:p>
        </w:tc>
        <w:tc>
          <w:tcPr>
            <w:tcW w:w="907" w:type="dxa"/>
            <w:tcBorders>
              <w:top w:val="nil"/>
              <w:left w:val="nil"/>
              <w:bottom w:val="double" w:sz="6" w:space="0" w:color="auto"/>
              <w:right w:val="nil"/>
            </w:tcBorders>
            <w:shd w:val="clear" w:color="auto" w:fill="auto"/>
            <w:noWrap/>
            <w:vAlign w:val="bottom"/>
            <w:hideMark/>
          </w:tcPr>
          <w:p w14:paraId="31D097D0" w14:textId="77777777" w:rsidR="0055370B" w:rsidRPr="00B25E45" w:rsidRDefault="0055370B" w:rsidP="0055370B">
            <w:pPr>
              <w:spacing w:after="0" w:line="240" w:lineRule="auto"/>
              <w:jc w:val="center"/>
              <w:rPr>
                <w:rFonts w:ascii="Garamond" w:eastAsia="Times New Roman" w:hAnsi="Garamond"/>
                <w:b/>
                <w:bCs/>
                <w:sz w:val="24"/>
                <w:szCs w:val="24"/>
                <w:lang w:eastAsia="cs-CZ"/>
              </w:rPr>
            </w:pPr>
            <w:r w:rsidRPr="00B25E45">
              <w:rPr>
                <w:rFonts w:ascii="Garamond" w:eastAsia="Times New Roman" w:hAnsi="Garamond"/>
                <w:b/>
                <w:bCs/>
                <w:sz w:val="24"/>
                <w:szCs w:val="24"/>
                <w:lang w:eastAsia="cs-CZ"/>
              </w:rPr>
              <w:t>8 023</w:t>
            </w:r>
          </w:p>
        </w:tc>
        <w:tc>
          <w:tcPr>
            <w:tcW w:w="864" w:type="dxa"/>
            <w:tcBorders>
              <w:top w:val="nil"/>
              <w:left w:val="nil"/>
              <w:bottom w:val="double" w:sz="6" w:space="0" w:color="auto"/>
              <w:right w:val="single" w:sz="4" w:space="0" w:color="auto"/>
            </w:tcBorders>
            <w:shd w:val="clear" w:color="auto" w:fill="auto"/>
            <w:noWrap/>
            <w:vAlign w:val="center"/>
            <w:hideMark/>
          </w:tcPr>
          <w:p w14:paraId="2A5CC714" w14:textId="77777777" w:rsidR="0055370B" w:rsidRPr="00B25E45" w:rsidRDefault="0055370B" w:rsidP="0055370B">
            <w:pPr>
              <w:spacing w:after="0" w:line="240" w:lineRule="auto"/>
              <w:jc w:val="center"/>
              <w:rPr>
                <w:rFonts w:ascii="Garamond" w:eastAsia="Times New Roman" w:hAnsi="Garamond"/>
                <w:b/>
                <w:bCs/>
                <w:sz w:val="20"/>
                <w:szCs w:val="20"/>
                <w:lang w:eastAsia="cs-CZ"/>
              </w:rPr>
            </w:pPr>
            <w:r w:rsidRPr="00B25E45">
              <w:rPr>
                <w:rFonts w:ascii="Garamond" w:eastAsia="Times New Roman" w:hAnsi="Garamond"/>
                <w:b/>
                <w:bCs/>
                <w:sz w:val="20"/>
                <w:szCs w:val="20"/>
                <w:lang w:eastAsia="cs-CZ"/>
              </w:rPr>
              <w:t>-18 %</w:t>
            </w:r>
          </w:p>
        </w:tc>
        <w:tc>
          <w:tcPr>
            <w:tcW w:w="1559" w:type="dxa"/>
            <w:tcBorders>
              <w:top w:val="double" w:sz="6" w:space="0" w:color="auto"/>
              <w:left w:val="nil"/>
              <w:bottom w:val="double" w:sz="6" w:space="0" w:color="auto"/>
              <w:right w:val="nil"/>
            </w:tcBorders>
            <w:shd w:val="clear" w:color="auto" w:fill="auto"/>
            <w:noWrap/>
            <w:vAlign w:val="center"/>
            <w:hideMark/>
          </w:tcPr>
          <w:p w14:paraId="444E23CE" w14:textId="77777777" w:rsidR="0055370B" w:rsidRPr="00B25E45" w:rsidRDefault="0055370B" w:rsidP="0055370B">
            <w:pPr>
              <w:spacing w:after="0" w:line="240" w:lineRule="auto"/>
              <w:jc w:val="center"/>
              <w:rPr>
                <w:rFonts w:ascii="Garamond" w:eastAsia="Times New Roman" w:hAnsi="Garamond"/>
                <w:b/>
                <w:bCs/>
                <w:sz w:val="24"/>
                <w:szCs w:val="24"/>
                <w:lang w:eastAsia="cs-CZ"/>
              </w:rPr>
            </w:pPr>
            <w:r w:rsidRPr="00B25E45">
              <w:rPr>
                <w:rFonts w:ascii="Garamond" w:eastAsia="Times New Roman" w:hAnsi="Garamond"/>
                <w:b/>
                <w:bCs/>
                <w:sz w:val="24"/>
                <w:szCs w:val="24"/>
                <w:lang w:eastAsia="cs-CZ"/>
              </w:rPr>
              <w:t>118,9 %</w:t>
            </w:r>
          </w:p>
        </w:tc>
      </w:tr>
      <w:tr w:rsidR="0055370B" w:rsidRPr="00B25E45" w14:paraId="2D3056E3" w14:textId="77777777" w:rsidTr="00760B1A">
        <w:trPr>
          <w:trHeight w:val="330"/>
        </w:trPr>
        <w:tc>
          <w:tcPr>
            <w:tcW w:w="2036" w:type="dxa"/>
            <w:tcBorders>
              <w:top w:val="nil"/>
              <w:left w:val="nil"/>
              <w:bottom w:val="nil"/>
              <w:right w:val="nil"/>
            </w:tcBorders>
            <w:shd w:val="clear" w:color="auto" w:fill="auto"/>
            <w:noWrap/>
            <w:vAlign w:val="bottom"/>
            <w:hideMark/>
          </w:tcPr>
          <w:p w14:paraId="65E22D82" w14:textId="77777777" w:rsidR="0055370B" w:rsidRPr="00B25E45" w:rsidRDefault="0055370B" w:rsidP="0055370B">
            <w:pPr>
              <w:shd w:val="clear" w:color="auto" w:fill="FFFFFF" w:themeFill="background1"/>
              <w:spacing w:after="0" w:line="240" w:lineRule="auto"/>
              <w:jc w:val="center"/>
              <w:rPr>
                <w:rFonts w:ascii="Garamond" w:eastAsia="Times New Roman" w:hAnsi="Garamond"/>
                <w:b/>
                <w:bCs/>
                <w:sz w:val="24"/>
                <w:szCs w:val="24"/>
                <w:lang w:eastAsia="cs-CZ"/>
              </w:rPr>
            </w:pPr>
          </w:p>
        </w:tc>
        <w:tc>
          <w:tcPr>
            <w:tcW w:w="898" w:type="dxa"/>
            <w:tcBorders>
              <w:top w:val="nil"/>
              <w:left w:val="nil"/>
              <w:bottom w:val="nil"/>
              <w:right w:val="nil"/>
            </w:tcBorders>
            <w:shd w:val="clear" w:color="auto" w:fill="auto"/>
            <w:noWrap/>
            <w:vAlign w:val="bottom"/>
            <w:hideMark/>
          </w:tcPr>
          <w:p w14:paraId="30F8C751" w14:textId="77777777" w:rsidR="0055370B" w:rsidRPr="00B25E45" w:rsidRDefault="0055370B" w:rsidP="0055370B">
            <w:pPr>
              <w:shd w:val="clear" w:color="auto" w:fill="FFFFFF" w:themeFill="background1"/>
              <w:spacing w:after="0" w:line="240" w:lineRule="auto"/>
              <w:rPr>
                <w:rFonts w:ascii="Times New Roman" w:eastAsia="Times New Roman" w:hAnsi="Times New Roman"/>
                <w:sz w:val="20"/>
                <w:szCs w:val="20"/>
                <w:lang w:eastAsia="cs-CZ"/>
              </w:rPr>
            </w:pPr>
          </w:p>
        </w:tc>
        <w:tc>
          <w:tcPr>
            <w:tcW w:w="953" w:type="dxa"/>
            <w:tcBorders>
              <w:top w:val="nil"/>
              <w:left w:val="nil"/>
              <w:bottom w:val="nil"/>
              <w:right w:val="nil"/>
            </w:tcBorders>
            <w:shd w:val="clear" w:color="auto" w:fill="auto"/>
            <w:noWrap/>
            <w:vAlign w:val="bottom"/>
            <w:hideMark/>
          </w:tcPr>
          <w:p w14:paraId="53034844" w14:textId="77777777" w:rsidR="0055370B" w:rsidRPr="00B25E45" w:rsidRDefault="0055370B" w:rsidP="0055370B">
            <w:pPr>
              <w:shd w:val="clear" w:color="auto" w:fill="FFFFFF" w:themeFill="background1"/>
              <w:spacing w:after="0" w:line="240" w:lineRule="auto"/>
              <w:rPr>
                <w:rFonts w:ascii="Times New Roman" w:eastAsia="Times New Roman" w:hAnsi="Times New Roman"/>
                <w:sz w:val="20"/>
                <w:szCs w:val="20"/>
                <w:lang w:eastAsia="cs-CZ"/>
              </w:rPr>
            </w:pPr>
          </w:p>
        </w:tc>
        <w:tc>
          <w:tcPr>
            <w:tcW w:w="1044" w:type="dxa"/>
            <w:tcBorders>
              <w:top w:val="nil"/>
              <w:left w:val="nil"/>
              <w:bottom w:val="nil"/>
              <w:right w:val="nil"/>
            </w:tcBorders>
            <w:shd w:val="clear" w:color="auto" w:fill="auto"/>
            <w:noWrap/>
            <w:vAlign w:val="bottom"/>
            <w:hideMark/>
          </w:tcPr>
          <w:p w14:paraId="3FF82A60" w14:textId="77777777" w:rsidR="0055370B" w:rsidRPr="00B25E45" w:rsidRDefault="0055370B" w:rsidP="0055370B">
            <w:pPr>
              <w:shd w:val="clear" w:color="auto" w:fill="FFFFFF" w:themeFill="background1"/>
              <w:spacing w:after="0" w:line="240" w:lineRule="auto"/>
              <w:rPr>
                <w:rFonts w:ascii="Times New Roman" w:eastAsia="Times New Roman" w:hAnsi="Times New Roman"/>
                <w:sz w:val="20"/>
                <w:szCs w:val="20"/>
                <w:lang w:eastAsia="cs-CZ"/>
              </w:rPr>
            </w:pPr>
          </w:p>
        </w:tc>
        <w:tc>
          <w:tcPr>
            <w:tcW w:w="953" w:type="dxa"/>
            <w:tcBorders>
              <w:top w:val="nil"/>
              <w:left w:val="nil"/>
              <w:bottom w:val="nil"/>
              <w:right w:val="nil"/>
            </w:tcBorders>
            <w:shd w:val="clear" w:color="auto" w:fill="auto"/>
            <w:noWrap/>
            <w:vAlign w:val="bottom"/>
            <w:hideMark/>
          </w:tcPr>
          <w:p w14:paraId="2E7E7E44" w14:textId="77777777" w:rsidR="0055370B" w:rsidRPr="00B25E45" w:rsidRDefault="0055370B" w:rsidP="0055370B">
            <w:pPr>
              <w:shd w:val="clear" w:color="auto" w:fill="FFFFFF" w:themeFill="background1"/>
              <w:spacing w:after="0" w:line="240" w:lineRule="auto"/>
              <w:rPr>
                <w:rFonts w:ascii="Times New Roman" w:eastAsia="Times New Roman" w:hAnsi="Times New Roman"/>
                <w:sz w:val="20"/>
                <w:szCs w:val="20"/>
                <w:lang w:eastAsia="cs-CZ"/>
              </w:rPr>
            </w:pPr>
          </w:p>
        </w:tc>
        <w:tc>
          <w:tcPr>
            <w:tcW w:w="907" w:type="dxa"/>
            <w:tcBorders>
              <w:top w:val="nil"/>
              <w:left w:val="nil"/>
              <w:bottom w:val="nil"/>
              <w:right w:val="nil"/>
            </w:tcBorders>
            <w:shd w:val="clear" w:color="auto" w:fill="auto"/>
            <w:noWrap/>
            <w:vAlign w:val="bottom"/>
            <w:hideMark/>
          </w:tcPr>
          <w:p w14:paraId="45BEC4EE" w14:textId="77777777" w:rsidR="0055370B" w:rsidRPr="00B25E45" w:rsidRDefault="0055370B" w:rsidP="0055370B">
            <w:pPr>
              <w:shd w:val="clear" w:color="auto" w:fill="FFFFFF" w:themeFill="background1"/>
              <w:spacing w:after="0" w:line="240" w:lineRule="auto"/>
              <w:rPr>
                <w:rFonts w:ascii="Times New Roman" w:eastAsia="Times New Roman" w:hAnsi="Times New Roman"/>
                <w:sz w:val="20"/>
                <w:szCs w:val="20"/>
                <w:lang w:eastAsia="cs-CZ"/>
              </w:rPr>
            </w:pPr>
          </w:p>
        </w:tc>
        <w:tc>
          <w:tcPr>
            <w:tcW w:w="864" w:type="dxa"/>
            <w:tcBorders>
              <w:top w:val="nil"/>
              <w:left w:val="nil"/>
              <w:bottom w:val="nil"/>
              <w:right w:val="nil"/>
            </w:tcBorders>
            <w:shd w:val="clear" w:color="auto" w:fill="auto"/>
            <w:noWrap/>
            <w:vAlign w:val="bottom"/>
            <w:hideMark/>
          </w:tcPr>
          <w:p w14:paraId="4295AA37" w14:textId="77777777" w:rsidR="0055370B" w:rsidRPr="00B25E45" w:rsidRDefault="0055370B" w:rsidP="0055370B">
            <w:pPr>
              <w:shd w:val="clear" w:color="auto" w:fill="FFFFFF" w:themeFill="background1"/>
              <w:spacing w:after="0" w:line="240" w:lineRule="auto"/>
              <w:rPr>
                <w:rFonts w:ascii="Times New Roman" w:eastAsia="Times New Roman" w:hAnsi="Times New Roman"/>
                <w:sz w:val="20"/>
                <w:szCs w:val="20"/>
                <w:lang w:eastAsia="cs-CZ"/>
              </w:rPr>
            </w:pPr>
          </w:p>
        </w:tc>
        <w:tc>
          <w:tcPr>
            <w:tcW w:w="1559" w:type="dxa"/>
            <w:tcBorders>
              <w:top w:val="nil"/>
              <w:left w:val="nil"/>
              <w:bottom w:val="nil"/>
              <w:right w:val="nil"/>
            </w:tcBorders>
            <w:shd w:val="clear" w:color="auto" w:fill="auto"/>
            <w:noWrap/>
            <w:vAlign w:val="bottom"/>
            <w:hideMark/>
          </w:tcPr>
          <w:p w14:paraId="02AFCBF6" w14:textId="77777777" w:rsidR="0055370B" w:rsidRPr="00B25E45" w:rsidRDefault="0055370B" w:rsidP="0055370B">
            <w:pPr>
              <w:shd w:val="clear" w:color="auto" w:fill="FFFFFF" w:themeFill="background1"/>
              <w:spacing w:after="0" w:line="240" w:lineRule="auto"/>
              <w:rPr>
                <w:rFonts w:ascii="Times New Roman" w:eastAsia="Times New Roman" w:hAnsi="Times New Roman"/>
                <w:sz w:val="20"/>
                <w:szCs w:val="20"/>
                <w:lang w:eastAsia="cs-CZ"/>
              </w:rPr>
            </w:pPr>
          </w:p>
        </w:tc>
      </w:tr>
    </w:tbl>
    <w:p w14:paraId="3DED293D" w14:textId="4D5F3DCF" w:rsidR="00E24C6B" w:rsidRPr="00B25E45" w:rsidRDefault="00E24C6B" w:rsidP="000F0904">
      <w:pPr>
        <w:spacing w:before="120"/>
        <w:jc w:val="both"/>
        <w:rPr>
          <w:rFonts w:ascii="Times New Roman" w:hAnsi="Times New Roman"/>
          <w:sz w:val="24"/>
        </w:rPr>
      </w:pPr>
      <w:r w:rsidRPr="00B25E45">
        <w:rPr>
          <w:rFonts w:ascii="Times New Roman" w:hAnsi="Times New Roman"/>
          <w:sz w:val="24"/>
        </w:rPr>
        <w:t xml:space="preserve">Stávající neduhy procesu před správními soudy přitom nejsou jen na újmu správní justice. Výrazně se </w:t>
      </w:r>
      <w:r w:rsidR="00556D09" w:rsidRPr="00B25E45">
        <w:rPr>
          <w:rFonts w:ascii="Times New Roman" w:hAnsi="Times New Roman"/>
          <w:sz w:val="24"/>
        </w:rPr>
        <w:t>podepisují</w:t>
      </w:r>
      <w:r w:rsidRPr="00B25E45">
        <w:rPr>
          <w:rFonts w:ascii="Times New Roman" w:hAnsi="Times New Roman"/>
          <w:sz w:val="24"/>
        </w:rPr>
        <w:t xml:space="preserve"> i na vymahatelnosti veřejných subjektivních práv. Účastníci soudního řízení očekávají, že o jejich právech a povinnostech bude rozhodnuto v přiměřené lhůtě. Jestliže soudní systém není schopen toto očekávání naplnit, může postupně docházet ke snižování důvěry ve správní justici</w:t>
      </w:r>
      <w:r w:rsidR="00AA63F5" w:rsidRPr="00B25E45">
        <w:rPr>
          <w:rFonts w:ascii="Times New Roman" w:hAnsi="Times New Roman"/>
          <w:sz w:val="24"/>
        </w:rPr>
        <w:t xml:space="preserve"> a obecně důvěry občanů v právní stát</w:t>
      </w:r>
      <w:r w:rsidRPr="00B25E45">
        <w:rPr>
          <w:rFonts w:ascii="Times New Roman" w:hAnsi="Times New Roman"/>
          <w:sz w:val="24"/>
        </w:rPr>
        <w:t xml:space="preserve">. Bez </w:t>
      </w:r>
      <w:r w:rsidR="00AA63F5" w:rsidRPr="00B25E45">
        <w:rPr>
          <w:rFonts w:ascii="Times New Roman" w:hAnsi="Times New Roman"/>
          <w:sz w:val="24"/>
        </w:rPr>
        <w:t>adekvátní reakce v právní úpravě</w:t>
      </w:r>
      <w:r w:rsidRPr="00B25E45">
        <w:rPr>
          <w:rFonts w:ascii="Times New Roman" w:hAnsi="Times New Roman"/>
          <w:sz w:val="24"/>
        </w:rPr>
        <w:t xml:space="preserve"> přitom nelze očekávat, že by nastolený trend ustal; postupem času bude </w:t>
      </w:r>
      <w:r w:rsidR="00AA63F5" w:rsidRPr="00B25E45">
        <w:rPr>
          <w:rFonts w:ascii="Times New Roman" w:hAnsi="Times New Roman"/>
          <w:sz w:val="24"/>
        </w:rPr>
        <w:t>spíše</w:t>
      </w:r>
      <w:r w:rsidRPr="00B25E45">
        <w:rPr>
          <w:rFonts w:ascii="Times New Roman" w:hAnsi="Times New Roman"/>
          <w:sz w:val="24"/>
        </w:rPr>
        <w:t xml:space="preserve"> docházet k jeho dalšímu prohlubování. </w:t>
      </w:r>
    </w:p>
    <w:p w14:paraId="42005F13" w14:textId="1F34C8A1" w:rsidR="00E24C6B" w:rsidRPr="00B25E45" w:rsidRDefault="00AA63F5" w:rsidP="000F0904">
      <w:pPr>
        <w:spacing w:before="120"/>
        <w:jc w:val="both"/>
        <w:rPr>
          <w:rFonts w:ascii="Times New Roman" w:hAnsi="Times New Roman"/>
          <w:sz w:val="24"/>
        </w:rPr>
      </w:pPr>
      <w:r w:rsidRPr="00B25E45">
        <w:rPr>
          <w:rFonts w:ascii="Times New Roman" w:hAnsi="Times New Roman"/>
          <w:sz w:val="24"/>
        </w:rPr>
        <w:t>Na to, že právě v agendě správní justice, pokud jde o efektivitu a délku řízení a vytíženost správních soudů, existuje problém, dlouhodobě poukazuje Evropská komise ve svých hodnotících zprávách o stavu právního státu v rámci členských zemí EU. Například ve zprávě z roku 2020 je v kapitole o České republice velmi příznačně uvedeno následující: „</w:t>
      </w:r>
      <w:r w:rsidRPr="00B25E45">
        <w:rPr>
          <w:rFonts w:ascii="Times New Roman" w:hAnsi="Times New Roman"/>
          <w:i/>
          <w:iCs/>
          <w:sz w:val="24"/>
        </w:rPr>
        <w:t xml:space="preserve">Soudnictví se nepotýká s žádnými zvláštními problémy, pokud jde o účinnost řízení v občanských a obchodních věcech, avšak řízení ve správních věcech bývají i nadále zdlouhavá. Odhadovaná délka soudního řízení v občanských a obchodních věcech je ve srovnání s průměrnou délkou průměrná nebo kratší a míra ukončených řízení </w:t>
      </w:r>
      <w:proofErr w:type="gramStart"/>
      <w:r w:rsidRPr="00B25E45">
        <w:rPr>
          <w:rFonts w:ascii="Times New Roman" w:hAnsi="Times New Roman"/>
          <w:i/>
          <w:iCs/>
          <w:sz w:val="24"/>
        </w:rPr>
        <w:t>svědčí</w:t>
      </w:r>
      <w:proofErr w:type="gramEnd"/>
      <w:r w:rsidRPr="00B25E45">
        <w:rPr>
          <w:rFonts w:ascii="Times New Roman" w:hAnsi="Times New Roman"/>
          <w:i/>
          <w:iCs/>
          <w:sz w:val="24"/>
        </w:rPr>
        <w:t xml:space="preserve"> o tom, že soudy jsou schopny zvládat nově přicházející věci. Ve správních věcech hlásí Česká republika průměrné výsledky: v roce 2018 byla odhadovaná doba pro vydání rozhodnutí ve správní věci v prvoinstančním řízení 412 dní. Míra vyřešených věcí </w:t>
      </w:r>
      <w:proofErr w:type="gramStart"/>
      <w:r w:rsidRPr="00B25E45">
        <w:rPr>
          <w:rFonts w:ascii="Times New Roman" w:hAnsi="Times New Roman"/>
          <w:i/>
          <w:iCs/>
          <w:sz w:val="24"/>
        </w:rPr>
        <w:t>patří</w:t>
      </w:r>
      <w:proofErr w:type="gramEnd"/>
      <w:r w:rsidRPr="00B25E45">
        <w:rPr>
          <w:rFonts w:ascii="Times New Roman" w:hAnsi="Times New Roman"/>
          <w:i/>
          <w:iCs/>
          <w:sz w:val="24"/>
        </w:rPr>
        <w:t xml:space="preserve"> v kontextu EU k těm nižším, což svědčí o existenci problémů v této oblasti.</w:t>
      </w:r>
      <w:r w:rsidRPr="00B25E45">
        <w:rPr>
          <w:rFonts w:ascii="Times New Roman" w:hAnsi="Times New Roman"/>
          <w:sz w:val="24"/>
        </w:rPr>
        <w:t>“</w:t>
      </w:r>
      <w:r w:rsidRPr="00B25E45">
        <w:rPr>
          <w:rStyle w:val="Znakapoznpodarou"/>
          <w:rFonts w:ascii="Times New Roman" w:hAnsi="Times New Roman"/>
          <w:sz w:val="24"/>
        </w:rPr>
        <w:footnoteReference w:id="3"/>
      </w:r>
      <w:r w:rsidRPr="00B25E45">
        <w:rPr>
          <w:rFonts w:ascii="Times New Roman" w:hAnsi="Times New Roman"/>
          <w:sz w:val="24"/>
        </w:rPr>
        <w:t xml:space="preserve"> Ačkoliv je možné sledovat určité zlepšení v posledních letech, přesto je i nadále délka řízení ve správním soudnictví ve srovnání s ostatními agendami spíše delší.</w:t>
      </w:r>
    </w:p>
    <w:p w14:paraId="2245568C" w14:textId="3CC91178" w:rsidR="000149E3" w:rsidRPr="00B25E45" w:rsidRDefault="00AA63F5" w:rsidP="000F0904">
      <w:pPr>
        <w:spacing w:before="120"/>
        <w:jc w:val="both"/>
        <w:rPr>
          <w:rFonts w:ascii="Times New Roman" w:hAnsi="Times New Roman"/>
          <w:sz w:val="24"/>
        </w:rPr>
      </w:pPr>
      <w:bookmarkStart w:id="13" w:name="_Hlk149665660"/>
      <w:bookmarkEnd w:id="12"/>
      <w:r w:rsidRPr="00B25E45">
        <w:rPr>
          <w:rFonts w:ascii="Times New Roman" w:hAnsi="Times New Roman"/>
          <w:sz w:val="24"/>
        </w:rPr>
        <w:t>Navrhovaná úprava je tak nezbytná z těchto obecnějších důvodů:</w:t>
      </w:r>
    </w:p>
    <w:bookmarkEnd w:id="13"/>
    <w:p w14:paraId="08AFFA92" w14:textId="48D7BDC6" w:rsidR="00AA63F5" w:rsidRPr="00B25E45" w:rsidRDefault="00AA63F5" w:rsidP="00F6177A">
      <w:pPr>
        <w:pStyle w:val="Odstavecseseznamem"/>
        <w:numPr>
          <w:ilvl w:val="0"/>
          <w:numId w:val="34"/>
        </w:numPr>
        <w:spacing w:before="120" w:after="120" w:line="276" w:lineRule="auto"/>
        <w:jc w:val="both"/>
      </w:pPr>
      <w:r w:rsidRPr="00B25E45">
        <w:lastRenderedPageBreak/>
        <w:t xml:space="preserve">podpora vyšší </w:t>
      </w:r>
      <w:r w:rsidRPr="00B25E45">
        <w:rPr>
          <w:b/>
          <w:bCs/>
        </w:rPr>
        <w:t>efektivity a účelnosti</w:t>
      </w:r>
      <w:r w:rsidRPr="00B25E45">
        <w:t xml:space="preserve"> řízení ve správním soudnictví;</w:t>
      </w:r>
    </w:p>
    <w:p w14:paraId="5263C5CD" w14:textId="12E4593B" w:rsidR="00AA63F5" w:rsidRPr="00B25E45" w:rsidRDefault="00AA63F5" w:rsidP="00F6177A">
      <w:pPr>
        <w:pStyle w:val="Odstavecseseznamem"/>
        <w:numPr>
          <w:ilvl w:val="0"/>
          <w:numId w:val="34"/>
        </w:numPr>
        <w:spacing w:before="120" w:after="120" w:line="276" w:lineRule="auto"/>
        <w:jc w:val="both"/>
      </w:pPr>
      <w:r w:rsidRPr="00B25E45">
        <w:rPr>
          <w:b/>
          <w:bCs/>
        </w:rPr>
        <w:t>zkrácení délky</w:t>
      </w:r>
      <w:r w:rsidRPr="00B25E45">
        <w:t xml:space="preserve"> řízení před správními soudy a snížení počtu nedodělků;</w:t>
      </w:r>
    </w:p>
    <w:p w14:paraId="7A453FED" w14:textId="4B1FAF54" w:rsidR="00AA63F5" w:rsidRPr="00B25E45" w:rsidRDefault="00AA63F5" w:rsidP="00F6177A">
      <w:pPr>
        <w:pStyle w:val="Odstavecseseznamem"/>
        <w:numPr>
          <w:ilvl w:val="0"/>
          <w:numId w:val="34"/>
        </w:numPr>
        <w:spacing w:before="120" w:after="120" w:line="276" w:lineRule="auto"/>
        <w:jc w:val="both"/>
      </w:pPr>
      <w:r w:rsidRPr="00B25E45">
        <w:rPr>
          <w:b/>
          <w:bCs/>
        </w:rPr>
        <w:t>posílení důvěry občanů ve správní soudnictví</w:t>
      </w:r>
      <w:r w:rsidRPr="00B25E45">
        <w:t xml:space="preserve"> a v právní stát obecně.</w:t>
      </w:r>
    </w:p>
    <w:p w14:paraId="6DEBC284" w14:textId="70E669C0" w:rsidR="00AA63F5" w:rsidRPr="00B25E45" w:rsidRDefault="00AA63F5" w:rsidP="000F0904">
      <w:pPr>
        <w:spacing w:before="120"/>
        <w:jc w:val="both"/>
        <w:rPr>
          <w:rFonts w:ascii="Times New Roman" w:hAnsi="Times New Roman"/>
          <w:sz w:val="24"/>
        </w:rPr>
      </w:pPr>
      <w:r w:rsidRPr="00B25E45">
        <w:rPr>
          <w:rFonts w:ascii="Times New Roman" w:hAnsi="Times New Roman"/>
          <w:sz w:val="24"/>
        </w:rPr>
        <w:t xml:space="preserve">Mimo to je nezbytnost přijetí právní úpravy odůvodněna i nutností odstranit problémy právní úpravy, které byly v obecnější rovině popsány v kapitole 1 a jež se projevily v aplikační praxi během více než dvacetileté existence soudního řádu správního. </w:t>
      </w:r>
    </w:p>
    <w:p w14:paraId="7A7DFF37" w14:textId="32783E2F" w:rsidR="00AA63F5" w:rsidRPr="00B25E45" w:rsidRDefault="00AA63F5" w:rsidP="00F6177A">
      <w:pPr>
        <w:pStyle w:val="Odstavecseseznamem"/>
        <w:numPr>
          <w:ilvl w:val="0"/>
          <w:numId w:val="35"/>
        </w:numPr>
        <w:spacing w:before="120" w:after="120" w:line="276" w:lineRule="auto"/>
        <w:ind w:left="714" w:hanging="357"/>
        <w:jc w:val="both"/>
      </w:pPr>
      <w:r w:rsidRPr="00B25E45">
        <w:t xml:space="preserve">Bylo-li zjištěno, že </w:t>
      </w:r>
      <w:r w:rsidR="0098112D" w:rsidRPr="00B25E45">
        <w:t>úprava práce a rozhodování senátů správních soudů na krajské i nejvyšší úrovni</w:t>
      </w:r>
      <w:r w:rsidRPr="00B25E45">
        <w:t xml:space="preserve"> </w:t>
      </w:r>
      <w:r w:rsidR="0098112D" w:rsidRPr="00B25E45">
        <w:t xml:space="preserve">není dostatečně flexibilní, je nezbytné tuto úpravu změnit a </w:t>
      </w:r>
      <w:r w:rsidR="0098112D" w:rsidRPr="00B25E45">
        <w:rPr>
          <w:b/>
          <w:bCs/>
        </w:rPr>
        <w:t>zajistit efektivnější organizaci práce</w:t>
      </w:r>
      <w:r w:rsidR="0098112D" w:rsidRPr="00B25E45">
        <w:t xml:space="preserve"> podobně, jako to dlouhá léta a bez větších komplikací funguje například v agendě civilních soudů (jednodušší úkony mohou dělat asistenti, předseda senátů může pověřit některými úkony i jiné členy senátu apod.). </w:t>
      </w:r>
    </w:p>
    <w:p w14:paraId="4EB4CE27" w14:textId="4C440B24" w:rsidR="00AA63F5" w:rsidRPr="00B25E45" w:rsidRDefault="0098112D" w:rsidP="00F6177A">
      <w:pPr>
        <w:pStyle w:val="Odstavecseseznamem"/>
        <w:numPr>
          <w:ilvl w:val="0"/>
          <w:numId w:val="35"/>
        </w:numPr>
        <w:spacing w:before="120" w:after="120" w:line="276" w:lineRule="auto"/>
        <w:ind w:left="714" w:hanging="357"/>
        <w:jc w:val="both"/>
      </w:pPr>
      <w:r w:rsidRPr="00B25E45">
        <w:t xml:space="preserve">Ukazuje-li se v aplikační praxi, že aktuální právní </w:t>
      </w:r>
      <w:r w:rsidRPr="00B25E45">
        <w:rPr>
          <w:b/>
          <w:bCs/>
        </w:rPr>
        <w:t xml:space="preserve">úprava nezaručuje vždy adekvátní úroveň </w:t>
      </w:r>
      <w:r w:rsidR="00AA63F5" w:rsidRPr="00B25E45">
        <w:rPr>
          <w:b/>
          <w:bCs/>
        </w:rPr>
        <w:t>ochran</w:t>
      </w:r>
      <w:r w:rsidRPr="00B25E45">
        <w:rPr>
          <w:b/>
          <w:bCs/>
        </w:rPr>
        <w:t>y</w:t>
      </w:r>
      <w:r w:rsidR="00AA63F5" w:rsidRPr="00B25E45">
        <w:rPr>
          <w:b/>
          <w:bCs/>
        </w:rPr>
        <w:t xml:space="preserve"> veřejných subjektivních práv</w:t>
      </w:r>
      <w:r w:rsidRPr="00B25E45">
        <w:rPr>
          <w:b/>
          <w:bCs/>
        </w:rPr>
        <w:t>, je zcela na místě tyto nedostatky odstranit</w:t>
      </w:r>
      <w:r w:rsidR="00AA63F5" w:rsidRPr="00B25E45">
        <w:t>.</w:t>
      </w:r>
      <w:r w:rsidRPr="00B25E45">
        <w:t xml:space="preserve"> Mělo by tak dojít například k rozšíření definice osoby zúčastněné na řízení, k vyjasnění účinků § 75 odst. 2 s. ř. s. pro podkladové akty či o rozšíření kompetencí veřejného ochránce práv a nejvyššího státního zástupce mimo žalobu proti rozhodnutí správního orgánu. Podobně se navrhuje prolomit princip kasačního rozhodování, posuzují-li správní soudy nárok žalobce na mimořádnou úhradu z veřejného zdravotního pojištění. Tato změna může zachránit život lidem, u nichž je imanentní zájem na včasném zahájení </w:t>
      </w:r>
      <w:r w:rsidR="00556D09" w:rsidRPr="00B25E45">
        <w:t>vhodné</w:t>
      </w:r>
      <w:r w:rsidRPr="00B25E45">
        <w:t xml:space="preserve"> léčby</w:t>
      </w:r>
      <w:r w:rsidR="00E41176" w:rsidRPr="00B25E45">
        <w:t>.</w:t>
      </w:r>
    </w:p>
    <w:p w14:paraId="09557AAC" w14:textId="7B1C380A" w:rsidR="00AA63F5" w:rsidRPr="00B25E45" w:rsidRDefault="0098112D" w:rsidP="00F6177A">
      <w:pPr>
        <w:pStyle w:val="Odstavecseseznamem"/>
        <w:numPr>
          <w:ilvl w:val="0"/>
          <w:numId w:val="35"/>
        </w:numPr>
        <w:spacing w:before="120" w:after="120" w:line="276" w:lineRule="auto"/>
        <w:ind w:left="714" w:hanging="357"/>
        <w:jc w:val="both"/>
      </w:pPr>
      <w:r w:rsidRPr="00B25E45">
        <w:t xml:space="preserve">Pokud bylo ze strany správních soudců, ale také </w:t>
      </w:r>
      <w:r w:rsidR="00556D09" w:rsidRPr="00B25E45">
        <w:t>akademické obce</w:t>
      </w:r>
      <w:r w:rsidRPr="00B25E45">
        <w:t xml:space="preserve"> nebo advokátů zjištěno, že se </w:t>
      </w:r>
      <w:r w:rsidRPr="00B25E45">
        <w:rPr>
          <w:b/>
          <w:bCs/>
        </w:rPr>
        <w:t xml:space="preserve">některá ustanovení soudního řádu správního </w:t>
      </w:r>
      <w:r w:rsidR="00AA63F5" w:rsidRPr="00B25E45">
        <w:rPr>
          <w:b/>
          <w:bCs/>
        </w:rPr>
        <w:t xml:space="preserve">v praxi </w:t>
      </w:r>
      <w:r w:rsidRPr="00B25E45">
        <w:rPr>
          <w:b/>
          <w:bCs/>
        </w:rPr>
        <w:t xml:space="preserve">úplně </w:t>
      </w:r>
      <w:r w:rsidR="00AA63F5" w:rsidRPr="00B25E45">
        <w:rPr>
          <w:b/>
          <w:bCs/>
        </w:rPr>
        <w:t>neosvědčil</w:t>
      </w:r>
      <w:r w:rsidRPr="00B25E45">
        <w:rPr>
          <w:b/>
          <w:bCs/>
        </w:rPr>
        <w:t>a, musí na to zákonodárce reagovat</w:t>
      </w:r>
      <w:r w:rsidRPr="00B25E45">
        <w:t xml:space="preserve">. Nedostatky tak byly identifikovány například u odkladného účinku, vymezení přednostně projednávaných věcí či v souvislosti s vyhlašováním rozsudků dálkovým způsobem. Stejně tak je možné upustit od povinného zřizování kolegií, které aktuálně na Nejvyšším správním soudu nepůsobí navzdory tomu, že s nimi soudní řád správní počítá. </w:t>
      </w:r>
    </w:p>
    <w:p w14:paraId="773417A1" w14:textId="48664E3D" w:rsidR="0098112D" w:rsidRPr="00B25E45" w:rsidRDefault="0098112D" w:rsidP="00F6177A">
      <w:pPr>
        <w:pStyle w:val="Odstavecseseznamem"/>
        <w:numPr>
          <w:ilvl w:val="0"/>
          <w:numId w:val="35"/>
        </w:numPr>
        <w:spacing w:before="120" w:after="120" w:line="276" w:lineRule="auto"/>
        <w:ind w:left="714" w:hanging="357"/>
        <w:jc w:val="both"/>
      </w:pPr>
      <w:r w:rsidRPr="00B25E45">
        <w:t xml:space="preserve">Ukazuje se také, že některá </w:t>
      </w:r>
      <w:proofErr w:type="gramStart"/>
      <w:r w:rsidRPr="00B25E45">
        <w:t>ustanovení</w:t>
      </w:r>
      <w:proofErr w:type="gramEnd"/>
      <w:r w:rsidRPr="00B25E45">
        <w:t xml:space="preserve"> již neodpovídají tomu, jak se vyvinula rozhodovací praxe správních soudů</w:t>
      </w:r>
      <w:r w:rsidR="00AA63F5" w:rsidRPr="00B25E45">
        <w:t>.</w:t>
      </w:r>
      <w:r w:rsidRPr="00B25E45">
        <w:t xml:space="preserve"> Pravdou je, že nejde o žádnou neobvyklou situaci. K tomuto jevu dochází ve všech právních oblastech i agendách soudů. Pro laiky a běžné uživatele soudního řádu správní</w:t>
      </w:r>
      <w:r w:rsidR="00556D09" w:rsidRPr="00B25E45">
        <w:t>ho</w:t>
      </w:r>
      <w:r w:rsidRPr="00B25E45">
        <w:t xml:space="preserve"> </w:t>
      </w:r>
      <w:r w:rsidR="00556D09" w:rsidRPr="00B25E45">
        <w:t>to nicméně</w:t>
      </w:r>
      <w:r w:rsidRPr="00B25E45">
        <w:t xml:space="preserve"> není ideální stav, zejména pokud se </w:t>
      </w:r>
      <w:r w:rsidRPr="00B25E45">
        <w:rPr>
          <w:b/>
          <w:bCs/>
        </w:rPr>
        <w:t>text soudního řádu správního se závěry správních soudů rozchází ve velké míře a do určité míry popírá doslovné znění zákona</w:t>
      </w:r>
      <w:r w:rsidRPr="00B25E45">
        <w:t>. Je tedy vhodné uvedený nesoulad řešit, přičemž k tomuto řešení se navrhuje přistoupit třemi způsoby:</w:t>
      </w:r>
    </w:p>
    <w:p w14:paraId="2F4FDD6B" w14:textId="593E8485" w:rsidR="00AA63F5" w:rsidRPr="00B25E45" w:rsidRDefault="0098112D" w:rsidP="00F6177A">
      <w:pPr>
        <w:pStyle w:val="Odstavecseseznamem"/>
        <w:numPr>
          <w:ilvl w:val="1"/>
          <w:numId w:val="35"/>
        </w:numPr>
        <w:spacing w:before="120" w:after="120" w:line="276" w:lineRule="auto"/>
        <w:jc w:val="both"/>
      </w:pPr>
      <w:r w:rsidRPr="00B25E45">
        <w:t xml:space="preserve">Pokud je příslušné pravidlo vykládáno jinak, než zní, přičemž výklad správních soudů je vyhodnocen jako vhodnější, je </w:t>
      </w:r>
      <w:r w:rsidRPr="00B25E45">
        <w:rPr>
          <w:b/>
          <w:bCs/>
        </w:rPr>
        <w:t>nezbytné tuto interpretační linii do zákona promítnout, aby znění zákona odpovídalo i aplikační praxi</w:t>
      </w:r>
      <w:r w:rsidRPr="00B25E45">
        <w:t>.</w:t>
      </w:r>
      <w:r w:rsidR="00AA63F5" w:rsidRPr="00B25E45">
        <w:t xml:space="preserve"> </w:t>
      </w:r>
      <w:r w:rsidR="00556D09" w:rsidRPr="00B25E45">
        <w:t xml:space="preserve">Zmínit můžeme například § </w:t>
      </w:r>
      <w:r w:rsidR="00E66E8E" w:rsidRPr="00B25E45">
        <w:t xml:space="preserve">34 odst. 3 s. ř. s., pokud jde o </w:t>
      </w:r>
      <w:r w:rsidR="00E66E8E" w:rsidRPr="00B25E45">
        <w:lastRenderedPageBreak/>
        <w:t>výčet podání účastníků a rozhodnutí soudu doručovaných osobě zúčastněné na řízení.</w:t>
      </w:r>
    </w:p>
    <w:p w14:paraId="303D82AE" w14:textId="49CE8D8B" w:rsidR="0098112D" w:rsidRPr="00B25E45" w:rsidRDefault="0098112D" w:rsidP="00F6177A">
      <w:pPr>
        <w:pStyle w:val="Odstavecseseznamem"/>
        <w:numPr>
          <w:ilvl w:val="1"/>
          <w:numId w:val="35"/>
        </w:numPr>
        <w:spacing w:before="120" w:after="120" w:line="276" w:lineRule="auto"/>
        <w:jc w:val="both"/>
      </w:pPr>
      <w:r w:rsidRPr="00B25E45">
        <w:t xml:space="preserve">Je-li zákonné pravidlo významnějším způsobem </w:t>
      </w:r>
      <w:r w:rsidRPr="00B25E45">
        <w:rPr>
          <w:b/>
          <w:bCs/>
        </w:rPr>
        <w:t>doplněno navazující judikaturou, přičemž tato je hodnocena jako přiměřená, opět je nezbytné v zájmu zajištění uživatelského komfortu tuto změnu do zákona promítnout</w:t>
      </w:r>
      <w:r w:rsidRPr="00B25E45">
        <w:t>.</w:t>
      </w:r>
      <w:r w:rsidR="00556D09" w:rsidRPr="00B25E45">
        <w:t xml:space="preserve"> Jedná se kupříkladu o poučovací povinnost soudu při volbě nesprávního žalobního typu (rozsudek rozšířeného senátu Nejvyššího správního soudu ze dne 21. 11. 2017, </w:t>
      </w:r>
      <w:r w:rsidR="00E66E8E" w:rsidRPr="00B25E45">
        <w:t>čj.</w:t>
      </w:r>
      <w:r w:rsidR="00556D09" w:rsidRPr="00B25E45">
        <w:t xml:space="preserve"> 7 As 155/2015</w:t>
      </w:r>
      <w:r w:rsidR="00E66E8E" w:rsidRPr="00B25E45">
        <w:t>-</w:t>
      </w:r>
      <w:r w:rsidR="00556D09" w:rsidRPr="00B25E45">
        <w:t>160).</w:t>
      </w:r>
    </w:p>
    <w:p w14:paraId="202F6B31" w14:textId="4B0164E6" w:rsidR="0098112D" w:rsidRPr="00B25E45" w:rsidRDefault="0098112D" w:rsidP="00F6177A">
      <w:pPr>
        <w:pStyle w:val="Odstavecseseznamem"/>
        <w:numPr>
          <w:ilvl w:val="1"/>
          <w:numId w:val="35"/>
        </w:numPr>
        <w:spacing w:before="120" w:after="120" w:line="276" w:lineRule="auto"/>
        <w:jc w:val="both"/>
      </w:pPr>
      <w:r w:rsidRPr="00B25E45">
        <w:t xml:space="preserve">Existují však i případy, kdy </w:t>
      </w:r>
      <w:r w:rsidRPr="00B25E45">
        <w:rPr>
          <w:b/>
          <w:bCs/>
        </w:rPr>
        <w:t>judikatura správních soudů text zákona posunula jinam a dále, než zamýšlel zákonodárce, přičemž tento výklad správní justice byl vyhodnocen jako nevhodný</w:t>
      </w:r>
      <w:r w:rsidRPr="00B25E45">
        <w:t xml:space="preserve">. I na tyto případ by bylo vhodné zareagovat, a to tím, že se stávající dikce vyjasní a umožní soudům aplikovat původní záměr zákonodárce (a tím i do určité míry zvrátit předchozí nevhodné závěry rozhodovací praxe). </w:t>
      </w:r>
      <w:r w:rsidR="00556D09" w:rsidRPr="00B25E45">
        <w:t xml:space="preserve">Příkladem budiž sporná otázka práva správního orgánu na náhradu nákladů řízení (usnesení rozšířeného senátu Nejvyššího správního soudu ze dne 31. 3. 2015, čj. 7 </w:t>
      </w:r>
      <w:proofErr w:type="spellStart"/>
      <w:r w:rsidR="00556D09" w:rsidRPr="00B25E45">
        <w:t>Afs</w:t>
      </w:r>
      <w:proofErr w:type="spellEnd"/>
      <w:r w:rsidR="00556D09" w:rsidRPr="00B25E45">
        <w:t xml:space="preserve"> 11/2014-47).</w:t>
      </w:r>
    </w:p>
    <w:p w14:paraId="3DB0AF8C" w14:textId="7BAA99F7" w:rsidR="00AA63F5" w:rsidRPr="00B25E45" w:rsidRDefault="0098112D" w:rsidP="00F6177A">
      <w:pPr>
        <w:pStyle w:val="Odstavecseseznamem"/>
        <w:numPr>
          <w:ilvl w:val="0"/>
          <w:numId w:val="35"/>
        </w:numPr>
        <w:spacing w:before="120" w:after="120" w:line="276" w:lineRule="auto"/>
        <w:ind w:left="714" w:hanging="357"/>
        <w:jc w:val="both"/>
      </w:pPr>
      <w:r w:rsidRPr="00B25E45">
        <w:t>Počítá-li soudní řád správní s </w:t>
      </w:r>
      <w:r w:rsidRPr="00B25E45">
        <w:rPr>
          <w:b/>
          <w:bCs/>
        </w:rPr>
        <w:t>užitečným institutem, který se však v řízeních téměř nevyužívá, považuje předkladatel za nezbytné přijmout dílčí úpravu a podpořit aplikaci pravidla v praxi.</w:t>
      </w:r>
      <w:r w:rsidRPr="00B25E45">
        <w:t xml:space="preserve"> Proto se navrhuje revidovat například pravidla pro přijímání zásadních stanovisek i postup při uspokojení navrhovatele.</w:t>
      </w:r>
    </w:p>
    <w:p w14:paraId="3E4B66A6" w14:textId="7B3C5343" w:rsidR="00AA63F5" w:rsidRPr="00B25E45" w:rsidRDefault="0098112D" w:rsidP="00F6177A">
      <w:pPr>
        <w:pStyle w:val="Odstavecseseznamem"/>
        <w:numPr>
          <w:ilvl w:val="0"/>
          <w:numId w:val="35"/>
        </w:numPr>
        <w:spacing w:before="120" w:after="120" w:line="276" w:lineRule="auto"/>
        <w:ind w:left="714" w:hanging="357"/>
        <w:jc w:val="both"/>
      </w:pPr>
      <w:r w:rsidRPr="00B25E45">
        <w:t xml:space="preserve">Za zcela nezbytné je nutné považovat </w:t>
      </w:r>
      <w:r w:rsidRPr="00B25E45">
        <w:rPr>
          <w:b/>
          <w:bCs/>
        </w:rPr>
        <w:t xml:space="preserve">i odstranění sporných míst, jež vznikla v návaznosti na nejednoznačnou otázku subsidiarity </w:t>
      </w:r>
      <w:r w:rsidR="00AA63F5" w:rsidRPr="00B25E45">
        <w:rPr>
          <w:b/>
          <w:bCs/>
        </w:rPr>
        <w:t>občanského soudního řádu</w:t>
      </w:r>
      <w:r w:rsidR="00AA63F5" w:rsidRPr="00B25E45">
        <w:t xml:space="preserve">. </w:t>
      </w:r>
      <w:r w:rsidRPr="00B25E45">
        <w:t>Pokud soudní řád správní upravuje vlast</w:t>
      </w:r>
      <w:r w:rsidR="00556D09" w:rsidRPr="00B25E45">
        <w:t>n</w:t>
      </w:r>
      <w:r w:rsidRPr="00B25E45">
        <w:t xml:space="preserve">í, avšak toliko </w:t>
      </w:r>
      <w:proofErr w:type="gramStart"/>
      <w:r w:rsidRPr="00B25E45">
        <w:t>dílčí</w:t>
      </w:r>
      <w:proofErr w:type="gramEnd"/>
      <w:r w:rsidRPr="00B25E45">
        <w:t xml:space="preserve"> a navíc odlišnou úpravu základních procesních institutů, jakými je např. podání či doručování, je bezesporu na místě takovou úpravu sjednotit, aby postup při odstraňování vad podání nebo doručování byl v obou agendách shodný. Není žádn</w:t>
      </w:r>
      <w:r w:rsidR="00E41176" w:rsidRPr="00B25E45">
        <w:t>ý</w:t>
      </w:r>
      <w:r w:rsidRPr="00B25E45">
        <w:t xml:space="preserve"> důvod, aby se předmětná pravidla lišila. V praxi to vyvolává jen zbytečné otázky.</w:t>
      </w:r>
    </w:p>
    <w:p w14:paraId="6DADD182" w14:textId="48BAC769" w:rsidR="00AA63F5" w:rsidRPr="00B25E45" w:rsidRDefault="001C61C5" w:rsidP="00F6177A">
      <w:pPr>
        <w:pStyle w:val="Odstavecseseznamem"/>
        <w:numPr>
          <w:ilvl w:val="0"/>
          <w:numId w:val="35"/>
        </w:numPr>
        <w:spacing w:before="120" w:after="120" w:line="276" w:lineRule="auto"/>
        <w:ind w:left="714" w:hanging="357"/>
        <w:jc w:val="both"/>
      </w:pPr>
      <w:r w:rsidRPr="00B25E45">
        <w:t xml:space="preserve">Stejně tak je nezbytné přijmout </w:t>
      </w:r>
      <w:r w:rsidRPr="00B25E45">
        <w:rPr>
          <w:b/>
          <w:bCs/>
        </w:rPr>
        <w:t>obecné nástroje, které umožní soudům efektivně reagovat na zjevně zneužívající nebo neopodstatněné návrhy</w:t>
      </w:r>
      <w:r w:rsidRPr="00B25E45">
        <w:t>, jejichž projednávání brání tomu, aby se soudy mohly věnovat poskytování soudní ochrany účastníkům, do jejichž veřejných subjektivních práv bylo skutečně zasaženo.</w:t>
      </w:r>
    </w:p>
    <w:p w14:paraId="404B54F3" w14:textId="72BF69CD" w:rsidR="00AA63F5" w:rsidRPr="00B25E45" w:rsidRDefault="001C61C5" w:rsidP="00F6177A">
      <w:pPr>
        <w:pStyle w:val="Odstavecseseznamem"/>
        <w:numPr>
          <w:ilvl w:val="0"/>
          <w:numId w:val="35"/>
        </w:numPr>
        <w:spacing w:before="120" w:after="120" w:line="276" w:lineRule="auto"/>
        <w:ind w:left="714" w:hanging="357"/>
        <w:jc w:val="both"/>
      </w:pPr>
      <w:r w:rsidRPr="00B25E45">
        <w:t xml:space="preserve">Jelikož se v nejbližších letech počítá </w:t>
      </w:r>
      <w:r w:rsidRPr="00B25E45">
        <w:rPr>
          <w:b/>
          <w:bCs/>
        </w:rPr>
        <w:t>s postupným zaváděním elektronického soudního spisu do soudních řízení</w:t>
      </w:r>
      <w:r w:rsidRPr="00B25E45">
        <w:t xml:space="preserve"> (v roce 2024 by k tomu mělo dojít v agendě insolvenční a následovat by měly další oblasti), </w:t>
      </w:r>
      <w:r w:rsidR="00E41176" w:rsidRPr="00B25E45">
        <w:t>považují se</w:t>
      </w:r>
      <w:r w:rsidRPr="00B25E45">
        <w:t xml:space="preserve"> za nezbytné i změny, které na to mají soudní řád správní a správní justici obecně připravit.</w:t>
      </w:r>
    </w:p>
    <w:p w14:paraId="06898394" w14:textId="0EC482C2" w:rsidR="00AA63F5" w:rsidRPr="00B25E45" w:rsidRDefault="001C61C5" w:rsidP="00F6177A">
      <w:pPr>
        <w:pStyle w:val="Odstavecseseznamem"/>
        <w:numPr>
          <w:ilvl w:val="0"/>
          <w:numId w:val="35"/>
        </w:numPr>
        <w:spacing w:before="120" w:after="120" w:line="276" w:lineRule="auto"/>
        <w:ind w:left="714" w:hanging="357"/>
        <w:jc w:val="both"/>
      </w:pPr>
      <w:r w:rsidRPr="00B25E45">
        <w:t xml:space="preserve">Bylo zjištěno, že dílčí nedostatky vzniklé nedůsledností zákonodárce při přijímání novel nevedou k zásadnějším problémům. Nicméně pokud je o těchto nedostatcích </w:t>
      </w:r>
      <w:r w:rsidRPr="00B25E45">
        <w:lastRenderedPageBreak/>
        <w:t>známo</w:t>
      </w:r>
      <w:r w:rsidR="002F4347" w:rsidRPr="00B25E45">
        <w:t xml:space="preserve"> a je-li předkládána tato komplexnější novela kodexu správního soudnictví, pak se jeví </w:t>
      </w:r>
      <w:r w:rsidR="002F4347" w:rsidRPr="00B25E45">
        <w:rPr>
          <w:b/>
          <w:bCs/>
        </w:rPr>
        <w:t>odstranění těchto chyb přinejmenším jako vhodné</w:t>
      </w:r>
      <w:r w:rsidR="002F4347" w:rsidRPr="00B25E45">
        <w:t>.</w:t>
      </w:r>
      <w:r w:rsidRPr="00B25E45">
        <w:t xml:space="preserve"> </w:t>
      </w:r>
    </w:p>
    <w:p w14:paraId="5915ECEF" w14:textId="1131EDB3" w:rsidR="000149E3" w:rsidRPr="00B25E45" w:rsidRDefault="00207043" w:rsidP="000F0904">
      <w:pPr>
        <w:spacing w:before="120"/>
        <w:jc w:val="both"/>
        <w:rPr>
          <w:rFonts w:ascii="Times New Roman" w:hAnsi="Times New Roman"/>
          <w:sz w:val="24"/>
          <w:szCs w:val="24"/>
        </w:rPr>
      </w:pPr>
      <w:r w:rsidRPr="00B25E45">
        <w:rPr>
          <w:rFonts w:ascii="Times New Roman" w:hAnsi="Times New Roman"/>
          <w:sz w:val="24"/>
          <w:szCs w:val="24"/>
        </w:rPr>
        <w:t>Lze shrnout, že pokud nedojde k odstranění chyb, nedostatků a sporných míst v</w:t>
      </w:r>
      <w:r w:rsidR="00556D09" w:rsidRPr="00B25E45">
        <w:rPr>
          <w:rFonts w:ascii="Times New Roman" w:hAnsi="Times New Roman"/>
          <w:sz w:val="24"/>
          <w:szCs w:val="24"/>
        </w:rPr>
        <w:t xml:space="preserve"> právní úpravě </w:t>
      </w:r>
      <w:r w:rsidRPr="00B25E45">
        <w:rPr>
          <w:rFonts w:ascii="Times New Roman" w:hAnsi="Times New Roman"/>
          <w:sz w:val="24"/>
          <w:szCs w:val="24"/>
        </w:rPr>
        <w:t>řízení před správními soudy, nebo k promítnutí rozhodovací praxe správních soudů, budou i nadále přetrvávat výhrady, které byly v obecnější rovině shrnuty v první kapitole obecné části důvodové zprávy a v podrobnostech se jim věnuje zvláštní část. Takovýto stav je dlouhodobě neudržitelný a je nezbytné jej napravit, aby mohl soudní řád správní a s ním i související zákony adekvátně plnit svoji nezastupitelnou úlohu při poskytování soudní ochrany veřejných subjektivních práv.</w:t>
      </w:r>
    </w:p>
    <w:p w14:paraId="43789F47" w14:textId="77777777" w:rsidR="00E41176" w:rsidRPr="00B25E45" w:rsidRDefault="00E41176" w:rsidP="000F0904">
      <w:pPr>
        <w:spacing w:before="120"/>
        <w:jc w:val="both"/>
        <w:rPr>
          <w:rFonts w:ascii="Times New Roman" w:hAnsi="Times New Roman"/>
          <w:sz w:val="24"/>
          <w:szCs w:val="24"/>
        </w:rPr>
      </w:pPr>
    </w:p>
    <w:p w14:paraId="392F6FE1" w14:textId="77777777" w:rsidR="000149E3" w:rsidRPr="00B25E45" w:rsidRDefault="000149E3" w:rsidP="000F0904">
      <w:pPr>
        <w:numPr>
          <w:ilvl w:val="0"/>
          <w:numId w:val="5"/>
        </w:numPr>
        <w:spacing w:before="120"/>
        <w:ind w:left="0" w:firstLine="0"/>
        <w:jc w:val="both"/>
        <w:outlineLvl w:val="1"/>
        <w:rPr>
          <w:rFonts w:ascii="Times New Roman" w:hAnsi="Times New Roman"/>
          <w:b/>
          <w:sz w:val="28"/>
          <w:u w:val="single"/>
        </w:rPr>
      </w:pPr>
      <w:bookmarkStart w:id="14" w:name="_Toc25695634"/>
      <w:r w:rsidRPr="00B25E45">
        <w:rPr>
          <w:rFonts w:ascii="Times New Roman" w:hAnsi="Times New Roman"/>
          <w:b/>
          <w:sz w:val="28"/>
          <w:u w:val="single"/>
        </w:rPr>
        <w:t>Zhodnocení souladu navrhované právní úpravy s ústavním pořádkem</w:t>
      </w:r>
      <w:bookmarkEnd w:id="14"/>
    </w:p>
    <w:p w14:paraId="50ACA178" w14:textId="5CB9E6F3" w:rsidR="00207043" w:rsidRPr="00B25E45" w:rsidRDefault="009F7D32" w:rsidP="000F0904">
      <w:pPr>
        <w:spacing w:before="120"/>
        <w:jc w:val="both"/>
        <w:rPr>
          <w:rFonts w:ascii="Times New Roman" w:hAnsi="Times New Roman"/>
          <w:bCs/>
          <w:sz w:val="24"/>
        </w:rPr>
      </w:pPr>
      <w:r w:rsidRPr="00B25E45">
        <w:rPr>
          <w:rFonts w:ascii="Times New Roman" w:hAnsi="Times New Roman"/>
          <w:bCs/>
          <w:sz w:val="24"/>
        </w:rPr>
        <w:t>Z pohledu ústavního pořádku souvisí s předloženou problematikou zejména úprava základních práv v Listině základních práv a svobod (zák. č. 2/1993 Sb.). Na upravovanou materii dopadají především následující ústavně-garantovaná základní lidská práva:</w:t>
      </w:r>
    </w:p>
    <w:p w14:paraId="62DDEF69" w14:textId="162A89F8" w:rsidR="009F7D32" w:rsidRPr="00B25E45" w:rsidRDefault="009F7D32" w:rsidP="00F6177A">
      <w:pPr>
        <w:pStyle w:val="Odstavecseseznamem"/>
        <w:keepNext w:val="0"/>
        <w:numPr>
          <w:ilvl w:val="0"/>
          <w:numId w:val="34"/>
        </w:numPr>
        <w:spacing w:before="120" w:after="120" w:line="276" w:lineRule="auto"/>
        <w:ind w:left="714" w:hanging="357"/>
        <w:jc w:val="both"/>
        <w:rPr>
          <w:bCs/>
        </w:rPr>
      </w:pPr>
      <w:r w:rsidRPr="00B25E45">
        <w:rPr>
          <w:bCs/>
        </w:rPr>
        <w:t>Právo na soudní ochranu dle čl. 36 odst. 1</w:t>
      </w:r>
    </w:p>
    <w:p w14:paraId="78FBB838" w14:textId="481AF32F" w:rsidR="009F7D32" w:rsidRPr="00B25E45" w:rsidRDefault="009F7D32" w:rsidP="00F6177A">
      <w:pPr>
        <w:pStyle w:val="Odstavecseseznamem"/>
        <w:keepNext w:val="0"/>
        <w:numPr>
          <w:ilvl w:val="0"/>
          <w:numId w:val="34"/>
        </w:numPr>
        <w:spacing w:before="120" w:after="120" w:line="276" w:lineRule="auto"/>
        <w:ind w:left="714" w:hanging="357"/>
        <w:jc w:val="both"/>
        <w:rPr>
          <w:bCs/>
        </w:rPr>
      </w:pPr>
      <w:r w:rsidRPr="00B25E45">
        <w:rPr>
          <w:bCs/>
        </w:rPr>
        <w:t>Právo na ochranu v případě zásahu do práv rozhodnutím orgánu veřejné správy podle čl. 36 odst. 2</w:t>
      </w:r>
    </w:p>
    <w:p w14:paraId="4CF026E5" w14:textId="16F6BBA8" w:rsidR="009F7D32" w:rsidRPr="00B25E45" w:rsidRDefault="009F7D32" w:rsidP="00F6177A">
      <w:pPr>
        <w:pStyle w:val="Odstavecseseznamem"/>
        <w:keepNext w:val="0"/>
        <w:numPr>
          <w:ilvl w:val="0"/>
          <w:numId w:val="34"/>
        </w:numPr>
        <w:spacing w:before="120" w:after="120" w:line="276" w:lineRule="auto"/>
        <w:ind w:left="714" w:hanging="357"/>
        <w:jc w:val="both"/>
        <w:rPr>
          <w:bCs/>
        </w:rPr>
      </w:pPr>
      <w:r w:rsidRPr="00B25E45">
        <w:rPr>
          <w:bCs/>
        </w:rPr>
        <w:t>Zásada, že všichni účastníci jsou si v řízení rovni (čl. 37 odst. 3)</w:t>
      </w:r>
    </w:p>
    <w:p w14:paraId="1EBB0F02" w14:textId="4789378A" w:rsidR="009F7D32" w:rsidRPr="00B25E45" w:rsidRDefault="009F7D32" w:rsidP="00F6177A">
      <w:pPr>
        <w:pStyle w:val="Odstavecseseznamem"/>
        <w:keepNext w:val="0"/>
        <w:numPr>
          <w:ilvl w:val="0"/>
          <w:numId w:val="34"/>
        </w:numPr>
        <w:spacing w:before="120" w:after="120" w:line="276" w:lineRule="auto"/>
        <w:ind w:left="714" w:hanging="357"/>
        <w:jc w:val="both"/>
        <w:rPr>
          <w:bCs/>
        </w:rPr>
      </w:pPr>
      <w:r w:rsidRPr="00B25E45">
        <w:rPr>
          <w:bCs/>
        </w:rPr>
        <w:t>Právo na zákonného soudce (čl. 38 odst. 1)</w:t>
      </w:r>
    </w:p>
    <w:p w14:paraId="74CEF6D4" w14:textId="2BA360CB" w:rsidR="009F7D32" w:rsidRPr="00B25E45" w:rsidRDefault="009F7D32" w:rsidP="00F6177A">
      <w:pPr>
        <w:pStyle w:val="Odstavecseseznamem"/>
        <w:keepNext w:val="0"/>
        <w:numPr>
          <w:ilvl w:val="0"/>
          <w:numId w:val="34"/>
        </w:numPr>
        <w:spacing w:before="120" w:after="120" w:line="276" w:lineRule="auto"/>
        <w:ind w:left="714" w:hanging="357"/>
        <w:jc w:val="both"/>
        <w:rPr>
          <w:bCs/>
        </w:rPr>
      </w:pPr>
      <w:r w:rsidRPr="00B25E45">
        <w:rPr>
          <w:bCs/>
        </w:rPr>
        <w:t>Právo na spravedlivý proces v užším smyslu, jehož součástí je i právo na projednání věci bez zbytečných průtahů (čl. 38 odst. 2)</w:t>
      </w:r>
    </w:p>
    <w:p w14:paraId="628C7A5B" w14:textId="77777777" w:rsidR="00B3157D" w:rsidRPr="00B25E45" w:rsidRDefault="00B3157D" w:rsidP="000F0904">
      <w:pPr>
        <w:spacing w:before="120"/>
        <w:jc w:val="both"/>
        <w:rPr>
          <w:rFonts w:ascii="Times New Roman" w:hAnsi="Times New Roman"/>
          <w:bCs/>
          <w:sz w:val="24"/>
        </w:rPr>
      </w:pPr>
      <w:r w:rsidRPr="00B25E45">
        <w:rPr>
          <w:rFonts w:ascii="Times New Roman" w:hAnsi="Times New Roman"/>
          <w:bCs/>
          <w:sz w:val="24"/>
        </w:rPr>
        <w:t>V omezeném rozsahu se materiálu týká i Ústava ČR (zák. č. 1/1993 Sb.), a to konkrétně:</w:t>
      </w:r>
    </w:p>
    <w:p w14:paraId="2C17CCA6" w14:textId="56094AE5" w:rsidR="00B3157D" w:rsidRPr="00B25E45" w:rsidRDefault="00B3157D" w:rsidP="00F6177A">
      <w:pPr>
        <w:pStyle w:val="Odstavecseseznamem"/>
        <w:keepNext w:val="0"/>
        <w:numPr>
          <w:ilvl w:val="0"/>
          <w:numId w:val="34"/>
        </w:numPr>
        <w:spacing w:before="120" w:after="120" w:line="276" w:lineRule="auto"/>
        <w:jc w:val="both"/>
        <w:rPr>
          <w:bCs/>
        </w:rPr>
      </w:pPr>
      <w:r w:rsidRPr="00B25E45">
        <w:rPr>
          <w:bCs/>
        </w:rPr>
        <w:t>Čl. 81 (soudní moc vykonáv</w:t>
      </w:r>
      <w:r w:rsidR="00556D09" w:rsidRPr="00B25E45">
        <w:rPr>
          <w:bCs/>
        </w:rPr>
        <w:t>ána</w:t>
      </w:r>
      <w:r w:rsidRPr="00B25E45">
        <w:rPr>
          <w:bCs/>
        </w:rPr>
        <w:t xml:space="preserve"> soudy)</w:t>
      </w:r>
    </w:p>
    <w:p w14:paraId="311B0B23" w14:textId="77777777" w:rsidR="00B3157D" w:rsidRPr="00B25E45" w:rsidRDefault="00B3157D" w:rsidP="00F6177A">
      <w:pPr>
        <w:pStyle w:val="Odstavecseseznamem"/>
        <w:keepNext w:val="0"/>
        <w:numPr>
          <w:ilvl w:val="0"/>
          <w:numId w:val="34"/>
        </w:numPr>
        <w:spacing w:before="120" w:after="120" w:line="276" w:lineRule="auto"/>
        <w:jc w:val="both"/>
        <w:rPr>
          <w:bCs/>
        </w:rPr>
      </w:pPr>
      <w:r w:rsidRPr="00B25E45">
        <w:rPr>
          <w:bCs/>
        </w:rPr>
        <w:t>Čl. 82 (nezávislost a nestrannost soudů)</w:t>
      </w:r>
    </w:p>
    <w:p w14:paraId="53C7F633" w14:textId="79942700" w:rsidR="00B3157D" w:rsidRPr="00B25E45" w:rsidRDefault="00B3157D" w:rsidP="00F6177A">
      <w:pPr>
        <w:pStyle w:val="Odstavecseseznamem"/>
        <w:keepNext w:val="0"/>
        <w:numPr>
          <w:ilvl w:val="0"/>
          <w:numId w:val="34"/>
        </w:numPr>
        <w:spacing w:before="120" w:after="120" w:line="276" w:lineRule="auto"/>
        <w:jc w:val="both"/>
        <w:rPr>
          <w:bCs/>
        </w:rPr>
      </w:pPr>
      <w:r w:rsidRPr="00B25E45">
        <w:rPr>
          <w:bCs/>
        </w:rPr>
        <w:t>Čl. 94 (ke složení soudů)</w:t>
      </w:r>
    </w:p>
    <w:p w14:paraId="43A91F37" w14:textId="0508BA79" w:rsidR="00FD16B3" w:rsidRPr="00B25E45" w:rsidRDefault="00FD16B3" w:rsidP="00F6177A">
      <w:pPr>
        <w:pStyle w:val="Odstavecseseznamem"/>
        <w:keepNext w:val="0"/>
        <w:numPr>
          <w:ilvl w:val="0"/>
          <w:numId w:val="34"/>
        </w:numPr>
        <w:spacing w:before="120" w:after="120" w:line="276" w:lineRule="auto"/>
        <w:jc w:val="both"/>
        <w:rPr>
          <w:bCs/>
        </w:rPr>
      </w:pPr>
      <w:r w:rsidRPr="00B25E45">
        <w:rPr>
          <w:bCs/>
        </w:rPr>
        <w:t>Čl. 96 odst. 2 (veřejné vyhlašování rozsudků)</w:t>
      </w:r>
    </w:p>
    <w:p w14:paraId="638B1419" w14:textId="3E6A6CB4" w:rsidR="000149E3" w:rsidRPr="00B25E45" w:rsidRDefault="00207043" w:rsidP="00556D09">
      <w:pPr>
        <w:spacing w:before="120"/>
        <w:jc w:val="both"/>
        <w:rPr>
          <w:rFonts w:ascii="Times New Roman" w:hAnsi="Times New Roman"/>
          <w:bCs/>
          <w:sz w:val="24"/>
        </w:rPr>
      </w:pPr>
      <w:r w:rsidRPr="00B25E45">
        <w:rPr>
          <w:rFonts w:ascii="Times New Roman" w:hAnsi="Times New Roman"/>
          <w:bCs/>
          <w:sz w:val="24"/>
        </w:rPr>
        <w:t>Jedním z hlavních cílů předkládané právní úpravy je zvýšení efektivity a hospodárnosti řízení před správními soudy</w:t>
      </w:r>
      <w:r w:rsidR="009F7D32" w:rsidRPr="00B25E45">
        <w:rPr>
          <w:rFonts w:ascii="Times New Roman" w:hAnsi="Times New Roman"/>
          <w:bCs/>
          <w:sz w:val="24"/>
        </w:rPr>
        <w:t xml:space="preserve">. Tím by mělo dojít k tomu, že </w:t>
      </w:r>
      <w:r w:rsidRPr="00B25E45">
        <w:rPr>
          <w:rFonts w:ascii="Times New Roman" w:hAnsi="Times New Roman"/>
          <w:bCs/>
          <w:sz w:val="24"/>
        </w:rPr>
        <w:t>ochran</w:t>
      </w:r>
      <w:r w:rsidR="009F7D32" w:rsidRPr="00B25E45">
        <w:rPr>
          <w:rFonts w:ascii="Times New Roman" w:hAnsi="Times New Roman"/>
          <w:bCs/>
          <w:sz w:val="24"/>
        </w:rPr>
        <w:t>a</w:t>
      </w:r>
      <w:r w:rsidRPr="00B25E45">
        <w:rPr>
          <w:rFonts w:ascii="Times New Roman" w:hAnsi="Times New Roman"/>
          <w:bCs/>
          <w:sz w:val="24"/>
        </w:rPr>
        <w:t xml:space="preserve"> veřejných subjektivních práv</w:t>
      </w:r>
      <w:r w:rsidR="009F7D32" w:rsidRPr="00B25E45">
        <w:rPr>
          <w:rFonts w:ascii="Times New Roman" w:hAnsi="Times New Roman"/>
          <w:bCs/>
          <w:sz w:val="24"/>
        </w:rPr>
        <w:t xml:space="preserve"> bude zajištěna a bude poskytována v</w:t>
      </w:r>
      <w:r w:rsidRPr="00B25E45">
        <w:rPr>
          <w:rFonts w:ascii="Times New Roman" w:hAnsi="Times New Roman"/>
          <w:bCs/>
          <w:sz w:val="24"/>
        </w:rPr>
        <w:t> přiměřené lhůtě.</w:t>
      </w:r>
      <w:r w:rsidR="009F7D32" w:rsidRPr="00B25E45">
        <w:rPr>
          <w:rFonts w:ascii="Times New Roman" w:hAnsi="Times New Roman"/>
          <w:bCs/>
          <w:sz w:val="24"/>
        </w:rPr>
        <w:t xml:space="preserve"> Při zohlednění všech navrhovaných změn tak obecným důsledkem předložené novely bude posílení práva na přístup k soudu a práva na spravedlivý proces. Zejména by mělo dojít k podpoře práv vymezených v čl. 36 odst. 1 a odst. 2 a práva podle čl. 38 odst. 2</w:t>
      </w:r>
      <w:r w:rsidR="00556D09" w:rsidRPr="00B25E45">
        <w:rPr>
          <w:rFonts w:ascii="Times New Roman" w:hAnsi="Times New Roman"/>
          <w:bCs/>
          <w:sz w:val="24"/>
        </w:rPr>
        <w:t xml:space="preserve"> Listiny.</w:t>
      </w:r>
    </w:p>
    <w:p w14:paraId="2EA07767" w14:textId="678350D9" w:rsidR="009F7D32" w:rsidRPr="00B25E45" w:rsidRDefault="009F7D32" w:rsidP="000F0904">
      <w:pPr>
        <w:spacing w:before="120"/>
        <w:jc w:val="both"/>
        <w:rPr>
          <w:rFonts w:ascii="Times New Roman" w:hAnsi="Times New Roman"/>
          <w:bCs/>
          <w:sz w:val="24"/>
        </w:rPr>
      </w:pPr>
      <w:r w:rsidRPr="00B25E45">
        <w:rPr>
          <w:rFonts w:ascii="Times New Roman" w:hAnsi="Times New Roman"/>
          <w:bCs/>
          <w:sz w:val="24"/>
        </w:rPr>
        <w:t xml:space="preserve">Předložená novela však zahrnuje řadu </w:t>
      </w:r>
      <w:r w:rsidR="00556D09" w:rsidRPr="00B25E45">
        <w:rPr>
          <w:rFonts w:ascii="Times New Roman" w:hAnsi="Times New Roman"/>
          <w:bCs/>
          <w:sz w:val="24"/>
        </w:rPr>
        <w:t>dílčích změn</w:t>
      </w:r>
      <w:r w:rsidRPr="00B25E45">
        <w:rPr>
          <w:rFonts w:ascii="Times New Roman" w:hAnsi="Times New Roman"/>
          <w:bCs/>
          <w:sz w:val="24"/>
        </w:rPr>
        <w:t xml:space="preserve">, přičemž tyto úpravy je nutné posoudit i samostatně. V této souvislosti je pak nutné připustit, že </w:t>
      </w:r>
      <w:r w:rsidR="00556D09" w:rsidRPr="00B25E45">
        <w:rPr>
          <w:rFonts w:ascii="Times New Roman" w:hAnsi="Times New Roman"/>
          <w:bCs/>
          <w:sz w:val="24"/>
        </w:rPr>
        <w:t>některé z navrhovaných změn</w:t>
      </w:r>
      <w:r w:rsidRPr="00B25E45">
        <w:rPr>
          <w:rFonts w:ascii="Times New Roman" w:hAnsi="Times New Roman"/>
          <w:bCs/>
          <w:sz w:val="24"/>
        </w:rPr>
        <w:t xml:space="preserve"> se </w:t>
      </w:r>
      <w:r w:rsidRPr="00B25E45">
        <w:rPr>
          <w:rFonts w:ascii="Times New Roman" w:hAnsi="Times New Roman"/>
          <w:bCs/>
          <w:sz w:val="24"/>
        </w:rPr>
        <w:lastRenderedPageBreak/>
        <w:t xml:space="preserve">zejména na právu na přístup k soudu mohou podepsat i negativně. Z tohoto </w:t>
      </w:r>
      <w:r w:rsidR="00556D09" w:rsidRPr="00B25E45">
        <w:rPr>
          <w:rFonts w:ascii="Times New Roman" w:hAnsi="Times New Roman"/>
          <w:bCs/>
          <w:sz w:val="24"/>
        </w:rPr>
        <w:t>pohledu</w:t>
      </w:r>
      <w:r w:rsidRPr="00B25E45">
        <w:rPr>
          <w:rFonts w:ascii="Times New Roman" w:hAnsi="Times New Roman"/>
          <w:bCs/>
          <w:sz w:val="24"/>
        </w:rPr>
        <w:t xml:space="preserve"> je možné změny v předloženém zákoně rozdělit do tří skupin:</w:t>
      </w:r>
    </w:p>
    <w:p w14:paraId="153ED23D" w14:textId="4F6F3BAA" w:rsidR="009F7D32" w:rsidRPr="00B25E45" w:rsidRDefault="009F7D32" w:rsidP="00F6177A">
      <w:pPr>
        <w:pStyle w:val="Odstavecseseznamem"/>
        <w:keepNext w:val="0"/>
        <w:numPr>
          <w:ilvl w:val="0"/>
          <w:numId w:val="36"/>
        </w:numPr>
        <w:spacing w:before="120" w:after="120" w:line="276" w:lineRule="auto"/>
        <w:ind w:left="714" w:hanging="357"/>
        <w:jc w:val="both"/>
        <w:rPr>
          <w:bCs/>
        </w:rPr>
      </w:pPr>
      <w:r w:rsidRPr="00B25E45">
        <w:rPr>
          <w:bCs/>
        </w:rPr>
        <w:t>Změny, které jsou ústavně-právně zcela neutrální</w:t>
      </w:r>
    </w:p>
    <w:p w14:paraId="7950B9AD" w14:textId="0B4D4F2F" w:rsidR="009F7D32" w:rsidRPr="00B25E45" w:rsidRDefault="009F7D32" w:rsidP="00F6177A">
      <w:pPr>
        <w:pStyle w:val="Odstavecseseznamem"/>
        <w:keepNext w:val="0"/>
        <w:numPr>
          <w:ilvl w:val="0"/>
          <w:numId w:val="36"/>
        </w:numPr>
        <w:spacing w:before="120" w:after="120" w:line="276" w:lineRule="auto"/>
        <w:ind w:left="714" w:hanging="357"/>
        <w:jc w:val="both"/>
        <w:rPr>
          <w:bCs/>
        </w:rPr>
      </w:pPr>
      <w:r w:rsidRPr="00B25E45">
        <w:rPr>
          <w:bCs/>
        </w:rPr>
        <w:t>Změny, které mají na ústavně garantovaná práva pozitivní vliv, neboť dojde k</w:t>
      </w:r>
      <w:r w:rsidR="002168B1" w:rsidRPr="00B25E45">
        <w:rPr>
          <w:bCs/>
        </w:rPr>
        <w:t> </w:t>
      </w:r>
      <w:r w:rsidRPr="00B25E45">
        <w:rPr>
          <w:bCs/>
        </w:rPr>
        <w:t>posílení</w:t>
      </w:r>
      <w:r w:rsidR="002168B1" w:rsidRPr="00B25E45">
        <w:rPr>
          <w:bCs/>
        </w:rPr>
        <w:t xml:space="preserve"> práv účastníků řízení ve správním soudnictví</w:t>
      </w:r>
    </w:p>
    <w:p w14:paraId="0BC45FB7" w14:textId="0EF7590A" w:rsidR="009F7D32" w:rsidRPr="00B25E45" w:rsidRDefault="009F7D32" w:rsidP="00F6177A">
      <w:pPr>
        <w:pStyle w:val="Odstavecseseznamem"/>
        <w:keepNext w:val="0"/>
        <w:numPr>
          <w:ilvl w:val="0"/>
          <w:numId w:val="36"/>
        </w:numPr>
        <w:spacing w:before="120" w:after="120" w:line="276" w:lineRule="auto"/>
        <w:ind w:left="714" w:hanging="357"/>
        <w:jc w:val="both"/>
        <w:rPr>
          <w:bCs/>
        </w:rPr>
      </w:pPr>
      <w:r w:rsidRPr="00B25E45">
        <w:rPr>
          <w:bCs/>
        </w:rPr>
        <w:t>Změny, které mají nebo mohou mít omezující dopad na vybraná ústavně garantovaná práva</w:t>
      </w:r>
    </w:p>
    <w:p w14:paraId="63112370" w14:textId="4F048832" w:rsidR="009F7D32" w:rsidRPr="00B25E45" w:rsidRDefault="009F7D32" w:rsidP="000F0904">
      <w:pPr>
        <w:spacing w:before="120"/>
        <w:jc w:val="both"/>
        <w:rPr>
          <w:rFonts w:ascii="Times New Roman" w:hAnsi="Times New Roman"/>
          <w:bCs/>
          <w:sz w:val="24"/>
          <w:szCs w:val="24"/>
        </w:rPr>
      </w:pPr>
      <w:r w:rsidRPr="00B25E45">
        <w:rPr>
          <w:rFonts w:ascii="Times New Roman" w:hAnsi="Times New Roman"/>
          <w:bCs/>
          <w:sz w:val="24"/>
          <w:szCs w:val="24"/>
        </w:rPr>
        <w:t>V předložené novele zcela zásadně převažují změny, které by bylo možné zařadit do první kategorie. Naopak legislativních úprav, které oproti stávajícímu stavu omezují nebo mohou omezit práva účastníků řízení, je v celém návrhu minimum. Právě této kategorii je přitom dále logicky věnována největší pozornost.</w:t>
      </w:r>
    </w:p>
    <w:p w14:paraId="1D426AEB" w14:textId="6A3D6169" w:rsidR="009F7D32" w:rsidRPr="00B25E45" w:rsidRDefault="009F7D32" w:rsidP="000F0904">
      <w:pPr>
        <w:spacing w:before="120"/>
        <w:jc w:val="both"/>
        <w:rPr>
          <w:rFonts w:ascii="Times New Roman" w:hAnsi="Times New Roman"/>
          <w:bCs/>
          <w:i/>
          <w:iCs/>
          <w:sz w:val="24"/>
        </w:rPr>
      </w:pPr>
      <w:r w:rsidRPr="00B25E45">
        <w:rPr>
          <w:rFonts w:ascii="Times New Roman" w:hAnsi="Times New Roman"/>
          <w:bCs/>
          <w:i/>
          <w:iCs/>
          <w:sz w:val="24"/>
        </w:rPr>
        <w:t>a) Změny, které jsou ústavně-právně neutrální</w:t>
      </w:r>
    </w:p>
    <w:p w14:paraId="04B217FD" w14:textId="77777777" w:rsidR="00864916" w:rsidRPr="00B25E45" w:rsidRDefault="009F7D32" w:rsidP="000F0904">
      <w:pPr>
        <w:spacing w:before="120"/>
        <w:jc w:val="both"/>
        <w:rPr>
          <w:rFonts w:ascii="Times New Roman" w:hAnsi="Times New Roman"/>
          <w:bCs/>
          <w:sz w:val="24"/>
        </w:rPr>
      </w:pPr>
      <w:r w:rsidRPr="00B25E45">
        <w:rPr>
          <w:rFonts w:ascii="Times New Roman" w:hAnsi="Times New Roman"/>
          <w:bCs/>
          <w:sz w:val="24"/>
        </w:rPr>
        <w:t xml:space="preserve">Většina navrhovaných změn nedosahuje ústavně právní roviny, neboť </w:t>
      </w:r>
      <w:proofErr w:type="gramStart"/>
      <w:r w:rsidRPr="00B25E45">
        <w:rPr>
          <w:rFonts w:ascii="Times New Roman" w:hAnsi="Times New Roman"/>
          <w:bCs/>
          <w:sz w:val="24"/>
        </w:rPr>
        <w:t>řeší</w:t>
      </w:r>
      <w:proofErr w:type="gramEnd"/>
      <w:r w:rsidRPr="00B25E45">
        <w:rPr>
          <w:rFonts w:ascii="Times New Roman" w:hAnsi="Times New Roman"/>
          <w:bCs/>
          <w:sz w:val="24"/>
        </w:rPr>
        <w:t xml:space="preserve"> navýsost procesní otázky veskrze technického charakteru. Mezi tyto ústavně neutrální změny je možné zařadit například </w:t>
      </w:r>
    </w:p>
    <w:p w14:paraId="54305CE8" w14:textId="781747F9" w:rsidR="00864916" w:rsidRPr="00B25E45" w:rsidRDefault="009F7D32" w:rsidP="00F6177A">
      <w:pPr>
        <w:pStyle w:val="Odstavecseseznamem"/>
        <w:keepNext w:val="0"/>
        <w:numPr>
          <w:ilvl w:val="0"/>
          <w:numId w:val="34"/>
        </w:numPr>
        <w:spacing w:before="120" w:after="120" w:line="276" w:lineRule="auto"/>
        <w:jc w:val="both"/>
        <w:rPr>
          <w:bCs/>
        </w:rPr>
      </w:pPr>
      <w:r w:rsidRPr="00B25E45">
        <w:rPr>
          <w:bCs/>
        </w:rPr>
        <w:t xml:space="preserve">stanovení, že zřízení kolegií u Nejvyššího správního soudu je dobrovolné, </w:t>
      </w:r>
    </w:p>
    <w:p w14:paraId="63729D02" w14:textId="77777777" w:rsidR="002168B1" w:rsidRPr="00B25E45" w:rsidRDefault="002168B1" w:rsidP="00F6177A">
      <w:pPr>
        <w:pStyle w:val="Odstavecseseznamem"/>
        <w:keepNext w:val="0"/>
        <w:numPr>
          <w:ilvl w:val="0"/>
          <w:numId w:val="34"/>
        </w:numPr>
        <w:spacing w:before="120" w:after="120" w:line="276" w:lineRule="auto"/>
        <w:jc w:val="both"/>
        <w:rPr>
          <w:bCs/>
        </w:rPr>
      </w:pPr>
      <w:r w:rsidRPr="00B25E45">
        <w:rPr>
          <w:bCs/>
        </w:rPr>
        <w:t xml:space="preserve">vyjasnění vztahu zákona o soudech a soudcích a soudního řádu správního, pokud jde o možnost přeložení soudce z okresního soudu na správní úsek krajského soudu, </w:t>
      </w:r>
    </w:p>
    <w:p w14:paraId="7EAD7951" w14:textId="77777777" w:rsidR="00864916" w:rsidRPr="00B25E45" w:rsidRDefault="009F7D32" w:rsidP="00F6177A">
      <w:pPr>
        <w:pStyle w:val="Odstavecseseznamem"/>
        <w:keepNext w:val="0"/>
        <w:numPr>
          <w:ilvl w:val="0"/>
          <w:numId w:val="34"/>
        </w:numPr>
        <w:spacing w:before="120" w:after="120" w:line="276" w:lineRule="auto"/>
        <w:jc w:val="both"/>
        <w:rPr>
          <w:bCs/>
        </w:rPr>
      </w:pPr>
      <w:r w:rsidRPr="00B25E45">
        <w:rPr>
          <w:bCs/>
        </w:rPr>
        <w:t xml:space="preserve">úpravu institutu zásadního usnesení tak, aby se v praxi více využívalo, </w:t>
      </w:r>
    </w:p>
    <w:p w14:paraId="7FCAB5BE" w14:textId="77777777" w:rsidR="00864916" w:rsidRPr="00B25E45" w:rsidRDefault="009F7D32" w:rsidP="00F6177A">
      <w:pPr>
        <w:pStyle w:val="Odstavecseseznamem"/>
        <w:keepNext w:val="0"/>
        <w:numPr>
          <w:ilvl w:val="0"/>
          <w:numId w:val="34"/>
        </w:numPr>
        <w:spacing w:before="120" w:after="120" w:line="276" w:lineRule="auto"/>
        <w:jc w:val="both"/>
        <w:rPr>
          <w:bCs/>
        </w:rPr>
      </w:pPr>
      <w:r w:rsidRPr="00B25E45">
        <w:rPr>
          <w:bCs/>
        </w:rPr>
        <w:t xml:space="preserve">vyjasnění a změny ve vymezení </w:t>
      </w:r>
      <w:proofErr w:type="spellStart"/>
      <w:r w:rsidRPr="00B25E45">
        <w:rPr>
          <w:bCs/>
        </w:rPr>
        <w:t>samosoudcovských</w:t>
      </w:r>
      <w:proofErr w:type="spellEnd"/>
      <w:r w:rsidRPr="00B25E45">
        <w:rPr>
          <w:bCs/>
        </w:rPr>
        <w:t xml:space="preserve"> věcí, </w:t>
      </w:r>
    </w:p>
    <w:p w14:paraId="2B7522EB" w14:textId="77777777" w:rsidR="00864916" w:rsidRPr="00B25E45" w:rsidRDefault="009F7D32" w:rsidP="00F6177A">
      <w:pPr>
        <w:pStyle w:val="Odstavecseseznamem"/>
        <w:keepNext w:val="0"/>
        <w:numPr>
          <w:ilvl w:val="0"/>
          <w:numId w:val="34"/>
        </w:numPr>
        <w:spacing w:before="120" w:after="120" w:line="276" w:lineRule="auto"/>
        <w:jc w:val="both"/>
        <w:rPr>
          <w:bCs/>
        </w:rPr>
      </w:pPr>
      <w:r w:rsidRPr="00B25E45">
        <w:rPr>
          <w:bCs/>
        </w:rPr>
        <w:t xml:space="preserve">úpravu zastupování osobami, které vykonávají specializované právní poradenství, </w:t>
      </w:r>
    </w:p>
    <w:p w14:paraId="11CD0EB4" w14:textId="77777777" w:rsidR="00864916" w:rsidRPr="00B25E45" w:rsidRDefault="009F7D32" w:rsidP="00F6177A">
      <w:pPr>
        <w:pStyle w:val="Odstavecseseznamem"/>
        <w:keepNext w:val="0"/>
        <w:numPr>
          <w:ilvl w:val="0"/>
          <w:numId w:val="34"/>
        </w:numPr>
        <w:spacing w:before="120" w:after="120" w:line="276" w:lineRule="auto"/>
        <w:jc w:val="both"/>
        <w:rPr>
          <w:bCs/>
        </w:rPr>
      </w:pPr>
      <w:r w:rsidRPr="00B25E45">
        <w:rPr>
          <w:bCs/>
        </w:rPr>
        <w:t xml:space="preserve">revizi odkladného účinku a předběžného opatření, </w:t>
      </w:r>
    </w:p>
    <w:p w14:paraId="2AD7776F" w14:textId="77777777" w:rsidR="00864916" w:rsidRPr="00B25E45" w:rsidRDefault="00773FF7" w:rsidP="00F6177A">
      <w:pPr>
        <w:pStyle w:val="Odstavecseseznamem"/>
        <w:keepNext w:val="0"/>
        <w:numPr>
          <w:ilvl w:val="0"/>
          <w:numId w:val="34"/>
        </w:numPr>
        <w:spacing w:before="120" w:after="120" w:line="276" w:lineRule="auto"/>
        <w:jc w:val="both"/>
        <w:rPr>
          <w:bCs/>
        </w:rPr>
      </w:pPr>
      <w:r w:rsidRPr="00B25E45">
        <w:rPr>
          <w:bCs/>
        </w:rPr>
        <w:t xml:space="preserve">dílčí úpravy v otázkách doručování, </w:t>
      </w:r>
    </w:p>
    <w:p w14:paraId="4907EAF1" w14:textId="77777777" w:rsidR="00864916" w:rsidRPr="00B25E45" w:rsidRDefault="00773FF7" w:rsidP="00F6177A">
      <w:pPr>
        <w:pStyle w:val="Odstavecseseznamem"/>
        <w:keepNext w:val="0"/>
        <w:numPr>
          <w:ilvl w:val="0"/>
          <w:numId w:val="34"/>
        </w:numPr>
        <w:spacing w:before="120" w:after="120" w:line="276" w:lineRule="auto"/>
        <w:jc w:val="both"/>
        <w:rPr>
          <w:bCs/>
        </w:rPr>
      </w:pPr>
      <w:r w:rsidRPr="00B25E45">
        <w:rPr>
          <w:bCs/>
        </w:rPr>
        <w:t>rozšíření možnosti uplatni</w:t>
      </w:r>
      <w:r w:rsidR="00864916" w:rsidRPr="00B25E45">
        <w:rPr>
          <w:bCs/>
        </w:rPr>
        <w:t>t</w:t>
      </w:r>
      <w:r w:rsidRPr="00B25E45">
        <w:rPr>
          <w:bCs/>
        </w:rPr>
        <w:t xml:space="preserve"> odlišné stanovisko, rozhoduje-li Nejvyšší správní soud ve složení tříčlenných senátů, </w:t>
      </w:r>
    </w:p>
    <w:p w14:paraId="35D3CB21" w14:textId="77777777" w:rsidR="00864916" w:rsidRPr="00B25E45" w:rsidRDefault="00773FF7" w:rsidP="00F6177A">
      <w:pPr>
        <w:pStyle w:val="Odstavecseseznamem"/>
        <w:keepNext w:val="0"/>
        <w:numPr>
          <w:ilvl w:val="0"/>
          <w:numId w:val="34"/>
        </w:numPr>
        <w:spacing w:before="120" w:after="120" w:line="276" w:lineRule="auto"/>
        <w:jc w:val="both"/>
        <w:rPr>
          <w:bCs/>
        </w:rPr>
      </w:pPr>
      <w:r w:rsidRPr="00B25E45">
        <w:rPr>
          <w:bCs/>
        </w:rPr>
        <w:t xml:space="preserve">doplnění úpravy institutu uspokojení navrhovatele tak, aby tato úprava </w:t>
      </w:r>
      <w:r w:rsidR="00864916" w:rsidRPr="00B25E45">
        <w:rPr>
          <w:bCs/>
        </w:rPr>
        <w:t xml:space="preserve">byla uživatelsky přívětivá a mohla plnit svůj účel, </w:t>
      </w:r>
    </w:p>
    <w:p w14:paraId="4FCEDF7F" w14:textId="4C6131F2" w:rsidR="009F7D32" w:rsidRPr="00B25E45" w:rsidRDefault="00864916" w:rsidP="00F6177A">
      <w:pPr>
        <w:pStyle w:val="Odstavecseseznamem"/>
        <w:keepNext w:val="0"/>
        <w:numPr>
          <w:ilvl w:val="0"/>
          <w:numId w:val="34"/>
        </w:numPr>
        <w:spacing w:before="120" w:after="120" w:line="276" w:lineRule="auto"/>
        <w:jc w:val="both"/>
        <w:rPr>
          <w:bCs/>
        </w:rPr>
      </w:pPr>
      <w:r w:rsidRPr="00B25E45">
        <w:rPr>
          <w:bCs/>
        </w:rPr>
        <w:t>dílčí sjednocení lhůt k podávání žalob a návrhů dle soudního řádu správního,</w:t>
      </w:r>
    </w:p>
    <w:p w14:paraId="21BBE761" w14:textId="77777777" w:rsidR="00864916" w:rsidRPr="00B25E45" w:rsidRDefault="00864916" w:rsidP="00F6177A">
      <w:pPr>
        <w:pStyle w:val="Odstavecseseznamem"/>
        <w:keepNext w:val="0"/>
        <w:numPr>
          <w:ilvl w:val="0"/>
          <w:numId w:val="34"/>
        </w:numPr>
        <w:spacing w:before="120" w:after="120" w:line="276" w:lineRule="auto"/>
        <w:jc w:val="both"/>
        <w:rPr>
          <w:bCs/>
        </w:rPr>
      </w:pPr>
      <w:r w:rsidRPr="00B25E45">
        <w:rPr>
          <w:bCs/>
        </w:rPr>
        <w:t>doplnění povinnosti připojit k žalobě proti rozhodnutí i opis rozhodnutí správního orgánu prvního stupně,</w:t>
      </w:r>
    </w:p>
    <w:p w14:paraId="041240BF" w14:textId="7E353D65" w:rsidR="00864916" w:rsidRPr="00B25E45" w:rsidRDefault="00864916" w:rsidP="00F6177A">
      <w:pPr>
        <w:pStyle w:val="Odstavecseseznamem"/>
        <w:keepNext w:val="0"/>
        <w:numPr>
          <w:ilvl w:val="0"/>
          <w:numId w:val="34"/>
        </w:numPr>
        <w:spacing w:before="120" w:after="120" w:line="276" w:lineRule="auto"/>
        <w:jc w:val="both"/>
        <w:rPr>
          <w:bCs/>
        </w:rPr>
      </w:pPr>
      <w:r w:rsidRPr="00B25E45">
        <w:rPr>
          <w:bCs/>
        </w:rPr>
        <w:t>řešení problému tzv. obživlých rozhodnutí správního orgánu (krajský soud věc vrátí správnímu orgánu, ten v mezidobí rozhodne, a následně je však rozhodnutí krajského soudu zrušeno Nejvyšším správním soudem) apod.</w:t>
      </w:r>
    </w:p>
    <w:p w14:paraId="0DA82BDB" w14:textId="512CFB66" w:rsidR="00773FF7" w:rsidRPr="00B25E45" w:rsidRDefault="00773FF7" w:rsidP="000F0904">
      <w:pPr>
        <w:spacing w:before="120"/>
        <w:jc w:val="both"/>
        <w:rPr>
          <w:rFonts w:ascii="Times New Roman" w:hAnsi="Times New Roman"/>
          <w:bCs/>
          <w:sz w:val="24"/>
        </w:rPr>
      </w:pPr>
      <w:r w:rsidRPr="00B25E45">
        <w:rPr>
          <w:rFonts w:ascii="Times New Roman" w:hAnsi="Times New Roman"/>
          <w:bCs/>
          <w:sz w:val="24"/>
        </w:rPr>
        <w:lastRenderedPageBreak/>
        <w:t>Tyto změny nijak nesnižují stávající úroveň ochrany a neomezují práva účastníků řízení nad rámec toho, jak činí stávající právní úprava.</w:t>
      </w:r>
    </w:p>
    <w:p w14:paraId="45B54980" w14:textId="77777777" w:rsidR="00556D09" w:rsidRPr="00B25E45" w:rsidRDefault="00556D09" w:rsidP="000F0904">
      <w:pPr>
        <w:spacing w:before="120"/>
        <w:jc w:val="both"/>
        <w:rPr>
          <w:rFonts w:ascii="Times New Roman" w:hAnsi="Times New Roman"/>
          <w:bCs/>
          <w:sz w:val="24"/>
        </w:rPr>
      </w:pPr>
    </w:p>
    <w:p w14:paraId="34E6493D" w14:textId="72C77440" w:rsidR="009F7D32" w:rsidRPr="00B25E45" w:rsidRDefault="009F7D32" w:rsidP="000F0904">
      <w:pPr>
        <w:spacing w:before="120"/>
        <w:jc w:val="both"/>
        <w:rPr>
          <w:rFonts w:ascii="Times New Roman" w:hAnsi="Times New Roman"/>
          <w:bCs/>
          <w:i/>
          <w:iCs/>
          <w:sz w:val="24"/>
        </w:rPr>
      </w:pPr>
      <w:r w:rsidRPr="00B25E45">
        <w:rPr>
          <w:rFonts w:ascii="Times New Roman" w:hAnsi="Times New Roman"/>
          <w:bCs/>
          <w:i/>
          <w:iCs/>
          <w:sz w:val="24"/>
        </w:rPr>
        <w:t>b) Změny, které mají pozitivní dopad na práva</w:t>
      </w:r>
      <w:r w:rsidR="00864916" w:rsidRPr="00B25E45">
        <w:rPr>
          <w:rFonts w:ascii="Times New Roman" w:hAnsi="Times New Roman"/>
          <w:bCs/>
          <w:i/>
          <w:iCs/>
          <w:sz w:val="24"/>
        </w:rPr>
        <w:t xml:space="preserve"> účastníků řízení</w:t>
      </w:r>
    </w:p>
    <w:p w14:paraId="5D07B7BE" w14:textId="3D348CBC" w:rsidR="002168B1" w:rsidRPr="00B25E45" w:rsidRDefault="002168B1" w:rsidP="000F0904">
      <w:pPr>
        <w:spacing w:before="120"/>
        <w:jc w:val="both"/>
        <w:rPr>
          <w:rFonts w:ascii="Times New Roman" w:hAnsi="Times New Roman"/>
          <w:bCs/>
          <w:sz w:val="24"/>
        </w:rPr>
      </w:pPr>
      <w:r w:rsidRPr="00B25E45">
        <w:rPr>
          <w:rFonts w:ascii="Times New Roman" w:hAnsi="Times New Roman"/>
          <w:bCs/>
          <w:sz w:val="24"/>
        </w:rPr>
        <w:t xml:space="preserve">Pokud bude předkládaný zákon přijat, lze v dlouhodobém horizontu očekávat zlepšení vymahatelnosti veřejných subjektivních práv. Vedle obecnějších sledovaných cílů je však možné v návrhu identifikovat konkrétní dílčí opatření, jimiž dojde k přímému posílení práv účastníků řízení ve správním soudnictví, a v konečném důsledku tak k posílení </w:t>
      </w:r>
      <w:r w:rsidR="00B3157D" w:rsidRPr="00B25E45">
        <w:rPr>
          <w:rFonts w:ascii="Times New Roman" w:hAnsi="Times New Roman"/>
          <w:bCs/>
          <w:sz w:val="24"/>
        </w:rPr>
        <w:t xml:space="preserve">jejich </w:t>
      </w:r>
      <w:r w:rsidRPr="00B25E45">
        <w:rPr>
          <w:rFonts w:ascii="Times New Roman" w:hAnsi="Times New Roman"/>
          <w:bCs/>
          <w:sz w:val="24"/>
        </w:rPr>
        <w:t xml:space="preserve">práva na přístup k soudu a práva na spravedlivý proces. </w:t>
      </w:r>
      <w:r w:rsidR="00A92ADA" w:rsidRPr="00B25E45">
        <w:rPr>
          <w:rFonts w:ascii="Times New Roman" w:hAnsi="Times New Roman"/>
          <w:bCs/>
          <w:sz w:val="24"/>
        </w:rPr>
        <w:t xml:space="preserve">Jakkoliv tedy tyto změny samy o sobě nemusí vždy dosahovat ústavně právní roviny, přinejmenším nepřímo přispívají k posílení základní lidských práv v oblasti soudní ochrany. </w:t>
      </w:r>
      <w:r w:rsidRPr="00B25E45">
        <w:rPr>
          <w:rFonts w:ascii="Times New Roman" w:hAnsi="Times New Roman"/>
          <w:bCs/>
          <w:sz w:val="24"/>
        </w:rPr>
        <w:t>Mezi tyto pozitivní změny lze zařadit mj.:</w:t>
      </w:r>
    </w:p>
    <w:p w14:paraId="7C947D72" w14:textId="50F92800" w:rsidR="002168B1" w:rsidRPr="00B25E45" w:rsidRDefault="002168B1" w:rsidP="00F6177A">
      <w:pPr>
        <w:pStyle w:val="Odstavecseseznamem"/>
        <w:keepNext w:val="0"/>
        <w:numPr>
          <w:ilvl w:val="0"/>
          <w:numId w:val="34"/>
        </w:numPr>
        <w:spacing w:before="120" w:after="120" w:line="276" w:lineRule="auto"/>
        <w:jc w:val="both"/>
        <w:rPr>
          <w:bCs/>
        </w:rPr>
      </w:pPr>
      <w:r w:rsidRPr="00B25E45">
        <w:rPr>
          <w:bCs/>
        </w:rPr>
        <w:t>výslovné doplnění možnosti přezkoumat stavovské předpisy vydávané profesními komorami a rozšíření okruhu osob, které mohou přezkum navrhovat, včetně stanovení podrobného procesního rámce, jak by mělo být v řízení postupováno;</w:t>
      </w:r>
    </w:p>
    <w:p w14:paraId="03211689" w14:textId="480E611D" w:rsidR="002168B1" w:rsidRPr="00B25E45" w:rsidRDefault="002168B1" w:rsidP="00F6177A">
      <w:pPr>
        <w:pStyle w:val="Odstavecseseznamem"/>
        <w:keepNext w:val="0"/>
        <w:numPr>
          <w:ilvl w:val="0"/>
          <w:numId w:val="34"/>
        </w:numPr>
        <w:spacing w:before="120" w:after="120" w:line="276" w:lineRule="auto"/>
        <w:jc w:val="both"/>
        <w:rPr>
          <w:bCs/>
        </w:rPr>
      </w:pPr>
      <w:r w:rsidRPr="00B25E45">
        <w:rPr>
          <w:bCs/>
        </w:rPr>
        <w:t>jasnější vymezení kompetencí mezi správními soudy a civilními soudy rozhodujícími podle části páté občanského soudního řádu, čímž se omezí množství kompetenčních sporů, a tím i zkrátí řízení;</w:t>
      </w:r>
    </w:p>
    <w:p w14:paraId="3901587A" w14:textId="03AC1239" w:rsidR="002168B1" w:rsidRPr="00B25E45" w:rsidRDefault="002168B1" w:rsidP="00F6177A">
      <w:pPr>
        <w:pStyle w:val="Odstavecseseznamem"/>
        <w:keepNext w:val="0"/>
        <w:numPr>
          <w:ilvl w:val="0"/>
          <w:numId w:val="34"/>
        </w:numPr>
        <w:spacing w:before="120" w:after="120" w:line="276" w:lineRule="auto"/>
        <w:jc w:val="both"/>
        <w:rPr>
          <w:rFonts w:ascii="Garamond" w:hAnsi="Garamond"/>
          <w:b/>
          <w:bCs/>
        </w:rPr>
      </w:pPr>
      <w:r w:rsidRPr="00B25E45">
        <w:rPr>
          <w:bCs/>
        </w:rPr>
        <w:t xml:space="preserve">rozšíření definice osoby zúčastněné na řízení tak, aby bylo možné tento nástroj využít ve všech typech žalob, což ve svém důsledku povede k tomu, že osobou zúčastněnou na řízení bude moci být širší okruh dotčených osob, a více osobám tak budou přiznána související procesní práva, mj. právo být slyšen a navrhovat důkazy; </w:t>
      </w:r>
    </w:p>
    <w:p w14:paraId="7B43B646" w14:textId="39CF88C3" w:rsidR="002168B1" w:rsidRPr="00B25E45" w:rsidRDefault="002168B1" w:rsidP="00F6177A">
      <w:pPr>
        <w:pStyle w:val="Odstavecseseznamem"/>
        <w:keepNext w:val="0"/>
        <w:numPr>
          <w:ilvl w:val="0"/>
          <w:numId w:val="34"/>
        </w:numPr>
        <w:spacing w:before="120" w:after="120" w:line="276" w:lineRule="auto"/>
        <w:jc w:val="both"/>
        <w:rPr>
          <w:rFonts w:ascii="Garamond" w:hAnsi="Garamond"/>
          <w:b/>
          <w:bCs/>
        </w:rPr>
      </w:pPr>
      <w:r w:rsidRPr="00B25E45">
        <w:rPr>
          <w:bCs/>
        </w:rPr>
        <w:t>vyjasnění úpravy podání, opravy vad podání a odmítnutí podání v případě, kdy tyto vady nebudou na výzvu odstraněny tak, aby tento postup byl jednoznačný a transparentní</w:t>
      </w:r>
      <w:r w:rsidR="00A91586" w:rsidRPr="00B25E45">
        <w:rPr>
          <w:bCs/>
        </w:rPr>
        <w:t xml:space="preserve"> a aby bylo </w:t>
      </w:r>
      <w:r w:rsidRPr="00B25E45">
        <w:rPr>
          <w:bCs/>
        </w:rPr>
        <w:t>stejně zacházeno s podáními v listinné i elektronické podobě;</w:t>
      </w:r>
    </w:p>
    <w:p w14:paraId="2F95EE1B" w14:textId="5F400561" w:rsidR="002168B1" w:rsidRPr="00B25E45" w:rsidRDefault="002168B1" w:rsidP="00F6177A">
      <w:pPr>
        <w:pStyle w:val="Odstavecseseznamem"/>
        <w:keepNext w:val="0"/>
        <w:numPr>
          <w:ilvl w:val="0"/>
          <w:numId w:val="34"/>
        </w:numPr>
        <w:spacing w:before="120" w:after="120" w:line="276" w:lineRule="auto"/>
        <w:jc w:val="both"/>
      </w:pPr>
      <w:r w:rsidRPr="00B25E45">
        <w:t>upřesnění právní úpravy, která reguluje, jak mají být vyhlašovány rozsudky na úřední desce soudu, a to tak, aby tato úprava byla v souladu s</w:t>
      </w:r>
      <w:r w:rsidR="00556D09" w:rsidRPr="00B25E45">
        <w:t> </w:t>
      </w:r>
      <w:r w:rsidRPr="00B25E45">
        <w:t>nálezem</w:t>
      </w:r>
      <w:r w:rsidR="00556D09" w:rsidRPr="00B25E45">
        <w:t xml:space="preserve"> Ústavního soudu</w:t>
      </w:r>
      <w:r w:rsidRPr="00B25E45">
        <w:t xml:space="preserve"> </w:t>
      </w:r>
      <w:proofErr w:type="spellStart"/>
      <w:r w:rsidR="00B3157D" w:rsidRPr="00B25E45">
        <w:t>sp</w:t>
      </w:r>
      <w:proofErr w:type="spellEnd"/>
      <w:r w:rsidR="00B3157D" w:rsidRPr="00B25E45">
        <w:t xml:space="preserve">. zn. </w:t>
      </w:r>
      <w:proofErr w:type="spellStart"/>
      <w:r w:rsidRPr="00B25E45">
        <w:t>Pl</w:t>
      </w:r>
      <w:proofErr w:type="spellEnd"/>
      <w:r w:rsidRPr="00B25E45">
        <w:t>. ÚS 38/18</w:t>
      </w:r>
      <w:r w:rsidR="00556D09" w:rsidRPr="00B25E45">
        <w:t xml:space="preserve"> ze dne 18. června 2019</w:t>
      </w:r>
      <w:r w:rsidRPr="00B25E45">
        <w:t>;</w:t>
      </w:r>
    </w:p>
    <w:p w14:paraId="0485B359" w14:textId="69BE786E" w:rsidR="002168B1" w:rsidRPr="00B25E45" w:rsidRDefault="002168B1" w:rsidP="00F6177A">
      <w:pPr>
        <w:pStyle w:val="Odstavecseseznamem"/>
        <w:keepNext w:val="0"/>
        <w:numPr>
          <w:ilvl w:val="0"/>
          <w:numId w:val="34"/>
        </w:numPr>
        <w:spacing w:before="120" w:after="120" w:line="276" w:lineRule="auto"/>
        <w:jc w:val="both"/>
      </w:pPr>
      <w:r w:rsidRPr="00B25E45">
        <w:t>za účelem důsledného prosazení zásady rovnosti účastníků v řízení (čl. 37 odst. 2 Listiny) se navrhuje vyjasnit, že i správní orgán má v případě úspěchu právo na náhradu nákladů řízení, ty se však kromě skutečně vynaložených hotových výdajů navrhují stanovit paušálně, aby jejich výše nebyla nepřiměřeně vysoká;</w:t>
      </w:r>
    </w:p>
    <w:p w14:paraId="2327BAF7" w14:textId="3993FA4C" w:rsidR="002168B1" w:rsidRPr="00B25E45" w:rsidRDefault="002168B1" w:rsidP="00F6177A">
      <w:pPr>
        <w:pStyle w:val="Odstavecseseznamem"/>
        <w:keepNext w:val="0"/>
        <w:numPr>
          <w:ilvl w:val="0"/>
          <w:numId w:val="34"/>
        </w:numPr>
        <w:spacing w:before="120" w:after="120" w:line="276" w:lineRule="auto"/>
        <w:jc w:val="both"/>
      </w:pPr>
      <w:r w:rsidRPr="00B25E45">
        <w:t xml:space="preserve">zakotvení možnosti </w:t>
      </w:r>
      <w:proofErr w:type="spellStart"/>
      <w:r w:rsidRPr="00B25E45">
        <w:t>autoremedury</w:t>
      </w:r>
      <w:proofErr w:type="spellEnd"/>
      <w:r w:rsidRPr="00B25E45">
        <w:t xml:space="preserve">, pokud soud prvního stupně udělá chybu ve výpočtu náhrady nákladů řízení, jelikož tento výrok je </w:t>
      </w:r>
      <w:r w:rsidR="00B3157D" w:rsidRPr="00B25E45">
        <w:t xml:space="preserve">samostatně </w:t>
      </w:r>
      <w:r w:rsidRPr="00B25E45">
        <w:t xml:space="preserve">vyloučen z přezkumu Nejvyšším správním soudem (srov. </w:t>
      </w:r>
      <w:proofErr w:type="spellStart"/>
      <w:r w:rsidRPr="00B25E45">
        <w:t>ust</w:t>
      </w:r>
      <w:proofErr w:type="spellEnd"/>
      <w:r w:rsidRPr="00B25E45">
        <w:t xml:space="preserve">. § 104 odst. 2 s. ř. s.), a tudíž podle platné právní úpravy není </w:t>
      </w:r>
      <w:r w:rsidR="00E33ECE" w:rsidRPr="00B25E45">
        <w:t xml:space="preserve">dnes </w:t>
      </w:r>
      <w:r w:rsidRPr="00B25E45">
        <w:t xml:space="preserve">možné případnou chybu krajského soudu </w:t>
      </w:r>
      <w:r w:rsidR="00E33ECE" w:rsidRPr="00B25E45">
        <w:t>později</w:t>
      </w:r>
      <w:r w:rsidRPr="00B25E45">
        <w:t xml:space="preserve"> odstranit</w:t>
      </w:r>
      <w:r w:rsidR="00E33ECE" w:rsidRPr="00B25E45">
        <w:t xml:space="preserve">, pokud </w:t>
      </w:r>
      <w:r w:rsidR="00556D09" w:rsidRPr="00B25E45">
        <w:t>zároveň s tím n</w:t>
      </w:r>
      <w:r w:rsidR="00E33ECE" w:rsidRPr="00B25E45">
        <w:t>ení napadeno rozhodnutí ve věci samé</w:t>
      </w:r>
      <w:r w:rsidRPr="00B25E45">
        <w:t>;</w:t>
      </w:r>
    </w:p>
    <w:p w14:paraId="6917E1A7" w14:textId="33CDB336" w:rsidR="002168B1" w:rsidRPr="00B25E45" w:rsidRDefault="002168B1" w:rsidP="00F6177A">
      <w:pPr>
        <w:pStyle w:val="Odstavecseseznamem"/>
        <w:keepNext w:val="0"/>
        <w:numPr>
          <w:ilvl w:val="0"/>
          <w:numId w:val="34"/>
        </w:numPr>
        <w:spacing w:before="120" w:after="120" w:line="276" w:lineRule="auto"/>
        <w:jc w:val="both"/>
      </w:pPr>
      <w:r w:rsidRPr="00B25E45">
        <w:lastRenderedPageBreak/>
        <w:t xml:space="preserve">výslovné zakotvení poučovací povinnosti soudu ve vztahu k volbě žalobního typu, tj. pokud účastník zvolí nevhodný žalobní typ, musí ho soud nejprve upozornit na to, že žaluje podle nesprávného ustanovení </w:t>
      </w:r>
      <w:r w:rsidR="00B3157D" w:rsidRPr="00B25E45">
        <w:t>soudního řádu správního</w:t>
      </w:r>
      <w:r w:rsidRPr="00B25E45">
        <w:t xml:space="preserve">, </w:t>
      </w:r>
      <w:r w:rsidR="00556D09" w:rsidRPr="00B25E45">
        <w:t xml:space="preserve">a umožnit mu v přiměřené lhůtě tuto </w:t>
      </w:r>
      <w:r w:rsidRPr="00B25E45">
        <w:t>chybu odstranit;</w:t>
      </w:r>
    </w:p>
    <w:p w14:paraId="2A9B7E8C" w14:textId="03A0F054" w:rsidR="002168B1" w:rsidRPr="00B25E45" w:rsidRDefault="00E33ECE" w:rsidP="00F6177A">
      <w:pPr>
        <w:pStyle w:val="Odstavecseseznamem"/>
        <w:keepNext w:val="0"/>
        <w:numPr>
          <w:ilvl w:val="0"/>
          <w:numId w:val="34"/>
        </w:numPr>
        <w:spacing w:before="120" w:after="120" w:line="276" w:lineRule="auto"/>
        <w:jc w:val="both"/>
      </w:pPr>
      <w:r w:rsidRPr="00B25E45">
        <w:t>rozšíření návrhové</w:t>
      </w:r>
      <w:r w:rsidR="00A91586" w:rsidRPr="00B25E45">
        <w:t>ho</w:t>
      </w:r>
      <w:r w:rsidRPr="00B25E45">
        <w:t xml:space="preserve"> oprávnění veřejného ochránce práv a nejvyššího státního zástupce i mimo žalobu proti rozhodnutí správního orgánu</w:t>
      </w:r>
      <w:r w:rsidR="00A92ADA" w:rsidRPr="00B25E45">
        <w:t>, jakkoliv tato změna neznamená přímé posílení práv účastníků řízení, nepřímo dopadá pozitivně na ty, do jejichž veřejných subjektivních práv bylo veřejnou mocí zasaženo, ale např. z finančních či jiných důvodů na vlastní iniciativu rezignovali</w:t>
      </w:r>
      <w:r w:rsidRPr="00B25E45">
        <w:t>;</w:t>
      </w:r>
    </w:p>
    <w:p w14:paraId="0801931C" w14:textId="0E09B672" w:rsidR="00E33ECE" w:rsidRPr="00B25E45" w:rsidRDefault="00E33ECE" w:rsidP="00F6177A">
      <w:pPr>
        <w:pStyle w:val="Odstavecseseznamem"/>
        <w:keepNext w:val="0"/>
        <w:numPr>
          <w:ilvl w:val="0"/>
          <w:numId w:val="34"/>
        </w:numPr>
        <w:spacing w:before="120" w:after="120" w:line="276" w:lineRule="auto"/>
        <w:jc w:val="both"/>
      </w:pPr>
      <w:r w:rsidRPr="00B25E45">
        <w:t>rozšíření možnosti soudu posoudit nezákonnost podkladového aktu i do řízení o zrušení opatření obecné povahy;</w:t>
      </w:r>
    </w:p>
    <w:p w14:paraId="25A8EC36" w14:textId="6CC7862B" w:rsidR="00E33ECE" w:rsidRPr="00B25E45" w:rsidRDefault="00E33ECE" w:rsidP="00F6177A">
      <w:pPr>
        <w:pStyle w:val="Odstavecseseznamem"/>
        <w:keepNext w:val="0"/>
        <w:numPr>
          <w:ilvl w:val="0"/>
          <w:numId w:val="34"/>
        </w:numPr>
        <w:spacing w:before="120" w:after="120" w:line="276" w:lineRule="auto"/>
        <w:jc w:val="both"/>
      </w:pPr>
      <w:r w:rsidRPr="00B25E45">
        <w:t>výjimečné prolomení kasačního principu rozhodování správních soudů u posuzování nároku na mimořádnou úhradu z veřejného zdravotního pojištění podle § 16 zák. v. z. p.</w:t>
      </w:r>
      <w:r w:rsidR="00A92ADA" w:rsidRPr="00B25E45">
        <w:t xml:space="preserve"> tak, aby mohl soud za splnění podmínek ve věci sám rozhodnout a úhradu přiznat; tímto krokem se zrychlí posouzení nároku u pacientů, jejichž zdravotní stav je vážný a každé zdržení zvyšuje riziko, že odpovídající léčba nebude podána včas;</w:t>
      </w:r>
      <w:r w:rsidRPr="00B25E45">
        <w:t xml:space="preserve"> </w:t>
      </w:r>
    </w:p>
    <w:p w14:paraId="17FB00D2" w14:textId="269CFAC9" w:rsidR="00E33ECE" w:rsidRPr="00B25E45" w:rsidRDefault="00A92ADA" w:rsidP="00F6177A">
      <w:pPr>
        <w:pStyle w:val="Odstavecseseznamem"/>
        <w:keepNext w:val="0"/>
        <w:numPr>
          <w:ilvl w:val="0"/>
          <w:numId w:val="34"/>
        </w:numPr>
        <w:spacing w:before="120" w:after="120" w:line="276" w:lineRule="auto"/>
        <w:jc w:val="both"/>
      </w:pPr>
      <w:r w:rsidRPr="00B25E45">
        <w:t>rozšíření možnosti, aby Nejvyšší správní soud věc sám posoudil a nevracel ji krajskému soudu, čímž dojde ke zrychlení řízení a zamezení možnému „</w:t>
      </w:r>
      <w:r w:rsidR="00B3157D" w:rsidRPr="00B25E45">
        <w:t>ping-pongu</w:t>
      </w:r>
      <w:r w:rsidRPr="00B25E45">
        <w:t>“ mezi jednotlivými stupni správní justice.</w:t>
      </w:r>
    </w:p>
    <w:p w14:paraId="691FAA7B" w14:textId="11DBAA57" w:rsidR="00A92ADA" w:rsidRPr="00B25E45" w:rsidRDefault="00A92ADA" w:rsidP="000F0904">
      <w:pPr>
        <w:spacing w:before="120"/>
        <w:jc w:val="both"/>
        <w:rPr>
          <w:rFonts w:ascii="Times New Roman" w:hAnsi="Times New Roman"/>
          <w:bCs/>
          <w:i/>
          <w:iCs/>
          <w:sz w:val="24"/>
          <w:szCs w:val="24"/>
        </w:rPr>
      </w:pPr>
      <w:r w:rsidRPr="00B25E45">
        <w:rPr>
          <w:rFonts w:ascii="Times New Roman" w:hAnsi="Times New Roman"/>
          <w:bCs/>
          <w:i/>
          <w:iCs/>
          <w:sz w:val="24"/>
          <w:szCs w:val="24"/>
        </w:rPr>
        <w:t>c) Změny, jimiž dochází nebo může dojít k omezení práv účastníků</w:t>
      </w:r>
    </w:p>
    <w:p w14:paraId="759A8F57" w14:textId="39DEF4B9" w:rsidR="00B3157D" w:rsidRPr="00B25E45" w:rsidRDefault="00B3157D" w:rsidP="000F0904">
      <w:pPr>
        <w:spacing w:before="120"/>
        <w:jc w:val="both"/>
        <w:rPr>
          <w:rFonts w:ascii="Times New Roman" w:hAnsi="Times New Roman"/>
          <w:bCs/>
          <w:sz w:val="24"/>
        </w:rPr>
      </w:pPr>
      <w:r w:rsidRPr="00B25E45">
        <w:rPr>
          <w:rFonts w:ascii="Times New Roman" w:hAnsi="Times New Roman"/>
          <w:bCs/>
          <w:sz w:val="24"/>
        </w:rPr>
        <w:t>Pokud jde o poslední skupinu změn, je třeba připustit, že některé změny budou mít přímý negativní dopad na práva účastníků řízení. Předkladatel je nicméně toho názoru, že stanovené zásahy do práv účastníků buď nedosahují vůbec ústavně právní roviny, nebo, pokud je možné je kvalifikovat jako omezení základních práv stanovených v Listině, sleduje takovéto omezení legitimní cíl, je schopné sledovaného cíle dosáhnout a jde o omezení přiměřené.</w:t>
      </w:r>
    </w:p>
    <w:p w14:paraId="395F3D31" w14:textId="4D24F416" w:rsidR="00B3157D" w:rsidRPr="00B25E45" w:rsidRDefault="00B3157D" w:rsidP="000F0904">
      <w:pPr>
        <w:spacing w:before="120"/>
        <w:jc w:val="both"/>
        <w:rPr>
          <w:rFonts w:ascii="Times New Roman" w:hAnsi="Times New Roman"/>
          <w:bCs/>
          <w:sz w:val="24"/>
        </w:rPr>
      </w:pPr>
      <w:r w:rsidRPr="00B25E45">
        <w:rPr>
          <w:rFonts w:ascii="Times New Roman" w:hAnsi="Times New Roman"/>
          <w:b/>
          <w:sz w:val="24"/>
        </w:rPr>
        <w:t>Z pohledu čl. 81, čl. 82 a čl. 94</w:t>
      </w:r>
      <w:r w:rsidRPr="00B25E45">
        <w:rPr>
          <w:rFonts w:ascii="Times New Roman" w:hAnsi="Times New Roman"/>
          <w:bCs/>
          <w:sz w:val="24"/>
        </w:rPr>
        <w:t xml:space="preserve"> </w:t>
      </w:r>
      <w:r w:rsidRPr="00B25E45">
        <w:rPr>
          <w:rFonts w:ascii="Times New Roman" w:hAnsi="Times New Roman"/>
          <w:b/>
          <w:sz w:val="24"/>
        </w:rPr>
        <w:t>Ústavy ČR</w:t>
      </w:r>
      <w:r w:rsidRPr="00B25E45">
        <w:rPr>
          <w:rFonts w:ascii="Times New Roman" w:hAnsi="Times New Roman"/>
          <w:bCs/>
          <w:sz w:val="24"/>
        </w:rPr>
        <w:t xml:space="preserve"> a případně též </w:t>
      </w:r>
      <w:r w:rsidRPr="00B25E45">
        <w:rPr>
          <w:rFonts w:ascii="Times New Roman" w:hAnsi="Times New Roman"/>
          <w:b/>
          <w:sz w:val="24"/>
        </w:rPr>
        <w:t>čl. 36 odst. 1 Listiny</w:t>
      </w:r>
      <w:r w:rsidRPr="00B25E45">
        <w:rPr>
          <w:rFonts w:ascii="Times New Roman" w:hAnsi="Times New Roman"/>
          <w:bCs/>
          <w:sz w:val="24"/>
        </w:rPr>
        <w:t xml:space="preserve"> se může jevit problematická snaha o posílení role asistentů (a potažmo vyšších soudních úředníků) v řízení před správními soudy. Otázkou postavení </w:t>
      </w:r>
      <w:proofErr w:type="spellStart"/>
      <w:r w:rsidRPr="00B25E45">
        <w:rPr>
          <w:rFonts w:ascii="Times New Roman" w:hAnsi="Times New Roman"/>
          <w:bCs/>
          <w:sz w:val="24"/>
        </w:rPr>
        <w:t>nesoudcovského</w:t>
      </w:r>
      <w:proofErr w:type="spellEnd"/>
      <w:r w:rsidRPr="00B25E45">
        <w:rPr>
          <w:rFonts w:ascii="Times New Roman" w:hAnsi="Times New Roman"/>
          <w:bCs/>
          <w:sz w:val="24"/>
        </w:rPr>
        <w:t xml:space="preserve"> personálu při rozhodování soudů se již v minulosti zabýval Ústavní soud, jenž dovodil, že ústavní pořádek zapojení asistentů a vyšších soudních úředníků jako odborného aparátu na soudu do rozhodování soudů za splněných podmínek nevylučuje. Takováto delegace kompetencí je možná, jsou-li splněny dvě podmínky, a sice není-li daná záležitost svěřena ústavním pořádkem do pravomoci výhradně soudci a zároveň je-li proti rozhodnutí asistenta či vyššího soudního úředníka možné se bránit opravným prostředkem, k jehož projednání je příslušný soudce (srov. nález Ústavního soudu ze dne 30. července 2019, </w:t>
      </w:r>
      <w:proofErr w:type="spellStart"/>
      <w:r w:rsidRPr="00B25E45">
        <w:rPr>
          <w:rFonts w:ascii="Times New Roman" w:hAnsi="Times New Roman"/>
          <w:bCs/>
          <w:sz w:val="24"/>
        </w:rPr>
        <w:t>sp</w:t>
      </w:r>
      <w:proofErr w:type="spellEnd"/>
      <w:r w:rsidRPr="00B25E45">
        <w:rPr>
          <w:rFonts w:ascii="Times New Roman" w:hAnsi="Times New Roman"/>
          <w:bCs/>
          <w:sz w:val="24"/>
        </w:rPr>
        <w:t xml:space="preserve">. zn. </w:t>
      </w:r>
      <w:proofErr w:type="spellStart"/>
      <w:r w:rsidRPr="00B25E45">
        <w:rPr>
          <w:rFonts w:ascii="Times New Roman" w:hAnsi="Times New Roman"/>
          <w:bCs/>
          <w:sz w:val="24"/>
        </w:rPr>
        <w:t>Pl</w:t>
      </w:r>
      <w:proofErr w:type="spellEnd"/>
      <w:r w:rsidRPr="00B25E45">
        <w:rPr>
          <w:rFonts w:ascii="Times New Roman" w:hAnsi="Times New Roman"/>
          <w:bCs/>
          <w:sz w:val="24"/>
        </w:rPr>
        <w:t xml:space="preserve">. ÚS 32/18). Obě podmínky jsou v předloženém návrhu respektovány, a návrh tak není v rozporu s ústavním právem. </w:t>
      </w:r>
      <w:proofErr w:type="gramStart"/>
      <w:r w:rsidRPr="00B25E45">
        <w:rPr>
          <w:rFonts w:ascii="Times New Roman" w:hAnsi="Times New Roman"/>
          <w:bCs/>
          <w:sz w:val="24"/>
        </w:rPr>
        <w:t>Sluší</w:t>
      </w:r>
      <w:proofErr w:type="gramEnd"/>
      <w:r w:rsidRPr="00B25E45">
        <w:rPr>
          <w:rFonts w:ascii="Times New Roman" w:hAnsi="Times New Roman"/>
          <w:bCs/>
          <w:sz w:val="24"/>
        </w:rPr>
        <w:t xml:space="preserve"> se též podotknout, že úprava v této souvislosti vyjasňuje úpravu specifického opravného prostředku námitky podle § 9 zákona č. 121/2008 Sb., o vyšších soudních úřednících, ve znění pozdějších předpisů, právě na rozhodování vyšších soudních úřadníků a asistentů ve správním soudnictví tak, aby napříště </w:t>
      </w:r>
      <w:r w:rsidRPr="00B25E45">
        <w:rPr>
          <w:rFonts w:ascii="Times New Roman" w:hAnsi="Times New Roman"/>
          <w:bCs/>
          <w:sz w:val="24"/>
        </w:rPr>
        <w:lastRenderedPageBreak/>
        <w:t xml:space="preserve">nebyla aplikace této úpravy ve správním soudnictví problematická a sporná. Závěrem je možné </w:t>
      </w:r>
      <w:proofErr w:type="gramStart"/>
      <w:r w:rsidRPr="00B25E45">
        <w:rPr>
          <w:rFonts w:ascii="Times New Roman" w:hAnsi="Times New Roman"/>
          <w:bCs/>
          <w:sz w:val="24"/>
        </w:rPr>
        <w:t>říci</w:t>
      </w:r>
      <w:proofErr w:type="gramEnd"/>
      <w:r w:rsidRPr="00B25E45">
        <w:rPr>
          <w:rFonts w:ascii="Times New Roman" w:hAnsi="Times New Roman"/>
          <w:bCs/>
          <w:sz w:val="24"/>
        </w:rPr>
        <w:t>, že navrhovaná úprava jen vyrovnává určitou nerovnost v řízení před civilními a správními soudy. V konečném důsledku by mělo tedy dojít k tomu, že kompetence asistentů a vyšších soudních úředníků u správních soudů se pouze dorovnají tomu, co jsou oprávněn</w:t>
      </w:r>
      <w:r w:rsidR="00457BF6" w:rsidRPr="00B25E45">
        <w:rPr>
          <w:rFonts w:ascii="Times New Roman" w:hAnsi="Times New Roman"/>
          <w:bCs/>
          <w:sz w:val="24"/>
        </w:rPr>
        <w:t>y</w:t>
      </w:r>
      <w:r w:rsidRPr="00B25E45">
        <w:rPr>
          <w:rFonts w:ascii="Times New Roman" w:hAnsi="Times New Roman"/>
          <w:bCs/>
          <w:sz w:val="24"/>
        </w:rPr>
        <w:t xml:space="preserve"> činit tytéž osoby v civilních soudních řízení.</w:t>
      </w:r>
    </w:p>
    <w:p w14:paraId="198F18D3" w14:textId="529FA903" w:rsidR="00B3157D" w:rsidRPr="00B25E45" w:rsidRDefault="00B3157D" w:rsidP="000F0904">
      <w:pPr>
        <w:spacing w:before="120"/>
        <w:jc w:val="both"/>
        <w:rPr>
          <w:rFonts w:ascii="Times New Roman" w:hAnsi="Times New Roman"/>
          <w:bCs/>
          <w:sz w:val="24"/>
        </w:rPr>
      </w:pPr>
      <w:r w:rsidRPr="00B25E45">
        <w:rPr>
          <w:rFonts w:ascii="Times New Roman" w:hAnsi="Times New Roman"/>
          <w:bCs/>
          <w:sz w:val="24"/>
        </w:rPr>
        <w:t xml:space="preserve">Posledně zmíněné platí i pro navrhované zefektivnění dělby práce v řízeních, v nichž podle soudního řádu správního rozhodují senáty složené ze tří soudců profesionálů. Navrhuje se po vzoru občanského soudního řádu umožnit, aby předseda senátu nemusel činit všechny úkony v řízení, ale mohl těmi méně významnými z nich pověřit ostatní členy senátu. </w:t>
      </w:r>
      <w:r w:rsidR="00457BF6" w:rsidRPr="00B25E45">
        <w:rPr>
          <w:rFonts w:ascii="Times New Roman" w:hAnsi="Times New Roman"/>
          <w:bCs/>
          <w:sz w:val="24"/>
        </w:rPr>
        <w:t>Tato koncepce</w:t>
      </w:r>
      <w:r w:rsidRPr="00B25E45">
        <w:rPr>
          <w:rFonts w:ascii="Times New Roman" w:hAnsi="Times New Roman"/>
          <w:bCs/>
          <w:sz w:val="24"/>
        </w:rPr>
        <w:t xml:space="preserve"> již mnoho let bez větších potíží funguje před civilními soudy (§ 36d odst. 1 o. s. ř.). Pokud přitom ústavní pořádek připouští, aby za určitých okolností rozhodoval i </w:t>
      </w:r>
      <w:proofErr w:type="spellStart"/>
      <w:r w:rsidRPr="00B25E45">
        <w:rPr>
          <w:rFonts w:ascii="Times New Roman" w:hAnsi="Times New Roman"/>
          <w:bCs/>
          <w:sz w:val="24"/>
        </w:rPr>
        <w:t>nesoudcovský</w:t>
      </w:r>
      <w:proofErr w:type="spellEnd"/>
      <w:r w:rsidRPr="00B25E45">
        <w:rPr>
          <w:rFonts w:ascii="Times New Roman" w:hAnsi="Times New Roman"/>
          <w:bCs/>
          <w:sz w:val="24"/>
        </w:rPr>
        <w:t xml:space="preserve"> personál (viz výše), a za zásadu rozhodování soudů je považováno rozhodování samosoudcem (čl. 94 odst. 1 Ústavy ČR), lze argumentem </w:t>
      </w:r>
      <w:r w:rsidRPr="00B25E45">
        <w:rPr>
          <w:rFonts w:ascii="Times New Roman" w:hAnsi="Times New Roman"/>
          <w:bCs/>
          <w:i/>
          <w:iCs/>
          <w:sz w:val="24"/>
        </w:rPr>
        <w:t xml:space="preserve">a </w:t>
      </w:r>
      <w:proofErr w:type="spellStart"/>
      <w:r w:rsidRPr="00B25E45">
        <w:rPr>
          <w:rFonts w:ascii="Times New Roman" w:hAnsi="Times New Roman"/>
          <w:bCs/>
          <w:i/>
          <w:iCs/>
          <w:sz w:val="24"/>
        </w:rPr>
        <w:t>minori</w:t>
      </w:r>
      <w:proofErr w:type="spellEnd"/>
      <w:r w:rsidRPr="00B25E45">
        <w:rPr>
          <w:rFonts w:ascii="Times New Roman" w:hAnsi="Times New Roman"/>
          <w:bCs/>
          <w:i/>
          <w:iCs/>
          <w:sz w:val="24"/>
        </w:rPr>
        <w:t xml:space="preserve"> ad </w:t>
      </w:r>
      <w:proofErr w:type="spellStart"/>
      <w:r w:rsidRPr="00B25E45">
        <w:rPr>
          <w:rFonts w:ascii="Times New Roman" w:hAnsi="Times New Roman"/>
          <w:bCs/>
          <w:i/>
          <w:iCs/>
          <w:sz w:val="24"/>
        </w:rPr>
        <w:t>maius</w:t>
      </w:r>
      <w:proofErr w:type="spellEnd"/>
      <w:r w:rsidRPr="00B25E45">
        <w:rPr>
          <w:rFonts w:ascii="Times New Roman" w:hAnsi="Times New Roman"/>
          <w:bCs/>
          <w:i/>
          <w:iCs/>
          <w:sz w:val="24"/>
        </w:rPr>
        <w:t xml:space="preserve"> </w:t>
      </w:r>
      <w:r w:rsidRPr="00B25E45">
        <w:rPr>
          <w:rFonts w:ascii="Times New Roman" w:hAnsi="Times New Roman"/>
          <w:bCs/>
          <w:sz w:val="24"/>
        </w:rPr>
        <w:t>dovodit, že úprava, která umožňuje méně významné úkony svěřit členovi senátu – profesionálnímu soudci, musí být ústavně konformní.</w:t>
      </w:r>
    </w:p>
    <w:p w14:paraId="3756F017" w14:textId="3F707D7E" w:rsidR="00B3157D" w:rsidRPr="00B25E45" w:rsidRDefault="00B3157D" w:rsidP="000F0904">
      <w:pPr>
        <w:spacing w:before="120"/>
        <w:jc w:val="both"/>
        <w:rPr>
          <w:rFonts w:ascii="Times New Roman" w:hAnsi="Times New Roman"/>
          <w:bCs/>
          <w:sz w:val="24"/>
        </w:rPr>
      </w:pPr>
      <w:r w:rsidRPr="00B25E45">
        <w:rPr>
          <w:rFonts w:ascii="Times New Roman" w:hAnsi="Times New Roman"/>
          <w:b/>
          <w:sz w:val="24"/>
        </w:rPr>
        <w:t>Za omezení práva na rozhodování nezávislým a nestranným soudem</w:t>
      </w:r>
      <w:r w:rsidRPr="00B25E45">
        <w:rPr>
          <w:rFonts w:ascii="Times New Roman" w:hAnsi="Times New Roman"/>
          <w:bCs/>
          <w:sz w:val="24"/>
        </w:rPr>
        <w:t xml:space="preserve"> (čl. </w:t>
      </w:r>
      <w:r w:rsidR="009D2DFB" w:rsidRPr="00B25E45">
        <w:rPr>
          <w:rFonts w:ascii="Times New Roman" w:hAnsi="Times New Roman"/>
          <w:bCs/>
          <w:sz w:val="24"/>
        </w:rPr>
        <w:t xml:space="preserve">82 odst. 1 Ústavy ČR a čl. </w:t>
      </w:r>
      <w:r w:rsidRPr="00B25E45">
        <w:rPr>
          <w:rFonts w:ascii="Times New Roman" w:hAnsi="Times New Roman"/>
          <w:bCs/>
          <w:sz w:val="24"/>
        </w:rPr>
        <w:t>36 odst. 1 Listiny) je možné považovat doplnění dalšího důvodu nepřípustnosti námitky podjatosti ve chvíli, pokud ji účastník uplatní před anebo v průběhu jednání, na kterém soud rozhoduje ve věci samé. Tento návrh nicméně vychází z občanského soudního řádu, který v §</w:t>
      </w:r>
      <w:r w:rsidR="00457BF6" w:rsidRPr="00B25E45">
        <w:rPr>
          <w:rFonts w:ascii="Times New Roman" w:hAnsi="Times New Roman"/>
          <w:bCs/>
          <w:sz w:val="24"/>
        </w:rPr>
        <w:t> </w:t>
      </w:r>
      <w:r w:rsidRPr="00B25E45">
        <w:rPr>
          <w:rFonts w:ascii="Times New Roman" w:hAnsi="Times New Roman"/>
          <w:bCs/>
          <w:sz w:val="24"/>
        </w:rPr>
        <w:t xml:space="preserve">15b odst. 2 rovněž vylučuje možnost uplatnit námitku podjatosti za stejných podmínek; toto ustanovení dosud nebylo z pohledu ústavního práva zpochybněno (srov. např. rozhodnutí ÚS ze dne 13. 11. 2014, </w:t>
      </w:r>
      <w:proofErr w:type="spellStart"/>
      <w:r w:rsidRPr="00B25E45">
        <w:rPr>
          <w:rFonts w:ascii="Times New Roman" w:hAnsi="Times New Roman"/>
          <w:bCs/>
          <w:sz w:val="24"/>
        </w:rPr>
        <w:t>sp</w:t>
      </w:r>
      <w:proofErr w:type="spellEnd"/>
      <w:r w:rsidRPr="00B25E45">
        <w:rPr>
          <w:rFonts w:ascii="Times New Roman" w:hAnsi="Times New Roman"/>
          <w:bCs/>
          <w:sz w:val="24"/>
        </w:rPr>
        <w:t>. zn. III.ÚS 1702/14). Opatření sleduje legitimní cíl, neboť usiluje o hospodárnost řízení (pokud má účastník za to, že je soudce podjatý, měl by to namítnout co nejdříve, a nikoliv ve chvíli, kdy již soud rozhoduje o věci samé), a dále o odstranění nástroje pro obstrukce ze strany účastníků řízení.</w:t>
      </w:r>
    </w:p>
    <w:p w14:paraId="64A8DE3D" w14:textId="5BD934F9" w:rsidR="009D2DFB" w:rsidRPr="00B25E45" w:rsidRDefault="009D2DFB" w:rsidP="000F0904">
      <w:pPr>
        <w:spacing w:before="120"/>
        <w:jc w:val="both"/>
        <w:rPr>
          <w:rFonts w:ascii="Times New Roman" w:hAnsi="Times New Roman"/>
          <w:bCs/>
          <w:sz w:val="24"/>
        </w:rPr>
      </w:pPr>
      <w:r w:rsidRPr="00B25E45">
        <w:rPr>
          <w:rFonts w:ascii="Times New Roman" w:hAnsi="Times New Roman"/>
          <w:bCs/>
          <w:sz w:val="24"/>
        </w:rPr>
        <w:t xml:space="preserve">Předložený návrh se dostává </w:t>
      </w:r>
      <w:r w:rsidRPr="00B25E45">
        <w:rPr>
          <w:rFonts w:ascii="Times New Roman" w:hAnsi="Times New Roman"/>
          <w:b/>
          <w:sz w:val="24"/>
        </w:rPr>
        <w:t>také do zdánlivé kolize s čl. 36 odst. 1 a odst. 2</w:t>
      </w:r>
      <w:r w:rsidR="00C05584" w:rsidRPr="00B25E45">
        <w:rPr>
          <w:rFonts w:ascii="Times New Roman" w:hAnsi="Times New Roman"/>
          <w:b/>
          <w:sz w:val="24"/>
        </w:rPr>
        <w:t xml:space="preserve"> Listiny,</w:t>
      </w:r>
      <w:r w:rsidRPr="00B25E45">
        <w:rPr>
          <w:rFonts w:ascii="Times New Roman" w:hAnsi="Times New Roman"/>
          <w:bCs/>
          <w:sz w:val="24"/>
        </w:rPr>
        <w:t xml:space="preserve"> neboť předpokládá zrychlený postup u šikanózních a zjevně bezúspěšných návrhů, u nichž se nově správním soudům umožňuje, aby tyto návrhy </w:t>
      </w:r>
      <w:r w:rsidR="00457BF6" w:rsidRPr="00B25E45">
        <w:rPr>
          <w:rFonts w:ascii="Times New Roman" w:hAnsi="Times New Roman"/>
          <w:bCs/>
          <w:sz w:val="24"/>
        </w:rPr>
        <w:t>odmítly</w:t>
      </w:r>
      <w:r w:rsidR="00C80948" w:rsidRPr="00B25E45">
        <w:rPr>
          <w:rFonts w:ascii="Times New Roman" w:hAnsi="Times New Roman"/>
          <w:bCs/>
          <w:sz w:val="24"/>
        </w:rPr>
        <w:t xml:space="preserve">, jelikož </w:t>
      </w:r>
      <w:r w:rsidRPr="00B25E45">
        <w:rPr>
          <w:rFonts w:ascii="Times New Roman" w:hAnsi="Times New Roman"/>
          <w:bCs/>
          <w:sz w:val="24"/>
        </w:rPr>
        <w:t>sledují zjevné zneužití práva nebo jsou zjevně bezdůvodné.</w:t>
      </w:r>
      <w:r w:rsidR="00C80948" w:rsidRPr="00B25E45">
        <w:rPr>
          <w:rFonts w:ascii="Times New Roman" w:hAnsi="Times New Roman"/>
          <w:bCs/>
          <w:sz w:val="24"/>
        </w:rPr>
        <w:t xml:space="preserve"> Jakkoliv uvedené možnosti znamenají omezení práva na přístup k soudu u podatelů, jejichž podání sleduje zjevné zneužití práva nebo je zjevně bezdůvodné, domnívá se předkladatel, že úprava sleduje legitimní cíl a je schopna tohoto cíle dosáhnout a je z pohledu práva na přístup k soud</w:t>
      </w:r>
      <w:r w:rsidR="006B3F3E" w:rsidRPr="00B25E45">
        <w:rPr>
          <w:rFonts w:ascii="Times New Roman" w:hAnsi="Times New Roman"/>
          <w:bCs/>
          <w:sz w:val="24"/>
        </w:rPr>
        <w:t>u</w:t>
      </w:r>
      <w:r w:rsidR="00C80948" w:rsidRPr="00B25E45">
        <w:rPr>
          <w:rFonts w:ascii="Times New Roman" w:hAnsi="Times New Roman"/>
          <w:bCs/>
          <w:sz w:val="24"/>
        </w:rPr>
        <w:t xml:space="preserve"> v užším smyslu</w:t>
      </w:r>
      <w:r w:rsidR="006B3F3E" w:rsidRPr="00B25E45">
        <w:rPr>
          <w:rFonts w:ascii="Times New Roman" w:hAnsi="Times New Roman"/>
          <w:bCs/>
          <w:sz w:val="24"/>
        </w:rPr>
        <w:t xml:space="preserve"> přiměřená</w:t>
      </w:r>
      <w:r w:rsidR="00C80948" w:rsidRPr="00B25E45">
        <w:rPr>
          <w:rFonts w:ascii="Times New Roman" w:hAnsi="Times New Roman"/>
          <w:bCs/>
          <w:sz w:val="24"/>
        </w:rPr>
        <w:t xml:space="preserve">. Navržené body </w:t>
      </w:r>
      <w:r w:rsidR="006D1E79" w:rsidRPr="00B25E45">
        <w:rPr>
          <w:rFonts w:ascii="Times New Roman" w:hAnsi="Times New Roman"/>
          <w:bCs/>
          <w:sz w:val="24"/>
        </w:rPr>
        <w:t>reagují na to, že existuje několik chronických stěžovatelů, kteří zavalují správní soudy svými neopodstatněnými nebo šikanózními žalobami.</w:t>
      </w:r>
      <w:r w:rsidR="006D1E79" w:rsidRPr="00B25E45">
        <w:rPr>
          <w:rStyle w:val="Znakapoznpodarou"/>
          <w:rFonts w:ascii="Times New Roman" w:hAnsi="Times New Roman"/>
          <w:bCs/>
          <w:sz w:val="24"/>
        </w:rPr>
        <w:footnoteReference w:id="4"/>
      </w:r>
      <w:r w:rsidR="006D1E79" w:rsidRPr="00B25E45">
        <w:rPr>
          <w:rFonts w:ascii="Times New Roman" w:hAnsi="Times New Roman"/>
          <w:bCs/>
          <w:sz w:val="24"/>
        </w:rPr>
        <w:t xml:space="preserve"> Uvedené zavalení má nepochybně dopady i </w:t>
      </w:r>
      <w:r w:rsidR="006B3F3E" w:rsidRPr="00B25E45">
        <w:rPr>
          <w:rFonts w:ascii="Times New Roman" w:hAnsi="Times New Roman"/>
          <w:bCs/>
          <w:sz w:val="24"/>
        </w:rPr>
        <w:t>na</w:t>
      </w:r>
      <w:r w:rsidR="006D1E79" w:rsidRPr="00B25E45">
        <w:rPr>
          <w:rFonts w:ascii="Times New Roman" w:hAnsi="Times New Roman"/>
          <w:bCs/>
          <w:sz w:val="24"/>
        </w:rPr>
        <w:t xml:space="preserve"> celkov</w:t>
      </w:r>
      <w:r w:rsidR="006B3F3E" w:rsidRPr="00B25E45">
        <w:rPr>
          <w:rFonts w:ascii="Times New Roman" w:hAnsi="Times New Roman"/>
          <w:bCs/>
          <w:sz w:val="24"/>
        </w:rPr>
        <w:t>ou</w:t>
      </w:r>
      <w:r w:rsidR="006D1E79" w:rsidRPr="00B25E45">
        <w:rPr>
          <w:rFonts w:ascii="Times New Roman" w:hAnsi="Times New Roman"/>
          <w:bCs/>
          <w:sz w:val="24"/>
        </w:rPr>
        <w:t xml:space="preserve"> rychlost řízení před správními soudy a může vést k tomu, že žalobám osob, do jejichž veřejných subjektivních práv bylo skutečně zasaženo, není možné se věnovat včas. Sudiči, kteří zneužívají aktuální mezery v soudním řádu správním, proto vytěžují kapacitu správních soudů a brání </w:t>
      </w:r>
      <w:r w:rsidR="006D1E79" w:rsidRPr="00B25E45">
        <w:rPr>
          <w:rFonts w:ascii="Times New Roman" w:hAnsi="Times New Roman"/>
          <w:bCs/>
          <w:sz w:val="24"/>
        </w:rPr>
        <w:lastRenderedPageBreak/>
        <w:t>tomu, aby jiné věci byly vyřizovány v přiměřených lhůtách tak, jak širší veřejnost od soudů v právním stát</w:t>
      </w:r>
      <w:r w:rsidR="00457BF6" w:rsidRPr="00B25E45">
        <w:rPr>
          <w:rFonts w:ascii="Times New Roman" w:hAnsi="Times New Roman"/>
          <w:bCs/>
          <w:sz w:val="24"/>
        </w:rPr>
        <w:t>u</w:t>
      </w:r>
      <w:r w:rsidR="006D1E79" w:rsidRPr="00B25E45">
        <w:rPr>
          <w:rFonts w:ascii="Times New Roman" w:hAnsi="Times New Roman"/>
          <w:bCs/>
          <w:sz w:val="24"/>
        </w:rPr>
        <w:t xml:space="preserve"> očekává. Opatření tak sleduje legitimní cíl, kterým je odbřemenění správních soudů od zjevně neopodstatněných a zneužívajících návrhů, aby byl prostor pro řešení legitimních žalob, kterým je třeba poskytnout náležitou a rychlou soudní ochranu.  </w:t>
      </w:r>
    </w:p>
    <w:p w14:paraId="4A7227C7" w14:textId="77777777" w:rsidR="00457BF6" w:rsidRPr="00B25E45" w:rsidRDefault="00C05584" w:rsidP="000F0904">
      <w:pPr>
        <w:spacing w:before="120"/>
        <w:jc w:val="both"/>
        <w:rPr>
          <w:rFonts w:ascii="Times New Roman" w:hAnsi="Times New Roman"/>
          <w:bCs/>
          <w:sz w:val="24"/>
        </w:rPr>
      </w:pPr>
      <w:r w:rsidRPr="00B25E45">
        <w:rPr>
          <w:rFonts w:ascii="Times New Roman" w:hAnsi="Times New Roman"/>
          <w:bCs/>
          <w:sz w:val="24"/>
        </w:rPr>
        <w:t xml:space="preserve">Podobný </w:t>
      </w:r>
      <w:r w:rsidRPr="00B25E45">
        <w:rPr>
          <w:rFonts w:ascii="Times New Roman" w:hAnsi="Times New Roman"/>
          <w:b/>
          <w:sz w:val="24"/>
        </w:rPr>
        <w:t>zásah do čl. 36 odst. 1 a 2</w:t>
      </w:r>
      <w:r w:rsidRPr="00B25E45">
        <w:rPr>
          <w:rFonts w:ascii="Times New Roman" w:hAnsi="Times New Roman"/>
          <w:bCs/>
          <w:sz w:val="24"/>
        </w:rPr>
        <w:t xml:space="preserve"> </w:t>
      </w:r>
      <w:r w:rsidRPr="00B25E45">
        <w:rPr>
          <w:rFonts w:ascii="Times New Roman" w:hAnsi="Times New Roman"/>
          <w:b/>
          <w:sz w:val="24"/>
        </w:rPr>
        <w:t>Listiny</w:t>
      </w:r>
      <w:r w:rsidRPr="00B25E45">
        <w:rPr>
          <w:rFonts w:ascii="Times New Roman" w:hAnsi="Times New Roman"/>
          <w:bCs/>
          <w:sz w:val="24"/>
        </w:rPr>
        <w:t xml:space="preserve"> je možné spatřovat v rozšíření institutu nepřijatelnosti kasační stížnosti, kdy Nejvyšší správní soud může tuto kasační stížnost odmítnout za podmínky, že svým významem podstatně nepřesahuje vlastní zájmy stěžovatele. Tam, kde jsou uvedené podmínky nepřijatelnosti naplněny, napříště dojde k omezení práv účastníků řízení v otázce možnosti podání tohoto mimořádného opravného prostředku. K tomu lze uvést, že možnost odmítnutí kasační stížnosti pro zjevnou neopodstatněnost není ve správním soudnictví ničím novým. Úprava § 104a byla do soudního řádu správního poprvé vložena již novelou č. 350/2005 Sb. v reakci na tehdejší vytížení Nejvyššího správního soudu azylovou agendou. Cílem bylo umožnit určitou filtraci a zajistit, aby Nejvyšší správní soud nemusel řešit případy, které byly rozhodnuty krajským soudem v souladu s ustálenou judikaturou, nebylo možné jim ničeho vytknout a neměly žádný </w:t>
      </w:r>
      <w:proofErr w:type="spellStart"/>
      <w:r w:rsidRPr="00B25E45">
        <w:rPr>
          <w:rFonts w:ascii="Times New Roman" w:hAnsi="Times New Roman"/>
          <w:bCs/>
          <w:sz w:val="24"/>
        </w:rPr>
        <w:t>judikatorní</w:t>
      </w:r>
      <w:proofErr w:type="spellEnd"/>
      <w:r w:rsidRPr="00B25E45">
        <w:rPr>
          <w:rFonts w:ascii="Times New Roman" w:hAnsi="Times New Roman"/>
          <w:bCs/>
          <w:sz w:val="24"/>
        </w:rPr>
        <w:t xml:space="preserve"> přesah. Podobně, jako tomu je i u civilního dovolání (srov. § 237 o. s. ř.). Zkoumaný nástroj tak v právním řádu existuje již téměř 20 let, a za tuto dobu nebyl nijak zpochybněn z ústavně právních pozic</w:t>
      </w:r>
      <w:r w:rsidR="00457BF6" w:rsidRPr="00B25E45">
        <w:rPr>
          <w:rFonts w:ascii="Times New Roman" w:hAnsi="Times New Roman"/>
          <w:bCs/>
          <w:sz w:val="24"/>
        </w:rPr>
        <w:t>.</w:t>
      </w:r>
      <w:r w:rsidRPr="00B25E45">
        <w:rPr>
          <w:rFonts w:ascii="Times New Roman" w:hAnsi="Times New Roman"/>
          <w:bCs/>
          <w:sz w:val="24"/>
        </w:rPr>
        <w:t xml:space="preserve"> Ústavní soud jej </w:t>
      </w:r>
      <w:r w:rsidR="00457BF6" w:rsidRPr="00B25E45">
        <w:rPr>
          <w:rFonts w:ascii="Times New Roman" w:hAnsi="Times New Roman"/>
          <w:bCs/>
          <w:sz w:val="24"/>
        </w:rPr>
        <w:t>ne</w:t>
      </w:r>
      <w:r w:rsidRPr="00B25E45">
        <w:rPr>
          <w:rFonts w:ascii="Times New Roman" w:hAnsi="Times New Roman"/>
          <w:bCs/>
          <w:sz w:val="24"/>
        </w:rPr>
        <w:t>považuje</w:t>
      </w:r>
      <w:r w:rsidR="00457BF6" w:rsidRPr="00B25E45">
        <w:rPr>
          <w:rFonts w:ascii="Times New Roman" w:hAnsi="Times New Roman"/>
          <w:bCs/>
          <w:sz w:val="24"/>
        </w:rPr>
        <w:t xml:space="preserve"> za rozporný s právem na přístup k soudu a právem na spravedlivý proces</w:t>
      </w:r>
      <w:r w:rsidRPr="00B25E45">
        <w:rPr>
          <w:rFonts w:ascii="Times New Roman" w:hAnsi="Times New Roman"/>
          <w:bCs/>
          <w:sz w:val="24"/>
        </w:rPr>
        <w:t xml:space="preserve">, </w:t>
      </w:r>
      <w:r w:rsidR="00457BF6" w:rsidRPr="00B25E45">
        <w:rPr>
          <w:rFonts w:ascii="Times New Roman" w:hAnsi="Times New Roman"/>
          <w:bCs/>
          <w:sz w:val="24"/>
        </w:rPr>
        <w:t xml:space="preserve">nevybočí-li </w:t>
      </w:r>
      <w:r w:rsidRPr="00B25E45">
        <w:rPr>
          <w:rFonts w:ascii="Times New Roman" w:hAnsi="Times New Roman"/>
          <w:bCs/>
          <w:sz w:val="24"/>
        </w:rPr>
        <w:t>Nejvyšší správní soud z mantinelů § 104a s. ř. s.</w:t>
      </w:r>
      <w:r w:rsidR="00457BF6" w:rsidRPr="00B25E45">
        <w:rPr>
          <w:rFonts w:ascii="Times New Roman" w:hAnsi="Times New Roman"/>
          <w:bCs/>
          <w:sz w:val="24"/>
        </w:rPr>
        <w:t xml:space="preserve"> [</w:t>
      </w:r>
      <w:r w:rsidRPr="00B25E45">
        <w:rPr>
          <w:rFonts w:ascii="Times New Roman" w:hAnsi="Times New Roman"/>
          <w:bCs/>
          <w:sz w:val="24"/>
        </w:rPr>
        <w:t xml:space="preserve">srov. např. usnesení ÚS </w:t>
      </w:r>
      <w:proofErr w:type="spellStart"/>
      <w:r w:rsidRPr="00B25E45">
        <w:rPr>
          <w:rFonts w:ascii="Times New Roman" w:hAnsi="Times New Roman"/>
          <w:bCs/>
          <w:sz w:val="24"/>
        </w:rPr>
        <w:t>sp</w:t>
      </w:r>
      <w:proofErr w:type="spellEnd"/>
      <w:r w:rsidRPr="00B25E45">
        <w:rPr>
          <w:rFonts w:ascii="Times New Roman" w:hAnsi="Times New Roman"/>
          <w:bCs/>
          <w:sz w:val="24"/>
        </w:rPr>
        <w:t>. zn. II.ÚS 1637/14 ze dne 8. 7. 2014: „</w:t>
      </w:r>
      <w:r w:rsidRPr="00B25E45">
        <w:rPr>
          <w:rFonts w:ascii="Times New Roman" w:hAnsi="Times New Roman"/>
          <w:bCs/>
          <w:i/>
          <w:iCs/>
          <w:sz w:val="24"/>
        </w:rPr>
        <w:t>Ústavní soud se již otázkou interpretace § 104a s. ř. s. ve své judikatuře dříve zabýval a dospěl k závěru, že uvážení Nejvyššího správního soudu není Ústavní soud oprávněn jakkoli přezkoumávat nejen proto, že k němu je povolán výlučně Nejvyšší správní soud, ale především z toho důvodu, že jím z povahy věci žádné ústavně chráněné právo zasaženo být nemůže, pouze zcela výjimečně by mohlo představovat zásah do práva na spravedlivý proces zneužití soudního uvážení</w:t>
      </w:r>
      <w:r w:rsidRPr="00B25E45">
        <w:rPr>
          <w:rFonts w:ascii="Times New Roman" w:hAnsi="Times New Roman"/>
          <w:bCs/>
          <w:sz w:val="24"/>
        </w:rPr>
        <w:t xml:space="preserve"> </w:t>
      </w:r>
      <w:r w:rsidRPr="00B25E45">
        <w:rPr>
          <w:rFonts w:ascii="Times New Roman" w:hAnsi="Times New Roman"/>
          <w:bCs/>
          <w:i/>
          <w:iCs/>
          <w:sz w:val="24"/>
        </w:rPr>
        <w:t xml:space="preserve">(usnesení ze dne 9. 11. 2006, </w:t>
      </w:r>
      <w:proofErr w:type="spellStart"/>
      <w:r w:rsidRPr="00B25E45">
        <w:rPr>
          <w:rFonts w:ascii="Times New Roman" w:hAnsi="Times New Roman"/>
          <w:bCs/>
          <w:i/>
          <w:iCs/>
          <w:sz w:val="24"/>
        </w:rPr>
        <w:t>sp</w:t>
      </w:r>
      <w:proofErr w:type="spellEnd"/>
      <w:r w:rsidRPr="00B25E45">
        <w:rPr>
          <w:rFonts w:ascii="Times New Roman" w:hAnsi="Times New Roman"/>
          <w:bCs/>
          <w:i/>
          <w:iCs/>
          <w:sz w:val="24"/>
        </w:rPr>
        <w:t xml:space="preserve">. zn. I. ÚS 597/06, nebo usnesení ze dne 22. 3. 2012, </w:t>
      </w:r>
      <w:proofErr w:type="spellStart"/>
      <w:r w:rsidRPr="00B25E45">
        <w:rPr>
          <w:rFonts w:ascii="Times New Roman" w:hAnsi="Times New Roman"/>
          <w:bCs/>
          <w:i/>
          <w:iCs/>
          <w:sz w:val="24"/>
        </w:rPr>
        <w:t>sp</w:t>
      </w:r>
      <w:proofErr w:type="spellEnd"/>
      <w:r w:rsidRPr="00B25E45">
        <w:rPr>
          <w:rFonts w:ascii="Times New Roman" w:hAnsi="Times New Roman"/>
          <w:bCs/>
          <w:i/>
          <w:iCs/>
          <w:sz w:val="24"/>
        </w:rPr>
        <w:t>. zn. II. ÚS 2283/11).</w:t>
      </w:r>
      <w:r w:rsidRPr="00B25E45">
        <w:rPr>
          <w:rFonts w:ascii="Times New Roman" w:hAnsi="Times New Roman"/>
          <w:bCs/>
          <w:sz w:val="24"/>
        </w:rPr>
        <w:t>“</w:t>
      </w:r>
      <w:r w:rsidR="00457BF6" w:rsidRPr="00B25E45">
        <w:rPr>
          <w:rFonts w:ascii="Times New Roman" w:hAnsi="Times New Roman"/>
          <w:bCs/>
          <w:sz w:val="24"/>
        </w:rPr>
        <w:t>]</w:t>
      </w:r>
      <w:r w:rsidRPr="00B25E45">
        <w:rPr>
          <w:rFonts w:ascii="Times New Roman" w:hAnsi="Times New Roman"/>
          <w:bCs/>
          <w:sz w:val="24"/>
        </w:rPr>
        <w:t xml:space="preserve"> </w:t>
      </w:r>
      <w:r w:rsidR="00457BF6" w:rsidRPr="00B25E45">
        <w:rPr>
          <w:rFonts w:ascii="Times New Roman" w:hAnsi="Times New Roman"/>
          <w:bCs/>
          <w:sz w:val="24"/>
        </w:rPr>
        <w:t xml:space="preserve">Pravidlo tudíž v souladu s čl. 36 odst. 4 zakotvuje podmínky a podrobnosti pro to, jak lze v České republice realizovat základní lidské právo na přístup k soudu. </w:t>
      </w:r>
      <w:r w:rsidRPr="00B25E45">
        <w:rPr>
          <w:rFonts w:ascii="Times New Roman" w:hAnsi="Times New Roman"/>
          <w:bCs/>
          <w:sz w:val="24"/>
        </w:rPr>
        <w:t xml:space="preserve">Ustanovení § 104a s. ř. s. zakotvuje ústavně konformní filtraci pro kasační stížnosti, která zajišťuje, že Nejvyšší správní soud bude moci své omezené personální kapacity využívat tam, kde je to efektivní a smysluplné, a naopak nebude zatěžován řízeními, která nijak nevybočují z ustálené rozhodovací praxe. </w:t>
      </w:r>
    </w:p>
    <w:p w14:paraId="238B9942" w14:textId="2C303497" w:rsidR="00457BF6" w:rsidRPr="00B25E45" w:rsidRDefault="00C05584" w:rsidP="000F0904">
      <w:pPr>
        <w:spacing w:before="120"/>
        <w:jc w:val="both"/>
        <w:rPr>
          <w:rFonts w:ascii="Times New Roman" w:hAnsi="Times New Roman"/>
          <w:bCs/>
          <w:sz w:val="24"/>
        </w:rPr>
      </w:pPr>
      <w:r w:rsidRPr="00B25E45">
        <w:rPr>
          <w:rFonts w:ascii="Times New Roman" w:hAnsi="Times New Roman"/>
          <w:bCs/>
          <w:sz w:val="24"/>
        </w:rPr>
        <w:t>Jelikož se zmiňovaná úprava v minulosti osvědčila a potvrdila, že obstojí i ve světle ústavního pořádku, došlo s účinností k 1. dubnu 2021 k rozšíření nepřijatelnosti na všechn</w:t>
      </w:r>
      <w:r w:rsidR="00386B21" w:rsidRPr="00B25E45">
        <w:rPr>
          <w:rFonts w:ascii="Times New Roman" w:hAnsi="Times New Roman"/>
          <w:bCs/>
          <w:sz w:val="24"/>
        </w:rPr>
        <w:t>a</w:t>
      </w:r>
      <w:r w:rsidRPr="00B25E45">
        <w:rPr>
          <w:rFonts w:ascii="Times New Roman" w:hAnsi="Times New Roman"/>
          <w:bCs/>
          <w:sz w:val="24"/>
        </w:rPr>
        <w:t xml:space="preserve"> řízení, která jsou na prvním stupni rozhodována specializovaným samosoudcem (§ 31 odst. 2 s. ř. s.).</w:t>
      </w:r>
      <w:r w:rsidR="00C80948" w:rsidRPr="00B25E45">
        <w:rPr>
          <w:rFonts w:ascii="Times New Roman" w:hAnsi="Times New Roman"/>
          <w:bCs/>
          <w:sz w:val="24"/>
        </w:rPr>
        <w:t xml:space="preserve"> </w:t>
      </w:r>
      <w:r w:rsidR="00386B21" w:rsidRPr="00B25E45">
        <w:rPr>
          <w:rFonts w:ascii="Times New Roman" w:hAnsi="Times New Roman"/>
          <w:bCs/>
          <w:sz w:val="24"/>
        </w:rPr>
        <w:t>Ani</w:t>
      </w:r>
      <w:r w:rsidR="00C80948" w:rsidRPr="00B25E45">
        <w:rPr>
          <w:rFonts w:ascii="Times New Roman" w:hAnsi="Times New Roman"/>
          <w:bCs/>
          <w:sz w:val="24"/>
        </w:rPr>
        <w:t xml:space="preserve"> tuto novou úpravu Ústavní soud nezpochybnil a shledal ji za souladnou s ústavním pořádkem, přičemž zopakoval smysl a účel předmětného pravidla, kterým je snaha o snížení zátěže Nejvyššího správního soudu tím, že se zabrání zejména přezkumu věcí, které již byly </w:t>
      </w:r>
      <w:proofErr w:type="spellStart"/>
      <w:r w:rsidR="00C80948" w:rsidRPr="00B25E45">
        <w:rPr>
          <w:rFonts w:ascii="Times New Roman" w:hAnsi="Times New Roman"/>
          <w:bCs/>
          <w:sz w:val="24"/>
        </w:rPr>
        <w:t>judikatorně</w:t>
      </w:r>
      <w:proofErr w:type="spellEnd"/>
      <w:r w:rsidR="00C80948" w:rsidRPr="00B25E45">
        <w:rPr>
          <w:rFonts w:ascii="Times New Roman" w:hAnsi="Times New Roman"/>
          <w:bCs/>
          <w:sz w:val="24"/>
        </w:rPr>
        <w:t xml:space="preserve"> vyřešeny – usnesení Ú</w:t>
      </w:r>
      <w:r w:rsidR="00457BF6" w:rsidRPr="00B25E45">
        <w:rPr>
          <w:rFonts w:ascii="Times New Roman" w:hAnsi="Times New Roman"/>
          <w:bCs/>
          <w:sz w:val="24"/>
        </w:rPr>
        <w:t>stavního soudu</w:t>
      </w:r>
      <w:r w:rsidR="00C80948" w:rsidRPr="00B25E45">
        <w:rPr>
          <w:rFonts w:ascii="Times New Roman" w:hAnsi="Times New Roman"/>
          <w:bCs/>
          <w:sz w:val="24"/>
        </w:rPr>
        <w:t xml:space="preserve"> </w:t>
      </w:r>
      <w:proofErr w:type="spellStart"/>
      <w:r w:rsidR="00C80948" w:rsidRPr="00B25E45">
        <w:rPr>
          <w:rFonts w:ascii="Times New Roman" w:hAnsi="Times New Roman"/>
          <w:bCs/>
          <w:sz w:val="24"/>
        </w:rPr>
        <w:t>sp</w:t>
      </w:r>
      <w:proofErr w:type="spellEnd"/>
      <w:r w:rsidR="00C80948" w:rsidRPr="00B25E45">
        <w:rPr>
          <w:rFonts w:ascii="Times New Roman" w:hAnsi="Times New Roman"/>
          <w:bCs/>
          <w:sz w:val="24"/>
        </w:rPr>
        <w:t>. zn. IV. ÚS 1875/23 ze dne 8. 8. 2023: „</w:t>
      </w:r>
      <w:r w:rsidR="00C80948" w:rsidRPr="00B25E45">
        <w:rPr>
          <w:rFonts w:ascii="Times New Roman" w:hAnsi="Times New Roman"/>
          <w:bCs/>
          <w:i/>
          <w:iCs/>
          <w:sz w:val="24"/>
        </w:rPr>
        <w:t xml:space="preserve">Při odmítnutí kasační stížnosti postupoval Nejvyšší správní soud podle § 104a odst. 1 s. ř. s., ve znění účinném od 1. 4. 2021. Toto ustanovení stanoví, že kasační stížnost ve věcech, v nichž před krajským soudem rozhodoval specializovaný samosoudce (…), odmítne Nejvyšší správní </w:t>
      </w:r>
      <w:r w:rsidR="00C80948" w:rsidRPr="00B25E45">
        <w:rPr>
          <w:rFonts w:ascii="Times New Roman" w:hAnsi="Times New Roman"/>
          <w:bCs/>
          <w:i/>
          <w:iCs/>
          <w:sz w:val="24"/>
        </w:rPr>
        <w:lastRenderedPageBreak/>
        <w:t xml:space="preserve">soud pro nepřijatelnost, nepřesahuje-li svým významem podstatně vlastní zájmy stěžovatele. S ohledem na funkci, kterou institut nepřijatelnosti kasační stížnosti plní, tj. snížení zátěže pro Nejvyšší správní soud (zejména jde-li o "bagatelní" a opakující se kasační stížnosti), lze z ústavního hlediska považovat za dostačující odůvodnění, jehož podstatou je zejména krátké shrnutí dosavadních judikaturních závěrů k otázkám, jichž se týkají kasační námitky, a odkaz na příslušná rozhodnutí, jimiž tyto otázky byly v minulosti vyřešeny [viz usnesení ze dne 7. 12. 2021 </w:t>
      </w:r>
      <w:proofErr w:type="spellStart"/>
      <w:r w:rsidR="00C80948" w:rsidRPr="00B25E45">
        <w:rPr>
          <w:rFonts w:ascii="Times New Roman" w:hAnsi="Times New Roman"/>
          <w:bCs/>
          <w:i/>
          <w:iCs/>
          <w:sz w:val="24"/>
        </w:rPr>
        <w:t>sp</w:t>
      </w:r>
      <w:proofErr w:type="spellEnd"/>
      <w:r w:rsidR="00C80948" w:rsidRPr="00B25E45">
        <w:rPr>
          <w:rFonts w:ascii="Times New Roman" w:hAnsi="Times New Roman"/>
          <w:bCs/>
          <w:i/>
          <w:iCs/>
          <w:sz w:val="24"/>
        </w:rPr>
        <w:t>. zn. IV. ÚS 2923/21 (….). Tento postup totiž plně koresponduje s již zmiňovaným účelem institutu nepřijatelnosti kasační stížnosti, tedy snižováním zátěže Nejvyššího správního soudu a zabráněním zbytečné "recyklace" dříve již vyslovených právních názorů. Jinak řečeno, institut nepřijatelnosti kasační stížnosti je založen na primárně prospektivním (namísto převážně retrospektivního) významu rozhodnutí nejvyššího soudu, jehož hlavním úkolem je sjednocování judikatury krajských soudů a rozhodování správních orgánů.</w:t>
      </w:r>
      <w:r w:rsidR="00C80948" w:rsidRPr="00B25E45">
        <w:rPr>
          <w:rFonts w:ascii="Times New Roman" w:hAnsi="Times New Roman"/>
          <w:bCs/>
          <w:sz w:val="24"/>
        </w:rPr>
        <w:t xml:space="preserve">“ </w:t>
      </w:r>
    </w:p>
    <w:p w14:paraId="3DC49696" w14:textId="505E5F4B" w:rsidR="00C80948" w:rsidRPr="00B25E45" w:rsidRDefault="00C80948" w:rsidP="000F0904">
      <w:pPr>
        <w:spacing w:before="120"/>
        <w:jc w:val="both"/>
        <w:rPr>
          <w:rFonts w:ascii="Times New Roman" w:hAnsi="Times New Roman"/>
          <w:bCs/>
          <w:sz w:val="24"/>
        </w:rPr>
      </w:pPr>
      <w:r w:rsidRPr="00B25E45">
        <w:rPr>
          <w:rFonts w:ascii="Times New Roman" w:hAnsi="Times New Roman"/>
          <w:bCs/>
          <w:sz w:val="24"/>
        </w:rPr>
        <w:t xml:space="preserve">Pokud tedy tato úprava obstojí </w:t>
      </w:r>
      <w:r w:rsidRPr="00B25E45">
        <w:rPr>
          <w:rFonts w:ascii="Times New Roman" w:hAnsi="Times New Roman"/>
          <w:bCs/>
          <w:i/>
          <w:iCs/>
          <w:sz w:val="24"/>
        </w:rPr>
        <w:t>de lege lata</w:t>
      </w:r>
      <w:r w:rsidRPr="00B25E45">
        <w:rPr>
          <w:rFonts w:ascii="Times New Roman" w:hAnsi="Times New Roman"/>
          <w:bCs/>
          <w:sz w:val="24"/>
        </w:rPr>
        <w:t xml:space="preserve"> v řízeních, k jejichž rozhodování jsou příslušní specializovaní samosoudci, lze mít za to, že její rozšíření na všechny kasační stížnosti bude i nadále ústavně konformní (argument </w:t>
      </w:r>
      <w:r w:rsidRPr="00B25E45">
        <w:rPr>
          <w:rFonts w:ascii="Times New Roman" w:hAnsi="Times New Roman"/>
          <w:bCs/>
          <w:i/>
          <w:iCs/>
          <w:sz w:val="24"/>
        </w:rPr>
        <w:t xml:space="preserve">a </w:t>
      </w:r>
      <w:proofErr w:type="spellStart"/>
      <w:r w:rsidRPr="00B25E45">
        <w:rPr>
          <w:rFonts w:ascii="Times New Roman" w:hAnsi="Times New Roman"/>
          <w:bCs/>
          <w:i/>
          <w:iCs/>
          <w:sz w:val="24"/>
        </w:rPr>
        <w:t>minori</w:t>
      </w:r>
      <w:proofErr w:type="spellEnd"/>
      <w:r w:rsidRPr="00B25E45">
        <w:rPr>
          <w:rFonts w:ascii="Times New Roman" w:hAnsi="Times New Roman"/>
          <w:bCs/>
          <w:i/>
          <w:iCs/>
          <w:sz w:val="24"/>
        </w:rPr>
        <w:t xml:space="preserve"> ad </w:t>
      </w:r>
      <w:proofErr w:type="spellStart"/>
      <w:r w:rsidRPr="00B25E45">
        <w:rPr>
          <w:rFonts w:ascii="Times New Roman" w:hAnsi="Times New Roman"/>
          <w:bCs/>
          <w:i/>
          <w:iCs/>
          <w:sz w:val="24"/>
        </w:rPr>
        <w:t>maius</w:t>
      </w:r>
      <w:proofErr w:type="spellEnd"/>
      <w:r w:rsidRPr="00B25E45">
        <w:rPr>
          <w:rFonts w:ascii="Times New Roman" w:hAnsi="Times New Roman"/>
          <w:bCs/>
          <w:sz w:val="24"/>
        </w:rPr>
        <w:t xml:space="preserve">). Změna sice představuje zásah do ústavou garantovaných práv, ten je však přiměřený a sleduje legitimní cíl, tj. zrychlení a zefektivnění řízení před Nejvyšším správním soudem. </w:t>
      </w:r>
      <w:r w:rsidR="006940BE" w:rsidRPr="00B25E45">
        <w:rPr>
          <w:rFonts w:ascii="Times New Roman" w:hAnsi="Times New Roman"/>
          <w:bCs/>
          <w:sz w:val="24"/>
        </w:rPr>
        <w:t xml:space="preserve">Úprava má za cíl reagovat na tendenci rostoucího nápadu této vrcholné soudní instance, kdy ještě </w:t>
      </w:r>
      <w:r w:rsidR="00ED0109" w:rsidRPr="00B25E45">
        <w:rPr>
          <w:rFonts w:ascii="Times New Roman" w:hAnsi="Times New Roman"/>
          <w:bCs/>
          <w:sz w:val="24"/>
        </w:rPr>
        <w:t>v letech</w:t>
      </w:r>
      <w:r w:rsidR="006940BE" w:rsidRPr="00B25E45">
        <w:rPr>
          <w:rFonts w:ascii="Times New Roman" w:hAnsi="Times New Roman"/>
          <w:bCs/>
          <w:sz w:val="24"/>
        </w:rPr>
        <w:t xml:space="preserve"> 2008 až 2016 nápad NSS osciloval mezi 2000 a 3000</w:t>
      </w:r>
      <w:r w:rsidR="00ED0109" w:rsidRPr="00B25E45">
        <w:rPr>
          <w:rFonts w:ascii="Times New Roman" w:hAnsi="Times New Roman"/>
          <w:bCs/>
          <w:sz w:val="24"/>
        </w:rPr>
        <w:t xml:space="preserve"> novými věcmi za rok. O</w:t>
      </w:r>
      <w:r w:rsidR="006940BE" w:rsidRPr="00B25E45">
        <w:rPr>
          <w:rFonts w:ascii="Times New Roman" w:hAnsi="Times New Roman"/>
          <w:bCs/>
          <w:sz w:val="24"/>
        </w:rPr>
        <w:t>d roku 2016 do současnosti je</w:t>
      </w:r>
      <w:r w:rsidR="00ED0109" w:rsidRPr="00B25E45">
        <w:rPr>
          <w:rFonts w:ascii="Times New Roman" w:hAnsi="Times New Roman"/>
          <w:bCs/>
          <w:sz w:val="24"/>
        </w:rPr>
        <w:t xml:space="preserve"> naopak</w:t>
      </w:r>
      <w:r w:rsidR="006940BE" w:rsidRPr="00B25E45">
        <w:rPr>
          <w:rFonts w:ascii="Times New Roman" w:hAnsi="Times New Roman"/>
          <w:bCs/>
          <w:sz w:val="24"/>
        </w:rPr>
        <w:t xml:space="preserve"> patrn</w:t>
      </w:r>
      <w:r w:rsidR="00ED0109" w:rsidRPr="00B25E45">
        <w:rPr>
          <w:rFonts w:ascii="Times New Roman" w:hAnsi="Times New Roman"/>
          <w:bCs/>
          <w:sz w:val="24"/>
        </w:rPr>
        <w:t>é</w:t>
      </w:r>
      <w:r w:rsidR="006940BE" w:rsidRPr="00B25E45">
        <w:rPr>
          <w:rFonts w:ascii="Times New Roman" w:hAnsi="Times New Roman"/>
          <w:bCs/>
          <w:sz w:val="24"/>
        </w:rPr>
        <w:t xml:space="preserve"> znatelné zvýšení nápadu</w:t>
      </w:r>
      <w:r w:rsidR="00ED0109" w:rsidRPr="00B25E45">
        <w:rPr>
          <w:rFonts w:ascii="Times New Roman" w:hAnsi="Times New Roman"/>
          <w:bCs/>
          <w:sz w:val="24"/>
        </w:rPr>
        <w:t>. V</w:t>
      </w:r>
      <w:r w:rsidR="006940BE" w:rsidRPr="00B25E45">
        <w:rPr>
          <w:rFonts w:ascii="Times New Roman" w:hAnsi="Times New Roman"/>
          <w:bCs/>
          <w:sz w:val="24"/>
        </w:rPr>
        <w:t xml:space="preserve"> posledních letech se NSS musel pravidelně vypořádat s počtem přesahujícím </w:t>
      </w:r>
      <w:r w:rsidR="00ED0109" w:rsidRPr="00B25E45">
        <w:rPr>
          <w:rFonts w:ascii="Times New Roman" w:hAnsi="Times New Roman"/>
          <w:bCs/>
          <w:sz w:val="24"/>
        </w:rPr>
        <w:t xml:space="preserve">i </w:t>
      </w:r>
      <w:r w:rsidR="006940BE" w:rsidRPr="00B25E45">
        <w:rPr>
          <w:rFonts w:ascii="Times New Roman" w:hAnsi="Times New Roman"/>
          <w:bCs/>
          <w:sz w:val="24"/>
        </w:rPr>
        <w:t xml:space="preserve">4 000 </w:t>
      </w:r>
      <w:r w:rsidR="00ED0109" w:rsidRPr="00B25E45">
        <w:rPr>
          <w:rFonts w:ascii="Times New Roman" w:hAnsi="Times New Roman"/>
          <w:bCs/>
          <w:sz w:val="24"/>
        </w:rPr>
        <w:t>nových věcí ročně</w:t>
      </w:r>
      <w:r w:rsidR="006940BE" w:rsidRPr="00B25E45">
        <w:rPr>
          <w:rFonts w:ascii="Times New Roman" w:hAnsi="Times New Roman"/>
          <w:bCs/>
          <w:sz w:val="24"/>
        </w:rPr>
        <w:t xml:space="preserve"> (např. srovnáme-li počet kasačních stížností v roce 2010, tj. 2213, a v roce 2019, tj. 4261, jde téměř o zdvojnásobení nápadu).</w:t>
      </w:r>
      <w:r w:rsidR="00457BF6" w:rsidRPr="00B25E45">
        <w:rPr>
          <w:rStyle w:val="Znakapoznpodarou"/>
          <w:rFonts w:ascii="Times New Roman" w:hAnsi="Times New Roman"/>
          <w:bCs/>
          <w:sz w:val="24"/>
        </w:rPr>
        <w:footnoteReference w:id="5"/>
      </w:r>
      <w:r w:rsidR="006940BE" w:rsidRPr="00B25E45">
        <w:rPr>
          <w:rFonts w:ascii="Times New Roman" w:hAnsi="Times New Roman"/>
          <w:bCs/>
          <w:sz w:val="24"/>
        </w:rPr>
        <w:t xml:space="preserve"> </w:t>
      </w:r>
      <w:r w:rsidR="00ED0109" w:rsidRPr="00B25E45">
        <w:rPr>
          <w:rFonts w:ascii="Times New Roman" w:hAnsi="Times New Roman"/>
          <w:bCs/>
          <w:sz w:val="24"/>
        </w:rPr>
        <w:t>Úprava přitom n</w:t>
      </w:r>
      <w:r w:rsidRPr="00B25E45">
        <w:rPr>
          <w:rFonts w:ascii="Times New Roman" w:hAnsi="Times New Roman"/>
          <w:bCs/>
          <w:sz w:val="24"/>
        </w:rPr>
        <w:t xml:space="preserve">aplňuje požadavky, s nimiž počítá již Listina (čl. 36 odst. 4, srov. např.  </w:t>
      </w:r>
      <w:r w:rsidRPr="00B25E45">
        <w:rPr>
          <w:rFonts w:ascii="Times New Roman" w:hAnsi="Times New Roman"/>
          <w:bCs/>
          <w:sz w:val="24"/>
          <w:szCs w:val="24"/>
        </w:rPr>
        <w:t xml:space="preserve">body 34 a 35 nálezu ze dne 22. 7. 2022 </w:t>
      </w:r>
      <w:proofErr w:type="spellStart"/>
      <w:r w:rsidRPr="00B25E45">
        <w:rPr>
          <w:rFonts w:ascii="Times New Roman" w:hAnsi="Times New Roman"/>
          <w:bCs/>
          <w:sz w:val="24"/>
          <w:szCs w:val="24"/>
        </w:rPr>
        <w:t>sp</w:t>
      </w:r>
      <w:proofErr w:type="spellEnd"/>
      <w:r w:rsidRPr="00B25E45">
        <w:rPr>
          <w:rFonts w:ascii="Times New Roman" w:hAnsi="Times New Roman"/>
          <w:bCs/>
          <w:sz w:val="24"/>
          <w:szCs w:val="24"/>
        </w:rPr>
        <w:t xml:space="preserve">. zn. </w:t>
      </w:r>
      <w:proofErr w:type="spellStart"/>
      <w:r w:rsidRPr="00B25E45">
        <w:rPr>
          <w:rFonts w:ascii="Times New Roman" w:hAnsi="Times New Roman"/>
          <w:bCs/>
          <w:sz w:val="24"/>
          <w:szCs w:val="24"/>
        </w:rPr>
        <w:t>Pl</w:t>
      </w:r>
      <w:proofErr w:type="spellEnd"/>
      <w:r w:rsidRPr="00B25E45">
        <w:rPr>
          <w:rFonts w:ascii="Times New Roman" w:hAnsi="Times New Roman"/>
          <w:bCs/>
          <w:sz w:val="24"/>
          <w:szCs w:val="24"/>
        </w:rPr>
        <w:t xml:space="preserve">. ÚS 104/20). </w:t>
      </w:r>
      <w:r w:rsidR="00ED0109" w:rsidRPr="00B25E45">
        <w:rPr>
          <w:rFonts w:ascii="Times New Roman" w:hAnsi="Times New Roman"/>
          <w:bCs/>
          <w:sz w:val="24"/>
        </w:rPr>
        <w:t xml:space="preserve">Návrh </w:t>
      </w:r>
      <w:r w:rsidR="00457BF6" w:rsidRPr="00B25E45">
        <w:rPr>
          <w:rFonts w:ascii="Times New Roman" w:hAnsi="Times New Roman"/>
          <w:bCs/>
          <w:sz w:val="24"/>
        </w:rPr>
        <w:t>například</w:t>
      </w:r>
      <w:r w:rsidRPr="00B25E45">
        <w:rPr>
          <w:rFonts w:ascii="Times New Roman" w:hAnsi="Times New Roman"/>
          <w:bCs/>
          <w:sz w:val="24"/>
        </w:rPr>
        <w:t xml:space="preserve"> nemění</w:t>
      </w:r>
      <w:r w:rsidR="00ED0109" w:rsidRPr="00B25E45">
        <w:rPr>
          <w:rFonts w:ascii="Times New Roman" w:hAnsi="Times New Roman"/>
          <w:bCs/>
          <w:sz w:val="24"/>
        </w:rPr>
        <w:t xml:space="preserve"> podmínky aplikace § 104a s. ř. s.</w:t>
      </w:r>
      <w:r w:rsidR="00457BF6" w:rsidRPr="00B25E45">
        <w:rPr>
          <w:rFonts w:ascii="Times New Roman" w:hAnsi="Times New Roman"/>
          <w:bCs/>
          <w:sz w:val="24"/>
        </w:rPr>
        <w:t xml:space="preserve"> a</w:t>
      </w:r>
      <w:r w:rsidR="00ED0109" w:rsidRPr="00B25E45">
        <w:rPr>
          <w:rFonts w:ascii="Times New Roman" w:hAnsi="Times New Roman"/>
          <w:bCs/>
          <w:sz w:val="24"/>
        </w:rPr>
        <w:t xml:space="preserve"> </w:t>
      </w:r>
      <w:r w:rsidRPr="00B25E45">
        <w:rPr>
          <w:rFonts w:ascii="Times New Roman" w:hAnsi="Times New Roman"/>
          <w:bCs/>
          <w:sz w:val="24"/>
        </w:rPr>
        <w:t>i nadále bude nutné k přijetí rozhodnutí získat souhlas všech členů senátu a bude nezbytné toto rozhodnutí odůvodnit</w:t>
      </w:r>
      <w:r w:rsidR="00457BF6" w:rsidRPr="00B25E45">
        <w:rPr>
          <w:rFonts w:ascii="Times New Roman" w:hAnsi="Times New Roman"/>
          <w:bCs/>
          <w:sz w:val="24"/>
        </w:rPr>
        <w:t>.</w:t>
      </w:r>
      <w:r w:rsidR="00457BF6" w:rsidRPr="00B25E45">
        <w:rPr>
          <w:rStyle w:val="Znakapoznpodarou"/>
          <w:rFonts w:ascii="Times New Roman" w:hAnsi="Times New Roman"/>
          <w:bCs/>
          <w:sz w:val="24"/>
        </w:rPr>
        <w:footnoteReference w:id="6"/>
      </w:r>
      <w:r w:rsidR="00457BF6" w:rsidRPr="00B25E45">
        <w:rPr>
          <w:rFonts w:ascii="Times New Roman" w:hAnsi="Times New Roman"/>
          <w:bCs/>
          <w:sz w:val="24"/>
        </w:rPr>
        <w:t xml:space="preserve"> </w:t>
      </w:r>
      <w:r w:rsidRPr="00B25E45">
        <w:rPr>
          <w:rFonts w:ascii="Times New Roman" w:hAnsi="Times New Roman"/>
          <w:bCs/>
          <w:sz w:val="24"/>
        </w:rPr>
        <w:t>Lze shrnout, že bude-li se při aplikaci § 104a s. ř. s. Nejvyšší správní soud držet mantinelů stanovených zákonem, nelze navrhovanou změnu hodnotit jako protiústavní.</w:t>
      </w:r>
    </w:p>
    <w:p w14:paraId="534FE22F" w14:textId="0D417F60" w:rsidR="00B3157D" w:rsidRPr="00B25E45" w:rsidRDefault="00B3157D" w:rsidP="000F0904">
      <w:pPr>
        <w:spacing w:before="120"/>
        <w:jc w:val="both"/>
        <w:rPr>
          <w:rFonts w:ascii="Times New Roman" w:hAnsi="Times New Roman"/>
          <w:bCs/>
          <w:sz w:val="24"/>
        </w:rPr>
      </w:pPr>
      <w:r w:rsidRPr="00B25E45">
        <w:rPr>
          <w:rFonts w:ascii="Times New Roman" w:hAnsi="Times New Roman"/>
          <w:bCs/>
          <w:sz w:val="24"/>
        </w:rPr>
        <w:t xml:space="preserve">Z pohledu </w:t>
      </w:r>
      <w:r w:rsidRPr="00B25E45">
        <w:rPr>
          <w:rFonts w:ascii="Times New Roman" w:hAnsi="Times New Roman"/>
          <w:b/>
          <w:sz w:val="24"/>
        </w:rPr>
        <w:t>práva na zákonného soudce</w:t>
      </w:r>
      <w:r w:rsidRPr="00B25E45">
        <w:rPr>
          <w:rFonts w:ascii="Times New Roman" w:hAnsi="Times New Roman"/>
          <w:bCs/>
          <w:sz w:val="24"/>
        </w:rPr>
        <w:t xml:space="preserve"> (čl. 38 odst. 1 Listiny) se může jevit problematické rozšíření možnosti spojit více návrhů do společného projednání, popř. tyto návrhy rozpojit, pokud spolu nesouvisí. </w:t>
      </w:r>
      <w:r w:rsidR="00457BF6" w:rsidRPr="00B25E45">
        <w:rPr>
          <w:rFonts w:ascii="Times New Roman" w:hAnsi="Times New Roman"/>
          <w:bCs/>
          <w:sz w:val="24"/>
        </w:rPr>
        <w:t>T</w:t>
      </w:r>
      <w:r w:rsidRPr="00B25E45">
        <w:rPr>
          <w:rFonts w:ascii="Times New Roman" w:hAnsi="Times New Roman"/>
          <w:bCs/>
          <w:sz w:val="24"/>
        </w:rPr>
        <w:t xml:space="preserve">ato úprava </w:t>
      </w:r>
      <w:r w:rsidR="00457BF6" w:rsidRPr="00B25E45">
        <w:rPr>
          <w:rFonts w:ascii="Times New Roman" w:hAnsi="Times New Roman"/>
          <w:bCs/>
          <w:sz w:val="24"/>
        </w:rPr>
        <w:t xml:space="preserve">však </w:t>
      </w:r>
      <w:r w:rsidRPr="00B25E45">
        <w:rPr>
          <w:rFonts w:ascii="Times New Roman" w:hAnsi="Times New Roman"/>
          <w:bCs/>
          <w:sz w:val="24"/>
        </w:rPr>
        <w:t xml:space="preserve">nijak nevybočuje ze standardních pravidel procesního práva, kdy i občanský soudní řád umožňuje více věcí spojit do jednoho řízení nebo naopak rozpojit. </w:t>
      </w:r>
      <w:r w:rsidR="00457BF6" w:rsidRPr="00B25E45">
        <w:rPr>
          <w:rFonts w:ascii="Times New Roman" w:hAnsi="Times New Roman"/>
          <w:bCs/>
          <w:sz w:val="24"/>
        </w:rPr>
        <w:t>O</w:t>
      </w:r>
      <w:r w:rsidRPr="00B25E45">
        <w:rPr>
          <w:rFonts w:ascii="Times New Roman" w:hAnsi="Times New Roman"/>
          <w:bCs/>
          <w:sz w:val="24"/>
        </w:rPr>
        <w:t xml:space="preserve">patření usiluje o hospodárnější postup v řízení, kdy podobné věci dává smysl projednat společně, a naopak věci, které se ke společného projednání nehodí, je logické vyloučit do samostatného řízení (srov. § 112 o. s. ř.). Úprava je tak z pozic ústavního práva přípustná a nevede k nepřiměřenému zásahu do práva na zákonného soudce, jelikož ke spojení či vyloučení </w:t>
      </w:r>
      <w:r w:rsidRPr="00B25E45">
        <w:rPr>
          <w:rFonts w:ascii="Times New Roman" w:hAnsi="Times New Roman"/>
          <w:bCs/>
          <w:sz w:val="24"/>
        </w:rPr>
        <w:lastRenderedPageBreak/>
        <w:t>věcí je možné přistoupit pouze tehdy, jsou-li splněny předepsané zákonné podmínky (je tak naplněna i ústavní podmínka, že příslušnost soudu a soudce stanoví zákon). I Ústavní soud již v minulosti „</w:t>
      </w:r>
      <w:r w:rsidRPr="00B25E45">
        <w:rPr>
          <w:rFonts w:ascii="Times New Roman" w:hAnsi="Times New Roman"/>
          <w:bCs/>
          <w:i/>
          <w:iCs/>
          <w:sz w:val="24"/>
        </w:rPr>
        <w:t xml:space="preserve">konstatoval, že mezi požadavky, jež vyplývají z článku 38 odst. 1 Listiny, </w:t>
      </w:r>
      <w:proofErr w:type="gramStart"/>
      <w:r w:rsidRPr="00B25E45">
        <w:rPr>
          <w:rFonts w:ascii="Times New Roman" w:hAnsi="Times New Roman"/>
          <w:bCs/>
          <w:i/>
          <w:iCs/>
          <w:sz w:val="24"/>
        </w:rPr>
        <w:t>patří</w:t>
      </w:r>
      <w:proofErr w:type="gramEnd"/>
      <w:r w:rsidRPr="00B25E45">
        <w:rPr>
          <w:rFonts w:ascii="Times New Roman" w:hAnsi="Times New Roman"/>
          <w:bCs/>
          <w:i/>
          <w:iCs/>
          <w:sz w:val="24"/>
        </w:rPr>
        <w:t xml:space="preserve"> předvídatelnost a transparentnost obsazení soudu, čímž je vyloučen výběr soudců a soudů "ad hoc". Z</w:t>
      </w:r>
      <w:r w:rsidRPr="00B25E45">
        <w:rPr>
          <w:rFonts w:ascii="Times New Roman" w:hAnsi="Times New Roman"/>
          <w:bCs/>
          <w:sz w:val="24"/>
        </w:rPr>
        <w:t xml:space="preserve"> </w:t>
      </w:r>
      <w:r w:rsidRPr="00B25E45">
        <w:rPr>
          <w:rFonts w:ascii="Times New Roman" w:hAnsi="Times New Roman"/>
          <w:bCs/>
          <w:i/>
          <w:iCs/>
          <w:sz w:val="24"/>
        </w:rPr>
        <w:t>pohledu práva na zákonného soudce v naznačené souvislosti vyplývá ten důsledek, že aplikace konkrétních zákonných ustanovení (§ 112 odst. 1 o. s. ř.) zakládajících možnost soudu spojit dosud samostatně vedené věci, nesmí vybočovat z rámce práva na zákonného soudce a vykazovat prvky svévole</w:t>
      </w:r>
      <w:r w:rsidRPr="00B25E45">
        <w:rPr>
          <w:rFonts w:ascii="Times New Roman" w:hAnsi="Times New Roman"/>
          <w:bCs/>
          <w:sz w:val="24"/>
        </w:rPr>
        <w:t>.“</w:t>
      </w:r>
      <w:r w:rsidR="00457BF6" w:rsidRPr="00B25E45">
        <w:rPr>
          <w:rFonts w:ascii="Times New Roman" w:hAnsi="Times New Roman"/>
          <w:bCs/>
          <w:sz w:val="24"/>
        </w:rPr>
        <w:t xml:space="preserve"> Pokud se tak neděje, splňuje spojení nebo vyloučení věcí požadavky na zákonného soudce.</w:t>
      </w:r>
      <w:r w:rsidRPr="00B25E45">
        <w:rPr>
          <w:rFonts w:ascii="Times New Roman" w:hAnsi="Times New Roman"/>
          <w:bCs/>
          <w:sz w:val="24"/>
        </w:rPr>
        <w:t xml:space="preserve"> Srov. usnesení Ústavního soudu ze dne 22. 3. 2016, </w:t>
      </w:r>
      <w:proofErr w:type="spellStart"/>
      <w:r w:rsidRPr="00B25E45">
        <w:rPr>
          <w:rFonts w:ascii="Times New Roman" w:hAnsi="Times New Roman"/>
          <w:bCs/>
          <w:sz w:val="24"/>
        </w:rPr>
        <w:t>sp</w:t>
      </w:r>
      <w:proofErr w:type="spellEnd"/>
      <w:r w:rsidRPr="00B25E45">
        <w:rPr>
          <w:rFonts w:ascii="Times New Roman" w:hAnsi="Times New Roman"/>
          <w:bCs/>
          <w:sz w:val="24"/>
        </w:rPr>
        <w:t xml:space="preserve">. zn. I.ÚS 3186/15, a tam citovaná usnesení ze dne 15. června 2001 </w:t>
      </w:r>
      <w:proofErr w:type="spellStart"/>
      <w:r w:rsidRPr="00B25E45">
        <w:rPr>
          <w:rFonts w:ascii="Times New Roman" w:hAnsi="Times New Roman"/>
          <w:bCs/>
          <w:sz w:val="24"/>
        </w:rPr>
        <w:t>sp</w:t>
      </w:r>
      <w:proofErr w:type="spellEnd"/>
      <w:r w:rsidRPr="00B25E45">
        <w:rPr>
          <w:rFonts w:ascii="Times New Roman" w:hAnsi="Times New Roman"/>
          <w:bCs/>
          <w:sz w:val="24"/>
        </w:rPr>
        <w:t xml:space="preserve">. zn. IV. ÚS 90/01, ze dne 16. února 2006 </w:t>
      </w:r>
      <w:proofErr w:type="spellStart"/>
      <w:r w:rsidRPr="00B25E45">
        <w:rPr>
          <w:rFonts w:ascii="Times New Roman" w:hAnsi="Times New Roman"/>
          <w:bCs/>
          <w:sz w:val="24"/>
        </w:rPr>
        <w:t>sp</w:t>
      </w:r>
      <w:proofErr w:type="spellEnd"/>
      <w:r w:rsidRPr="00B25E45">
        <w:rPr>
          <w:rFonts w:ascii="Times New Roman" w:hAnsi="Times New Roman"/>
          <w:bCs/>
          <w:sz w:val="24"/>
        </w:rPr>
        <w:t xml:space="preserve">. zn. III. ÚS 36/06 a ze dne 5. března 2014 </w:t>
      </w:r>
      <w:proofErr w:type="spellStart"/>
      <w:r w:rsidRPr="00B25E45">
        <w:rPr>
          <w:rFonts w:ascii="Times New Roman" w:hAnsi="Times New Roman"/>
          <w:bCs/>
          <w:sz w:val="24"/>
        </w:rPr>
        <w:t>sp</w:t>
      </w:r>
      <w:proofErr w:type="spellEnd"/>
      <w:r w:rsidRPr="00B25E45">
        <w:rPr>
          <w:rFonts w:ascii="Times New Roman" w:hAnsi="Times New Roman"/>
          <w:bCs/>
          <w:sz w:val="24"/>
        </w:rPr>
        <w:t>. zn. I. ÚS 2842/13.</w:t>
      </w:r>
    </w:p>
    <w:p w14:paraId="2AFA2AB4" w14:textId="41DE8441" w:rsidR="009D2DFB" w:rsidRPr="00B25E45" w:rsidRDefault="00457BF6" w:rsidP="000F0904">
      <w:pPr>
        <w:spacing w:before="120"/>
        <w:jc w:val="both"/>
        <w:rPr>
          <w:rFonts w:ascii="Times New Roman" w:hAnsi="Times New Roman"/>
          <w:b/>
          <w:sz w:val="24"/>
        </w:rPr>
      </w:pPr>
      <w:r w:rsidRPr="00B25E45">
        <w:rPr>
          <w:rFonts w:ascii="Times New Roman" w:hAnsi="Times New Roman"/>
          <w:bCs/>
          <w:sz w:val="24"/>
        </w:rPr>
        <w:t>Ve vztahu k</w:t>
      </w:r>
      <w:r w:rsidR="009D2DFB" w:rsidRPr="00B25E45">
        <w:rPr>
          <w:rFonts w:ascii="Times New Roman" w:hAnsi="Times New Roman"/>
          <w:bCs/>
          <w:sz w:val="24"/>
        </w:rPr>
        <w:t xml:space="preserve"> </w:t>
      </w:r>
      <w:r w:rsidR="009D2DFB" w:rsidRPr="00B25E45">
        <w:rPr>
          <w:rFonts w:ascii="Times New Roman" w:hAnsi="Times New Roman"/>
          <w:b/>
          <w:sz w:val="24"/>
        </w:rPr>
        <w:t>práv</w:t>
      </w:r>
      <w:r w:rsidRPr="00B25E45">
        <w:rPr>
          <w:rFonts w:ascii="Times New Roman" w:hAnsi="Times New Roman"/>
          <w:b/>
          <w:sz w:val="24"/>
        </w:rPr>
        <w:t>u</w:t>
      </w:r>
      <w:r w:rsidR="009D2DFB" w:rsidRPr="00B25E45">
        <w:rPr>
          <w:rFonts w:ascii="Times New Roman" w:hAnsi="Times New Roman"/>
          <w:b/>
          <w:sz w:val="24"/>
        </w:rPr>
        <w:t xml:space="preserve"> na spravedlivý proces dle čl. 38 odst. 2 </w:t>
      </w:r>
      <w:r w:rsidRPr="00B25E45">
        <w:rPr>
          <w:rFonts w:ascii="Times New Roman" w:hAnsi="Times New Roman"/>
          <w:bCs/>
          <w:sz w:val="24"/>
        </w:rPr>
        <w:t>je pak nutné zhodnotit zejména</w:t>
      </w:r>
      <w:r w:rsidR="009D2DFB" w:rsidRPr="00B25E45">
        <w:rPr>
          <w:rFonts w:ascii="Times New Roman" w:hAnsi="Times New Roman"/>
          <w:bCs/>
          <w:sz w:val="24"/>
        </w:rPr>
        <w:t xml:space="preserve"> tyto úpravy:</w:t>
      </w:r>
    </w:p>
    <w:p w14:paraId="6FDDF1CC" w14:textId="01E63653" w:rsidR="009D2DFB" w:rsidRPr="00B25E45" w:rsidRDefault="009D2DFB" w:rsidP="000F0904">
      <w:pPr>
        <w:spacing w:before="120"/>
        <w:jc w:val="both"/>
        <w:rPr>
          <w:rFonts w:ascii="Times New Roman" w:hAnsi="Times New Roman"/>
          <w:bCs/>
          <w:sz w:val="24"/>
          <w:szCs w:val="24"/>
        </w:rPr>
      </w:pPr>
      <w:r w:rsidRPr="00B25E45">
        <w:rPr>
          <w:rFonts w:ascii="Times New Roman" w:hAnsi="Times New Roman"/>
          <w:bCs/>
          <w:sz w:val="24"/>
          <w:szCs w:val="24"/>
        </w:rPr>
        <w:t>(i) Redukce věcí, které by měly správní soudy projednávat přednostně, souvisí s otázkou rozhodování bez zbytečných průtahů a může se projevit na tom, že ve vyřazených věcech bude řízení trvat déle. K tomu je však nutné dodat, že soud je obecně povinen jednat v řízení v přiměřených lhůtách a bez zbytečných průtahů, bez ohledu na to, zda se dané řízení nacház</w:t>
      </w:r>
      <w:r w:rsidR="00457BF6" w:rsidRPr="00B25E45">
        <w:rPr>
          <w:rFonts w:ascii="Times New Roman" w:hAnsi="Times New Roman"/>
          <w:bCs/>
          <w:sz w:val="24"/>
          <w:szCs w:val="24"/>
        </w:rPr>
        <w:t>ejí</w:t>
      </w:r>
      <w:r w:rsidRPr="00B25E45">
        <w:rPr>
          <w:rFonts w:ascii="Times New Roman" w:hAnsi="Times New Roman"/>
          <w:bCs/>
          <w:sz w:val="24"/>
          <w:szCs w:val="24"/>
        </w:rPr>
        <w:t xml:space="preserve"> v seznamu podle § 56 odst. 3 s. ř. s. či nikoliv. Seznam v § 56 odst. 3 s. ř. s. se </w:t>
      </w:r>
      <w:proofErr w:type="gramStart"/>
      <w:r w:rsidRPr="00B25E45">
        <w:rPr>
          <w:rFonts w:ascii="Times New Roman" w:hAnsi="Times New Roman"/>
          <w:bCs/>
          <w:sz w:val="24"/>
          <w:szCs w:val="24"/>
        </w:rPr>
        <w:t>snaží</w:t>
      </w:r>
      <w:proofErr w:type="gramEnd"/>
      <w:r w:rsidRPr="00B25E45">
        <w:rPr>
          <w:rFonts w:ascii="Times New Roman" w:hAnsi="Times New Roman"/>
          <w:bCs/>
          <w:sz w:val="24"/>
          <w:szCs w:val="24"/>
        </w:rPr>
        <w:t xml:space="preserve"> jen akcentovat, že ve vybraných věcech je na místě rozhodovat ještě rychleji, než je jinak běžné, a to ze specifických důvodů, které ospravedlňují zařazení agendy do tohoto seznamu (typicky omezení na osobní svobodě nebo trvající zásah). U vypouštěných věcí však uvedený důvod pro zrychlené rozhodování chybí</w:t>
      </w:r>
      <w:r w:rsidR="00457BF6" w:rsidRPr="00B25E45">
        <w:rPr>
          <w:rFonts w:ascii="Times New Roman" w:hAnsi="Times New Roman"/>
          <w:bCs/>
          <w:sz w:val="24"/>
          <w:szCs w:val="24"/>
        </w:rPr>
        <w:t>. J</w:t>
      </w:r>
      <w:r w:rsidRPr="00B25E45">
        <w:rPr>
          <w:rFonts w:ascii="Times New Roman" w:hAnsi="Times New Roman"/>
          <w:bCs/>
          <w:sz w:val="24"/>
          <w:szCs w:val="24"/>
        </w:rPr>
        <w:t>ejich zařazení do přednostně projednávaných věcí se v</w:t>
      </w:r>
      <w:r w:rsidR="00457BF6" w:rsidRPr="00B25E45">
        <w:rPr>
          <w:rFonts w:ascii="Times New Roman" w:hAnsi="Times New Roman"/>
          <w:bCs/>
          <w:sz w:val="24"/>
          <w:szCs w:val="24"/>
        </w:rPr>
        <w:t> </w:t>
      </w:r>
      <w:r w:rsidRPr="00B25E45">
        <w:rPr>
          <w:rFonts w:ascii="Times New Roman" w:hAnsi="Times New Roman"/>
          <w:bCs/>
          <w:sz w:val="24"/>
          <w:szCs w:val="24"/>
        </w:rPr>
        <w:t>praxi</w:t>
      </w:r>
      <w:r w:rsidR="00457BF6" w:rsidRPr="00B25E45">
        <w:rPr>
          <w:rFonts w:ascii="Times New Roman" w:hAnsi="Times New Roman"/>
          <w:bCs/>
          <w:sz w:val="24"/>
          <w:szCs w:val="24"/>
        </w:rPr>
        <w:t xml:space="preserve"> paradoxně může projevit</w:t>
      </w:r>
      <w:r w:rsidRPr="00B25E45">
        <w:rPr>
          <w:rFonts w:ascii="Times New Roman" w:hAnsi="Times New Roman"/>
          <w:bCs/>
          <w:sz w:val="24"/>
          <w:szCs w:val="24"/>
        </w:rPr>
        <w:t xml:space="preserve"> tak, že soudy nemají prostor vyřizovat rychle </w:t>
      </w:r>
      <w:r w:rsidR="00457BF6" w:rsidRPr="00B25E45">
        <w:rPr>
          <w:rFonts w:ascii="Times New Roman" w:hAnsi="Times New Roman"/>
          <w:bCs/>
          <w:sz w:val="24"/>
          <w:szCs w:val="24"/>
        </w:rPr>
        <w:t>jiné</w:t>
      </w:r>
      <w:r w:rsidRPr="00B25E45">
        <w:rPr>
          <w:rFonts w:ascii="Times New Roman" w:hAnsi="Times New Roman"/>
          <w:bCs/>
          <w:sz w:val="24"/>
          <w:szCs w:val="24"/>
        </w:rPr>
        <w:t xml:space="preserve"> případy, u nichž by byl rychlejší postup na místě. Vyřazení žalob na určení nezákonnosti zásahu, který již skončil, nebo sporů o práva cizinců či žadatelů o azyl, kteří nejsou omezeni na osobní svobodě, tak naopak představuje snahu o posílení práva na spravedlivý proces a urychlení rozhodování správních soudů v těch řízeních, kde je potřeba z důvodu včasné ochrany postupovat s </w:t>
      </w:r>
      <w:r w:rsidR="00457BF6" w:rsidRPr="00B25E45">
        <w:rPr>
          <w:rFonts w:ascii="Times New Roman" w:hAnsi="Times New Roman"/>
          <w:bCs/>
          <w:sz w:val="24"/>
          <w:szCs w:val="24"/>
        </w:rPr>
        <w:t>nejvyšším</w:t>
      </w:r>
      <w:r w:rsidRPr="00B25E45">
        <w:rPr>
          <w:rFonts w:ascii="Times New Roman" w:hAnsi="Times New Roman"/>
          <w:bCs/>
          <w:sz w:val="24"/>
          <w:szCs w:val="24"/>
        </w:rPr>
        <w:t xml:space="preserve"> urychlením.</w:t>
      </w:r>
    </w:p>
    <w:p w14:paraId="6D27C639" w14:textId="1D65A2EF" w:rsidR="009D2DFB" w:rsidRPr="00B25E45" w:rsidRDefault="009D2DFB" w:rsidP="000F0904">
      <w:pPr>
        <w:spacing w:before="120"/>
        <w:jc w:val="both"/>
        <w:rPr>
          <w:rFonts w:ascii="Times New Roman" w:hAnsi="Times New Roman"/>
          <w:bCs/>
          <w:sz w:val="24"/>
          <w:szCs w:val="24"/>
        </w:rPr>
      </w:pPr>
      <w:r w:rsidRPr="00B25E45">
        <w:rPr>
          <w:rFonts w:ascii="Times New Roman" w:hAnsi="Times New Roman"/>
          <w:bCs/>
          <w:sz w:val="24"/>
          <w:szCs w:val="24"/>
        </w:rPr>
        <w:t>(</w:t>
      </w:r>
      <w:proofErr w:type="spellStart"/>
      <w:r w:rsidRPr="00B25E45">
        <w:rPr>
          <w:rFonts w:ascii="Times New Roman" w:hAnsi="Times New Roman"/>
          <w:bCs/>
          <w:sz w:val="24"/>
          <w:szCs w:val="24"/>
        </w:rPr>
        <w:t>ii</w:t>
      </w:r>
      <w:proofErr w:type="spellEnd"/>
      <w:r w:rsidRPr="00B25E45">
        <w:rPr>
          <w:rFonts w:ascii="Times New Roman" w:hAnsi="Times New Roman"/>
          <w:bCs/>
          <w:sz w:val="24"/>
          <w:szCs w:val="24"/>
        </w:rPr>
        <w:t xml:space="preserve">) </w:t>
      </w:r>
      <w:r w:rsidRPr="00B25E45">
        <w:rPr>
          <w:rFonts w:ascii="Times New Roman" w:hAnsi="Times New Roman"/>
          <w:b/>
          <w:sz w:val="24"/>
          <w:szCs w:val="24"/>
        </w:rPr>
        <w:t>Posílení koncentrace řízení</w:t>
      </w:r>
      <w:r w:rsidRPr="00B25E45">
        <w:rPr>
          <w:rFonts w:ascii="Times New Roman" w:hAnsi="Times New Roman"/>
          <w:bCs/>
          <w:sz w:val="24"/>
          <w:szCs w:val="24"/>
        </w:rPr>
        <w:t xml:space="preserve"> znamená do určité míry omezení práva navrhovat nové důkazy a nová tvrzení</w:t>
      </w:r>
      <w:r w:rsidR="00457BF6" w:rsidRPr="00B25E45">
        <w:rPr>
          <w:rFonts w:ascii="Times New Roman" w:hAnsi="Times New Roman"/>
          <w:bCs/>
          <w:sz w:val="24"/>
          <w:szCs w:val="24"/>
        </w:rPr>
        <w:t>. V</w:t>
      </w:r>
      <w:r w:rsidRPr="00B25E45">
        <w:rPr>
          <w:rFonts w:ascii="Times New Roman" w:hAnsi="Times New Roman"/>
          <w:bCs/>
          <w:sz w:val="24"/>
          <w:szCs w:val="24"/>
        </w:rPr>
        <w:t> soudním řádu správním se</w:t>
      </w:r>
      <w:r w:rsidR="00457BF6" w:rsidRPr="00B25E45">
        <w:rPr>
          <w:rFonts w:ascii="Times New Roman" w:hAnsi="Times New Roman"/>
          <w:bCs/>
          <w:sz w:val="24"/>
          <w:szCs w:val="24"/>
        </w:rPr>
        <w:t xml:space="preserve"> však</w:t>
      </w:r>
      <w:r w:rsidRPr="00B25E45">
        <w:rPr>
          <w:rFonts w:ascii="Times New Roman" w:hAnsi="Times New Roman"/>
          <w:bCs/>
          <w:sz w:val="24"/>
          <w:szCs w:val="24"/>
        </w:rPr>
        <w:t xml:space="preserve"> již dnes koncentrace v určité podobě vyskytuje (např. § 71 odst. 2 </w:t>
      </w:r>
      <w:r w:rsidRPr="00B25E45">
        <w:rPr>
          <w:rFonts w:ascii="Times New Roman" w:hAnsi="Times New Roman"/>
          <w:bCs/>
          <w:i/>
          <w:iCs/>
          <w:sz w:val="24"/>
          <w:szCs w:val="24"/>
        </w:rPr>
        <w:t xml:space="preserve">in fine </w:t>
      </w:r>
      <w:r w:rsidRPr="00B25E45">
        <w:rPr>
          <w:rFonts w:ascii="Times New Roman" w:hAnsi="Times New Roman"/>
          <w:bCs/>
          <w:sz w:val="24"/>
          <w:szCs w:val="24"/>
        </w:rPr>
        <w:t>s. ř. s. v platném znění). Koncentrace je opodstatněna snahou o zrychlení a hospodárnost řízení, kdy má za cíl motivovat účastníky, aby všechny své požadavky, důkazy a tvrzení sdělil</w:t>
      </w:r>
      <w:r w:rsidR="00457BF6" w:rsidRPr="00B25E45">
        <w:rPr>
          <w:rFonts w:ascii="Times New Roman" w:hAnsi="Times New Roman"/>
          <w:bCs/>
          <w:sz w:val="24"/>
          <w:szCs w:val="24"/>
        </w:rPr>
        <w:t>i</w:t>
      </w:r>
      <w:r w:rsidRPr="00B25E45">
        <w:rPr>
          <w:rFonts w:ascii="Times New Roman" w:hAnsi="Times New Roman"/>
          <w:bCs/>
          <w:sz w:val="24"/>
          <w:szCs w:val="24"/>
        </w:rPr>
        <w:t xml:space="preserve"> soudu co nejdříve, a za ústavně problematickou se při dodržení postupu stanoveného v zákoně nepovažuje (srov. např. usnesení </w:t>
      </w:r>
      <w:r w:rsidR="00457BF6" w:rsidRPr="00B25E45">
        <w:rPr>
          <w:rFonts w:ascii="Times New Roman" w:hAnsi="Times New Roman"/>
          <w:bCs/>
          <w:sz w:val="24"/>
          <w:szCs w:val="24"/>
        </w:rPr>
        <w:t xml:space="preserve">Ústavního soudu </w:t>
      </w:r>
      <w:r w:rsidRPr="00B25E45">
        <w:rPr>
          <w:rFonts w:ascii="Times New Roman" w:hAnsi="Times New Roman"/>
          <w:bCs/>
          <w:sz w:val="24"/>
          <w:szCs w:val="24"/>
        </w:rPr>
        <w:t xml:space="preserve">ze dne 7. 4. 2020, </w:t>
      </w:r>
      <w:proofErr w:type="spellStart"/>
      <w:r w:rsidRPr="00B25E45">
        <w:rPr>
          <w:rFonts w:ascii="Times New Roman" w:hAnsi="Times New Roman"/>
          <w:bCs/>
          <w:sz w:val="24"/>
          <w:szCs w:val="24"/>
        </w:rPr>
        <w:t>sp</w:t>
      </w:r>
      <w:proofErr w:type="spellEnd"/>
      <w:r w:rsidRPr="00B25E45">
        <w:rPr>
          <w:rFonts w:ascii="Times New Roman" w:hAnsi="Times New Roman"/>
          <w:bCs/>
          <w:sz w:val="24"/>
          <w:szCs w:val="24"/>
        </w:rPr>
        <w:t xml:space="preserve">. zn. IV.ÚS 4048/19). Je tak ústavně přípustným nástrojem k tomu, aby řízení mohlo proběhnout bez zbytečných průtahů (čl. 38 odst. 2 Listiny). Koncentrace navíc není cizí ani obecnému civilnímu řízení (ať už podobě soudcovské či zákonné koncentrace je známa civilním soudům již více než 20 let). Navíc je třeba zdůraznit, že </w:t>
      </w:r>
      <w:r w:rsidR="004110B9" w:rsidRPr="00B25E45">
        <w:rPr>
          <w:rFonts w:ascii="Times New Roman" w:hAnsi="Times New Roman"/>
          <w:bCs/>
          <w:sz w:val="24"/>
          <w:szCs w:val="24"/>
        </w:rPr>
        <w:t>navrhované pojetí koncentrace není absolutní, ale obsahuje možnost pro</w:t>
      </w:r>
      <w:r w:rsidRPr="00B25E45">
        <w:rPr>
          <w:rFonts w:ascii="Times New Roman" w:hAnsi="Times New Roman"/>
          <w:bCs/>
          <w:sz w:val="24"/>
          <w:szCs w:val="24"/>
        </w:rPr>
        <w:t>lomení v případě, kdy účastník nemohl bez své viny danou skutečnost soudu sdělit včas (</w:t>
      </w:r>
      <w:r w:rsidR="00D95B5B" w:rsidRPr="00B25E45">
        <w:rPr>
          <w:rFonts w:ascii="Times New Roman" w:hAnsi="Times New Roman"/>
          <w:bCs/>
          <w:sz w:val="24"/>
          <w:szCs w:val="24"/>
        </w:rPr>
        <w:t>pokud</w:t>
      </w:r>
      <w:r w:rsidRPr="00B25E45">
        <w:rPr>
          <w:rFonts w:ascii="Times New Roman" w:hAnsi="Times New Roman"/>
          <w:bCs/>
          <w:sz w:val="24"/>
          <w:szCs w:val="24"/>
        </w:rPr>
        <w:t xml:space="preserve"> tato skutečnost nastala až po okamžiku, k němuž je řízení koncentrováno</w:t>
      </w:r>
      <w:r w:rsidR="00D95B5B" w:rsidRPr="00B25E45">
        <w:rPr>
          <w:rFonts w:ascii="Times New Roman" w:hAnsi="Times New Roman"/>
          <w:bCs/>
          <w:sz w:val="24"/>
          <w:szCs w:val="24"/>
        </w:rPr>
        <w:t xml:space="preserve"> apod.</w:t>
      </w:r>
      <w:r w:rsidRPr="00B25E45">
        <w:rPr>
          <w:rFonts w:ascii="Times New Roman" w:hAnsi="Times New Roman"/>
          <w:bCs/>
          <w:sz w:val="24"/>
          <w:szCs w:val="24"/>
        </w:rPr>
        <w:t>).</w:t>
      </w:r>
    </w:p>
    <w:p w14:paraId="52C7138A" w14:textId="0D035B0C" w:rsidR="00C05584" w:rsidRPr="00B25E45" w:rsidRDefault="009D2DFB" w:rsidP="000F0904">
      <w:pPr>
        <w:spacing w:before="120"/>
        <w:jc w:val="both"/>
        <w:rPr>
          <w:rFonts w:ascii="Times New Roman" w:hAnsi="Times New Roman"/>
          <w:bCs/>
          <w:sz w:val="24"/>
          <w:szCs w:val="24"/>
        </w:rPr>
      </w:pPr>
      <w:r w:rsidRPr="00B25E45">
        <w:rPr>
          <w:rFonts w:ascii="Times New Roman" w:hAnsi="Times New Roman"/>
          <w:bCs/>
          <w:sz w:val="24"/>
          <w:szCs w:val="24"/>
        </w:rPr>
        <w:lastRenderedPageBreak/>
        <w:t>(</w:t>
      </w:r>
      <w:proofErr w:type="spellStart"/>
      <w:r w:rsidRPr="00B25E45">
        <w:rPr>
          <w:rFonts w:ascii="Times New Roman" w:hAnsi="Times New Roman"/>
          <w:bCs/>
          <w:sz w:val="24"/>
          <w:szCs w:val="24"/>
        </w:rPr>
        <w:t>iii</w:t>
      </w:r>
      <w:proofErr w:type="spellEnd"/>
      <w:r w:rsidRPr="00B25E45">
        <w:rPr>
          <w:rFonts w:ascii="Times New Roman" w:hAnsi="Times New Roman"/>
          <w:bCs/>
          <w:sz w:val="24"/>
          <w:szCs w:val="24"/>
        </w:rPr>
        <w:t xml:space="preserve">) Za určité omezení práv účastníků v řízení je bezpochyby nutné považovat doplnění </w:t>
      </w:r>
      <w:r w:rsidRPr="00B25E45">
        <w:rPr>
          <w:rFonts w:ascii="Times New Roman" w:hAnsi="Times New Roman"/>
          <w:b/>
          <w:sz w:val="24"/>
          <w:szCs w:val="24"/>
        </w:rPr>
        <w:t>následků, které stíhají účastníka, jenž nesložil zálohu</w:t>
      </w:r>
      <w:r w:rsidRPr="00B25E45">
        <w:rPr>
          <w:rFonts w:ascii="Times New Roman" w:hAnsi="Times New Roman"/>
          <w:bCs/>
          <w:sz w:val="24"/>
          <w:szCs w:val="24"/>
        </w:rPr>
        <w:t xml:space="preserve"> na provedení důkazů</w:t>
      </w:r>
      <w:r w:rsidR="00D95B5B" w:rsidRPr="00B25E45">
        <w:rPr>
          <w:rFonts w:ascii="Times New Roman" w:hAnsi="Times New Roman"/>
          <w:bCs/>
          <w:sz w:val="24"/>
          <w:szCs w:val="24"/>
        </w:rPr>
        <w:t>. A</w:t>
      </w:r>
      <w:r w:rsidRPr="00B25E45">
        <w:rPr>
          <w:rFonts w:ascii="Times New Roman" w:hAnsi="Times New Roman"/>
          <w:bCs/>
          <w:sz w:val="24"/>
          <w:szCs w:val="24"/>
        </w:rPr>
        <w:t xml:space="preserve"> to v podobě, že soud nemusí takový důkaz provést. Uvedené pravidlo je však nutné hodnotit jako ústavně neutrální</w:t>
      </w:r>
      <w:r w:rsidR="00D95B5B" w:rsidRPr="00B25E45">
        <w:rPr>
          <w:rFonts w:ascii="Times New Roman" w:hAnsi="Times New Roman"/>
          <w:bCs/>
          <w:sz w:val="24"/>
          <w:szCs w:val="24"/>
        </w:rPr>
        <w:t xml:space="preserve">. </w:t>
      </w:r>
      <w:r w:rsidRPr="00B25E45">
        <w:rPr>
          <w:rFonts w:ascii="Times New Roman" w:hAnsi="Times New Roman"/>
          <w:bCs/>
          <w:sz w:val="24"/>
          <w:szCs w:val="24"/>
        </w:rPr>
        <w:t>Listina sama připouští, že podmínky, za nichž je právo na soudní ochranu realizováno, stanoví zákon (čl. 36 odst. 4 Listiny</w:t>
      </w:r>
      <w:r w:rsidR="00073831" w:rsidRPr="00B25E45">
        <w:rPr>
          <w:rFonts w:ascii="Times New Roman" w:hAnsi="Times New Roman"/>
          <w:bCs/>
          <w:sz w:val="24"/>
          <w:szCs w:val="24"/>
        </w:rPr>
        <w:t>)</w:t>
      </w:r>
      <w:r w:rsidR="00D95B5B" w:rsidRPr="00B25E45">
        <w:rPr>
          <w:rFonts w:ascii="Times New Roman" w:hAnsi="Times New Roman"/>
          <w:bCs/>
          <w:sz w:val="24"/>
          <w:szCs w:val="24"/>
        </w:rPr>
        <w:t xml:space="preserve">. </w:t>
      </w:r>
      <w:r w:rsidR="0024586B" w:rsidRPr="00B25E45">
        <w:rPr>
          <w:rFonts w:ascii="Times New Roman" w:hAnsi="Times New Roman"/>
          <w:bCs/>
          <w:sz w:val="24"/>
          <w:szCs w:val="24"/>
        </w:rPr>
        <w:t>O</w:t>
      </w:r>
      <w:r w:rsidR="00D95B5B" w:rsidRPr="00B25E45">
        <w:rPr>
          <w:rFonts w:ascii="Times New Roman" w:hAnsi="Times New Roman"/>
          <w:bCs/>
          <w:sz w:val="24"/>
          <w:szCs w:val="24"/>
        </w:rPr>
        <w:t>pakovaně</w:t>
      </w:r>
      <w:r w:rsidR="0024586B" w:rsidRPr="00B25E45">
        <w:rPr>
          <w:rFonts w:ascii="Times New Roman" w:hAnsi="Times New Roman"/>
          <w:bCs/>
          <w:sz w:val="24"/>
          <w:szCs w:val="24"/>
        </w:rPr>
        <w:t xml:space="preserve"> tuto skutečnost </w:t>
      </w:r>
      <w:r w:rsidR="00D95B5B" w:rsidRPr="00B25E45">
        <w:rPr>
          <w:rFonts w:ascii="Times New Roman" w:hAnsi="Times New Roman"/>
          <w:bCs/>
          <w:sz w:val="24"/>
          <w:szCs w:val="24"/>
        </w:rPr>
        <w:t>připomíná i Ústavní soud:</w:t>
      </w:r>
      <w:r w:rsidRPr="00B25E45">
        <w:rPr>
          <w:rFonts w:ascii="Times New Roman" w:hAnsi="Times New Roman"/>
          <w:bCs/>
          <w:sz w:val="24"/>
          <w:szCs w:val="24"/>
        </w:rPr>
        <w:t xml:space="preserve"> „(…) </w:t>
      </w:r>
      <w:r w:rsidRPr="00B25E45">
        <w:rPr>
          <w:rFonts w:ascii="Times New Roman" w:hAnsi="Times New Roman"/>
          <w:bCs/>
          <w:i/>
          <w:iCs/>
          <w:sz w:val="24"/>
          <w:szCs w:val="24"/>
        </w:rPr>
        <w:t xml:space="preserve">Ústavní soud předesílá, že podstatnou součástí práva jednotlivce na soudní ochranu je právo na přístup k soudu, zaručené jak v čl. 36 odst. 1 Listiny, tak i v čl. 6 odst. 1 Úmluvy o ochraně lidských práv a základních svobod (dále jen "Úmluva"). Právo na přístup k soudu ovšem není absolutní a podléhá některým omezením, jež jsou vtělena do procesních předpisů v zájmu efektivity řízení </w:t>
      </w:r>
      <w:r w:rsidRPr="00B25E45">
        <w:rPr>
          <w:rFonts w:ascii="Times New Roman" w:hAnsi="Times New Roman"/>
          <w:bCs/>
          <w:sz w:val="24"/>
          <w:szCs w:val="24"/>
        </w:rPr>
        <w:t xml:space="preserve">(…) </w:t>
      </w:r>
      <w:r w:rsidRPr="00B25E45">
        <w:rPr>
          <w:rFonts w:ascii="Times New Roman" w:hAnsi="Times New Roman"/>
          <w:bCs/>
          <w:i/>
          <w:iCs/>
          <w:sz w:val="24"/>
          <w:szCs w:val="24"/>
        </w:rPr>
        <w:t>Právo na přístup k soudu (soudní ochranu) podle čl. 36 odst. 1 Listiny zaručuje každému, že se může domáhat u soudu svého práva "stanoveným postupem", přičemž "podmínky a podrobnosti upravuje zákon (viz čl. 36 odst. 4 Listiny).</w:t>
      </w:r>
      <w:r w:rsidR="00073831" w:rsidRPr="00B25E45">
        <w:rPr>
          <w:rFonts w:ascii="Times New Roman" w:hAnsi="Times New Roman"/>
          <w:bCs/>
          <w:sz w:val="24"/>
          <w:szCs w:val="24"/>
        </w:rPr>
        <w:t>“</w:t>
      </w:r>
      <w:r w:rsidRPr="00B25E45">
        <w:rPr>
          <w:rFonts w:ascii="Times New Roman" w:hAnsi="Times New Roman"/>
          <w:bCs/>
          <w:sz w:val="24"/>
          <w:szCs w:val="24"/>
        </w:rPr>
        <w:t xml:space="preserve"> [bod </w:t>
      </w:r>
      <w:r w:rsidR="00073831" w:rsidRPr="00B25E45">
        <w:rPr>
          <w:rFonts w:ascii="Times New Roman" w:hAnsi="Times New Roman"/>
          <w:bCs/>
          <w:sz w:val="24"/>
          <w:szCs w:val="24"/>
        </w:rPr>
        <w:t>34 a 35</w:t>
      </w:r>
      <w:r w:rsidRPr="00B25E45">
        <w:rPr>
          <w:rFonts w:ascii="Times New Roman" w:hAnsi="Times New Roman"/>
          <w:bCs/>
          <w:sz w:val="24"/>
          <w:szCs w:val="24"/>
        </w:rPr>
        <w:t xml:space="preserve"> nálezu ze dne </w:t>
      </w:r>
      <w:r w:rsidR="00073831" w:rsidRPr="00B25E45">
        <w:rPr>
          <w:rFonts w:ascii="Times New Roman" w:hAnsi="Times New Roman"/>
          <w:bCs/>
          <w:sz w:val="24"/>
          <w:szCs w:val="24"/>
        </w:rPr>
        <w:t>22</w:t>
      </w:r>
      <w:r w:rsidRPr="00B25E45">
        <w:rPr>
          <w:rFonts w:ascii="Times New Roman" w:hAnsi="Times New Roman"/>
          <w:bCs/>
          <w:sz w:val="24"/>
          <w:szCs w:val="24"/>
        </w:rPr>
        <w:t>. 7. 20</w:t>
      </w:r>
      <w:r w:rsidR="00073831" w:rsidRPr="00B25E45">
        <w:rPr>
          <w:rFonts w:ascii="Times New Roman" w:hAnsi="Times New Roman"/>
          <w:bCs/>
          <w:sz w:val="24"/>
          <w:szCs w:val="24"/>
        </w:rPr>
        <w:t>22</w:t>
      </w:r>
      <w:r w:rsidRPr="00B25E45">
        <w:rPr>
          <w:rFonts w:ascii="Times New Roman" w:hAnsi="Times New Roman"/>
          <w:bCs/>
          <w:sz w:val="24"/>
          <w:szCs w:val="24"/>
        </w:rPr>
        <w:t xml:space="preserve"> </w:t>
      </w:r>
      <w:proofErr w:type="spellStart"/>
      <w:r w:rsidRPr="00B25E45">
        <w:rPr>
          <w:rFonts w:ascii="Times New Roman" w:hAnsi="Times New Roman"/>
          <w:bCs/>
          <w:sz w:val="24"/>
          <w:szCs w:val="24"/>
        </w:rPr>
        <w:t>sp</w:t>
      </w:r>
      <w:proofErr w:type="spellEnd"/>
      <w:r w:rsidRPr="00B25E45">
        <w:rPr>
          <w:rFonts w:ascii="Times New Roman" w:hAnsi="Times New Roman"/>
          <w:bCs/>
          <w:sz w:val="24"/>
          <w:szCs w:val="24"/>
        </w:rPr>
        <w:t xml:space="preserve">. zn. </w:t>
      </w:r>
      <w:proofErr w:type="spellStart"/>
      <w:r w:rsidR="00073831" w:rsidRPr="00B25E45">
        <w:rPr>
          <w:rFonts w:ascii="Times New Roman" w:hAnsi="Times New Roman"/>
          <w:bCs/>
          <w:sz w:val="24"/>
          <w:szCs w:val="24"/>
        </w:rPr>
        <w:t>Pl</w:t>
      </w:r>
      <w:proofErr w:type="spellEnd"/>
      <w:r w:rsidR="00073831" w:rsidRPr="00B25E45">
        <w:rPr>
          <w:rFonts w:ascii="Times New Roman" w:hAnsi="Times New Roman"/>
          <w:bCs/>
          <w:sz w:val="24"/>
          <w:szCs w:val="24"/>
        </w:rPr>
        <w:t>. ÚS 104/20</w:t>
      </w:r>
      <w:r w:rsidRPr="00B25E45">
        <w:rPr>
          <w:rFonts w:ascii="Times New Roman" w:hAnsi="Times New Roman"/>
          <w:bCs/>
          <w:sz w:val="24"/>
          <w:szCs w:val="24"/>
        </w:rPr>
        <w:t>].</w:t>
      </w:r>
      <w:r w:rsidR="00C05584" w:rsidRPr="00B25E45">
        <w:rPr>
          <w:rFonts w:ascii="Times New Roman" w:hAnsi="Times New Roman"/>
          <w:bCs/>
          <w:sz w:val="24"/>
          <w:szCs w:val="24"/>
        </w:rPr>
        <w:t xml:space="preserve"> V tomto nálezu ostatně Ústavní soud přezkoumával povinnou zálohu v insolvenčním řízení a protiústavnost tohoto pravidla nedovodil, a to ani za situace, kdy má nesložení zálohy pro navrhovatele ještě zásadnější důsledky než u § 59 odst. 2 s. ř. s. (insolvenční řízení v takovém případě neproběhne vůbec).</w:t>
      </w:r>
      <w:r w:rsidRPr="00B25E45">
        <w:rPr>
          <w:rFonts w:ascii="Times New Roman" w:hAnsi="Times New Roman"/>
          <w:bCs/>
          <w:sz w:val="24"/>
          <w:szCs w:val="24"/>
        </w:rPr>
        <w:t xml:space="preserve"> </w:t>
      </w:r>
    </w:p>
    <w:p w14:paraId="7FFD45CD" w14:textId="7B053D8D" w:rsidR="0024586B" w:rsidRPr="00B25E45" w:rsidRDefault="009D2DFB" w:rsidP="000F0904">
      <w:pPr>
        <w:spacing w:before="120"/>
        <w:jc w:val="both"/>
        <w:rPr>
          <w:rFonts w:ascii="Times New Roman" w:hAnsi="Times New Roman"/>
          <w:bCs/>
          <w:sz w:val="24"/>
          <w:szCs w:val="24"/>
        </w:rPr>
      </w:pPr>
      <w:r w:rsidRPr="00B25E45">
        <w:rPr>
          <w:rFonts w:ascii="Times New Roman" w:hAnsi="Times New Roman"/>
          <w:bCs/>
          <w:sz w:val="24"/>
          <w:szCs w:val="24"/>
        </w:rPr>
        <w:t xml:space="preserve">Podobně jako soudní poplatky je i záloha určitým fiskálním příspěvkem účastníka, který podle obecného pravidla má platit náklady řízení, které jemu nebo jeho zástupci průběžně vznikají během řízení (srov. § 59 odst. 1 s. ř. s.). Jelikož jde o finanční bariéru, která může podle navrhovaného pravidla znamenat, že se navrhovaný důkaz neprovede (a v konečném důsledku pak to, že daný účastník neprokáže tvrzení, které soudu předkládá), je na místě pamatovat na osoby, </w:t>
      </w:r>
      <w:r w:rsidR="0024586B" w:rsidRPr="00B25E45">
        <w:rPr>
          <w:rFonts w:ascii="Times New Roman" w:hAnsi="Times New Roman"/>
          <w:bCs/>
          <w:sz w:val="24"/>
          <w:szCs w:val="24"/>
        </w:rPr>
        <w:t>jež</w:t>
      </w:r>
      <w:r w:rsidRPr="00B25E45">
        <w:rPr>
          <w:rFonts w:ascii="Times New Roman" w:hAnsi="Times New Roman"/>
          <w:bCs/>
          <w:sz w:val="24"/>
          <w:szCs w:val="24"/>
        </w:rPr>
        <w:t xml:space="preserve"> na zaplacení zálohy nemají dostatečné prostředky. Úprava to činí, neboť zálohu lze již podle aktuální dikce uložit jen tomu, kdo nebyl osvobozen od soudních poplatků, přičemž literatura </w:t>
      </w:r>
      <w:r w:rsidR="0024586B" w:rsidRPr="00B25E45">
        <w:rPr>
          <w:rFonts w:ascii="Times New Roman" w:hAnsi="Times New Roman"/>
          <w:bCs/>
          <w:sz w:val="24"/>
          <w:szCs w:val="24"/>
        </w:rPr>
        <w:t>se shoduje</w:t>
      </w:r>
      <w:r w:rsidRPr="00B25E45">
        <w:rPr>
          <w:rFonts w:ascii="Times New Roman" w:hAnsi="Times New Roman"/>
          <w:bCs/>
          <w:sz w:val="24"/>
          <w:szCs w:val="24"/>
        </w:rPr>
        <w:t>, že o osvobození lze požádat i dodatečně poté, co byla záloha uložena (</w:t>
      </w:r>
      <w:r w:rsidRPr="00B25E45">
        <w:rPr>
          <w:rFonts w:ascii="Times New Roman" w:hAnsi="Times New Roman"/>
          <w:bCs/>
          <w:i/>
          <w:iCs/>
          <w:sz w:val="24"/>
          <w:szCs w:val="24"/>
        </w:rPr>
        <w:t xml:space="preserve">Kocourek </w:t>
      </w:r>
      <w:r w:rsidRPr="00B25E45">
        <w:rPr>
          <w:rFonts w:ascii="Times New Roman" w:hAnsi="Times New Roman"/>
          <w:bCs/>
          <w:sz w:val="24"/>
          <w:szCs w:val="24"/>
        </w:rPr>
        <w:t xml:space="preserve">in KÜHN, Zdeněk a KOCOUREK, Tomáš. Soudní řád správní: komentář. Praha: </w:t>
      </w:r>
      <w:proofErr w:type="spellStart"/>
      <w:r w:rsidRPr="00B25E45">
        <w:rPr>
          <w:rFonts w:ascii="Times New Roman" w:hAnsi="Times New Roman"/>
          <w:bCs/>
          <w:sz w:val="24"/>
          <w:szCs w:val="24"/>
        </w:rPr>
        <w:t>Wolters</w:t>
      </w:r>
      <w:proofErr w:type="spellEnd"/>
      <w:r w:rsidRPr="00B25E45">
        <w:rPr>
          <w:rFonts w:ascii="Times New Roman" w:hAnsi="Times New Roman"/>
          <w:bCs/>
          <w:sz w:val="24"/>
          <w:szCs w:val="24"/>
        </w:rPr>
        <w:t xml:space="preserve"> </w:t>
      </w:r>
      <w:proofErr w:type="spellStart"/>
      <w:r w:rsidRPr="00B25E45">
        <w:rPr>
          <w:rFonts w:ascii="Times New Roman" w:hAnsi="Times New Roman"/>
          <w:bCs/>
          <w:sz w:val="24"/>
          <w:szCs w:val="24"/>
        </w:rPr>
        <w:t>Kluwer</w:t>
      </w:r>
      <w:proofErr w:type="spellEnd"/>
      <w:r w:rsidRPr="00B25E45">
        <w:rPr>
          <w:rFonts w:ascii="Times New Roman" w:hAnsi="Times New Roman"/>
          <w:bCs/>
          <w:sz w:val="24"/>
          <w:szCs w:val="24"/>
        </w:rPr>
        <w:t xml:space="preserve">, 2019, § 59, m. č. 4). Soud rovněž může využít svoji diskreci, kterou mu zákon dává, a zálohu nevyžadovat po někom, kdo sice nebyl osvobozen od soudních poplatků, ale mohlo by to pro něj být s ohledem na výši zálohy problematické. Konečně není bez významu, že podobné pravidlo platí </w:t>
      </w:r>
      <w:r w:rsidR="0024586B" w:rsidRPr="00B25E45">
        <w:rPr>
          <w:rFonts w:ascii="Times New Roman" w:hAnsi="Times New Roman"/>
          <w:bCs/>
          <w:sz w:val="24"/>
          <w:szCs w:val="24"/>
        </w:rPr>
        <w:t xml:space="preserve">již řadu let </w:t>
      </w:r>
      <w:r w:rsidRPr="00B25E45">
        <w:rPr>
          <w:rFonts w:ascii="Times New Roman" w:hAnsi="Times New Roman"/>
          <w:bCs/>
          <w:sz w:val="24"/>
          <w:szCs w:val="24"/>
        </w:rPr>
        <w:t>i v občanském soudním řízen</w:t>
      </w:r>
      <w:r w:rsidR="0024586B" w:rsidRPr="00B25E45">
        <w:rPr>
          <w:rFonts w:ascii="Times New Roman" w:hAnsi="Times New Roman"/>
          <w:bCs/>
          <w:sz w:val="24"/>
          <w:szCs w:val="24"/>
        </w:rPr>
        <w:t>í. O</w:t>
      </w:r>
      <w:r w:rsidRPr="00B25E45">
        <w:rPr>
          <w:rFonts w:ascii="Times New Roman" w:hAnsi="Times New Roman"/>
          <w:bCs/>
          <w:sz w:val="24"/>
          <w:szCs w:val="24"/>
        </w:rPr>
        <w:t>bčanský soudní řád jde</w:t>
      </w:r>
      <w:r w:rsidR="0024586B" w:rsidRPr="00B25E45">
        <w:rPr>
          <w:rFonts w:ascii="Times New Roman" w:hAnsi="Times New Roman"/>
          <w:bCs/>
          <w:sz w:val="24"/>
          <w:szCs w:val="24"/>
        </w:rPr>
        <w:t xml:space="preserve"> pak dokonce </w:t>
      </w:r>
      <w:r w:rsidRPr="00B25E45">
        <w:rPr>
          <w:rFonts w:ascii="Times New Roman" w:hAnsi="Times New Roman"/>
          <w:bCs/>
          <w:sz w:val="24"/>
          <w:szCs w:val="24"/>
        </w:rPr>
        <w:t xml:space="preserve">dále, </w:t>
      </w:r>
      <w:r w:rsidR="0024586B" w:rsidRPr="00B25E45">
        <w:rPr>
          <w:rFonts w:ascii="Times New Roman" w:hAnsi="Times New Roman"/>
          <w:bCs/>
          <w:sz w:val="24"/>
          <w:szCs w:val="24"/>
        </w:rPr>
        <w:t>když</w:t>
      </w:r>
      <w:r w:rsidRPr="00B25E45">
        <w:rPr>
          <w:rFonts w:ascii="Times New Roman" w:hAnsi="Times New Roman"/>
          <w:bCs/>
          <w:sz w:val="24"/>
          <w:szCs w:val="24"/>
        </w:rPr>
        <w:t xml:space="preserve"> následek v podobě neprovedení důkazu stanovuje bezvýjimečně, zatímco předložený návrh dává soudci ještě uvážení, zda důkaz provede či nikoliv. Za těchto okolností je nutné dojít k závěru, že doplnění následku do § 59 odst. 2 s. ř. s. je jen zákonným upřesněním toho, jak se lze před správními soudy domáhat soudní ochrany (čl. 36 odst. 4 Listiny), provedeným v mezích ústavního </w:t>
      </w:r>
      <w:r w:rsidR="0024586B" w:rsidRPr="00B25E45">
        <w:rPr>
          <w:rFonts w:ascii="Times New Roman" w:hAnsi="Times New Roman"/>
          <w:bCs/>
          <w:sz w:val="24"/>
          <w:szCs w:val="24"/>
        </w:rPr>
        <w:t>pořádku</w:t>
      </w:r>
      <w:r w:rsidRPr="00B25E45">
        <w:rPr>
          <w:rFonts w:ascii="Times New Roman" w:hAnsi="Times New Roman"/>
          <w:bCs/>
          <w:sz w:val="24"/>
          <w:szCs w:val="24"/>
        </w:rPr>
        <w:t>.</w:t>
      </w:r>
    </w:p>
    <w:p w14:paraId="6EF115D7" w14:textId="77777777" w:rsidR="00864916" w:rsidRPr="00B25E45" w:rsidRDefault="00864916" w:rsidP="000F0904">
      <w:pPr>
        <w:spacing w:before="120"/>
        <w:jc w:val="both"/>
        <w:rPr>
          <w:rFonts w:ascii="Times New Roman" w:hAnsi="Times New Roman"/>
          <w:bCs/>
        </w:rPr>
      </w:pPr>
    </w:p>
    <w:p w14:paraId="698EFC2A" w14:textId="77777777" w:rsidR="000149E3" w:rsidRPr="00B25E45" w:rsidRDefault="000149E3" w:rsidP="000F0904">
      <w:pPr>
        <w:keepNext/>
        <w:numPr>
          <w:ilvl w:val="0"/>
          <w:numId w:val="5"/>
        </w:numPr>
        <w:spacing w:before="120"/>
        <w:ind w:left="0" w:firstLine="0"/>
        <w:jc w:val="both"/>
        <w:outlineLvl w:val="1"/>
        <w:rPr>
          <w:rFonts w:ascii="Times New Roman" w:hAnsi="Times New Roman"/>
          <w:b/>
          <w:sz w:val="28"/>
          <w:u w:val="single"/>
        </w:rPr>
      </w:pPr>
      <w:bookmarkStart w:id="15" w:name="_Toc25695637"/>
      <w:r w:rsidRPr="00B25E45">
        <w:rPr>
          <w:rFonts w:ascii="Times New Roman" w:hAnsi="Times New Roman"/>
          <w:b/>
          <w:sz w:val="28"/>
          <w:u w:val="single"/>
        </w:rPr>
        <w:t>Zhodnocení slučitelnosti navrhované právní úpravy se závazky vyplývajícími pro Českou republiku z jejího členství v Evropské unii.</w:t>
      </w:r>
      <w:bookmarkEnd w:id="15"/>
      <w:r w:rsidRPr="00B25E45">
        <w:rPr>
          <w:rFonts w:ascii="Times New Roman" w:hAnsi="Times New Roman"/>
          <w:b/>
          <w:sz w:val="28"/>
          <w:u w:val="single"/>
        </w:rPr>
        <w:t xml:space="preserve"> </w:t>
      </w:r>
    </w:p>
    <w:p w14:paraId="61AF5BB3" w14:textId="68986F60" w:rsidR="000149E3" w:rsidRPr="00B25E45" w:rsidRDefault="00C80948" w:rsidP="000F0904">
      <w:pPr>
        <w:spacing w:before="120"/>
        <w:jc w:val="both"/>
        <w:rPr>
          <w:rFonts w:ascii="Times New Roman" w:hAnsi="Times New Roman"/>
          <w:sz w:val="24"/>
        </w:rPr>
      </w:pPr>
      <w:r w:rsidRPr="00B25E45">
        <w:rPr>
          <w:rFonts w:ascii="Times New Roman" w:hAnsi="Times New Roman"/>
          <w:sz w:val="24"/>
        </w:rPr>
        <w:t xml:space="preserve">Navrhovaná úprava se přímo nedotýká závazků, které pro ČR vyplývají z unijního práva. Většina právní úpravy, jejímž prostřednictvím se v oblasti správního soudnictví transponovaly </w:t>
      </w:r>
      <w:r w:rsidRPr="00B25E45">
        <w:rPr>
          <w:rFonts w:ascii="Times New Roman" w:hAnsi="Times New Roman"/>
          <w:sz w:val="24"/>
        </w:rPr>
        <w:lastRenderedPageBreak/>
        <w:t xml:space="preserve">vybrané unijní směrnice, je totiž obsažena v jiných právních předpisech a touto úpravou není do těchto předpisů zasahováno (např. azylový zákon nebo zákon o pobytu cizinců). </w:t>
      </w:r>
    </w:p>
    <w:p w14:paraId="03BB8B98" w14:textId="4F7AAECD" w:rsidR="001671DF" w:rsidRPr="00B25E45" w:rsidRDefault="00C80948" w:rsidP="000F0904">
      <w:pPr>
        <w:spacing w:before="120"/>
        <w:jc w:val="both"/>
        <w:rPr>
          <w:rFonts w:ascii="Times New Roman" w:hAnsi="Times New Roman"/>
          <w:sz w:val="24"/>
        </w:rPr>
      </w:pPr>
      <w:r w:rsidRPr="00B25E45">
        <w:rPr>
          <w:rFonts w:ascii="Times New Roman" w:hAnsi="Times New Roman"/>
          <w:sz w:val="24"/>
        </w:rPr>
        <w:t xml:space="preserve">Z širšího hlediska je na předkládanou úpravu možné vztáhnout Listinu základních práv EU, zejména čl. </w:t>
      </w:r>
      <w:r w:rsidR="001671DF" w:rsidRPr="00B25E45">
        <w:rPr>
          <w:rFonts w:ascii="Times New Roman" w:hAnsi="Times New Roman"/>
          <w:sz w:val="24"/>
        </w:rPr>
        <w:t>47 – právo na účinnou právní ochranu a spravedlivý proces. Jakkoliv je</w:t>
      </w:r>
      <w:r w:rsidR="0024586B" w:rsidRPr="00B25E45">
        <w:rPr>
          <w:rFonts w:ascii="Times New Roman" w:hAnsi="Times New Roman"/>
          <w:sz w:val="24"/>
        </w:rPr>
        <w:t xml:space="preserve"> zákonnou dikcí Listiny základních práv EU</w:t>
      </w:r>
      <w:r w:rsidR="001671DF" w:rsidRPr="00B25E45">
        <w:rPr>
          <w:rFonts w:ascii="Times New Roman" w:hAnsi="Times New Roman"/>
          <w:sz w:val="24"/>
        </w:rPr>
        <w:t xml:space="preserve"> </w:t>
      </w:r>
      <w:r w:rsidR="0024586B" w:rsidRPr="00B25E45">
        <w:rPr>
          <w:rFonts w:ascii="Times New Roman" w:hAnsi="Times New Roman"/>
          <w:sz w:val="24"/>
        </w:rPr>
        <w:t xml:space="preserve">její </w:t>
      </w:r>
      <w:r w:rsidR="001671DF" w:rsidRPr="00B25E45">
        <w:rPr>
          <w:rFonts w:ascii="Times New Roman" w:hAnsi="Times New Roman"/>
          <w:sz w:val="24"/>
        </w:rPr>
        <w:t>aplikace omezena jen na situace, kdy národní orgány aplikují právo Unie (čl. 51 Listiny základních práv EU),</w:t>
      </w:r>
      <w:r w:rsidR="0024586B" w:rsidRPr="00B25E45">
        <w:rPr>
          <w:rFonts w:ascii="Times New Roman" w:hAnsi="Times New Roman"/>
          <w:sz w:val="24"/>
        </w:rPr>
        <w:t xml:space="preserve"> interpretace je širší. </w:t>
      </w:r>
      <w:r w:rsidR="001671DF" w:rsidRPr="00B25E45">
        <w:rPr>
          <w:rFonts w:ascii="Times New Roman" w:hAnsi="Times New Roman"/>
          <w:sz w:val="24"/>
        </w:rPr>
        <w:t>Listina</w:t>
      </w:r>
      <w:r w:rsidR="0024586B" w:rsidRPr="00B25E45">
        <w:rPr>
          <w:rFonts w:ascii="Times New Roman" w:hAnsi="Times New Roman"/>
          <w:sz w:val="24"/>
        </w:rPr>
        <w:t xml:space="preserve"> základních práv </w:t>
      </w:r>
      <w:r w:rsidR="001671DF" w:rsidRPr="00B25E45">
        <w:rPr>
          <w:rFonts w:ascii="Times New Roman" w:hAnsi="Times New Roman"/>
          <w:sz w:val="24"/>
        </w:rPr>
        <w:t xml:space="preserve">EU dopadá i na případy </w:t>
      </w:r>
      <w:r w:rsidR="0024586B" w:rsidRPr="00B25E45">
        <w:rPr>
          <w:rFonts w:ascii="Times New Roman" w:hAnsi="Times New Roman"/>
          <w:sz w:val="24"/>
        </w:rPr>
        <w:t>používání</w:t>
      </w:r>
      <w:r w:rsidR="001671DF" w:rsidRPr="00B25E45">
        <w:rPr>
          <w:rFonts w:ascii="Times New Roman" w:hAnsi="Times New Roman"/>
          <w:sz w:val="24"/>
        </w:rPr>
        <w:t xml:space="preserve"> národní</w:t>
      </w:r>
      <w:r w:rsidR="0024586B" w:rsidRPr="00B25E45">
        <w:rPr>
          <w:rFonts w:ascii="Times New Roman" w:hAnsi="Times New Roman"/>
          <w:sz w:val="24"/>
        </w:rPr>
        <w:t xml:space="preserve"> legislativy</w:t>
      </w:r>
      <w:r w:rsidR="001671DF" w:rsidRPr="00B25E45">
        <w:rPr>
          <w:rFonts w:ascii="Times New Roman" w:hAnsi="Times New Roman"/>
          <w:sz w:val="24"/>
        </w:rPr>
        <w:t>, kter</w:t>
      </w:r>
      <w:r w:rsidR="0024586B" w:rsidRPr="00B25E45">
        <w:rPr>
          <w:rFonts w:ascii="Times New Roman" w:hAnsi="Times New Roman"/>
          <w:sz w:val="24"/>
        </w:rPr>
        <w:t>á</w:t>
      </w:r>
      <w:r w:rsidR="001671DF" w:rsidRPr="00B25E45">
        <w:rPr>
          <w:rFonts w:ascii="Times New Roman" w:hAnsi="Times New Roman"/>
          <w:sz w:val="24"/>
        </w:rPr>
        <w:t xml:space="preserve"> spadá do působnosti unijního práva (</w:t>
      </w:r>
      <w:r w:rsidR="001671DF" w:rsidRPr="00B25E45">
        <w:rPr>
          <w:rFonts w:ascii="Times New Roman" w:hAnsi="Times New Roman"/>
          <w:i/>
          <w:iCs/>
          <w:sz w:val="24"/>
        </w:rPr>
        <w:t xml:space="preserve">in </w:t>
      </w:r>
      <w:proofErr w:type="spellStart"/>
      <w:r w:rsidR="001671DF" w:rsidRPr="00B25E45">
        <w:rPr>
          <w:rFonts w:ascii="Times New Roman" w:hAnsi="Times New Roman"/>
          <w:i/>
          <w:iCs/>
          <w:sz w:val="24"/>
        </w:rPr>
        <w:t>the</w:t>
      </w:r>
      <w:proofErr w:type="spellEnd"/>
      <w:r w:rsidR="001671DF" w:rsidRPr="00B25E45">
        <w:rPr>
          <w:rFonts w:ascii="Times New Roman" w:hAnsi="Times New Roman"/>
          <w:i/>
          <w:iCs/>
          <w:sz w:val="24"/>
        </w:rPr>
        <w:t xml:space="preserve"> </w:t>
      </w:r>
      <w:proofErr w:type="spellStart"/>
      <w:r w:rsidR="001671DF" w:rsidRPr="00B25E45">
        <w:rPr>
          <w:rFonts w:ascii="Times New Roman" w:hAnsi="Times New Roman"/>
          <w:i/>
          <w:iCs/>
          <w:sz w:val="24"/>
        </w:rPr>
        <w:t>scope</w:t>
      </w:r>
      <w:proofErr w:type="spellEnd"/>
      <w:r w:rsidR="001671DF" w:rsidRPr="00B25E45">
        <w:rPr>
          <w:rFonts w:ascii="Times New Roman" w:hAnsi="Times New Roman"/>
          <w:i/>
          <w:iCs/>
          <w:sz w:val="24"/>
        </w:rPr>
        <w:t xml:space="preserve"> </w:t>
      </w:r>
      <w:proofErr w:type="spellStart"/>
      <w:r w:rsidR="001671DF" w:rsidRPr="00B25E45">
        <w:rPr>
          <w:rFonts w:ascii="Times New Roman" w:hAnsi="Times New Roman"/>
          <w:i/>
          <w:iCs/>
          <w:sz w:val="24"/>
        </w:rPr>
        <w:t>of</w:t>
      </w:r>
      <w:proofErr w:type="spellEnd"/>
      <w:r w:rsidR="001671DF" w:rsidRPr="00B25E45">
        <w:rPr>
          <w:rFonts w:ascii="Times New Roman" w:hAnsi="Times New Roman"/>
          <w:i/>
          <w:iCs/>
          <w:sz w:val="24"/>
        </w:rPr>
        <w:t xml:space="preserve"> EU </w:t>
      </w:r>
      <w:proofErr w:type="spellStart"/>
      <w:r w:rsidR="001671DF" w:rsidRPr="00B25E45">
        <w:rPr>
          <w:rFonts w:ascii="Times New Roman" w:hAnsi="Times New Roman"/>
          <w:i/>
          <w:iCs/>
          <w:sz w:val="24"/>
        </w:rPr>
        <w:t>law</w:t>
      </w:r>
      <w:proofErr w:type="spellEnd"/>
      <w:r w:rsidR="001671DF" w:rsidRPr="00B25E45">
        <w:rPr>
          <w:rFonts w:ascii="Times New Roman" w:hAnsi="Times New Roman"/>
          <w:sz w:val="24"/>
        </w:rPr>
        <w:t xml:space="preserve">) – srov. rozsudek Soudního dvora (velkého senátu) </w:t>
      </w:r>
      <w:r w:rsidR="006D1E79" w:rsidRPr="00B25E45">
        <w:rPr>
          <w:rFonts w:ascii="Times New Roman" w:hAnsi="Times New Roman"/>
          <w:sz w:val="24"/>
        </w:rPr>
        <w:t>C‑617/10</w:t>
      </w:r>
      <w:r w:rsidR="001671DF" w:rsidRPr="00B25E45">
        <w:rPr>
          <w:rFonts w:ascii="Times New Roman" w:hAnsi="Times New Roman"/>
          <w:sz w:val="24"/>
        </w:rPr>
        <w:t xml:space="preserve">ze dne 26. února 2013, ve věci </w:t>
      </w:r>
      <w:proofErr w:type="spellStart"/>
      <w:r w:rsidR="001671DF" w:rsidRPr="00B25E45">
        <w:rPr>
          <w:rFonts w:ascii="Times New Roman" w:hAnsi="Times New Roman"/>
          <w:i/>
          <w:iCs/>
          <w:sz w:val="24"/>
        </w:rPr>
        <w:t>Akerberg</w:t>
      </w:r>
      <w:proofErr w:type="spellEnd"/>
      <w:r w:rsidR="001671DF" w:rsidRPr="00B25E45">
        <w:rPr>
          <w:rFonts w:ascii="Times New Roman" w:hAnsi="Times New Roman"/>
          <w:i/>
          <w:iCs/>
          <w:sz w:val="24"/>
        </w:rPr>
        <w:t xml:space="preserve"> </w:t>
      </w:r>
      <w:proofErr w:type="spellStart"/>
      <w:r w:rsidR="001671DF" w:rsidRPr="00B25E45">
        <w:rPr>
          <w:rFonts w:ascii="Times New Roman" w:hAnsi="Times New Roman"/>
          <w:i/>
          <w:iCs/>
          <w:sz w:val="24"/>
        </w:rPr>
        <w:t>Fransson</w:t>
      </w:r>
      <w:proofErr w:type="spellEnd"/>
      <w:r w:rsidR="001671DF" w:rsidRPr="00B25E45">
        <w:rPr>
          <w:rFonts w:ascii="Times New Roman" w:hAnsi="Times New Roman"/>
          <w:sz w:val="24"/>
        </w:rPr>
        <w:t xml:space="preserve"> (body 20 a 21). K tomu může nepochybně dojít i v řízeních před správními soudy (srov. např. agendu azylového a cizineckého práva). Uvedené pravidlo o právu na spravedlivý proces je</w:t>
      </w:r>
      <w:r w:rsidR="006D1E79" w:rsidRPr="00B25E45">
        <w:rPr>
          <w:rFonts w:ascii="Times New Roman" w:hAnsi="Times New Roman"/>
          <w:sz w:val="24"/>
        </w:rPr>
        <w:t xml:space="preserve"> nicméně</w:t>
      </w:r>
      <w:r w:rsidR="001671DF" w:rsidRPr="00B25E45">
        <w:rPr>
          <w:rFonts w:ascii="Times New Roman" w:hAnsi="Times New Roman"/>
          <w:sz w:val="24"/>
        </w:rPr>
        <w:t xml:space="preserve"> nutné vykládat ve světle čl. 52 odst. 1 </w:t>
      </w:r>
      <w:r w:rsidR="0024586B" w:rsidRPr="00B25E45">
        <w:rPr>
          <w:rFonts w:ascii="Times New Roman" w:hAnsi="Times New Roman"/>
          <w:sz w:val="24"/>
        </w:rPr>
        <w:t>cit. Listiny</w:t>
      </w:r>
      <w:r w:rsidR="001671DF" w:rsidRPr="00B25E45">
        <w:rPr>
          <w:rFonts w:ascii="Times New Roman" w:hAnsi="Times New Roman"/>
          <w:sz w:val="24"/>
        </w:rPr>
        <w:t>– platí, že žádné ze základních práv není absolutní. Omezení je přípustné za splnění těchto podmínek:</w:t>
      </w:r>
    </w:p>
    <w:p w14:paraId="3E1A622B" w14:textId="77777777" w:rsidR="001671DF" w:rsidRPr="00B25E45" w:rsidRDefault="001671DF" w:rsidP="00F6177A">
      <w:pPr>
        <w:pStyle w:val="Odstavecseseznamem"/>
        <w:numPr>
          <w:ilvl w:val="0"/>
          <w:numId w:val="34"/>
        </w:numPr>
        <w:spacing w:before="120" w:after="120" w:line="276" w:lineRule="auto"/>
        <w:jc w:val="both"/>
      </w:pPr>
      <w:r w:rsidRPr="00B25E45">
        <w:t xml:space="preserve">omezení je stanoveno zákonem, </w:t>
      </w:r>
    </w:p>
    <w:p w14:paraId="29059CB5" w14:textId="6685C26C" w:rsidR="001671DF" w:rsidRPr="00B25E45" w:rsidRDefault="001671DF" w:rsidP="00F6177A">
      <w:pPr>
        <w:pStyle w:val="Odstavecseseznamem"/>
        <w:numPr>
          <w:ilvl w:val="0"/>
          <w:numId w:val="34"/>
        </w:numPr>
        <w:spacing w:before="120" w:after="120" w:line="276" w:lineRule="auto"/>
        <w:jc w:val="both"/>
      </w:pPr>
      <w:r w:rsidRPr="00B25E45">
        <w:t xml:space="preserve">omezení respektuje podstatu těchto práv, </w:t>
      </w:r>
    </w:p>
    <w:p w14:paraId="1FF1466B" w14:textId="50A0695A" w:rsidR="001671DF" w:rsidRPr="00B25E45" w:rsidRDefault="006D1E79" w:rsidP="00F6177A">
      <w:pPr>
        <w:pStyle w:val="Odstavecseseznamem"/>
        <w:numPr>
          <w:ilvl w:val="0"/>
          <w:numId w:val="34"/>
        </w:numPr>
        <w:spacing w:before="120" w:after="120" w:line="276" w:lineRule="auto"/>
        <w:jc w:val="both"/>
      </w:pPr>
      <w:r w:rsidRPr="00B25E45">
        <w:t xml:space="preserve">omezení </w:t>
      </w:r>
      <w:r w:rsidR="001671DF" w:rsidRPr="00B25E45">
        <w:t xml:space="preserve">sleduje cíl obecného zájmu uznávaný Unií </w:t>
      </w:r>
      <w:r w:rsidRPr="00B25E45">
        <w:t>(legitimní cíl) a</w:t>
      </w:r>
    </w:p>
    <w:p w14:paraId="2D80D259" w14:textId="77777777" w:rsidR="001671DF" w:rsidRPr="00B25E45" w:rsidRDefault="001671DF" w:rsidP="00F6177A">
      <w:pPr>
        <w:pStyle w:val="Odstavecseseznamem"/>
        <w:numPr>
          <w:ilvl w:val="0"/>
          <w:numId w:val="34"/>
        </w:numPr>
        <w:spacing w:before="120" w:after="120" w:line="276" w:lineRule="auto"/>
        <w:jc w:val="both"/>
      </w:pPr>
      <w:r w:rsidRPr="00B25E45">
        <w:t>omezení je přiměřené a nezbytné k dosažení tohoto cíle.</w:t>
      </w:r>
    </w:p>
    <w:p w14:paraId="0F8C83E0" w14:textId="77777777" w:rsidR="001671DF" w:rsidRPr="00B25E45" w:rsidRDefault="001671DF" w:rsidP="000F0904">
      <w:pPr>
        <w:spacing w:before="120"/>
        <w:jc w:val="both"/>
        <w:rPr>
          <w:rFonts w:ascii="Times New Roman" w:hAnsi="Times New Roman"/>
          <w:sz w:val="24"/>
          <w:szCs w:val="24"/>
        </w:rPr>
      </w:pPr>
      <w:r w:rsidRPr="00B25E45">
        <w:rPr>
          <w:rFonts w:ascii="Times New Roman" w:hAnsi="Times New Roman"/>
          <w:sz w:val="24"/>
          <w:szCs w:val="24"/>
        </w:rPr>
        <w:t>Všechny výše uvedené požadavky jsou v navrhovaném předpise splněny, jelikož:</w:t>
      </w:r>
    </w:p>
    <w:p w14:paraId="2DB789DE" w14:textId="47653698" w:rsidR="001671DF" w:rsidRPr="00B25E45" w:rsidRDefault="001671DF" w:rsidP="00F6177A">
      <w:pPr>
        <w:pStyle w:val="Odstavecseseznamem"/>
        <w:numPr>
          <w:ilvl w:val="0"/>
          <w:numId w:val="34"/>
        </w:numPr>
        <w:spacing w:before="120" w:after="120" w:line="276" w:lineRule="auto"/>
        <w:jc w:val="both"/>
      </w:pPr>
      <w:r w:rsidRPr="00B25E45">
        <w:t>všechna nově stanovovaná omezení jsou upravena v zákoně (soudním řádu správním)</w:t>
      </w:r>
      <w:r w:rsidR="0024586B" w:rsidRPr="00B25E45">
        <w:t>;</w:t>
      </w:r>
    </w:p>
    <w:p w14:paraId="78A5D1F5" w14:textId="54D3F63F" w:rsidR="001671DF" w:rsidRPr="00B25E45" w:rsidRDefault="001671DF" w:rsidP="00F6177A">
      <w:pPr>
        <w:pStyle w:val="Odstavecseseznamem"/>
        <w:numPr>
          <w:ilvl w:val="0"/>
          <w:numId w:val="34"/>
        </w:numPr>
        <w:spacing w:before="120" w:after="120" w:line="276" w:lineRule="auto"/>
        <w:jc w:val="both"/>
      </w:pPr>
      <w:r w:rsidRPr="00B25E45">
        <w:t>všechna tato omezení respektují podstatu práva na účinnou soudní ochranu a spravedlivý proces</w:t>
      </w:r>
      <w:r w:rsidR="0024586B" w:rsidRPr="00B25E45">
        <w:t>;</w:t>
      </w:r>
    </w:p>
    <w:p w14:paraId="30D47A04" w14:textId="474789E9" w:rsidR="001671DF" w:rsidRPr="00B25E45" w:rsidRDefault="001671DF" w:rsidP="00F6177A">
      <w:pPr>
        <w:pStyle w:val="Odstavecseseznamem"/>
        <w:numPr>
          <w:ilvl w:val="0"/>
          <w:numId w:val="34"/>
        </w:numPr>
        <w:spacing w:before="120" w:after="120" w:line="276" w:lineRule="auto"/>
        <w:jc w:val="both"/>
      </w:pPr>
      <w:r w:rsidRPr="00B25E45">
        <w:t xml:space="preserve">všechna omezení sledují legitimní cíl, </w:t>
      </w:r>
      <w:r w:rsidR="006D1E79" w:rsidRPr="00B25E45">
        <w:t>jako například</w:t>
      </w:r>
      <w:r w:rsidRPr="00B25E45">
        <w:t xml:space="preserve"> posílení efektivity a rychlosti řízení před správními soudy, zabránění zneužívání řízení na úkor poctivých žalobců, odbřemenění Nejvyššího správního soudu apod.</w:t>
      </w:r>
      <w:r w:rsidR="006D1E79" w:rsidRPr="00B25E45">
        <w:t>, přičemž ve snaze o dosažení cíle jde o omezení přiměřená, která jsou schopná jej dosáhnout.</w:t>
      </w:r>
    </w:p>
    <w:p w14:paraId="54211423" w14:textId="12129EF0" w:rsidR="006D1E79" w:rsidRPr="00B25E45" w:rsidRDefault="001671DF" w:rsidP="000F0904">
      <w:pPr>
        <w:spacing w:before="120"/>
        <w:jc w:val="both"/>
        <w:rPr>
          <w:rFonts w:ascii="Times New Roman" w:hAnsi="Times New Roman"/>
          <w:sz w:val="24"/>
        </w:rPr>
      </w:pPr>
      <w:r w:rsidRPr="00B25E45">
        <w:rPr>
          <w:rFonts w:ascii="Times New Roman" w:hAnsi="Times New Roman"/>
          <w:sz w:val="24"/>
        </w:rPr>
        <w:t xml:space="preserve">V podrobnostech jednotlivých změn je z pohledu unijního práva relevantní zejména změna </w:t>
      </w:r>
      <w:r w:rsidR="006D1E79" w:rsidRPr="00B25E45">
        <w:rPr>
          <w:rFonts w:ascii="Times New Roman" w:hAnsi="Times New Roman"/>
          <w:sz w:val="24"/>
        </w:rPr>
        <w:t>§ 75 odst. 1 s. ř. s.</w:t>
      </w:r>
      <w:r w:rsidR="0024586B" w:rsidRPr="00B25E45">
        <w:rPr>
          <w:rFonts w:ascii="Times New Roman" w:hAnsi="Times New Roman"/>
          <w:sz w:val="24"/>
        </w:rPr>
        <w:t>, která nově připouští výjimku z fixace skutkového a právního stavu ke dni vydání napadeného rozhodnutí správního orgánu (</w:t>
      </w:r>
      <w:r w:rsidR="0024586B" w:rsidRPr="00B25E45">
        <w:rPr>
          <w:rFonts w:ascii="Times New Roman" w:hAnsi="Times New Roman"/>
          <w:i/>
          <w:iCs/>
          <w:sz w:val="24"/>
        </w:rPr>
        <w:t xml:space="preserve">ex </w:t>
      </w:r>
      <w:proofErr w:type="spellStart"/>
      <w:r w:rsidR="0024586B" w:rsidRPr="00B25E45">
        <w:rPr>
          <w:rFonts w:ascii="Times New Roman" w:hAnsi="Times New Roman"/>
          <w:i/>
          <w:iCs/>
          <w:sz w:val="24"/>
        </w:rPr>
        <w:t>tunc</w:t>
      </w:r>
      <w:proofErr w:type="spellEnd"/>
      <w:r w:rsidR="0024586B" w:rsidRPr="00B25E45">
        <w:rPr>
          <w:rFonts w:ascii="Times New Roman" w:hAnsi="Times New Roman"/>
          <w:sz w:val="24"/>
        </w:rPr>
        <w:t xml:space="preserve">), tj. připouští, aby jiné předpisy „stanovily jinak“ (přezkum </w:t>
      </w:r>
      <w:r w:rsidR="0024586B" w:rsidRPr="00B25E45">
        <w:rPr>
          <w:rFonts w:ascii="Times New Roman" w:hAnsi="Times New Roman"/>
          <w:i/>
          <w:iCs/>
          <w:sz w:val="24"/>
        </w:rPr>
        <w:t xml:space="preserve">ex </w:t>
      </w:r>
      <w:proofErr w:type="spellStart"/>
      <w:r w:rsidR="0024586B" w:rsidRPr="00B25E45">
        <w:rPr>
          <w:rFonts w:ascii="Times New Roman" w:hAnsi="Times New Roman"/>
          <w:i/>
          <w:iCs/>
          <w:sz w:val="24"/>
        </w:rPr>
        <w:t>nunc</w:t>
      </w:r>
      <w:proofErr w:type="spellEnd"/>
      <w:r w:rsidR="0024586B" w:rsidRPr="00B25E45">
        <w:rPr>
          <w:rFonts w:ascii="Times New Roman" w:hAnsi="Times New Roman"/>
          <w:sz w:val="24"/>
        </w:rPr>
        <w:t>). Tato výluka reaguje na požadavek čl. 46 odst. 3 směrnice Evropského parlamentu a Rady 2013/32/EU ze dne 26. června 2013 o společných řízeních pro přiznávání a odnímání statusu mezinárodní ochrany. Předmětné ustanovení ukládá členským státům, aby poskytly účinný opravný prostředek před soudem zajišťující „</w:t>
      </w:r>
      <w:r w:rsidR="0024586B" w:rsidRPr="00B25E45">
        <w:rPr>
          <w:rFonts w:ascii="Times New Roman" w:hAnsi="Times New Roman"/>
          <w:i/>
          <w:iCs/>
          <w:sz w:val="24"/>
        </w:rPr>
        <w:t xml:space="preserve">úplné a ex </w:t>
      </w:r>
      <w:proofErr w:type="spellStart"/>
      <w:r w:rsidR="0024586B" w:rsidRPr="00B25E45">
        <w:rPr>
          <w:rFonts w:ascii="Times New Roman" w:hAnsi="Times New Roman"/>
          <w:i/>
          <w:iCs/>
          <w:sz w:val="24"/>
        </w:rPr>
        <w:t>nunc</w:t>
      </w:r>
      <w:proofErr w:type="spellEnd"/>
      <w:r w:rsidR="0024586B" w:rsidRPr="00B25E45">
        <w:rPr>
          <w:rFonts w:ascii="Times New Roman" w:hAnsi="Times New Roman"/>
          <w:i/>
          <w:iCs/>
          <w:sz w:val="24"/>
        </w:rPr>
        <w:t xml:space="preserve"> posouzení jak skutkové, tak právní stránky</w:t>
      </w:r>
      <w:r w:rsidR="0024586B" w:rsidRPr="00B25E45">
        <w:rPr>
          <w:rFonts w:ascii="Times New Roman" w:hAnsi="Times New Roman"/>
          <w:sz w:val="24"/>
        </w:rPr>
        <w:t xml:space="preserve">“. Soudní řád správní tím otevírá dveře pro </w:t>
      </w:r>
      <w:r w:rsidR="0024586B" w:rsidRPr="00B25E45">
        <w:rPr>
          <w:rFonts w:ascii="Times New Roman" w:hAnsi="Times New Roman"/>
          <w:i/>
          <w:iCs/>
          <w:sz w:val="24"/>
        </w:rPr>
        <w:t xml:space="preserve">lex </w:t>
      </w:r>
      <w:proofErr w:type="spellStart"/>
      <w:r w:rsidR="0024586B" w:rsidRPr="00B25E45">
        <w:rPr>
          <w:rFonts w:ascii="Times New Roman" w:hAnsi="Times New Roman"/>
          <w:i/>
          <w:iCs/>
          <w:sz w:val="24"/>
        </w:rPr>
        <w:t>specialis</w:t>
      </w:r>
      <w:proofErr w:type="spellEnd"/>
      <w:r w:rsidR="0024586B" w:rsidRPr="00B25E45">
        <w:rPr>
          <w:rFonts w:ascii="Times New Roman" w:hAnsi="Times New Roman"/>
          <w:i/>
          <w:iCs/>
          <w:sz w:val="24"/>
        </w:rPr>
        <w:t xml:space="preserve">. </w:t>
      </w:r>
      <w:r w:rsidR="0024586B" w:rsidRPr="00B25E45">
        <w:rPr>
          <w:rFonts w:ascii="Times New Roman" w:hAnsi="Times New Roman"/>
          <w:sz w:val="24"/>
        </w:rPr>
        <w:t>Úprava konkrétních odchylek by pak měla být ponechána na zvláštním zákonu o azylu, který spadá do kompetence Ministerstva vnitra.</w:t>
      </w:r>
    </w:p>
    <w:p w14:paraId="7A6BCA6D" w14:textId="32D45976" w:rsidR="001671DF" w:rsidRPr="00B25E45" w:rsidRDefault="006D1E79" w:rsidP="000F0904">
      <w:pPr>
        <w:spacing w:before="120"/>
        <w:jc w:val="both"/>
        <w:rPr>
          <w:rFonts w:ascii="Times New Roman" w:hAnsi="Times New Roman"/>
          <w:sz w:val="24"/>
        </w:rPr>
      </w:pPr>
      <w:r w:rsidRPr="00B25E45">
        <w:rPr>
          <w:rFonts w:ascii="Times New Roman" w:hAnsi="Times New Roman"/>
          <w:sz w:val="24"/>
        </w:rPr>
        <w:t xml:space="preserve">Další relevantní úprava je prováděna v </w:t>
      </w:r>
      <w:r w:rsidR="001671DF" w:rsidRPr="00B25E45">
        <w:rPr>
          <w:rFonts w:ascii="Times New Roman" w:hAnsi="Times New Roman"/>
          <w:sz w:val="24"/>
        </w:rPr>
        <w:t>§</w:t>
      </w:r>
      <w:r w:rsidRPr="00B25E45">
        <w:rPr>
          <w:rFonts w:ascii="Times New Roman" w:hAnsi="Times New Roman"/>
          <w:sz w:val="24"/>
        </w:rPr>
        <w:t> </w:t>
      </w:r>
      <w:r w:rsidR="001671DF" w:rsidRPr="00B25E45">
        <w:rPr>
          <w:rFonts w:ascii="Times New Roman" w:hAnsi="Times New Roman"/>
          <w:sz w:val="24"/>
        </w:rPr>
        <w:t>78</w:t>
      </w:r>
      <w:r w:rsidRPr="00B25E45">
        <w:rPr>
          <w:rFonts w:ascii="Times New Roman" w:hAnsi="Times New Roman"/>
          <w:sz w:val="24"/>
        </w:rPr>
        <w:t xml:space="preserve"> s. ř. s.</w:t>
      </w:r>
      <w:r w:rsidR="001671DF" w:rsidRPr="00B25E45">
        <w:rPr>
          <w:rFonts w:ascii="Times New Roman" w:hAnsi="Times New Roman"/>
          <w:sz w:val="24"/>
        </w:rPr>
        <w:t xml:space="preserve">, </w:t>
      </w:r>
      <w:r w:rsidR="0024586B" w:rsidRPr="00B25E45">
        <w:rPr>
          <w:rFonts w:ascii="Times New Roman" w:hAnsi="Times New Roman"/>
          <w:sz w:val="24"/>
        </w:rPr>
        <w:t>jenž</w:t>
      </w:r>
      <w:r w:rsidRPr="00B25E45">
        <w:rPr>
          <w:rFonts w:ascii="Times New Roman" w:hAnsi="Times New Roman"/>
          <w:sz w:val="24"/>
        </w:rPr>
        <w:t xml:space="preserve"> nově</w:t>
      </w:r>
      <w:r w:rsidR="001671DF" w:rsidRPr="00B25E45">
        <w:rPr>
          <w:rFonts w:ascii="Times New Roman" w:hAnsi="Times New Roman"/>
          <w:sz w:val="24"/>
        </w:rPr>
        <w:t xml:space="preserve"> umožňuje, aby bylo v případech stanovených zvláštními zákony prolomeno pravidlo o rozhodování na kasačním principu, tj. </w:t>
      </w:r>
      <w:r w:rsidR="001671DF" w:rsidRPr="00B25E45">
        <w:rPr>
          <w:rFonts w:ascii="Times New Roman" w:hAnsi="Times New Roman"/>
          <w:sz w:val="24"/>
        </w:rPr>
        <w:lastRenderedPageBreak/>
        <w:t>aby výjimečně jiné zákony připouštěly rozhodování správních soudů o věc</w:t>
      </w:r>
      <w:r w:rsidR="0024586B" w:rsidRPr="00B25E45">
        <w:rPr>
          <w:rFonts w:ascii="Times New Roman" w:hAnsi="Times New Roman"/>
          <w:sz w:val="24"/>
        </w:rPr>
        <w:t>i</w:t>
      </w:r>
      <w:r w:rsidR="001671DF" w:rsidRPr="00B25E45">
        <w:rPr>
          <w:rFonts w:ascii="Times New Roman" w:hAnsi="Times New Roman"/>
          <w:sz w:val="24"/>
        </w:rPr>
        <w:t xml:space="preserve"> samé na principu apelačním</w:t>
      </w:r>
      <w:r w:rsidRPr="00B25E45">
        <w:rPr>
          <w:rFonts w:ascii="Times New Roman" w:hAnsi="Times New Roman"/>
          <w:sz w:val="24"/>
        </w:rPr>
        <w:t xml:space="preserve">. Srov. k tomu rozhodnutí Soudního dvora EU C-556/17 ze dne 29. 7. 2019, ve věci </w:t>
      </w:r>
      <w:proofErr w:type="spellStart"/>
      <w:r w:rsidRPr="00B25E45">
        <w:rPr>
          <w:rFonts w:ascii="Times New Roman" w:hAnsi="Times New Roman"/>
          <w:i/>
          <w:iCs/>
          <w:sz w:val="24"/>
        </w:rPr>
        <w:t>Torubarov</w:t>
      </w:r>
      <w:proofErr w:type="spellEnd"/>
      <w:r w:rsidRPr="00B25E45">
        <w:rPr>
          <w:rFonts w:ascii="Times New Roman" w:hAnsi="Times New Roman"/>
          <w:sz w:val="24"/>
        </w:rPr>
        <w:t>, bod 78: „</w:t>
      </w:r>
      <w:r w:rsidRPr="00B25E45">
        <w:rPr>
          <w:rFonts w:ascii="Times New Roman" w:hAnsi="Times New Roman"/>
          <w:i/>
          <w:iCs/>
          <w:sz w:val="24"/>
        </w:rPr>
        <w:t xml:space="preserve">Z výše uvedeného vyplývá, že čl. 46 odst. 3 směrnice 2013/32 ve spojení s čl. 47 Listiny musí být vykládán v tom smyslu, že za takových okolností, (…) kdy soud prvního stupně po provedení úplného a ex </w:t>
      </w:r>
      <w:proofErr w:type="spellStart"/>
      <w:r w:rsidRPr="00B25E45">
        <w:rPr>
          <w:rFonts w:ascii="Times New Roman" w:hAnsi="Times New Roman"/>
          <w:i/>
          <w:iCs/>
          <w:sz w:val="24"/>
        </w:rPr>
        <w:t>nunc</w:t>
      </w:r>
      <w:proofErr w:type="spellEnd"/>
      <w:r w:rsidRPr="00B25E45">
        <w:rPr>
          <w:rFonts w:ascii="Times New Roman" w:hAnsi="Times New Roman"/>
          <w:i/>
          <w:iCs/>
          <w:sz w:val="24"/>
        </w:rPr>
        <w:t xml:space="preserve"> posouzení všech relevantních skutkových a právních okolností předložených žadatelem o mezinárodní ochranu konstatoval, že na základě kritérií stanovených ve směrnici 2011/95 musí být tomuto žadateli taková ochrana přiznána z důvodu, kterého se dovolává na podporu své žádosti, ale kdy správní nebo kvazisoudní orgán následně přijme protichůdné rozhodnutí, aniž za tímto účelem prokáže, že nastaly nové okolnosti (…), musí uvedený soud změnit toto rozhodnutí, které není v souladu s jeho předchozím rozsudkem, a nahradit jej svým vlastním rozhodnutím (…).</w:t>
      </w:r>
      <w:r w:rsidRPr="00B25E45">
        <w:rPr>
          <w:rFonts w:ascii="Times New Roman" w:hAnsi="Times New Roman"/>
          <w:sz w:val="24"/>
        </w:rPr>
        <w:t>“</w:t>
      </w:r>
      <w:r w:rsidR="001671DF" w:rsidRPr="00B25E45">
        <w:rPr>
          <w:rFonts w:ascii="Times New Roman" w:hAnsi="Times New Roman"/>
          <w:sz w:val="24"/>
        </w:rPr>
        <w:t xml:space="preserve"> Tato změna je činěna právě i za tím účelem, aby byla úprava národního práva s tímto rozhodnutím Soudního dvora </w:t>
      </w:r>
      <w:r w:rsidRPr="00B25E45">
        <w:rPr>
          <w:rFonts w:ascii="Times New Roman" w:hAnsi="Times New Roman"/>
          <w:sz w:val="24"/>
        </w:rPr>
        <w:t xml:space="preserve">EU </w:t>
      </w:r>
      <w:r w:rsidR="001671DF" w:rsidRPr="00B25E45">
        <w:rPr>
          <w:rFonts w:ascii="Times New Roman" w:hAnsi="Times New Roman"/>
          <w:sz w:val="24"/>
        </w:rPr>
        <w:t xml:space="preserve">v souladu. Jelikož jde o agendu </w:t>
      </w:r>
      <w:r w:rsidRPr="00B25E45">
        <w:rPr>
          <w:rFonts w:ascii="Times New Roman" w:hAnsi="Times New Roman"/>
          <w:sz w:val="24"/>
        </w:rPr>
        <w:t>azylového zákona</w:t>
      </w:r>
      <w:r w:rsidR="001671DF" w:rsidRPr="00B25E45">
        <w:rPr>
          <w:rFonts w:ascii="Times New Roman" w:hAnsi="Times New Roman"/>
          <w:sz w:val="24"/>
        </w:rPr>
        <w:t>, ponechává se podrobnější stanovení pravidel na tomto zákoně, jehož gestorem není předkladatel, ale Ministerstvo vnitra.</w:t>
      </w:r>
    </w:p>
    <w:p w14:paraId="1778D28B" w14:textId="77777777" w:rsidR="00E41176" w:rsidRPr="00B25E45" w:rsidRDefault="00E41176" w:rsidP="000F0904">
      <w:pPr>
        <w:spacing w:before="120"/>
        <w:jc w:val="both"/>
        <w:rPr>
          <w:rFonts w:ascii="Times New Roman" w:hAnsi="Times New Roman"/>
          <w:sz w:val="24"/>
        </w:rPr>
      </w:pPr>
    </w:p>
    <w:p w14:paraId="299770B0" w14:textId="77777777" w:rsidR="000149E3" w:rsidRPr="00B25E45" w:rsidRDefault="000149E3" w:rsidP="000F0904">
      <w:pPr>
        <w:keepNext/>
        <w:numPr>
          <w:ilvl w:val="0"/>
          <w:numId w:val="5"/>
        </w:numPr>
        <w:spacing w:before="120"/>
        <w:ind w:left="0" w:firstLine="0"/>
        <w:jc w:val="both"/>
        <w:outlineLvl w:val="1"/>
        <w:rPr>
          <w:rFonts w:ascii="Times New Roman" w:hAnsi="Times New Roman"/>
          <w:b/>
          <w:sz w:val="28"/>
          <w:u w:val="single"/>
        </w:rPr>
      </w:pPr>
      <w:bookmarkStart w:id="16" w:name="_Toc25695642"/>
      <w:r w:rsidRPr="00B25E45">
        <w:rPr>
          <w:rFonts w:ascii="Times New Roman" w:hAnsi="Times New Roman"/>
          <w:b/>
          <w:sz w:val="28"/>
          <w:u w:val="single"/>
        </w:rPr>
        <w:t>Zhodnocení souladu navrhované právní úpravy s mezinárodními smlouvami, jimiž je Česká republika vázána.</w:t>
      </w:r>
      <w:bookmarkEnd w:id="16"/>
    </w:p>
    <w:p w14:paraId="74311B2D" w14:textId="0CDAF637" w:rsidR="006940BE" w:rsidRPr="00B25E45" w:rsidRDefault="006940BE" w:rsidP="000F0904">
      <w:pPr>
        <w:spacing w:before="120"/>
        <w:jc w:val="both"/>
        <w:rPr>
          <w:rFonts w:ascii="Times New Roman" w:hAnsi="Times New Roman"/>
          <w:sz w:val="24"/>
          <w:szCs w:val="24"/>
        </w:rPr>
      </w:pPr>
      <w:r w:rsidRPr="00B25E45">
        <w:rPr>
          <w:rFonts w:ascii="Times New Roman" w:hAnsi="Times New Roman"/>
          <w:sz w:val="24"/>
          <w:szCs w:val="24"/>
        </w:rPr>
        <w:t xml:space="preserve">Z pohledu mezinárodního práva je pro účely předkládané novely relevantní zejména Úmluva o ochraně lidských práv a základních svobod (sdělení </w:t>
      </w:r>
      <w:r w:rsidRPr="00B25E45">
        <w:rPr>
          <w:rFonts w:ascii="Times New Roman" w:hAnsi="Times New Roman"/>
          <w:i/>
          <w:iCs/>
          <w:sz w:val="24"/>
          <w:szCs w:val="24"/>
        </w:rPr>
        <w:t xml:space="preserve">federálního ministerstva zahraničních věcí </w:t>
      </w:r>
      <w:r w:rsidRPr="00B25E45">
        <w:rPr>
          <w:rFonts w:ascii="Times New Roman" w:hAnsi="Times New Roman"/>
          <w:sz w:val="24"/>
          <w:szCs w:val="24"/>
        </w:rPr>
        <w:t>č. 209/1992 Sb.,</w:t>
      </w:r>
      <w:r w:rsidRPr="00B25E45">
        <w:rPr>
          <w:rFonts w:ascii="Times New Roman" w:hAnsi="Times New Roman"/>
          <w:i/>
          <w:iCs/>
          <w:sz w:val="24"/>
          <w:szCs w:val="24"/>
        </w:rPr>
        <w:t xml:space="preserve"> o sjednání Úmluvy o ochraně lidských práv a základních svobod a Protokolů na tuto Úmluvu navazujících</w:t>
      </w:r>
      <w:r w:rsidRPr="00B25E45">
        <w:rPr>
          <w:rFonts w:ascii="Times New Roman" w:hAnsi="Times New Roman"/>
          <w:sz w:val="24"/>
          <w:szCs w:val="24"/>
        </w:rPr>
        <w:t>, dále jen „Úmluva“) a navazující judikatura Evropského soudu pro lidská práva</w:t>
      </w:r>
      <w:r w:rsidR="0024586B" w:rsidRPr="00B25E45">
        <w:rPr>
          <w:rFonts w:ascii="Times New Roman" w:hAnsi="Times New Roman"/>
          <w:sz w:val="24"/>
          <w:szCs w:val="24"/>
        </w:rPr>
        <w:t xml:space="preserve"> (dále také jen „ESLP“)</w:t>
      </w:r>
      <w:r w:rsidRPr="00B25E45">
        <w:rPr>
          <w:rFonts w:ascii="Times New Roman" w:hAnsi="Times New Roman"/>
          <w:sz w:val="24"/>
          <w:szCs w:val="24"/>
        </w:rPr>
        <w:t xml:space="preserve">, která je pro Českou republiku závazná (čl. 46 Úmluvy ve spojení s čl. 10 Ústavy). </w:t>
      </w:r>
    </w:p>
    <w:p w14:paraId="1AEC7E44" w14:textId="77777777" w:rsidR="006940BE" w:rsidRPr="00B25E45" w:rsidRDefault="006940BE" w:rsidP="000F0904">
      <w:pPr>
        <w:pStyle w:val="l3"/>
        <w:spacing w:before="120" w:beforeAutospacing="0" w:after="120" w:afterAutospacing="0" w:line="276" w:lineRule="auto"/>
        <w:jc w:val="both"/>
      </w:pPr>
      <w:r w:rsidRPr="00B25E45">
        <w:t>Předkládaný návrh upravuje podmínky a postup v řízení před správními soudy, proto je nutné soulad s Úmluvou zkoumat především na poli čl. 6, jenž zaručuje právo na spravedlivý proces. V souladu s tímto ustanovením by Česká republika měla zajistit, že každý „</w:t>
      </w:r>
      <w:r w:rsidRPr="00B25E45">
        <w:rPr>
          <w:i/>
          <w:iCs/>
        </w:rPr>
        <w:t>má právo na to, aby jeho záležitost byla spravedlivě, veřejně a v přiměřené lhůtě projednána nezávislým a nestranným soudem, zřízeným zákonem, který rozhodne o jeho občanských právech nebo závazcích nebo o oprávněnosti jakéhokoli trestního obvinění proti němu. Rozsudek musí být vyhlášen veřejně, avšak tisk a veřejnost mohou být vyloučeny buď po dobu celého nebo části procesu v zájmu mravnosti, veřejného pořádku nebo národní bezpečnosti v demokratické společnosti, nebo když to vyžadují zájmy nezletilých nebo ochrana soukromého života účastníků anebo, v rozsahu považovaném soudem za zcela nezbytný, pokud by, vzhledem ke zvláštním okolnostem, veřejnost řízení mohla být na újmu zájmům spravedlnosti.</w:t>
      </w:r>
      <w:r w:rsidRPr="00B25E45">
        <w:t>“</w:t>
      </w:r>
    </w:p>
    <w:p w14:paraId="1B2A47C2" w14:textId="77777777" w:rsidR="006940BE" w:rsidRPr="00B25E45" w:rsidRDefault="006940BE" w:rsidP="000F0904">
      <w:pPr>
        <w:pStyle w:val="l3"/>
        <w:spacing w:before="120" w:beforeAutospacing="0" w:after="120" w:afterAutospacing="0" w:line="276" w:lineRule="auto"/>
        <w:jc w:val="both"/>
      </w:pPr>
      <w:r w:rsidRPr="00B25E45">
        <w:t>Z pohledu souladu předkládaného zákona s čl. 6 Úmluvy je nutné vyřešit následující otázky:</w:t>
      </w:r>
    </w:p>
    <w:p w14:paraId="33AE0A7B" w14:textId="77777777" w:rsidR="006940BE" w:rsidRPr="00B25E45" w:rsidRDefault="006940BE" w:rsidP="00F6177A">
      <w:pPr>
        <w:pStyle w:val="l3"/>
        <w:numPr>
          <w:ilvl w:val="0"/>
          <w:numId w:val="37"/>
        </w:numPr>
        <w:spacing w:before="120" w:beforeAutospacing="0" w:after="120" w:afterAutospacing="0" w:line="276" w:lineRule="auto"/>
        <w:ind w:hanging="720"/>
        <w:jc w:val="both"/>
      </w:pPr>
      <w:r w:rsidRPr="00B25E45">
        <w:t>Spadají věci projednávané v řízení před českými správními soudy do působnosti čl. 6 Úmluvy?</w:t>
      </w:r>
    </w:p>
    <w:p w14:paraId="36D4E6C7" w14:textId="77777777" w:rsidR="006940BE" w:rsidRPr="00B25E45" w:rsidRDefault="006940BE" w:rsidP="00F6177A">
      <w:pPr>
        <w:pStyle w:val="l3"/>
        <w:numPr>
          <w:ilvl w:val="0"/>
          <w:numId w:val="37"/>
        </w:numPr>
        <w:spacing w:before="120" w:beforeAutospacing="0" w:after="120" w:afterAutospacing="0" w:line="276" w:lineRule="auto"/>
        <w:ind w:hanging="720"/>
        <w:jc w:val="both"/>
      </w:pPr>
      <w:r w:rsidRPr="00B25E45">
        <w:t>Pokud ano, omezuje tento zákon právo garantované čl. 6 Úmluvy?</w:t>
      </w:r>
    </w:p>
    <w:p w14:paraId="20A62ED2" w14:textId="77777777" w:rsidR="006940BE" w:rsidRPr="00B25E45" w:rsidRDefault="006940BE" w:rsidP="00F6177A">
      <w:pPr>
        <w:pStyle w:val="l3"/>
        <w:numPr>
          <w:ilvl w:val="0"/>
          <w:numId w:val="37"/>
        </w:numPr>
        <w:spacing w:before="120" w:beforeAutospacing="0" w:after="120" w:afterAutospacing="0" w:line="276" w:lineRule="auto"/>
        <w:ind w:hanging="720"/>
        <w:jc w:val="both"/>
      </w:pPr>
      <w:r w:rsidRPr="00B25E45">
        <w:lastRenderedPageBreak/>
        <w:t>Pokud předkládaný návrh zasahuje do práva na spravedlivý proces ve smyslu čl. 6 Úmluvy, je možné podle Evropského soudu pro lidská práva toto právo na spravedlivý proces na národní úrovni omezit a za jakých podmínek?</w:t>
      </w:r>
    </w:p>
    <w:p w14:paraId="225EEF8E" w14:textId="1C917B27" w:rsidR="006940BE" w:rsidRPr="00B25E45" w:rsidRDefault="006940BE" w:rsidP="00F6177A">
      <w:pPr>
        <w:pStyle w:val="l3"/>
        <w:numPr>
          <w:ilvl w:val="0"/>
          <w:numId w:val="37"/>
        </w:numPr>
        <w:spacing w:before="120" w:beforeAutospacing="0" w:after="120" w:afterAutospacing="0" w:line="276" w:lineRule="auto"/>
        <w:ind w:hanging="720"/>
        <w:jc w:val="both"/>
      </w:pPr>
      <w:r w:rsidRPr="00B25E45">
        <w:t>Je-li možné právo na spravedlivý proces omezit, jsou podmínky, za nichž je podle Evropského soudu pro lidská práva takové omezení přípustné, u předloženého návrhu naplněny?</w:t>
      </w:r>
    </w:p>
    <w:p w14:paraId="66D99FA5" w14:textId="77777777" w:rsidR="006940BE" w:rsidRPr="00B25E45" w:rsidRDefault="006940BE" w:rsidP="000F0904">
      <w:pPr>
        <w:pStyle w:val="l3"/>
        <w:spacing w:before="120" w:beforeAutospacing="0" w:after="120" w:afterAutospacing="0" w:line="276" w:lineRule="auto"/>
        <w:jc w:val="both"/>
        <w:rPr>
          <w:i/>
          <w:iCs/>
        </w:rPr>
      </w:pPr>
      <w:r w:rsidRPr="00B25E45">
        <w:rPr>
          <w:i/>
          <w:iCs/>
        </w:rPr>
        <w:t>Blíže k sub (i)</w:t>
      </w:r>
    </w:p>
    <w:p w14:paraId="45CE69BD" w14:textId="4DEC5F6A" w:rsidR="006940BE" w:rsidRPr="00B25E45" w:rsidRDefault="0024586B" w:rsidP="000F0904">
      <w:pPr>
        <w:pStyle w:val="l3"/>
        <w:spacing w:before="120" w:beforeAutospacing="0" w:after="120" w:afterAutospacing="0" w:line="276" w:lineRule="auto"/>
        <w:jc w:val="both"/>
      </w:pPr>
      <w:r w:rsidRPr="00B25E45">
        <w:t xml:space="preserve">Jelikož se v předmětném pravidle Úmluvy </w:t>
      </w:r>
      <w:proofErr w:type="gramStart"/>
      <w:r w:rsidRPr="00B25E45">
        <w:t>hovoří</w:t>
      </w:r>
      <w:proofErr w:type="gramEnd"/>
      <w:r w:rsidRPr="00B25E45">
        <w:t xml:space="preserve"> o „občanských právech nebo závazcích“, je nasnadě otázka, zda vůbec postup správních soudů spadá do působnosti čl. 6 Úmluvy.</w:t>
      </w:r>
    </w:p>
    <w:p w14:paraId="1E52F8C3" w14:textId="0DE384DD" w:rsidR="0024586B" w:rsidRPr="00B25E45" w:rsidRDefault="0024586B" w:rsidP="0024586B">
      <w:pPr>
        <w:autoSpaceDE w:val="0"/>
        <w:autoSpaceDN w:val="0"/>
        <w:adjustRightInd w:val="0"/>
        <w:spacing w:before="120"/>
        <w:jc w:val="both"/>
        <w:rPr>
          <w:rFonts w:ascii="Times New Roman" w:eastAsiaTheme="minorHAnsi" w:hAnsi="Times New Roman"/>
          <w:color w:val="000000"/>
          <w:sz w:val="24"/>
          <w:szCs w:val="24"/>
        </w:rPr>
      </w:pPr>
      <w:r w:rsidRPr="00B25E45">
        <w:rPr>
          <w:rFonts w:ascii="Times New Roman" w:eastAsiaTheme="minorHAnsi" w:hAnsi="Times New Roman"/>
          <w:color w:val="000000"/>
          <w:sz w:val="24"/>
          <w:szCs w:val="24"/>
        </w:rPr>
        <w:t xml:space="preserve">Podle zásad formulovaných v judikatuře ESLP je čl. 6 odst. 1 Úmluvy v jeho občanskoprávní části použitelný, jsou-li kumulativně splněny tři podmínky: a) jde o „spor“, který se týká b) „práva“, o němž lze hájitelně tvrdit, že je uznáno ve vnitrostátním právu, a konečně c) právo, které je předmětem sporu, je samo civilním právem nebo má výsledek řízení nepříznivé dopady na práva občanskoprávní povahy (viz např. </w:t>
      </w:r>
      <w:proofErr w:type="spellStart"/>
      <w:r w:rsidRPr="00B25E45">
        <w:rPr>
          <w:rFonts w:ascii="Times New Roman" w:eastAsiaTheme="minorHAnsi" w:hAnsi="Times New Roman"/>
          <w:i/>
          <w:iCs/>
          <w:color w:val="000000"/>
          <w:sz w:val="24"/>
          <w:szCs w:val="24"/>
        </w:rPr>
        <w:t>Boulois</w:t>
      </w:r>
      <w:proofErr w:type="spellEnd"/>
      <w:r w:rsidRPr="00B25E45">
        <w:rPr>
          <w:rFonts w:ascii="Times New Roman" w:eastAsiaTheme="minorHAnsi" w:hAnsi="Times New Roman"/>
          <w:i/>
          <w:iCs/>
          <w:color w:val="000000"/>
          <w:sz w:val="24"/>
          <w:szCs w:val="24"/>
        </w:rPr>
        <w:t xml:space="preserve"> proti Lucembursku</w:t>
      </w:r>
      <w:r w:rsidRPr="00B25E45">
        <w:rPr>
          <w:rFonts w:ascii="Times New Roman" w:eastAsiaTheme="minorHAnsi" w:hAnsi="Times New Roman"/>
          <w:color w:val="000000"/>
          <w:sz w:val="24"/>
          <w:szCs w:val="24"/>
        </w:rPr>
        <w:t xml:space="preserve">, č. 37575/04, rozsudek velkého senátu ze dne 3. dubna 2012, § 90). </w:t>
      </w:r>
      <w:r w:rsidR="00931A3F" w:rsidRPr="00B25E45">
        <w:rPr>
          <w:rFonts w:ascii="Times New Roman" w:eastAsiaTheme="minorHAnsi" w:hAnsi="Times New Roman"/>
          <w:color w:val="000000"/>
          <w:sz w:val="24"/>
          <w:szCs w:val="24"/>
        </w:rPr>
        <w:t>Právě poslední krok textu bude významným z pohledu zodpovězení otázky pod bodem (i),</w:t>
      </w:r>
    </w:p>
    <w:p w14:paraId="701E23DC" w14:textId="77777777" w:rsidR="0024586B" w:rsidRPr="00B25E45" w:rsidRDefault="0024586B" w:rsidP="0024586B">
      <w:pPr>
        <w:autoSpaceDE w:val="0"/>
        <w:autoSpaceDN w:val="0"/>
        <w:adjustRightInd w:val="0"/>
        <w:spacing w:before="120"/>
        <w:jc w:val="both"/>
        <w:rPr>
          <w:rFonts w:ascii="Times New Roman" w:eastAsiaTheme="minorHAnsi" w:hAnsi="Times New Roman"/>
          <w:color w:val="000000"/>
          <w:sz w:val="24"/>
          <w:szCs w:val="24"/>
        </w:rPr>
      </w:pPr>
      <w:r w:rsidRPr="00B25E45">
        <w:rPr>
          <w:rFonts w:ascii="Times New Roman" w:eastAsiaTheme="minorHAnsi" w:hAnsi="Times New Roman"/>
          <w:color w:val="000000"/>
          <w:sz w:val="24"/>
          <w:szCs w:val="24"/>
        </w:rPr>
        <w:t>Pojem sporu je rovněž třeba vykládat autonomně. Skutečnost, že české právo považuje určité řízení za nesporné, nevylučuje, že půjde o spor ve smyslu Úmluvy. Takový spor musí být opravdový a vážný; může se týkat nejen vlastní existence práva, ale také jeho obsahu a způsobu výkonu. A konečně výsledek řízení musí být pro dané právo přímo určující. K použitelnosti článku 6 nepostačuje, jestliže daný spor má pouze slabý vztah k občanským právům nebo závazkům stěžovatele nebo jeho dopady na ně jsou pouze vzdálené [</w:t>
      </w:r>
      <w:proofErr w:type="spellStart"/>
      <w:r w:rsidRPr="00B25E45">
        <w:rPr>
          <w:rFonts w:ascii="Times New Roman" w:eastAsiaTheme="minorHAnsi" w:hAnsi="Times New Roman"/>
          <w:i/>
          <w:iCs/>
          <w:color w:val="000000"/>
          <w:sz w:val="24"/>
          <w:szCs w:val="24"/>
        </w:rPr>
        <w:t>Bochan</w:t>
      </w:r>
      <w:proofErr w:type="spellEnd"/>
      <w:r w:rsidRPr="00B25E45">
        <w:rPr>
          <w:rFonts w:ascii="Times New Roman" w:eastAsiaTheme="minorHAnsi" w:hAnsi="Times New Roman"/>
          <w:i/>
          <w:iCs/>
          <w:color w:val="000000"/>
          <w:sz w:val="24"/>
          <w:szCs w:val="24"/>
        </w:rPr>
        <w:t xml:space="preserve"> proti Ukrajině (č. 2)</w:t>
      </w:r>
      <w:r w:rsidRPr="00B25E45">
        <w:rPr>
          <w:rFonts w:ascii="Times New Roman" w:eastAsiaTheme="minorHAnsi" w:hAnsi="Times New Roman"/>
          <w:color w:val="000000"/>
          <w:sz w:val="24"/>
          <w:szCs w:val="24"/>
        </w:rPr>
        <w:t xml:space="preserve">, č. 22251/08, rozsudek velkého senátu ze dne 5. února 2015, § 42]. </w:t>
      </w:r>
    </w:p>
    <w:p w14:paraId="4F5292A7" w14:textId="6B3A2CAD" w:rsidR="0024586B" w:rsidRPr="00B25E45" w:rsidRDefault="0024586B" w:rsidP="0024586B">
      <w:pPr>
        <w:autoSpaceDE w:val="0"/>
        <w:autoSpaceDN w:val="0"/>
        <w:adjustRightInd w:val="0"/>
        <w:spacing w:before="120"/>
        <w:jc w:val="both"/>
        <w:rPr>
          <w:rFonts w:ascii="Times New Roman" w:eastAsiaTheme="minorHAnsi" w:hAnsi="Times New Roman"/>
          <w:color w:val="000000"/>
          <w:sz w:val="24"/>
          <w:szCs w:val="24"/>
        </w:rPr>
      </w:pPr>
      <w:r w:rsidRPr="00B25E45">
        <w:rPr>
          <w:rFonts w:ascii="Times New Roman" w:eastAsiaTheme="minorHAnsi" w:hAnsi="Times New Roman"/>
          <w:color w:val="000000"/>
          <w:sz w:val="24"/>
          <w:szCs w:val="24"/>
        </w:rPr>
        <w:t xml:space="preserve">Složitější je posouzení druhého kroku testu, tedy zda se spor týkal „práva“ uznaného ve vnitro-státním právním řádu, nebo naopak nenárokové výsady či privilegia. Obecně platí, že </w:t>
      </w:r>
      <w:r w:rsidR="00931A3F" w:rsidRPr="00B25E45">
        <w:rPr>
          <w:rFonts w:ascii="Times New Roman" w:eastAsiaTheme="minorHAnsi" w:hAnsi="Times New Roman"/>
          <w:color w:val="000000"/>
          <w:sz w:val="24"/>
          <w:szCs w:val="24"/>
        </w:rPr>
        <w:t>ESLP</w:t>
      </w:r>
      <w:r w:rsidRPr="00B25E45">
        <w:rPr>
          <w:rFonts w:ascii="Times New Roman" w:eastAsiaTheme="minorHAnsi" w:hAnsi="Times New Roman"/>
          <w:color w:val="000000"/>
          <w:sz w:val="24"/>
          <w:szCs w:val="24"/>
        </w:rPr>
        <w:t xml:space="preserve"> nemůže prostřednictvím výkladu dovodit existenci práva, které nemá žádný právní základ v daném státě (</w:t>
      </w:r>
      <w:proofErr w:type="spellStart"/>
      <w:r w:rsidRPr="00B25E45">
        <w:rPr>
          <w:rFonts w:ascii="Times New Roman" w:eastAsiaTheme="minorHAnsi" w:hAnsi="Times New Roman"/>
          <w:i/>
          <w:iCs/>
          <w:color w:val="000000"/>
          <w:sz w:val="24"/>
          <w:szCs w:val="24"/>
        </w:rPr>
        <w:t>Fayed</w:t>
      </w:r>
      <w:proofErr w:type="spellEnd"/>
      <w:r w:rsidRPr="00B25E45">
        <w:rPr>
          <w:rFonts w:ascii="Times New Roman" w:eastAsiaTheme="minorHAnsi" w:hAnsi="Times New Roman"/>
          <w:i/>
          <w:iCs/>
          <w:color w:val="000000"/>
          <w:sz w:val="24"/>
          <w:szCs w:val="24"/>
        </w:rPr>
        <w:t xml:space="preserve"> proti Spojenému království</w:t>
      </w:r>
      <w:r w:rsidRPr="00B25E45">
        <w:rPr>
          <w:rFonts w:ascii="Times New Roman" w:eastAsiaTheme="minorHAnsi" w:hAnsi="Times New Roman"/>
          <w:color w:val="000000"/>
          <w:sz w:val="24"/>
          <w:szCs w:val="24"/>
        </w:rPr>
        <w:t xml:space="preserve">, č. 17101/90, rozsudek ze dne 21. září 1994, § 65; </w:t>
      </w:r>
      <w:proofErr w:type="spellStart"/>
      <w:r w:rsidRPr="00B25E45">
        <w:rPr>
          <w:rFonts w:ascii="Times New Roman" w:eastAsiaTheme="minorHAnsi" w:hAnsi="Times New Roman"/>
          <w:i/>
          <w:iCs/>
          <w:color w:val="000000"/>
          <w:sz w:val="24"/>
          <w:szCs w:val="24"/>
        </w:rPr>
        <w:t>Roche</w:t>
      </w:r>
      <w:proofErr w:type="spellEnd"/>
      <w:r w:rsidRPr="00B25E45">
        <w:rPr>
          <w:rFonts w:ascii="Times New Roman" w:eastAsiaTheme="minorHAnsi" w:hAnsi="Times New Roman"/>
          <w:i/>
          <w:iCs/>
          <w:color w:val="000000"/>
          <w:sz w:val="24"/>
          <w:szCs w:val="24"/>
        </w:rPr>
        <w:t xml:space="preserve"> proti Spojenému království</w:t>
      </w:r>
      <w:r w:rsidRPr="00B25E45">
        <w:rPr>
          <w:rFonts w:ascii="Times New Roman" w:eastAsiaTheme="minorHAnsi" w:hAnsi="Times New Roman"/>
          <w:color w:val="000000"/>
          <w:sz w:val="24"/>
          <w:szCs w:val="24"/>
        </w:rPr>
        <w:t>, č. 32555/96, rozsudek velkého senátu ze dne 19. října 2005, § 119). Výchozím bodem pro určení, zda jde o právo či nenárokovou výsadu, musí být příslušná ustanovení vnitrostátního práva a jejich výklad ze strany vnitrostátních soudů (</w:t>
      </w:r>
      <w:proofErr w:type="spellStart"/>
      <w:r w:rsidRPr="00B25E45">
        <w:rPr>
          <w:rFonts w:ascii="Times New Roman" w:eastAsiaTheme="minorHAnsi" w:hAnsi="Times New Roman"/>
          <w:i/>
          <w:iCs/>
          <w:color w:val="000000"/>
          <w:sz w:val="24"/>
          <w:szCs w:val="24"/>
        </w:rPr>
        <w:t>Masson</w:t>
      </w:r>
      <w:proofErr w:type="spellEnd"/>
      <w:r w:rsidRPr="00B25E45">
        <w:rPr>
          <w:rFonts w:ascii="Times New Roman" w:eastAsiaTheme="minorHAnsi" w:hAnsi="Times New Roman"/>
          <w:i/>
          <w:iCs/>
          <w:color w:val="000000"/>
          <w:sz w:val="24"/>
          <w:szCs w:val="24"/>
        </w:rPr>
        <w:t xml:space="preserve"> a Van </w:t>
      </w:r>
      <w:proofErr w:type="spellStart"/>
      <w:r w:rsidRPr="00B25E45">
        <w:rPr>
          <w:rFonts w:ascii="Times New Roman" w:eastAsiaTheme="minorHAnsi" w:hAnsi="Times New Roman"/>
          <w:i/>
          <w:iCs/>
          <w:color w:val="000000"/>
          <w:sz w:val="24"/>
          <w:szCs w:val="24"/>
        </w:rPr>
        <w:t>Zon</w:t>
      </w:r>
      <w:proofErr w:type="spellEnd"/>
      <w:r w:rsidRPr="00B25E45">
        <w:rPr>
          <w:rFonts w:ascii="Times New Roman" w:eastAsiaTheme="minorHAnsi" w:hAnsi="Times New Roman"/>
          <w:i/>
          <w:iCs/>
          <w:color w:val="000000"/>
          <w:sz w:val="24"/>
          <w:szCs w:val="24"/>
        </w:rPr>
        <w:t xml:space="preserve"> proti Nizozemsku</w:t>
      </w:r>
      <w:r w:rsidRPr="00B25E45">
        <w:rPr>
          <w:rFonts w:ascii="Times New Roman" w:eastAsiaTheme="minorHAnsi" w:hAnsi="Times New Roman"/>
          <w:color w:val="000000"/>
          <w:sz w:val="24"/>
          <w:szCs w:val="24"/>
        </w:rPr>
        <w:t xml:space="preserve">, č. 15346/89 a č. 15379/89, rozsudek ze dne 28. září 1995, § 49; </w:t>
      </w:r>
      <w:proofErr w:type="spellStart"/>
      <w:r w:rsidRPr="00B25E45">
        <w:rPr>
          <w:rFonts w:ascii="Times New Roman" w:eastAsiaTheme="minorHAnsi" w:hAnsi="Times New Roman"/>
          <w:i/>
          <w:iCs/>
          <w:color w:val="000000"/>
          <w:sz w:val="24"/>
          <w:szCs w:val="24"/>
        </w:rPr>
        <w:t>Ankarcrona</w:t>
      </w:r>
      <w:proofErr w:type="spellEnd"/>
      <w:r w:rsidRPr="00B25E45">
        <w:rPr>
          <w:rFonts w:ascii="Times New Roman" w:eastAsiaTheme="minorHAnsi" w:hAnsi="Times New Roman"/>
          <w:i/>
          <w:iCs/>
          <w:color w:val="000000"/>
          <w:sz w:val="24"/>
          <w:szCs w:val="24"/>
        </w:rPr>
        <w:t xml:space="preserve"> proti Švédsku</w:t>
      </w:r>
      <w:r w:rsidRPr="00B25E45">
        <w:rPr>
          <w:rFonts w:ascii="Times New Roman" w:eastAsiaTheme="minorHAnsi" w:hAnsi="Times New Roman"/>
          <w:color w:val="000000"/>
          <w:sz w:val="24"/>
          <w:szCs w:val="24"/>
        </w:rPr>
        <w:t xml:space="preserve">; č. 35178/97, rozhodnutí ze dne 27. června 2000). K tomu, aby se </w:t>
      </w:r>
      <w:r w:rsidR="00931A3F" w:rsidRPr="00B25E45">
        <w:rPr>
          <w:rFonts w:ascii="Times New Roman" w:eastAsiaTheme="minorHAnsi" w:hAnsi="Times New Roman"/>
          <w:color w:val="000000"/>
          <w:sz w:val="24"/>
          <w:szCs w:val="24"/>
        </w:rPr>
        <w:t>ESLP</w:t>
      </w:r>
      <w:r w:rsidRPr="00B25E45">
        <w:rPr>
          <w:rFonts w:ascii="Times New Roman" w:eastAsiaTheme="minorHAnsi" w:hAnsi="Times New Roman"/>
          <w:color w:val="000000"/>
          <w:sz w:val="24"/>
          <w:szCs w:val="24"/>
        </w:rPr>
        <w:t xml:space="preserve"> odchýlil od závěrů vyslovených v rozhodnutích </w:t>
      </w:r>
      <w:r w:rsidR="00931A3F" w:rsidRPr="00B25E45">
        <w:rPr>
          <w:rFonts w:ascii="Times New Roman" w:eastAsiaTheme="minorHAnsi" w:hAnsi="Times New Roman"/>
          <w:color w:val="000000"/>
          <w:sz w:val="24"/>
          <w:szCs w:val="24"/>
        </w:rPr>
        <w:t>vrcholných soudů států</w:t>
      </w:r>
      <w:r w:rsidRPr="00B25E45">
        <w:rPr>
          <w:rFonts w:ascii="Times New Roman" w:eastAsiaTheme="minorHAnsi" w:hAnsi="Times New Roman"/>
          <w:color w:val="000000"/>
          <w:sz w:val="24"/>
          <w:szCs w:val="24"/>
        </w:rPr>
        <w:t xml:space="preserve"> a rozhodl, že se v daném případě jedná o právo, které je zakotveno ve vni</w:t>
      </w:r>
      <w:r w:rsidR="00931A3F" w:rsidRPr="00B25E45">
        <w:rPr>
          <w:rFonts w:ascii="Times New Roman" w:eastAsiaTheme="minorHAnsi" w:hAnsi="Times New Roman"/>
          <w:color w:val="000000"/>
          <w:sz w:val="24"/>
          <w:szCs w:val="24"/>
        </w:rPr>
        <w:t>trostátním</w:t>
      </w:r>
      <w:r w:rsidRPr="00B25E45">
        <w:rPr>
          <w:rFonts w:ascii="Times New Roman" w:eastAsiaTheme="minorHAnsi" w:hAnsi="Times New Roman"/>
          <w:color w:val="000000"/>
          <w:sz w:val="24"/>
          <w:szCs w:val="24"/>
        </w:rPr>
        <w:t xml:space="preserve"> právu, by musely být dány vážné důvody (viz např. </w:t>
      </w:r>
      <w:proofErr w:type="spellStart"/>
      <w:r w:rsidRPr="00B25E45">
        <w:rPr>
          <w:rFonts w:ascii="Times New Roman" w:eastAsiaTheme="minorHAnsi" w:hAnsi="Times New Roman"/>
          <w:i/>
          <w:iCs/>
          <w:color w:val="000000"/>
          <w:sz w:val="24"/>
          <w:szCs w:val="24"/>
        </w:rPr>
        <w:t>Boulois</w:t>
      </w:r>
      <w:proofErr w:type="spellEnd"/>
      <w:r w:rsidRPr="00B25E45">
        <w:rPr>
          <w:rFonts w:ascii="Times New Roman" w:eastAsiaTheme="minorHAnsi" w:hAnsi="Times New Roman"/>
          <w:i/>
          <w:iCs/>
          <w:color w:val="000000"/>
          <w:sz w:val="24"/>
          <w:szCs w:val="24"/>
        </w:rPr>
        <w:t xml:space="preserve"> proti Lucembursku</w:t>
      </w:r>
      <w:r w:rsidRPr="00B25E45">
        <w:rPr>
          <w:rFonts w:ascii="Times New Roman" w:eastAsiaTheme="minorHAnsi" w:hAnsi="Times New Roman"/>
          <w:color w:val="000000"/>
          <w:sz w:val="24"/>
          <w:szCs w:val="24"/>
        </w:rPr>
        <w:t xml:space="preserve">, cit. výše, § 91 </w:t>
      </w:r>
      <w:r w:rsidRPr="00B25E45">
        <w:rPr>
          <w:rFonts w:ascii="Times New Roman" w:eastAsiaTheme="minorHAnsi" w:hAnsi="Times New Roman"/>
          <w:i/>
          <w:iCs/>
          <w:color w:val="000000"/>
          <w:sz w:val="24"/>
          <w:szCs w:val="24"/>
        </w:rPr>
        <w:t>in fine</w:t>
      </w:r>
      <w:r w:rsidRPr="00B25E45">
        <w:rPr>
          <w:rFonts w:ascii="Times New Roman" w:eastAsiaTheme="minorHAnsi" w:hAnsi="Times New Roman"/>
          <w:color w:val="000000"/>
          <w:sz w:val="24"/>
          <w:szCs w:val="24"/>
        </w:rPr>
        <w:t xml:space="preserve">). Specifické jsou případy, kdy </w:t>
      </w:r>
      <w:r w:rsidR="00931A3F" w:rsidRPr="00B25E45">
        <w:rPr>
          <w:rFonts w:ascii="Times New Roman" w:eastAsiaTheme="minorHAnsi" w:hAnsi="Times New Roman"/>
          <w:color w:val="000000"/>
          <w:sz w:val="24"/>
          <w:szCs w:val="24"/>
        </w:rPr>
        <w:t>národní</w:t>
      </w:r>
      <w:r w:rsidRPr="00B25E45">
        <w:rPr>
          <w:rFonts w:ascii="Times New Roman" w:eastAsiaTheme="minorHAnsi" w:hAnsi="Times New Roman"/>
          <w:color w:val="000000"/>
          <w:sz w:val="24"/>
          <w:szCs w:val="24"/>
        </w:rPr>
        <w:t xml:space="preserve"> právo ponechává rozhodujícímu orgánu diskreci, zda dané právo osobě přizná. Existence určitého prostoru pro správní uvážení na straně vnitrostátního orgánu nutně nevylučuje použitelnost článku 6 Úmluvy. Je-li přiznání oprávnění vázáno na splnění určitých podmínek či kritérií, nasvědčuje to spíše existenci práva (</w:t>
      </w:r>
      <w:proofErr w:type="spellStart"/>
      <w:r w:rsidRPr="00B25E45">
        <w:rPr>
          <w:rFonts w:ascii="Times New Roman" w:eastAsiaTheme="minorHAnsi" w:hAnsi="Times New Roman"/>
          <w:i/>
          <w:iCs/>
          <w:color w:val="000000"/>
          <w:sz w:val="24"/>
          <w:szCs w:val="24"/>
        </w:rPr>
        <w:t>Ankarcrona</w:t>
      </w:r>
      <w:proofErr w:type="spellEnd"/>
      <w:r w:rsidRPr="00B25E45">
        <w:rPr>
          <w:rFonts w:ascii="Times New Roman" w:eastAsiaTheme="minorHAnsi" w:hAnsi="Times New Roman"/>
          <w:i/>
          <w:iCs/>
          <w:color w:val="000000"/>
          <w:sz w:val="24"/>
          <w:szCs w:val="24"/>
        </w:rPr>
        <w:t xml:space="preserve"> proti Švédsku</w:t>
      </w:r>
      <w:r w:rsidRPr="00B25E45">
        <w:rPr>
          <w:rFonts w:ascii="Times New Roman" w:eastAsiaTheme="minorHAnsi" w:hAnsi="Times New Roman"/>
          <w:color w:val="000000"/>
          <w:sz w:val="24"/>
          <w:szCs w:val="24"/>
        </w:rPr>
        <w:t xml:space="preserve">, </w:t>
      </w:r>
      <w:r w:rsidRPr="00B25E45">
        <w:rPr>
          <w:rFonts w:ascii="Times New Roman" w:eastAsiaTheme="minorHAnsi" w:hAnsi="Times New Roman"/>
          <w:color w:val="000000"/>
          <w:sz w:val="24"/>
          <w:szCs w:val="24"/>
        </w:rPr>
        <w:lastRenderedPageBreak/>
        <w:t>č. 35178/97, rozhodnutí ze dne 27. června 2000). Naopak zcela neomezená diskrece může naznačovat, že nejde o právo, ale o privilegium, na které neexistuje podle vnitrostátní úpravy právní nárok (</w:t>
      </w:r>
      <w:proofErr w:type="spellStart"/>
      <w:r w:rsidRPr="00B25E45">
        <w:rPr>
          <w:rFonts w:ascii="Times New Roman" w:eastAsiaTheme="minorHAnsi" w:hAnsi="Times New Roman"/>
          <w:i/>
          <w:iCs/>
          <w:color w:val="000000"/>
          <w:sz w:val="24"/>
          <w:szCs w:val="24"/>
        </w:rPr>
        <w:t>Boulois</w:t>
      </w:r>
      <w:proofErr w:type="spellEnd"/>
      <w:r w:rsidRPr="00B25E45">
        <w:rPr>
          <w:rFonts w:ascii="Times New Roman" w:eastAsiaTheme="minorHAnsi" w:hAnsi="Times New Roman"/>
          <w:i/>
          <w:iCs/>
          <w:color w:val="000000"/>
          <w:sz w:val="24"/>
          <w:szCs w:val="24"/>
        </w:rPr>
        <w:t xml:space="preserve"> proti Lucembursku</w:t>
      </w:r>
      <w:r w:rsidRPr="00B25E45">
        <w:rPr>
          <w:rFonts w:ascii="Times New Roman" w:eastAsiaTheme="minorHAnsi" w:hAnsi="Times New Roman"/>
          <w:color w:val="000000"/>
          <w:sz w:val="24"/>
          <w:szCs w:val="24"/>
        </w:rPr>
        <w:t xml:space="preserve">, cit. výše, § 93). Článek 6 však bude zpravidla použitelný tam, kde má osoba právo nechat rozhodnutí příslušného orgánu, jakkoli mohl rozhodovat v mezích diskrečního oprávnění, přezkoumat ze strany soudní moci, aby se vyloučilo riziko svévole či rozhodování </w:t>
      </w:r>
      <w:r w:rsidRPr="00B25E45">
        <w:rPr>
          <w:rFonts w:ascii="Times New Roman" w:eastAsiaTheme="minorHAnsi" w:hAnsi="Times New Roman"/>
          <w:i/>
          <w:iCs/>
          <w:color w:val="000000"/>
          <w:sz w:val="24"/>
          <w:szCs w:val="24"/>
        </w:rPr>
        <w:t xml:space="preserve">ultra </w:t>
      </w:r>
      <w:proofErr w:type="spellStart"/>
      <w:r w:rsidRPr="00B25E45">
        <w:rPr>
          <w:rFonts w:ascii="Times New Roman" w:eastAsiaTheme="minorHAnsi" w:hAnsi="Times New Roman"/>
          <w:i/>
          <w:iCs/>
          <w:color w:val="000000"/>
          <w:sz w:val="24"/>
          <w:szCs w:val="24"/>
        </w:rPr>
        <w:t>vires</w:t>
      </w:r>
      <w:proofErr w:type="spellEnd"/>
      <w:r w:rsidRPr="00B25E45">
        <w:rPr>
          <w:rFonts w:ascii="Times New Roman" w:eastAsiaTheme="minorHAnsi" w:hAnsi="Times New Roman"/>
          <w:i/>
          <w:iCs/>
          <w:color w:val="000000"/>
          <w:sz w:val="24"/>
          <w:szCs w:val="24"/>
        </w:rPr>
        <w:t xml:space="preserve"> </w:t>
      </w:r>
      <w:r w:rsidRPr="00B25E45">
        <w:rPr>
          <w:rFonts w:ascii="Times New Roman" w:eastAsiaTheme="minorHAnsi" w:hAnsi="Times New Roman"/>
          <w:color w:val="000000"/>
          <w:sz w:val="24"/>
          <w:szCs w:val="24"/>
        </w:rPr>
        <w:t>(</w:t>
      </w:r>
      <w:r w:rsidRPr="00B25E45">
        <w:rPr>
          <w:rFonts w:ascii="Times New Roman" w:eastAsiaTheme="minorHAnsi" w:hAnsi="Times New Roman"/>
          <w:i/>
          <w:iCs/>
          <w:color w:val="000000"/>
          <w:sz w:val="24"/>
          <w:szCs w:val="24"/>
        </w:rPr>
        <w:t>Regner proti České republice</w:t>
      </w:r>
      <w:r w:rsidRPr="00B25E45">
        <w:rPr>
          <w:rFonts w:ascii="Times New Roman" w:eastAsiaTheme="minorHAnsi" w:hAnsi="Times New Roman"/>
          <w:color w:val="000000"/>
          <w:sz w:val="24"/>
          <w:szCs w:val="24"/>
        </w:rPr>
        <w:t>, č. 35289/11, rozsudek velkého senátu ze dne 19. září 2017, § 105). Pokud byl osobě přiznán nějaký nenárokový benefit, který není právem, je třeba zkoumat, zda v důsledku toho nebylo založeno právo, aby jej nebyla svévolně a bezdůvodně zbavena (</w:t>
      </w:r>
      <w:r w:rsidRPr="00B25E45">
        <w:rPr>
          <w:rFonts w:ascii="Times New Roman" w:eastAsiaTheme="minorHAnsi" w:hAnsi="Times New Roman"/>
          <w:i/>
          <w:iCs/>
          <w:color w:val="000000"/>
          <w:sz w:val="24"/>
          <w:szCs w:val="24"/>
        </w:rPr>
        <w:t>Mendel proti Švédsku</w:t>
      </w:r>
      <w:r w:rsidRPr="00B25E45">
        <w:rPr>
          <w:rFonts w:ascii="Times New Roman" w:eastAsiaTheme="minorHAnsi" w:hAnsi="Times New Roman"/>
          <w:color w:val="000000"/>
          <w:sz w:val="24"/>
          <w:szCs w:val="24"/>
        </w:rPr>
        <w:t xml:space="preserve">, č. 28426/06, rozsudek ze dne 7. dubna 2009, § 47). </w:t>
      </w:r>
    </w:p>
    <w:p w14:paraId="1ABB479C" w14:textId="482E7AD3" w:rsidR="006940BE" w:rsidRPr="00B25E45" w:rsidRDefault="0024586B" w:rsidP="0024586B">
      <w:pPr>
        <w:autoSpaceDE w:val="0"/>
        <w:autoSpaceDN w:val="0"/>
        <w:adjustRightInd w:val="0"/>
        <w:spacing w:before="120"/>
        <w:jc w:val="both"/>
        <w:rPr>
          <w:rFonts w:ascii="Times New Roman" w:hAnsi="Times New Roman"/>
          <w:sz w:val="24"/>
          <w:szCs w:val="24"/>
        </w:rPr>
      </w:pPr>
      <w:r w:rsidRPr="00B25E45">
        <w:rPr>
          <w:rFonts w:ascii="Times New Roman" w:eastAsiaTheme="minorHAnsi" w:hAnsi="Times New Roman"/>
          <w:color w:val="000000"/>
          <w:sz w:val="24"/>
          <w:szCs w:val="24"/>
        </w:rPr>
        <w:t>Dané právo konečně musí být „občanským“ právem (</w:t>
      </w:r>
      <w:proofErr w:type="spellStart"/>
      <w:r w:rsidRPr="00B25E45">
        <w:rPr>
          <w:rFonts w:ascii="Times New Roman" w:eastAsiaTheme="minorHAnsi" w:hAnsi="Times New Roman"/>
          <w:i/>
          <w:iCs/>
          <w:color w:val="000000"/>
          <w:sz w:val="24"/>
          <w:szCs w:val="24"/>
        </w:rPr>
        <w:t>Micallef</w:t>
      </w:r>
      <w:proofErr w:type="spellEnd"/>
      <w:r w:rsidRPr="00B25E45">
        <w:rPr>
          <w:rFonts w:ascii="Times New Roman" w:eastAsiaTheme="minorHAnsi" w:hAnsi="Times New Roman"/>
          <w:i/>
          <w:iCs/>
          <w:color w:val="000000"/>
          <w:sz w:val="24"/>
          <w:szCs w:val="24"/>
        </w:rPr>
        <w:t xml:space="preserve"> proti Maltě</w:t>
      </w:r>
      <w:r w:rsidRPr="00B25E45">
        <w:rPr>
          <w:rFonts w:ascii="Times New Roman" w:eastAsiaTheme="minorHAnsi" w:hAnsi="Times New Roman"/>
          <w:color w:val="000000"/>
          <w:sz w:val="24"/>
          <w:szCs w:val="24"/>
        </w:rPr>
        <w:t xml:space="preserve">, č. 17056/06, rozsudek velkého senátu ze dne 15. října 2010, § 74; </w:t>
      </w:r>
      <w:proofErr w:type="spellStart"/>
      <w:r w:rsidRPr="00B25E45">
        <w:rPr>
          <w:rFonts w:ascii="Times New Roman" w:eastAsiaTheme="minorHAnsi" w:hAnsi="Times New Roman"/>
          <w:i/>
          <w:iCs/>
          <w:color w:val="000000"/>
          <w:sz w:val="24"/>
          <w:szCs w:val="24"/>
        </w:rPr>
        <w:t>Krosta</w:t>
      </w:r>
      <w:proofErr w:type="spellEnd"/>
      <w:r w:rsidRPr="00B25E45">
        <w:rPr>
          <w:rFonts w:ascii="Times New Roman" w:eastAsiaTheme="minorHAnsi" w:hAnsi="Times New Roman"/>
          <w:i/>
          <w:iCs/>
          <w:color w:val="000000"/>
          <w:sz w:val="24"/>
          <w:szCs w:val="24"/>
        </w:rPr>
        <w:t xml:space="preserve"> proti Polsku</w:t>
      </w:r>
      <w:r w:rsidRPr="00B25E45">
        <w:rPr>
          <w:rFonts w:ascii="Times New Roman" w:eastAsiaTheme="minorHAnsi" w:hAnsi="Times New Roman"/>
          <w:color w:val="000000"/>
          <w:sz w:val="24"/>
          <w:szCs w:val="24"/>
        </w:rPr>
        <w:t>, č. 36137/04, rozsudek ze dne 2. února 2010, § 50). Rozsah pojmu „občanský“ ve smyslu čl. 6 odst. 1 Úmluvy se však nevztahuje jen k bezprostřednímu předmětu sporu</w:t>
      </w:r>
      <w:r w:rsidR="00931A3F" w:rsidRPr="00B25E45">
        <w:rPr>
          <w:rFonts w:ascii="Times New Roman" w:eastAsiaTheme="minorHAnsi" w:hAnsi="Times New Roman"/>
          <w:color w:val="000000"/>
          <w:sz w:val="24"/>
          <w:szCs w:val="24"/>
        </w:rPr>
        <w:t xml:space="preserve"> a je třeba jej vykládat autonomně, tj. nezávisle na pojetí „občanských“ práv v národním právu</w:t>
      </w:r>
      <w:r w:rsidRPr="00B25E45">
        <w:rPr>
          <w:rFonts w:ascii="Times New Roman" w:eastAsiaTheme="minorHAnsi" w:hAnsi="Times New Roman"/>
          <w:color w:val="000000"/>
          <w:sz w:val="24"/>
          <w:szCs w:val="24"/>
        </w:rPr>
        <w:t xml:space="preserve">. Občanskou povahu mají </w:t>
      </w:r>
      <w:r w:rsidR="00931A3F" w:rsidRPr="00B25E45">
        <w:rPr>
          <w:rFonts w:ascii="Times New Roman" w:eastAsiaTheme="minorHAnsi" w:hAnsi="Times New Roman"/>
          <w:color w:val="000000"/>
          <w:sz w:val="24"/>
          <w:szCs w:val="24"/>
        </w:rPr>
        <w:t>tak i</w:t>
      </w:r>
      <w:r w:rsidRPr="00B25E45">
        <w:rPr>
          <w:rFonts w:ascii="Times New Roman" w:eastAsiaTheme="minorHAnsi" w:hAnsi="Times New Roman"/>
          <w:color w:val="000000"/>
          <w:sz w:val="24"/>
          <w:szCs w:val="24"/>
        </w:rPr>
        <w:t xml:space="preserve"> řízení, jejichž výsledek má nebo může mít významné důsledky na občanská práva nebo závazky účastníka řízení. Tento přístup byl tradičně uplatňován i ve vztahu k řízením, jež mohou z hlediska vnitrostátního práva spadat do oblasti veřejného práva (</w:t>
      </w:r>
      <w:proofErr w:type="spellStart"/>
      <w:r w:rsidRPr="00B25E45">
        <w:rPr>
          <w:rFonts w:ascii="Times New Roman" w:eastAsiaTheme="minorHAnsi" w:hAnsi="Times New Roman"/>
          <w:i/>
          <w:iCs/>
          <w:color w:val="000000"/>
          <w:sz w:val="24"/>
          <w:szCs w:val="24"/>
        </w:rPr>
        <w:t>Denisov</w:t>
      </w:r>
      <w:proofErr w:type="spellEnd"/>
      <w:r w:rsidRPr="00B25E45">
        <w:rPr>
          <w:rFonts w:ascii="Times New Roman" w:eastAsiaTheme="minorHAnsi" w:hAnsi="Times New Roman"/>
          <w:i/>
          <w:iCs/>
          <w:color w:val="000000"/>
          <w:sz w:val="24"/>
          <w:szCs w:val="24"/>
        </w:rPr>
        <w:t xml:space="preserve"> proti Ukrajině</w:t>
      </w:r>
      <w:r w:rsidRPr="00B25E45">
        <w:rPr>
          <w:rFonts w:ascii="Times New Roman" w:eastAsiaTheme="minorHAnsi" w:hAnsi="Times New Roman"/>
          <w:color w:val="000000"/>
          <w:sz w:val="24"/>
          <w:szCs w:val="24"/>
        </w:rPr>
        <w:t xml:space="preserve">, č. 76639/11, rozsudek velkého senátu ze dne 25. září 2018, </w:t>
      </w:r>
      <w:r w:rsidRPr="00B25E45">
        <w:rPr>
          <w:rFonts w:ascii="Times New Roman" w:eastAsiaTheme="minorHAnsi" w:hAnsi="Times New Roman"/>
          <w:sz w:val="24"/>
          <w:szCs w:val="24"/>
        </w:rPr>
        <w:t xml:space="preserve">§ 51). Třetí krok testu </w:t>
      </w:r>
      <w:r w:rsidR="00931A3F" w:rsidRPr="00B25E45">
        <w:rPr>
          <w:rFonts w:ascii="Times New Roman" w:eastAsiaTheme="minorHAnsi" w:hAnsi="Times New Roman"/>
          <w:sz w:val="24"/>
          <w:szCs w:val="24"/>
        </w:rPr>
        <w:t xml:space="preserve">tak </w:t>
      </w:r>
      <w:r w:rsidRPr="00B25E45">
        <w:rPr>
          <w:rFonts w:ascii="Times New Roman" w:eastAsiaTheme="minorHAnsi" w:hAnsi="Times New Roman"/>
          <w:sz w:val="24"/>
          <w:szCs w:val="24"/>
        </w:rPr>
        <w:t>bude splněn typicky tehdy, pokud může mít výsledek zkoumaného řízení pro jeho účastníky majetkové dopady (např. nemožnost vykonávat všechny složky vlastnického práva, ztráta či snížení příjmu, např. v důsledku ztráty zaměstnání či nemožnosti vykonávat určité povolání)</w:t>
      </w:r>
      <w:r w:rsidR="00931A3F" w:rsidRPr="00B25E45">
        <w:rPr>
          <w:rFonts w:ascii="Times New Roman" w:eastAsiaTheme="minorHAnsi" w:hAnsi="Times New Roman"/>
          <w:sz w:val="24"/>
          <w:szCs w:val="24"/>
        </w:rPr>
        <w:t>. Lze shrnout, že pro aplikaci čl. 6 Úmluvy na vnitrostátní řízení je rozhodující dopad daného řízení na občanská práva a závazky stěžovatele, bez ohledu na to, zda tyto dopady mají svůj původ ve sféře soukromého či veřejného práva, respektive zdali se zásahu do občanských práv dopustil subjekt soukromého práva v soukromoprávním styku nebo správní orgán při výkonu veřejné moci.</w:t>
      </w:r>
    </w:p>
    <w:p w14:paraId="1DB6FE3F" w14:textId="77777777" w:rsidR="006940BE" w:rsidRPr="00B25E45" w:rsidRDefault="006940BE" w:rsidP="000F0904">
      <w:pPr>
        <w:pStyle w:val="l3"/>
        <w:spacing w:before="120" w:beforeAutospacing="0" w:after="120" w:afterAutospacing="0" w:line="276" w:lineRule="auto"/>
        <w:jc w:val="both"/>
        <w:rPr>
          <w:i/>
          <w:iCs/>
        </w:rPr>
      </w:pPr>
      <w:r w:rsidRPr="00B25E45">
        <w:rPr>
          <w:i/>
          <w:iCs/>
        </w:rPr>
        <w:t>Blíže k sub (</w:t>
      </w:r>
      <w:proofErr w:type="spellStart"/>
      <w:r w:rsidRPr="00B25E45">
        <w:rPr>
          <w:i/>
          <w:iCs/>
        </w:rPr>
        <w:t>ii</w:t>
      </w:r>
      <w:proofErr w:type="spellEnd"/>
      <w:r w:rsidRPr="00B25E45">
        <w:rPr>
          <w:i/>
          <w:iCs/>
        </w:rPr>
        <w:t>)</w:t>
      </w:r>
    </w:p>
    <w:p w14:paraId="2CA87856" w14:textId="77777777" w:rsidR="006940BE" w:rsidRPr="00B25E45" w:rsidRDefault="006940BE" w:rsidP="000F0904">
      <w:pPr>
        <w:pStyle w:val="l3"/>
        <w:spacing w:before="120" w:beforeAutospacing="0" w:after="120" w:afterAutospacing="0" w:line="276" w:lineRule="auto"/>
        <w:jc w:val="both"/>
      </w:pPr>
      <w:r w:rsidRPr="00B25E45">
        <w:t xml:space="preserve">Z předchozího posouzení vyplývá, že čl. 6 Úmluvy dopadá i na značnou část agendy, kterou v České republice projednávají a rozhodují správní soudy. Otázkou tedy zůstává, zda předložený zákon, kterým se upravuje postup v řízení před těmito soudy, omezuje právo na spravedlivý proces ve smyslu čl. 6 Úmluvy. </w:t>
      </w:r>
    </w:p>
    <w:p w14:paraId="5B22E95B" w14:textId="3A2ACC97" w:rsidR="006940BE" w:rsidRPr="00B25E45" w:rsidRDefault="006940BE" w:rsidP="000F0904">
      <w:pPr>
        <w:pStyle w:val="l3"/>
        <w:spacing w:before="120" w:beforeAutospacing="0" w:after="120" w:afterAutospacing="0" w:line="276" w:lineRule="auto"/>
        <w:jc w:val="both"/>
      </w:pPr>
      <w:r w:rsidRPr="00B25E45">
        <w:t>Již v kapitolách o souladu s ústavním pořádkem a právem Evropské unie bylo naznačeno, že předložený zákon bezpochyby zasahuje do práva na spravedlivý proces. Činí tak řadou opatření, jimiž toto právo účastníků řízení posiluje (např. rozšířením definice osoby zúčastněné na řízení, rozšířením žaloby ve veřejném zájmu podle § 66 s. ř. s. či vyjasněním, že v případě volby nesprávného žalobního typu je správní soud povinen účastníka poučit a stanovit mu přiměřenou lhůtu k opravě).</w:t>
      </w:r>
    </w:p>
    <w:p w14:paraId="0ED549BB" w14:textId="116865BE" w:rsidR="006940BE" w:rsidRPr="00B25E45" w:rsidRDefault="006940BE" w:rsidP="000F0904">
      <w:pPr>
        <w:pStyle w:val="l3"/>
        <w:spacing w:before="120" w:beforeAutospacing="0" w:after="120" w:afterAutospacing="0" w:line="276" w:lineRule="auto"/>
        <w:jc w:val="both"/>
      </w:pPr>
      <w:r w:rsidRPr="00B25E45">
        <w:t xml:space="preserve">Zároveň je však třeba připustit, že návrh zákona v některých novelizačních bodech právo na spravedlivý proces také omezuje. Roviny čl. 6 Úmluvy dosahují především tato dvě opatření, </w:t>
      </w:r>
      <w:r w:rsidRPr="00B25E45">
        <w:lastRenderedPageBreak/>
        <w:t>kterými dochází k zásahu do práva na přístup k soudu, které je nedílnou součástí práva na spravedlivý proces ve smyslu Úmluvy (</w:t>
      </w:r>
      <w:proofErr w:type="spellStart"/>
      <w:r w:rsidRPr="00B25E45">
        <w:rPr>
          <w:i/>
          <w:iCs/>
          <w:color w:val="2C2C2C"/>
        </w:rPr>
        <w:t>Golder</w:t>
      </w:r>
      <w:proofErr w:type="spellEnd"/>
      <w:r w:rsidRPr="00B25E45">
        <w:rPr>
          <w:i/>
          <w:iCs/>
          <w:color w:val="2C2C2C"/>
        </w:rPr>
        <w:t xml:space="preserve"> proti Spojenému království</w:t>
      </w:r>
      <w:r w:rsidRPr="00B25E45">
        <w:rPr>
          <w:color w:val="2C2C2C"/>
        </w:rPr>
        <w:t>, č. 4451/70, rozsudek ze dne 21. února 1975, § 28–36</w:t>
      </w:r>
      <w:r w:rsidRPr="00B25E45">
        <w:t>):</w:t>
      </w:r>
    </w:p>
    <w:p w14:paraId="1036889D" w14:textId="6D13DFE5" w:rsidR="006940BE" w:rsidRPr="00B25E45" w:rsidRDefault="006940BE" w:rsidP="00F6177A">
      <w:pPr>
        <w:pStyle w:val="l3"/>
        <w:numPr>
          <w:ilvl w:val="0"/>
          <w:numId w:val="38"/>
        </w:numPr>
        <w:spacing w:before="120" w:beforeAutospacing="0" w:after="120" w:afterAutospacing="0" w:line="276" w:lineRule="auto"/>
        <w:jc w:val="both"/>
      </w:pPr>
      <w:r w:rsidRPr="00B25E45">
        <w:t>možnost zrychleně odmítnout návrhy a žaloby, které jsou zjevně zneužívající nebo sledují zřejmě bezúspěšné uplatňování nebo bránění práva;</w:t>
      </w:r>
    </w:p>
    <w:p w14:paraId="51078A03" w14:textId="7A183D4B" w:rsidR="006940BE" w:rsidRPr="00B25E45" w:rsidRDefault="006940BE" w:rsidP="00F6177A">
      <w:pPr>
        <w:pStyle w:val="l3"/>
        <w:numPr>
          <w:ilvl w:val="0"/>
          <w:numId w:val="38"/>
        </w:numPr>
        <w:spacing w:before="120" w:beforeAutospacing="0" w:after="120" w:afterAutospacing="0" w:line="276" w:lineRule="auto"/>
        <w:jc w:val="both"/>
      </w:pPr>
      <w:r w:rsidRPr="00B25E45">
        <w:t>rozšíření institutu nepřijatelnosti kasační stížnosti podle § 104a s. ř. s.</w:t>
      </w:r>
    </w:p>
    <w:p w14:paraId="47211882" w14:textId="0EF46627" w:rsidR="006940BE" w:rsidRPr="00B25E45" w:rsidRDefault="006940BE" w:rsidP="000F0904">
      <w:pPr>
        <w:pStyle w:val="l3"/>
        <w:spacing w:before="120" w:beforeAutospacing="0" w:after="120" w:afterAutospacing="0" w:line="276" w:lineRule="auto"/>
        <w:jc w:val="both"/>
        <w:rPr>
          <w:i/>
          <w:iCs/>
        </w:rPr>
      </w:pPr>
      <w:r w:rsidRPr="00B25E45">
        <w:rPr>
          <w:i/>
          <w:iCs/>
        </w:rPr>
        <w:t>Blíže k sub (</w:t>
      </w:r>
      <w:proofErr w:type="spellStart"/>
      <w:r w:rsidRPr="00B25E45">
        <w:rPr>
          <w:i/>
          <w:iCs/>
        </w:rPr>
        <w:t>iii</w:t>
      </w:r>
      <w:proofErr w:type="spellEnd"/>
      <w:r w:rsidRPr="00B25E45">
        <w:rPr>
          <w:i/>
          <w:iCs/>
        </w:rPr>
        <w:t>)</w:t>
      </w:r>
    </w:p>
    <w:p w14:paraId="74399EA9" w14:textId="50FF9C0A" w:rsidR="006940BE" w:rsidRPr="00B25E45" w:rsidRDefault="006940BE" w:rsidP="000F0904">
      <w:pPr>
        <w:pStyle w:val="l3"/>
        <w:spacing w:before="120" w:beforeAutospacing="0" w:after="120" w:afterAutospacing="0" w:line="276" w:lineRule="auto"/>
        <w:jc w:val="both"/>
      </w:pPr>
      <w:r w:rsidRPr="00B25E45">
        <w:t xml:space="preserve">Na tomto místě je nutné zkoumat, zda Evropský soud pro lidská práva připouští, aby bylo do čl. 6 Úmluvy zasaženo omezením práva na přístup k soudu. </w:t>
      </w:r>
    </w:p>
    <w:p w14:paraId="54B25AD9" w14:textId="63BD2A62" w:rsidR="006940BE" w:rsidRPr="00B25E45" w:rsidRDefault="006940BE" w:rsidP="000F0904">
      <w:pPr>
        <w:pStyle w:val="l3"/>
        <w:spacing w:before="120" w:beforeAutospacing="0" w:after="120" w:afterAutospacing="0" w:line="276" w:lineRule="auto"/>
        <w:jc w:val="both"/>
      </w:pPr>
      <w:r w:rsidRPr="00B25E45">
        <w:t>Evropský soud pro lidská práva opakovaně naznal, že právo na spravedlivý proces ve smyslu čl. 6 odst. 1 Úmluvy „</w:t>
      </w:r>
      <w:r w:rsidRPr="00B25E45">
        <w:rPr>
          <w:i/>
          <w:iCs/>
        </w:rPr>
        <w:t>není absolutní a může podléhat omezením; tato omezení jsou povolena z podstaty věci, jelikož právo na přístup k soudu ve své podstatě volá po podrobnější regulaci ze strany státu, přičemž tato regulace se může lišit v místě a čase podle potřeb a zdrojů dané společnosti a jednotlivců“</w:t>
      </w:r>
      <w:r w:rsidRPr="00B25E45">
        <w:t xml:space="preserve"> (např. </w:t>
      </w:r>
      <w:proofErr w:type="spellStart"/>
      <w:r w:rsidRPr="00B25E45">
        <w:rPr>
          <w:i/>
          <w:iCs/>
        </w:rPr>
        <w:t>Lupeni</w:t>
      </w:r>
      <w:proofErr w:type="spellEnd"/>
      <w:r w:rsidRPr="00B25E45">
        <w:rPr>
          <w:i/>
          <w:iCs/>
        </w:rPr>
        <w:t xml:space="preserve"> </w:t>
      </w:r>
      <w:proofErr w:type="spellStart"/>
      <w:r w:rsidRPr="00B25E45">
        <w:rPr>
          <w:i/>
          <w:iCs/>
        </w:rPr>
        <w:t>Greek</w:t>
      </w:r>
      <w:proofErr w:type="spellEnd"/>
      <w:r w:rsidRPr="00B25E45">
        <w:rPr>
          <w:i/>
          <w:iCs/>
        </w:rPr>
        <w:t xml:space="preserve"> </w:t>
      </w:r>
      <w:proofErr w:type="spellStart"/>
      <w:r w:rsidRPr="00B25E45">
        <w:rPr>
          <w:i/>
          <w:iCs/>
        </w:rPr>
        <w:t>Catholic</w:t>
      </w:r>
      <w:proofErr w:type="spellEnd"/>
      <w:r w:rsidRPr="00B25E45">
        <w:rPr>
          <w:i/>
          <w:iCs/>
        </w:rPr>
        <w:t xml:space="preserve"> </w:t>
      </w:r>
      <w:proofErr w:type="spellStart"/>
      <w:r w:rsidRPr="00B25E45">
        <w:rPr>
          <w:i/>
          <w:iCs/>
        </w:rPr>
        <w:t>Parish</w:t>
      </w:r>
      <w:proofErr w:type="spellEnd"/>
      <w:r w:rsidRPr="00B25E45">
        <w:rPr>
          <w:i/>
          <w:iCs/>
        </w:rPr>
        <w:t xml:space="preserve"> a ostatní proti Rumunsku</w:t>
      </w:r>
      <w:r w:rsidRPr="00B25E45">
        <w:t>, č. 76943/11, rozsudek velkého senátu ze dne 29. listopadu 2016, § 89 a tam citovaná judikatura). Je zřejmé, že stejně jako Ústavní soud, i Evropský soud pro lidská práva připouští, že zákon může, ba dokonce musí stanovit podmínky, za nichž je možné právo na spravedlivý proces (a v jeho rámci i právo na přístup k soudu) v daném státě realizovat. Úmluva podle ESLP v případě čl. 6 poskytuje státům určitý prostor pro uvážení, ve kterém se může národní legislativa pohybovat (</w:t>
      </w:r>
      <w:proofErr w:type="spellStart"/>
      <w:r w:rsidRPr="00B25E45">
        <w:rPr>
          <w:i/>
          <w:iCs/>
        </w:rPr>
        <w:t>Stanev</w:t>
      </w:r>
      <w:proofErr w:type="spellEnd"/>
      <w:r w:rsidRPr="00B25E45">
        <w:rPr>
          <w:i/>
          <w:iCs/>
        </w:rPr>
        <w:t xml:space="preserve"> proti Bulharsku</w:t>
      </w:r>
      <w:r w:rsidRPr="00B25E45">
        <w:t>, č. 36760/06, rozsudek ze dne 17. ledna 2012, § 230).</w:t>
      </w:r>
    </w:p>
    <w:p w14:paraId="59542294" w14:textId="4B12F931" w:rsidR="006940BE" w:rsidRPr="00B25E45" w:rsidRDefault="006940BE" w:rsidP="000F0904">
      <w:pPr>
        <w:pStyle w:val="l3"/>
        <w:spacing w:before="120" w:beforeAutospacing="0" w:after="120" w:afterAutospacing="0" w:line="276" w:lineRule="auto"/>
        <w:jc w:val="both"/>
      </w:pPr>
      <w:r w:rsidRPr="00B25E45">
        <w:t>Diskrece států však pochopitelně není neomezená. Právo na spravedlivý proces je velmi důležité pro zajištění funkčního právního státu (</w:t>
      </w:r>
      <w:r w:rsidRPr="00B25E45">
        <w:rPr>
          <w:i/>
          <w:iCs/>
        </w:rPr>
        <w:t xml:space="preserve">Princ Hans-Adam II z Lichtenštejnu proti Německu, </w:t>
      </w:r>
      <w:r w:rsidRPr="00B25E45">
        <w:t>č. 42527/98, rozsudek ze dne 12. července 2001), a jeho případná omezení tudíž musí respektovat určité podmínky. Evropský soud pro lidská práva pro tyto účely dovodil obecné zásady, kter</w:t>
      </w:r>
      <w:r w:rsidR="00931A3F" w:rsidRPr="00B25E45">
        <w:t>é</w:t>
      </w:r>
      <w:r w:rsidRPr="00B25E45">
        <w:t xml:space="preserve"> národní legislativa musí naplňovat, aby byla limitace práva na přístup k soudu ve světle čl. 6 Úmluvy přípustná (srov. např. </w:t>
      </w:r>
      <w:proofErr w:type="spellStart"/>
      <w:r w:rsidRPr="00B25E45">
        <w:rPr>
          <w:i/>
          <w:iCs/>
        </w:rPr>
        <w:t>Fayed</w:t>
      </w:r>
      <w:proofErr w:type="spellEnd"/>
      <w:r w:rsidRPr="00B25E45">
        <w:rPr>
          <w:i/>
          <w:iCs/>
        </w:rPr>
        <w:t xml:space="preserve"> proti Spojenému království</w:t>
      </w:r>
      <w:r w:rsidRPr="00B25E45">
        <w:t xml:space="preserve">, </w:t>
      </w:r>
      <w:r w:rsidR="00931A3F" w:rsidRPr="00B25E45">
        <w:t>cit. výše</w:t>
      </w:r>
      <w:r w:rsidRPr="00B25E45">
        <w:t xml:space="preserve">, § 65, nebo </w:t>
      </w:r>
      <w:proofErr w:type="spellStart"/>
      <w:r w:rsidRPr="00B25E45">
        <w:rPr>
          <w:i/>
          <w:iCs/>
        </w:rPr>
        <w:t>Stanev</w:t>
      </w:r>
      <w:proofErr w:type="spellEnd"/>
      <w:r w:rsidRPr="00B25E45">
        <w:rPr>
          <w:i/>
          <w:iCs/>
        </w:rPr>
        <w:t xml:space="preserve"> proti Bulharsku</w:t>
      </w:r>
      <w:r w:rsidRPr="00B25E45">
        <w:t>, cit. výše, § 230):</w:t>
      </w:r>
    </w:p>
    <w:p w14:paraId="49357BCA" w14:textId="77777777" w:rsidR="006940BE" w:rsidRPr="00B25E45" w:rsidRDefault="006940BE" w:rsidP="00F6177A">
      <w:pPr>
        <w:pStyle w:val="l3"/>
        <w:numPr>
          <w:ilvl w:val="0"/>
          <w:numId w:val="39"/>
        </w:numPr>
        <w:spacing w:before="120" w:beforeAutospacing="0" w:after="120" w:afterAutospacing="0" w:line="276" w:lineRule="auto"/>
        <w:jc w:val="both"/>
      </w:pPr>
      <w:r w:rsidRPr="00B25E45">
        <w:t xml:space="preserve">Zaprvé, zásah nesmí omezit právo jednotlivce na spravedlivý proces takovým způsobem nebo do takové míry, že bude zasažena </w:t>
      </w:r>
      <w:r w:rsidRPr="00B25E45">
        <w:rPr>
          <w:b/>
          <w:bCs/>
        </w:rPr>
        <w:t>samotná podstata tohoto práva</w:t>
      </w:r>
      <w:r w:rsidRPr="00B25E45">
        <w:t>.</w:t>
      </w:r>
    </w:p>
    <w:p w14:paraId="23DACF6C" w14:textId="77777777" w:rsidR="006940BE" w:rsidRPr="00B25E45" w:rsidRDefault="006940BE" w:rsidP="00F6177A">
      <w:pPr>
        <w:pStyle w:val="l3"/>
        <w:numPr>
          <w:ilvl w:val="0"/>
          <w:numId w:val="39"/>
        </w:numPr>
        <w:spacing w:before="120" w:beforeAutospacing="0" w:after="120" w:afterAutospacing="0" w:line="276" w:lineRule="auto"/>
        <w:jc w:val="both"/>
        <w:rPr>
          <w:b/>
          <w:bCs/>
        </w:rPr>
      </w:pPr>
      <w:r w:rsidRPr="00B25E45">
        <w:t xml:space="preserve">Omezení, kterým bylo do práva na spravedlivý proces zasaženo, musí splňovat </w:t>
      </w:r>
      <w:r w:rsidRPr="00B25E45">
        <w:rPr>
          <w:b/>
          <w:bCs/>
        </w:rPr>
        <w:t>legitimní cíl.</w:t>
      </w:r>
    </w:p>
    <w:p w14:paraId="64CE2AE0" w14:textId="2B9819A1" w:rsidR="006940BE" w:rsidRPr="00B25E45" w:rsidRDefault="006940BE" w:rsidP="00F6177A">
      <w:pPr>
        <w:pStyle w:val="l3"/>
        <w:numPr>
          <w:ilvl w:val="0"/>
          <w:numId w:val="39"/>
        </w:numPr>
        <w:spacing w:before="120" w:beforeAutospacing="0" w:after="120" w:afterAutospacing="0" w:line="276" w:lineRule="auto"/>
        <w:jc w:val="both"/>
      </w:pPr>
      <w:r w:rsidRPr="00B25E45">
        <w:t xml:space="preserve">Mezi způsobem omezení a sledovaným cílem musí být konečně rozumný </w:t>
      </w:r>
      <w:r w:rsidRPr="00B25E45">
        <w:rPr>
          <w:b/>
          <w:bCs/>
        </w:rPr>
        <w:t>vztah proporcionality</w:t>
      </w:r>
      <w:r w:rsidRPr="00B25E45">
        <w:t>.</w:t>
      </w:r>
      <w:r w:rsidRPr="00B25E45">
        <w:rPr>
          <w:rStyle w:val="Znakapoznpodarou"/>
        </w:rPr>
        <w:footnoteReference w:id="7"/>
      </w:r>
    </w:p>
    <w:p w14:paraId="149D1024" w14:textId="627AB8A6" w:rsidR="006940BE" w:rsidRPr="00B25E45" w:rsidRDefault="006940BE" w:rsidP="000F0904">
      <w:pPr>
        <w:pStyle w:val="l3"/>
        <w:spacing w:before="120" w:beforeAutospacing="0" w:after="120" w:afterAutospacing="0" w:line="276" w:lineRule="auto"/>
        <w:jc w:val="both"/>
        <w:rPr>
          <w:color w:val="000000"/>
        </w:rPr>
      </w:pPr>
      <w:r w:rsidRPr="00B25E45">
        <w:lastRenderedPageBreak/>
        <w:t>V souvislosti s přístupem k opravným prostředkům proti rozhodnutí soudu prvního stupně je dále třeba připomenout, že z čl. 6 odst. 1 Úmluvy nevyplývá podle ESLP pro státy povinnost zajistit přístup k odvolání nebo kasační stížnosti. Pokud však národní právní řád takový prostředek účastníkům nabízí, pravidla řízení o tomto opravném prostředku musí respektovat ustanovení čl. 6 odst. 1 Úmluvy, zejména obecné zásady práva na přístup k soudu (</w:t>
      </w:r>
      <w:proofErr w:type="spellStart"/>
      <w:r w:rsidRPr="00B25E45">
        <w:rPr>
          <w:i/>
          <w:iCs/>
        </w:rPr>
        <w:t>Andrejeva</w:t>
      </w:r>
      <w:proofErr w:type="spellEnd"/>
      <w:r w:rsidRPr="00B25E45">
        <w:rPr>
          <w:i/>
          <w:iCs/>
        </w:rPr>
        <w:t xml:space="preserve"> proti Lotyšsku</w:t>
      </w:r>
      <w:r w:rsidRPr="00B25E45">
        <w:t>, č. 55707/00, rozsudek velkého senátu ze dne 18. února 2009, § 97). Na druhou stranu ESLP připouští, že při posuzování řízení před vrcholnými soudy je nutné brát v úvahu i roli těchto soudů. Pravidla přístupu k opravnému prostředku tak mohou být přísnější než u prvoinstančních prostředků nápravy (</w:t>
      </w:r>
      <w:proofErr w:type="spellStart"/>
      <w:r w:rsidRPr="00B25E45">
        <w:rPr>
          <w:i/>
          <w:iCs/>
        </w:rPr>
        <w:t>Zubac</w:t>
      </w:r>
      <w:proofErr w:type="spellEnd"/>
      <w:r w:rsidRPr="00B25E45">
        <w:rPr>
          <w:i/>
          <w:iCs/>
        </w:rPr>
        <w:t xml:space="preserve"> proti Chorvatsku</w:t>
      </w:r>
      <w:r w:rsidRPr="00B25E45">
        <w:t>, č. 40160/12, rozsudek ze dne 5.</w:t>
      </w:r>
      <w:r w:rsidR="00931A3F" w:rsidRPr="00B25E45">
        <w:t> </w:t>
      </w:r>
      <w:r w:rsidRPr="00B25E45">
        <w:t xml:space="preserve">dubna 2018, § 82; srov. také </w:t>
      </w:r>
      <w:proofErr w:type="spellStart"/>
      <w:r w:rsidRPr="00B25E45">
        <w:rPr>
          <w:i/>
          <w:iCs/>
        </w:rPr>
        <w:t>Wnuk</w:t>
      </w:r>
      <w:proofErr w:type="spellEnd"/>
      <w:r w:rsidRPr="00B25E45">
        <w:rPr>
          <w:i/>
          <w:iCs/>
        </w:rPr>
        <w:t xml:space="preserve"> proti Polsku</w:t>
      </w:r>
      <w:r w:rsidRPr="00B25E45">
        <w:t xml:space="preserve">, č. 38308/05, rozhodnutí ze dne 1. září 2009, pokud jde o mírnější požadavky na odůvodnění odmítnutí mimořádného opravného prostředku). </w:t>
      </w:r>
    </w:p>
    <w:p w14:paraId="6880EA46" w14:textId="77777777" w:rsidR="006940BE" w:rsidRPr="00B25E45" w:rsidRDefault="006940BE" w:rsidP="000F0904">
      <w:pPr>
        <w:pStyle w:val="l3"/>
        <w:spacing w:before="120" w:beforeAutospacing="0" w:after="120" w:afterAutospacing="0" w:line="276" w:lineRule="auto"/>
        <w:jc w:val="both"/>
        <w:rPr>
          <w:i/>
          <w:iCs/>
        </w:rPr>
      </w:pPr>
      <w:r w:rsidRPr="00B25E45">
        <w:rPr>
          <w:i/>
          <w:iCs/>
        </w:rPr>
        <w:t>Blíže k sub (</w:t>
      </w:r>
      <w:proofErr w:type="spellStart"/>
      <w:r w:rsidRPr="00B25E45">
        <w:rPr>
          <w:i/>
          <w:iCs/>
        </w:rPr>
        <w:t>iv</w:t>
      </w:r>
      <w:proofErr w:type="spellEnd"/>
      <w:r w:rsidRPr="00B25E45">
        <w:rPr>
          <w:i/>
          <w:iCs/>
        </w:rPr>
        <w:t>)</w:t>
      </w:r>
    </w:p>
    <w:p w14:paraId="3F017DDA" w14:textId="50BDFADC" w:rsidR="006940BE" w:rsidRPr="00B25E45" w:rsidRDefault="006940BE" w:rsidP="000F0904">
      <w:pPr>
        <w:spacing w:before="120"/>
        <w:jc w:val="both"/>
        <w:rPr>
          <w:rFonts w:ascii="Times New Roman" w:hAnsi="Times New Roman"/>
          <w:sz w:val="24"/>
          <w:szCs w:val="24"/>
        </w:rPr>
      </w:pPr>
      <w:r w:rsidRPr="00B25E45">
        <w:rPr>
          <w:rFonts w:ascii="Times New Roman" w:hAnsi="Times New Roman"/>
          <w:sz w:val="24"/>
          <w:szCs w:val="24"/>
        </w:rPr>
        <w:t xml:space="preserve">Bylo zjištěno, že právo na spravedlivý proces může být předmětem omezení, přičemž Česká republika může využít určitou míru diskrece, jak pravidla limitace </w:t>
      </w:r>
      <w:r w:rsidR="00931A3F" w:rsidRPr="00B25E45">
        <w:rPr>
          <w:rFonts w:ascii="Times New Roman" w:hAnsi="Times New Roman"/>
          <w:sz w:val="24"/>
          <w:szCs w:val="24"/>
        </w:rPr>
        <w:t xml:space="preserve">na vnitrostátní úrovni </w:t>
      </w:r>
      <w:r w:rsidRPr="00B25E45">
        <w:rPr>
          <w:rFonts w:ascii="Times New Roman" w:hAnsi="Times New Roman"/>
          <w:sz w:val="24"/>
          <w:szCs w:val="24"/>
        </w:rPr>
        <w:t>nastavit. Obě opatření navrhovaná v tomto zákoně, kterými je zasahováno do práva na spravedlivý proces, respektive práva na přístup k soudu jakožto jeho inherentní součásti, pak nebudou v rozporu s čl. 6 odst. 1 Úmluvy za podmínky, že naplňují obecné zásady stanovené v rozhodovací praxi ESLP.</w:t>
      </w:r>
    </w:p>
    <w:p w14:paraId="3745EB0A" w14:textId="77777777" w:rsidR="006940BE" w:rsidRPr="00B25E45" w:rsidRDefault="006940BE" w:rsidP="000F0904">
      <w:pPr>
        <w:spacing w:before="120"/>
        <w:jc w:val="both"/>
        <w:rPr>
          <w:rFonts w:ascii="Times New Roman" w:hAnsi="Times New Roman"/>
          <w:sz w:val="24"/>
          <w:szCs w:val="24"/>
        </w:rPr>
      </w:pPr>
      <w:r w:rsidRPr="00B25E45">
        <w:rPr>
          <w:rFonts w:ascii="Times New Roman" w:hAnsi="Times New Roman"/>
          <w:b/>
          <w:bCs/>
          <w:sz w:val="24"/>
          <w:szCs w:val="24"/>
        </w:rPr>
        <w:t>První opatření zasahuje do práva na přístup k soudu v těch situacích, kdy navrhovatel sleduje svým návrhem zjevné zneužití práva na přístup k soudu nebo je podaná žaloba zcela zjevně neopodstatněná</w:t>
      </w:r>
      <w:r w:rsidRPr="00B25E45">
        <w:rPr>
          <w:rFonts w:ascii="Times New Roman" w:hAnsi="Times New Roman"/>
          <w:sz w:val="24"/>
          <w:szCs w:val="24"/>
        </w:rPr>
        <w:t xml:space="preserve">.  </w:t>
      </w:r>
    </w:p>
    <w:p w14:paraId="1056A61E" w14:textId="77777777" w:rsidR="006940BE" w:rsidRPr="00B25E45" w:rsidRDefault="006940BE" w:rsidP="00F6177A">
      <w:pPr>
        <w:pStyle w:val="Odstavecseseznamem"/>
        <w:keepNext w:val="0"/>
        <w:numPr>
          <w:ilvl w:val="0"/>
          <w:numId w:val="40"/>
        </w:numPr>
        <w:spacing w:before="120" w:after="120" w:line="276" w:lineRule="auto"/>
        <w:ind w:right="0"/>
        <w:contextualSpacing/>
        <w:jc w:val="both"/>
      </w:pPr>
      <w:r w:rsidRPr="00B25E45">
        <w:t>K tomu lze uvést, že takové opatření nemůže nikdy zasáhnout do samotné podstaty práva na spravedlivý proces. Už jen z toho důvodu, že osoba, která se ochrany domáhá, ve skutečnosti nesleduje legitimní cíl ochrany svých veřejných subjektivních práv, ale usiluje o šikanu nebo si je vědoma toho, že návrh, který podává, nemá žádnou naději na úspěch. Jak ostatně zdůrazňuje sám ESLP (</w:t>
      </w:r>
      <w:proofErr w:type="spellStart"/>
      <w:r w:rsidRPr="00B25E45">
        <w:rPr>
          <w:i/>
          <w:iCs/>
        </w:rPr>
        <w:t>Stanev</w:t>
      </w:r>
      <w:proofErr w:type="spellEnd"/>
      <w:r w:rsidRPr="00B25E45">
        <w:rPr>
          <w:i/>
          <w:iCs/>
        </w:rPr>
        <w:t xml:space="preserve"> proti Bulharsku</w:t>
      </w:r>
      <w:r w:rsidRPr="00B25E45">
        <w:t>, cit. výše, § 231), Úmluva si klade za cíl poskytnout reálnou a skutečnou ochranu – a v případech, kdy samotnému navrhovateli o tuto ochranu ve skutečnosti nejde, neboť sleduje svým návrhem jiné cíle, nemůže být do podstaty práva zaručeného Úmluvou zasaženo.</w:t>
      </w:r>
    </w:p>
    <w:p w14:paraId="672F8B50" w14:textId="77777777" w:rsidR="006940BE" w:rsidRPr="00B25E45" w:rsidRDefault="006940BE" w:rsidP="00F6177A">
      <w:pPr>
        <w:pStyle w:val="Odstavecseseznamem"/>
        <w:keepNext w:val="0"/>
        <w:numPr>
          <w:ilvl w:val="0"/>
          <w:numId w:val="40"/>
        </w:numPr>
        <w:spacing w:before="120" w:after="120" w:line="276" w:lineRule="auto"/>
        <w:ind w:right="0"/>
        <w:contextualSpacing/>
        <w:jc w:val="both"/>
      </w:pPr>
      <w:r w:rsidRPr="00B25E45">
        <w:t xml:space="preserve">Uvedené opatření sleduje zjevné legitimní cíle, kterými je efektivita a hospodárnost řízení ve správním soudnictví. Je třeba si uvědomit, že kapacita správních soudů je nutně omezená a z rozpočtových důvodů není možné ji navyšovat do nekonečna. V reakci na poznatky z praxe usiluje opatření o to, aby správní soudy byly </w:t>
      </w:r>
      <w:proofErr w:type="spellStart"/>
      <w:r w:rsidRPr="00B25E45">
        <w:t>odbřemeněny</w:t>
      </w:r>
      <w:proofErr w:type="spellEnd"/>
      <w:r w:rsidRPr="00B25E45">
        <w:t xml:space="preserve"> od zjevně neopodstatněných či dokonce zneužívajících návrhů. Uvolněnou kapacitu budou následně moci v plném rozsahu věnovat návrhům, které jsou legitimní a jimiž účastníci sledují skutečnou ochranu svých veřejných subjektivních práv.</w:t>
      </w:r>
    </w:p>
    <w:p w14:paraId="260061AB" w14:textId="55E8C6A5" w:rsidR="006940BE" w:rsidRPr="00B25E45" w:rsidRDefault="006940BE" w:rsidP="00F6177A">
      <w:pPr>
        <w:pStyle w:val="Odstavecseseznamem"/>
        <w:keepNext w:val="0"/>
        <w:numPr>
          <w:ilvl w:val="0"/>
          <w:numId w:val="40"/>
        </w:numPr>
        <w:spacing w:before="120" w:after="120" w:line="276" w:lineRule="auto"/>
        <w:ind w:right="0"/>
        <w:contextualSpacing/>
        <w:jc w:val="both"/>
      </w:pPr>
      <w:r w:rsidRPr="00B25E45">
        <w:t xml:space="preserve">Navrhované opatření je konečně vzhledem ke sledovanému cíli přiměřené. Dosavadní nástroje soudního řádu správního, které lze považovat za mírnější (např. soudní poplatky), se totiž ukazují jako nedostatečné. Opatření tak reaguje na praktické </w:t>
      </w:r>
      <w:r w:rsidRPr="00B25E45">
        <w:lastRenderedPageBreak/>
        <w:t>poznatky správních soudů</w:t>
      </w:r>
      <w:r w:rsidR="00931A3F" w:rsidRPr="00B25E45">
        <w:t>,</w:t>
      </w:r>
      <w:r w:rsidRPr="00B25E45">
        <w:rPr>
          <w:rStyle w:val="Znakapoznpodarou"/>
        </w:rPr>
        <w:footnoteReference w:id="8"/>
      </w:r>
      <w:r w:rsidRPr="00B25E45">
        <w:t xml:space="preserve"> podle nichž vybraní sudiči vedou proti správním orgánům u správních soudů i stovky řízení, přičemž žádný z návrhů nesleduje skutečnou ochranu práv. Tito jednotlivci pak mají potenciál vytížit kapacitu celého soudu</w:t>
      </w:r>
      <w:r w:rsidR="00931A3F" w:rsidRPr="00B25E45">
        <w:t xml:space="preserve"> a brání </w:t>
      </w:r>
      <w:r w:rsidRPr="00B25E45">
        <w:t>mu v tom, aby poskytoval ochranu ostatním žalobcům v přiměřené lhůtě.</w:t>
      </w:r>
    </w:p>
    <w:p w14:paraId="77AF9C48" w14:textId="77777777" w:rsidR="006940BE" w:rsidRPr="00B25E45" w:rsidRDefault="006940BE" w:rsidP="000F0904">
      <w:pPr>
        <w:spacing w:before="120"/>
        <w:jc w:val="both"/>
        <w:rPr>
          <w:rFonts w:ascii="Times New Roman" w:hAnsi="Times New Roman"/>
          <w:sz w:val="24"/>
          <w:szCs w:val="24"/>
        </w:rPr>
      </w:pPr>
      <w:r w:rsidRPr="00B25E45">
        <w:rPr>
          <w:rFonts w:ascii="Times New Roman" w:hAnsi="Times New Roman"/>
          <w:b/>
          <w:bCs/>
          <w:sz w:val="24"/>
          <w:szCs w:val="24"/>
        </w:rPr>
        <w:t>Druhé opatření omezuje právo na přístup k Nejvyššímu správnímu soudu tím, že rozšiřuje kategorii nepřijatelnosti kasační stížnosti na všechna řízení před správními soudy, kde je kasační stížnost dnes přípustná.</w:t>
      </w:r>
    </w:p>
    <w:p w14:paraId="270B7B15" w14:textId="5ED50E96" w:rsidR="006940BE" w:rsidRPr="00B25E45" w:rsidRDefault="006940BE" w:rsidP="00F6177A">
      <w:pPr>
        <w:pStyle w:val="Odstavecseseznamem"/>
        <w:keepNext w:val="0"/>
        <w:numPr>
          <w:ilvl w:val="0"/>
          <w:numId w:val="40"/>
        </w:numPr>
        <w:spacing w:before="120" w:after="120" w:line="276" w:lineRule="auto"/>
        <w:ind w:right="0"/>
        <w:contextualSpacing/>
        <w:jc w:val="both"/>
      </w:pPr>
      <w:r w:rsidRPr="00B25E45">
        <w:t>Navrhované opatření omezuje přístup k mimořádnému opravnému prostředku, nicméně nedosahuje takové míry, že by zasahovalo do samotné podstaty tohoto práva. Ostatně není bez významu, že institut nepřijatelnosti kasační stížnosti je v právním řádu zaveden již téměř 20 let, přičemž před třemi lety došlo k jeho dalšímu rozšíření, jelikož se v praxi osvědčil. Dosud se přitom pravidlo nezpochybňuje ani z pohledu práva ústavního, ani z pohledu čl. 6 Úmluvy. Jak bylo zmíněno již výše, pokud jde o mimořádné prostředky nápravy, jako je kasační stížnost, požívají státy vyšší míru diskrece (</w:t>
      </w:r>
      <w:proofErr w:type="spellStart"/>
      <w:r w:rsidRPr="00B25E45">
        <w:rPr>
          <w:i/>
          <w:iCs/>
        </w:rPr>
        <w:t>Zubac</w:t>
      </w:r>
      <w:proofErr w:type="spellEnd"/>
      <w:r w:rsidRPr="00B25E45">
        <w:rPr>
          <w:i/>
          <w:iCs/>
        </w:rPr>
        <w:t xml:space="preserve"> proti Chorvatsku</w:t>
      </w:r>
      <w:r w:rsidRPr="00B25E45">
        <w:t xml:space="preserve">, cit. výše, § 82). Ostatně i případy, kdy je opravný prostředek vyloučen úplně, shledal ESLP jako souladné s Úmluvou (např. z důvodu nízké hodnoty předmětu sporu – viz </w:t>
      </w:r>
      <w:proofErr w:type="spellStart"/>
      <w:r w:rsidRPr="00B25E45">
        <w:rPr>
          <w:i/>
          <w:iCs/>
        </w:rPr>
        <w:t>Jovanović</w:t>
      </w:r>
      <w:proofErr w:type="spellEnd"/>
      <w:r w:rsidRPr="00B25E45">
        <w:rPr>
          <w:i/>
          <w:iCs/>
        </w:rPr>
        <w:t xml:space="preserve"> proti Srbsku</w:t>
      </w:r>
      <w:r w:rsidRPr="00B25E45">
        <w:t>, č. 32299/08, rozsudek ze dne 2. října 2012, § 48). Je třeba vnímat, že účastník měl k dispozici již celý jeden stupeň řízení, ve kterém krajský soud ve správním soudnictví posuzoval celý případ v úplné jurisdikci, z pohledu právních i skutkových otázek.</w:t>
      </w:r>
    </w:p>
    <w:p w14:paraId="7E7D9118" w14:textId="27FD13DD" w:rsidR="006940BE" w:rsidRPr="00B25E45" w:rsidRDefault="006940BE" w:rsidP="00F6177A">
      <w:pPr>
        <w:pStyle w:val="Odstavecseseznamem"/>
        <w:keepNext w:val="0"/>
        <w:numPr>
          <w:ilvl w:val="0"/>
          <w:numId w:val="40"/>
        </w:numPr>
        <w:spacing w:before="120" w:after="120" w:line="276" w:lineRule="auto"/>
        <w:ind w:right="0"/>
        <w:contextualSpacing/>
        <w:jc w:val="both"/>
      </w:pPr>
      <w:r w:rsidRPr="00B25E45">
        <w:t>Navrhované opatření dále sleduje legitimní cíle, kterými je snaha o zrychlení řízení před Nejvyšším správním soudem a posílení sjednocovací funkce tohoto soudu. Řízení na Nejvyšším správním soudu nyní trvají dlouho, což se negativně projevuje na celkové délce řízení ve správním soudnictví.</w:t>
      </w:r>
      <w:r w:rsidRPr="00B25E45">
        <w:rPr>
          <w:rStyle w:val="Znakapoznpodarou"/>
        </w:rPr>
        <w:footnoteReference w:id="9"/>
      </w:r>
      <w:r w:rsidRPr="00B25E45">
        <w:t xml:space="preserve"> Trpí tím rychlost, s níž jsou soudy v této agendě schopny poskytovat přístup ke spravedlnosti. To nabourává jinak dobrou pověst správních soudů, a v konečném důsledku také důvěru společnosti v celou justici jako takovou. Délka řízení před Nejvyšším správním soudem přitom přímo souvisí s jeho vytížením. Zatímco mezi roky 2008 až 2016 nápad za rok osciloval mezi 2000 a 3000 kasačních stížností, od roku 2016 do současnosti je patrn</w:t>
      </w:r>
      <w:r w:rsidR="00931A3F" w:rsidRPr="00B25E45">
        <w:t>é</w:t>
      </w:r>
      <w:r w:rsidRPr="00B25E45">
        <w:t xml:space="preserve"> znatelné zvýšení nápadu, kdy v posledních letech se NSS musel pravidelně vypořádat s počtem přesahujícím 4 000 kasačních stížností</w:t>
      </w:r>
      <w:r w:rsidR="00931A3F" w:rsidRPr="00B25E45">
        <w:t xml:space="preserve"> ročně</w:t>
      </w:r>
      <w:r w:rsidRPr="00B25E45">
        <w:t xml:space="preserve"> (např. srovnáme-li počet kasačních stížností v roce 2010, tj. 2213, a v roce 2019, tj. 4261, jde téměř o zdvojnásobení nápadu).</w:t>
      </w:r>
      <w:r w:rsidRPr="00B25E45">
        <w:rPr>
          <w:rStyle w:val="Znakapoznpodarou"/>
        </w:rPr>
        <w:footnoteReference w:id="10"/>
      </w:r>
      <w:r w:rsidRPr="00B25E45">
        <w:t xml:space="preserve"> Aktuálně se Nejvyšší správní soud musí se všemi případy zabývat meritorně, nespadají-li právě do </w:t>
      </w:r>
      <w:r w:rsidRPr="00B25E45">
        <w:lastRenderedPageBreak/>
        <w:t xml:space="preserve">§ 104a s. ř. s. v platném znění. </w:t>
      </w:r>
      <w:r w:rsidR="00ED0109" w:rsidRPr="00B25E45">
        <w:t>Dosavadní n</w:t>
      </w:r>
      <w:r w:rsidRPr="00B25E45">
        <w:t>astavení kasační stížnosti je tedy možné považovat za velmi otevřené a benevolentní, čímž úprava do určité míry popírá skutečnost, že jde o mimořádný prostředek nápravy.</w:t>
      </w:r>
    </w:p>
    <w:p w14:paraId="323435F6" w14:textId="352D78DF" w:rsidR="006940BE" w:rsidRPr="00B25E45" w:rsidRDefault="006940BE" w:rsidP="00F6177A">
      <w:pPr>
        <w:pStyle w:val="Odstavecseseznamem"/>
        <w:keepNext w:val="0"/>
        <w:numPr>
          <w:ilvl w:val="0"/>
          <w:numId w:val="40"/>
        </w:numPr>
        <w:spacing w:before="120" w:after="120" w:line="276" w:lineRule="auto"/>
        <w:ind w:right="0"/>
        <w:contextualSpacing/>
        <w:jc w:val="both"/>
      </w:pPr>
      <w:r w:rsidRPr="00B25E45">
        <w:t>Vytížení Nejvyššího správního soudu se však nepromítá jen do délek konkrétní</w:t>
      </w:r>
      <w:r w:rsidR="00931A3F" w:rsidRPr="00B25E45">
        <w:t>ch</w:t>
      </w:r>
      <w:r w:rsidRPr="00B25E45">
        <w:t xml:space="preserve"> řízení, ale celkově vede k tomu, že případná nejednotnost judikatury krajských soudů není včas sjednocována. Účastníci řízení tak mohou být delší dobu v nejistotě, jak bude jejich případ posouzen, nebo dokonce může docházet k tomu, že se rozhodovací praxe mezi krajskými soudy zásadněji </w:t>
      </w:r>
      <w:proofErr w:type="gramStart"/>
      <w:r w:rsidRPr="00B25E45">
        <w:t>liší</w:t>
      </w:r>
      <w:proofErr w:type="gramEnd"/>
      <w:r w:rsidRPr="00B25E45">
        <w:t xml:space="preserve"> a tuto odlišnost není možné včas odstranit, což může oslabovat důvěru ve spravedlnost a zpochybňovat rozhodování správních soudů v obdobných případech.</w:t>
      </w:r>
    </w:p>
    <w:p w14:paraId="1806FC1B" w14:textId="6A1EFCB9" w:rsidR="006940BE" w:rsidRPr="00B25E45" w:rsidRDefault="006940BE" w:rsidP="00F6177A">
      <w:pPr>
        <w:pStyle w:val="Odstavecseseznamem"/>
        <w:keepNext w:val="0"/>
        <w:numPr>
          <w:ilvl w:val="0"/>
          <w:numId w:val="40"/>
        </w:numPr>
        <w:spacing w:before="120" w:after="120" w:line="276" w:lineRule="auto"/>
        <w:ind w:right="0"/>
        <w:contextualSpacing/>
        <w:jc w:val="both"/>
      </w:pPr>
      <w:r w:rsidRPr="00B25E45">
        <w:t>Pokud se posílí role Nejvyššího správního soudu jako vrcholového tělesa soustavy správních soudů, který rozhoduje jen o mimořádném opravném prostředku tam, kde daná věc přesahuje zájmy jednotlivce</w:t>
      </w:r>
      <w:r w:rsidR="00931A3F" w:rsidRPr="00B25E45">
        <w:t xml:space="preserve"> (</w:t>
      </w:r>
      <w:r w:rsidRPr="00B25E45">
        <w:t>zejména je-li rozhodnutí Nejvyššího správního soudu nutné v zájmu sjednocení roztříštěné judikatury nebo k řešení systémových problém</w:t>
      </w:r>
      <w:r w:rsidR="00ED0109" w:rsidRPr="00B25E45">
        <w:t>ů</w:t>
      </w:r>
      <w:r w:rsidRPr="00B25E45">
        <w:t xml:space="preserve"> v postupu správních orgánů</w:t>
      </w:r>
      <w:r w:rsidR="00931A3F" w:rsidRPr="00B25E45">
        <w:t>)</w:t>
      </w:r>
      <w:r w:rsidRPr="00B25E45">
        <w:t>, pak lze zaručit, že řízení před NSS se celkově zrychlí</w:t>
      </w:r>
      <w:r w:rsidR="00931A3F" w:rsidRPr="00B25E45">
        <w:t xml:space="preserve">. Ruku v ruce s tím se </w:t>
      </w:r>
      <w:r w:rsidR="00ED0109" w:rsidRPr="00B25E45">
        <w:t>urychlí</w:t>
      </w:r>
      <w:r w:rsidRPr="00B25E45">
        <w:t xml:space="preserve"> také řešení roztříštěnosti judikatury </w:t>
      </w:r>
      <w:r w:rsidR="00ED0109" w:rsidRPr="00B25E45">
        <w:t>krajských</w:t>
      </w:r>
      <w:r w:rsidRPr="00B25E45">
        <w:t xml:space="preserve"> soudů</w:t>
      </w:r>
      <w:r w:rsidR="00931A3F" w:rsidRPr="00B25E45">
        <w:t xml:space="preserve"> a </w:t>
      </w:r>
      <w:r w:rsidRPr="00B25E45">
        <w:t xml:space="preserve">v konečném důsledku </w:t>
      </w:r>
      <w:r w:rsidR="00931A3F" w:rsidRPr="00B25E45">
        <w:t>bude posílena</w:t>
      </w:r>
      <w:r w:rsidRPr="00B25E45">
        <w:t xml:space="preserve"> důvěra společnosti ve správní soudy a justici jako takovou.</w:t>
      </w:r>
    </w:p>
    <w:p w14:paraId="1C99779C" w14:textId="2C7E654F" w:rsidR="00867174" w:rsidRPr="00B25E45" w:rsidRDefault="00931A3F" w:rsidP="00F6177A">
      <w:pPr>
        <w:pStyle w:val="Odstavecseseznamem"/>
        <w:keepNext w:val="0"/>
        <w:numPr>
          <w:ilvl w:val="0"/>
          <w:numId w:val="40"/>
        </w:numPr>
        <w:spacing w:before="120" w:after="120" w:line="276" w:lineRule="auto"/>
        <w:ind w:right="0"/>
        <w:contextualSpacing/>
        <w:jc w:val="both"/>
      </w:pPr>
      <w:r w:rsidRPr="00B25E45">
        <w:t>O</w:t>
      </w:r>
      <w:r w:rsidR="006940BE" w:rsidRPr="00B25E45">
        <w:t xml:space="preserve">mezení na půdorysu nepřijatelnosti je třeba odlišit od </w:t>
      </w:r>
      <w:r w:rsidR="00ED0109" w:rsidRPr="00B25E45">
        <w:t>problematického postupu českých soudů v souvislosti s nenárokovým dovolání</w:t>
      </w:r>
      <w:r w:rsidRPr="00B25E45">
        <w:t>m po</w:t>
      </w:r>
      <w:r w:rsidR="00ED0109" w:rsidRPr="00B25E45">
        <w:t>dle občanského soudního řádu</w:t>
      </w:r>
      <w:r w:rsidR="006940BE" w:rsidRPr="00B25E45">
        <w:t>, kterým se ESLP zabýval např. v </w:t>
      </w:r>
      <w:r w:rsidR="00ED0109" w:rsidRPr="00B25E45">
        <w:t>rozsudku</w:t>
      </w:r>
      <w:r w:rsidR="006940BE" w:rsidRPr="00B25E45">
        <w:t xml:space="preserve"> </w:t>
      </w:r>
      <w:r w:rsidR="006940BE" w:rsidRPr="00B25E45">
        <w:rPr>
          <w:i/>
          <w:iCs/>
        </w:rPr>
        <w:t xml:space="preserve">Vodárenská akciová </w:t>
      </w:r>
      <w:r w:rsidR="00ED0109" w:rsidRPr="00B25E45">
        <w:rPr>
          <w:i/>
          <w:iCs/>
        </w:rPr>
        <w:t xml:space="preserve">společnost, a. s. </w:t>
      </w:r>
      <w:r w:rsidR="006940BE" w:rsidRPr="00B25E45">
        <w:rPr>
          <w:i/>
          <w:iCs/>
        </w:rPr>
        <w:t xml:space="preserve">proti České republice </w:t>
      </w:r>
      <w:r w:rsidR="006940BE" w:rsidRPr="00B25E45">
        <w:t>(</w:t>
      </w:r>
      <w:r w:rsidR="00ED0109" w:rsidRPr="00B25E45">
        <w:t>č. 73577/01, rozsud</w:t>
      </w:r>
      <w:r w:rsidRPr="00B25E45">
        <w:t xml:space="preserve">ek </w:t>
      </w:r>
      <w:r w:rsidR="00ED0109" w:rsidRPr="00B25E45">
        <w:t>ze dne 24. února 2004</w:t>
      </w:r>
      <w:r w:rsidR="006940BE" w:rsidRPr="00B25E45">
        <w:t xml:space="preserve">). </w:t>
      </w:r>
      <w:r w:rsidR="00ED0109" w:rsidRPr="00B25E45">
        <w:t>V tomto případě došlo k porušení práva na přístup k soudu nikoliv samotnou úpravou nenárokového dovolání, nýbrž praxí, která se vyvinula zejména u Ústavního soudu. Ústavní soud totiž na straně jedné odmítal ústavní stížnosti pro nevyčerpání opravných prostředků, pokud někdo podal stížnost rovnou proti rozhodnutí soudu druhé stupně bez ohledu na výsledek dovolacího řízení. Zároveň však na straně druhé odmítal také ústavní stížnosti jako opožděné, pokud stěžovatel naopak vyčkával na výsledek řízení o dovolání a Nejvyšší soud následně dospěl k závěru, že dovolání bylo nepřípustné.</w:t>
      </w:r>
      <w:r w:rsidR="00867174" w:rsidRPr="00B25E45">
        <w:rPr>
          <w:rStyle w:val="Znakapoznpodarou"/>
        </w:rPr>
        <w:footnoteReference w:id="11"/>
      </w:r>
      <w:r w:rsidR="00867174" w:rsidRPr="00B25E45">
        <w:t xml:space="preserve"> Jak nicméně potvrdil i sám Evropský soud pro lidská práva ve věcech </w:t>
      </w:r>
      <w:r w:rsidR="00867174" w:rsidRPr="00B25E45">
        <w:rPr>
          <w:i/>
          <w:iCs/>
        </w:rPr>
        <w:t>Červenka proti České republice</w:t>
      </w:r>
      <w:r w:rsidR="00867174" w:rsidRPr="00B25E45">
        <w:t xml:space="preserve"> (rozhodnutí ze dne 8. března 2011, č. 51201/07) a </w:t>
      </w:r>
      <w:proofErr w:type="spellStart"/>
      <w:r w:rsidR="00867174" w:rsidRPr="00B25E45">
        <w:rPr>
          <w:i/>
          <w:iCs/>
        </w:rPr>
        <w:t>Ryjáček</w:t>
      </w:r>
      <w:proofErr w:type="spellEnd"/>
      <w:r w:rsidR="00867174" w:rsidRPr="00B25E45">
        <w:rPr>
          <w:i/>
          <w:iCs/>
        </w:rPr>
        <w:t xml:space="preserve"> proti České republice</w:t>
      </w:r>
      <w:r w:rsidR="00867174" w:rsidRPr="00B25E45">
        <w:t xml:space="preserve"> (rozhodnutí ze dne 8. března 2011, č. 51619/07), takováto praxe se při posuzování včasnosti ústavní stížnosti </w:t>
      </w:r>
      <w:r w:rsidRPr="00B25E45">
        <w:t>směřující proti rozhodnutím soudů ve správním soudnictví (tj. souběh ústavní a kasační stížnosti)</w:t>
      </w:r>
      <w:r w:rsidR="00867174" w:rsidRPr="00B25E45">
        <w:t xml:space="preserve"> </w:t>
      </w:r>
      <w:r w:rsidRPr="00B25E45">
        <w:t>nevyskytuje</w:t>
      </w:r>
      <w:r w:rsidR="00867174" w:rsidRPr="00B25E45">
        <w:t xml:space="preserve">. V těchto případech Ústavní soud dovozoval, že počátek běhu lhůty pro podání ústavní stížnosti spadá na den, kdy bylo o kasační stížnosti Nejvyšším správním soudem rozhodnuto, bez ohledu </w:t>
      </w:r>
      <w:r w:rsidR="00867174" w:rsidRPr="00B25E45">
        <w:lastRenderedPageBreak/>
        <w:t>na to, jakým způsobem Nejvyšší správní soud rozhodl (srov. též sdělení Ústavního soudu č. 32/2003 Sb., o postupu týkajícím se výkladu přípustnosti a lhůty k podání ústavní stížnosti při souběžném podání ústavní stížnosti a mimořádného opravného prostředku s výjimkou obnovy řízení).</w:t>
      </w:r>
    </w:p>
    <w:p w14:paraId="68440E74" w14:textId="08014CF0" w:rsidR="00855117" w:rsidRPr="00B25E45" w:rsidRDefault="006940BE" w:rsidP="000F0904">
      <w:pPr>
        <w:spacing w:before="120"/>
        <w:ind w:firstLine="425"/>
        <w:jc w:val="both"/>
        <w:rPr>
          <w:rFonts w:ascii="Times New Roman" w:hAnsi="Times New Roman"/>
          <w:sz w:val="24"/>
          <w:szCs w:val="24"/>
        </w:rPr>
      </w:pPr>
      <w:r w:rsidRPr="00B25E45">
        <w:rPr>
          <w:rFonts w:ascii="Times New Roman" w:hAnsi="Times New Roman"/>
          <w:sz w:val="24"/>
          <w:szCs w:val="24"/>
        </w:rPr>
        <w:t>Ve světle výše uvedeného je možné shrnout, že předkládaný návrh zákona sice dílčím způsobem omezuje právo na spravedlivý proces ve smyslu čl. 6 Úmluvy, činí tak nicméně způsobem, který je souladný s rozhodovací praxí Evropského soudu pro lidská práva. Navrhovaná omezení tohoto práva jsou proto přípustná a lze přijmout závěr, že předkládaný návrh zákona neodporuje mezinárodním závazkům, jimiž je Česká</w:t>
      </w:r>
      <w:r w:rsidR="00867174" w:rsidRPr="00B25E45">
        <w:rPr>
          <w:rFonts w:ascii="Times New Roman" w:hAnsi="Times New Roman"/>
          <w:sz w:val="24"/>
          <w:szCs w:val="24"/>
        </w:rPr>
        <w:t xml:space="preserve"> republika vázána.</w:t>
      </w:r>
    </w:p>
    <w:p w14:paraId="34F1405F" w14:textId="77777777" w:rsidR="00931A3F" w:rsidRPr="00B25E45" w:rsidRDefault="00931A3F" w:rsidP="00931A3F">
      <w:pPr>
        <w:spacing w:before="120"/>
        <w:jc w:val="both"/>
        <w:rPr>
          <w:rFonts w:ascii="Times New Roman" w:hAnsi="Times New Roman"/>
          <w:sz w:val="24"/>
        </w:rPr>
      </w:pPr>
    </w:p>
    <w:p w14:paraId="56045425" w14:textId="2FEC9AE2" w:rsidR="000149E3" w:rsidRPr="00B25E45" w:rsidRDefault="000149E3" w:rsidP="000F0904">
      <w:pPr>
        <w:keepNext/>
        <w:numPr>
          <w:ilvl w:val="0"/>
          <w:numId w:val="5"/>
        </w:numPr>
        <w:spacing w:before="120"/>
        <w:ind w:left="0" w:firstLine="0"/>
        <w:jc w:val="both"/>
        <w:outlineLvl w:val="1"/>
        <w:rPr>
          <w:rFonts w:ascii="Times New Roman" w:hAnsi="Times New Roman"/>
          <w:b/>
          <w:sz w:val="28"/>
          <w:u w:val="single"/>
        </w:rPr>
      </w:pPr>
      <w:bookmarkStart w:id="17" w:name="_Toc25695643"/>
      <w:r w:rsidRPr="00B25E45">
        <w:rPr>
          <w:rFonts w:ascii="Times New Roman" w:hAnsi="Times New Roman"/>
          <w:b/>
          <w:sz w:val="28"/>
          <w:u w:val="single"/>
        </w:rPr>
        <w:t>Předpokládaný hospodářský a finanční dopad navrhované úpravy na státní rozpočet a ostatní rozpočty, na podnikatelské prostředí, dále sociální dopady, včetně dopadů na rodiny a dopadů na specifické skupiny obyvatel, zejména osoby sociálně slabé, osoby se zdravotním postižením a národnostní menšiny, a dopady na životní prostředí.</w:t>
      </w:r>
      <w:bookmarkEnd w:id="17"/>
    </w:p>
    <w:p w14:paraId="7F1D0407" w14:textId="58B82FB4" w:rsidR="000149E3" w:rsidRPr="00B25E45" w:rsidRDefault="000149E3" w:rsidP="000F0904">
      <w:pPr>
        <w:keepNext/>
        <w:numPr>
          <w:ilvl w:val="2"/>
          <w:numId w:val="0"/>
        </w:numPr>
        <w:spacing w:before="120"/>
        <w:jc w:val="both"/>
        <w:outlineLvl w:val="2"/>
        <w:rPr>
          <w:rFonts w:ascii="Times New Roman" w:hAnsi="Times New Roman"/>
          <w:b/>
          <w:sz w:val="24"/>
        </w:rPr>
      </w:pPr>
      <w:bookmarkStart w:id="18" w:name="_Toc25695644"/>
      <w:r w:rsidRPr="00B25E45">
        <w:rPr>
          <w:rFonts w:ascii="Times New Roman" w:hAnsi="Times New Roman"/>
          <w:b/>
          <w:sz w:val="24"/>
        </w:rPr>
        <w:t>7.1 Hospodářský a finanční dopad navrhované úpravy na státní rozpočet a ostatní rozpočty</w:t>
      </w:r>
      <w:bookmarkEnd w:id="18"/>
    </w:p>
    <w:p w14:paraId="2D0ADEBD" w14:textId="2E14C7A7" w:rsidR="00867174" w:rsidRPr="00B25E45" w:rsidRDefault="00867174" w:rsidP="000F0904">
      <w:pPr>
        <w:keepNext/>
        <w:numPr>
          <w:ilvl w:val="2"/>
          <w:numId w:val="0"/>
        </w:numPr>
        <w:spacing w:before="120"/>
        <w:jc w:val="both"/>
        <w:outlineLvl w:val="2"/>
        <w:rPr>
          <w:rFonts w:ascii="Times New Roman" w:hAnsi="Times New Roman"/>
          <w:b/>
          <w:sz w:val="24"/>
        </w:rPr>
      </w:pPr>
      <w:r w:rsidRPr="00B25E45">
        <w:rPr>
          <w:rFonts w:ascii="Times New Roman" w:hAnsi="Times New Roman"/>
          <w:b/>
          <w:sz w:val="24"/>
        </w:rPr>
        <w:t>a) Dopady na státní rozpočet</w:t>
      </w:r>
    </w:p>
    <w:p w14:paraId="4CF6F2CD" w14:textId="3A4A8898" w:rsidR="00867174" w:rsidRPr="00B25E45" w:rsidRDefault="00867174" w:rsidP="000F0904">
      <w:pPr>
        <w:widowControl w:val="0"/>
        <w:spacing w:before="120"/>
        <w:jc w:val="both"/>
        <w:rPr>
          <w:rFonts w:ascii="Times New Roman" w:hAnsi="Times New Roman"/>
          <w:sz w:val="24"/>
        </w:rPr>
      </w:pPr>
      <w:r w:rsidRPr="00B25E45">
        <w:rPr>
          <w:rFonts w:ascii="Times New Roman" w:hAnsi="Times New Roman"/>
          <w:sz w:val="24"/>
        </w:rPr>
        <w:t xml:space="preserve">Navrhovaný zákon si jako jeden z hlavních cílů vytýká zajištění větší hospodárnosti řízení ve správním soudnictví s cílem tato řízení celkově zrychlit a zefektivnit. Tento záměr by měl v nejobecnější rovině přispět k tomu, že finanční prostředky, které stát vynakládá na to, aby byla zajištěna fungující soudní soustava, se budou </w:t>
      </w:r>
      <w:r w:rsidR="004304F6" w:rsidRPr="00B25E45">
        <w:rPr>
          <w:rFonts w:ascii="Times New Roman" w:hAnsi="Times New Roman"/>
          <w:sz w:val="24"/>
        </w:rPr>
        <w:t>používat</w:t>
      </w:r>
      <w:r w:rsidRPr="00B25E45">
        <w:rPr>
          <w:rFonts w:ascii="Times New Roman" w:hAnsi="Times New Roman"/>
          <w:sz w:val="24"/>
        </w:rPr>
        <w:t xml:space="preserve"> účelněji. Celkový dopad navrhované úpravy na státní rozpočet by tedy měl být pozitivní, jakkoliv nemusí znamenat snížení výdajů vynakládaných státem na to, aby správní soudy mohly plnit svoji roli a poskytovat ochranu veřejným subjektivním právům. </w:t>
      </w:r>
    </w:p>
    <w:p w14:paraId="27FDE219" w14:textId="7A9AE30E" w:rsidR="00867174" w:rsidRPr="00B25E45" w:rsidRDefault="00867174" w:rsidP="000F0904">
      <w:pPr>
        <w:widowControl w:val="0"/>
        <w:spacing w:before="120"/>
        <w:jc w:val="both"/>
        <w:rPr>
          <w:rFonts w:ascii="Times New Roman" w:hAnsi="Times New Roman"/>
          <w:sz w:val="24"/>
        </w:rPr>
      </w:pPr>
      <w:r w:rsidRPr="00B25E45">
        <w:rPr>
          <w:rFonts w:ascii="Times New Roman" w:hAnsi="Times New Roman"/>
          <w:sz w:val="24"/>
        </w:rPr>
        <w:t xml:space="preserve">Při pohledu na jednotlivé dílčí změny v návrhu zákona je možné uzavřít, že </w:t>
      </w:r>
      <w:r w:rsidRPr="00B25E45">
        <w:rPr>
          <w:rFonts w:ascii="Times New Roman" w:hAnsi="Times New Roman"/>
          <w:b/>
          <w:bCs/>
          <w:sz w:val="24"/>
        </w:rPr>
        <w:t>naprostá většina z nich je rozpočtově zcela neutrální</w:t>
      </w:r>
      <w:r w:rsidRPr="00B25E45">
        <w:rPr>
          <w:rFonts w:ascii="Times New Roman" w:hAnsi="Times New Roman"/>
          <w:sz w:val="24"/>
        </w:rPr>
        <w:t>, neboť nesleduje snížení ani zvýšení prostředků ze státního rozpočtu. Některé navrhované novelizační body však budou mít přímé či nepřímé rozpočtové dopady, které jsou zčásti pozitivní a zčásti negativní.</w:t>
      </w:r>
    </w:p>
    <w:p w14:paraId="286C28AF" w14:textId="5FC2137F" w:rsidR="00867174" w:rsidRPr="00B25E45" w:rsidRDefault="00867174" w:rsidP="00F6177A">
      <w:pPr>
        <w:pStyle w:val="Odstavecseseznamem"/>
        <w:widowControl w:val="0"/>
        <w:numPr>
          <w:ilvl w:val="0"/>
          <w:numId w:val="41"/>
        </w:numPr>
        <w:spacing w:before="120" w:after="120" w:line="276" w:lineRule="auto"/>
        <w:jc w:val="both"/>
        <w:rPr>
          <w:i/>
          <w:iCs/>
        </w:rPr>
      </w:pPr>
      <w:r w:rsidRPr="00B25E45">
        <w:rPr>
          <w:i/>
          <w:iCs/>
        </w:rPr>
        <w:t xml:space="preserve">Změny, které budou mít pozitivní dopad na státní rozpočet, jelikož je možné od nich </w:t>
      </w:r>
      <w:r w:rsidRPr="00B25E45">
        <w:rPr>
          <w:i/>
          <w:iCs/>
          <w:u w:val="single"/>
        </w:rPr>
        <w:t>očekávat snížení výdajů nebo vzrůst příjmů státního rozpočtu</w:t>
      </w:r>
      <w:r w:rsidRPr="00B25E45">
        <w:rPr>
          <w:i/>
          <w:iCs/>
        </w:rPr>
        <w:t>:</w:t>
      </w:r>
    </w:p>
    <w:p w14:paraId="29559298" w14:textId="16583D12" w:rsidR="004304F6" w:rsidRPr="00B25E45" w:rsidRDefault="004304F6" w:rsidP="00F6177A">
      <w:pPr>
        <w:pStyle w:val="Odstavecseseznamem"/>
        <w:widowControl w:val="0"/>
        <w:numPr>
          <w:ilvl w:val="0"/>
          <w:numId w:val="40"/>
        </w:numPr>
        <w:spacing w:before="120" w:after="120" w:line="276" w:lineRule="auto"/>
        <w:jc w:val="both"/>
      </w:pPr>
      <w:r w:rsidRPr="00B25E45">
        <w:t xml:space="preserve">Nejzásadnější pozitivní dopad na státní rozpočet bude mít </w:t>
      </w:r>
      <w:r w:rsidRPr="00B25E45">
        <w:rPr>
          <w:b/>
          <w:bCs/>
        </w:rPr>
        <w:t>vyjasnění otázky, za jakých podmínek může správní orgán (tj. příslušný orgán státu) požadovat náhradu nákladů řízení</w:t>
      </w:r>
      <w:r w:rsidRPr="00B25E45">
        <w:t>, pokud nebylo návrhu žalobce podle soudního řádu správního ve věci samé vyhověno. Doposud správní soudy náhradu nákladů žalovanému v těchto případech zpravidla nepřiznával</w:t>
      </w:r>
      <w:r w:rsidR="0054260B" w:rsidRPr="00B25E45">
        <w:t>y</w:t>
      </w:r>
      <w:r w:rsidR="00E154DB" w:rsidRPr="00B25E45">
        <w:t xml:space="preserve">, a to </w:t>
      </w:r>
      <w:r w:rsidR="00BA0BA0" w:rsidRPr="00B25E45">
        <w:t>se zdůvodněním</w:t>
      </w:r>
      <w:r w:rsidR="00E154DB" w:rsidRPr="00B25E45">
        <w:t xml:space="preserve">, že obhajoba činnosti ze strany správního orgánu před soudem je </w:t>
      </w:r>
      <w:r w:rsidR="00BA0BA0" w:rsidRPr="00B25E45">
        <w:t>každodenní</w:t>
      </w:r>
      <w:r w:rsidR="00E154DB" w:rsidRPr="00B25E45">
        <w:t xml:space="preserve"> součástí </w:t>
      </w:r>
      <w:r w:rsidR="00E154DB" w:rsidRPr="00B25E45">
        <w:lastRenderedPageBreak/>
        <w:t xml:space="preserve">agendy tohoto správního orgánu, tj. </w:t>
      </w:r>
      <w:r w:rsidR="00BA0BA0" w:rsidRPr="00B25E45">
        <w:t>nepřesahuje</w:t>
      </w:r>
      <w:r w:rsidR="00E154DB" w:rsidRPr="00B25E45">
        <w:t xml:space="preserve"> „náklady </w:t>
      </w:r>
      <w:r w:rsidR="00BA0BA0" w:rsidRPr="00B25E45">
        <w:t xml:space="preserve">běžné úřední činnosti“ (srov. např. usnesení rozšířeného senátu Nejvyššího správního soudu ze dne 31. </w:t>
      </w:r>
      <w:r w:rsidR="0054260B" w:rsidRPr="00B25E45">
        <w:t>března</w:t>
      </w:r>
      <w:r w:rsidR="00BA0BA0" w:rsidRPr="00B25E45">
        <w:t xml:space="preserve"> 2015, čj. 7 </w:t>
      </w:r>
      <w:proofErr w:type="spellStart"/>
      <w:r w:rsidR="00BA0BA0" w:rsidRPr="00B25E45">
        <w:t>Afs</w:t>
      </w:r>
      <w:proofErr w:type="spellEnd"/>
      <w:r w:rsidR="00BA0BA0" w:rsidRPr="00B25E45">
        <w:t xml:space="preserve"> 11/2014-47). Nově se vyjasňuje otázka náhrady nákladů ve prospěch správního orgánu tak, že má správní orgán nárok na náhradu hotových výdajů (např. cestovné, poštovné, hovorné atd.) a dále na paušální částku, která by měla být přiměřená a vynahradit správnímu orgánu, že jeho zaměstnanci se nemohli věnovat jiné činnosti tohoto orgánu. </w:t>
      </w:r>
    </w:p>
    <w:p w14:paraId="373F0A09" w14:textId="448E7CC6" w:rsidR="004304F6" w:rsidRPr="00B25E45" w:rsidRDefault="004304F6" w:rsidP="00F6177A">
      <w:pPr>
        <w:pStyle w:val="Odstavecseseznamem"/>
        <w:widowControl w:val="0"/>
        <w:numPr>
          <w:ilvl w:val="0"/>
          <w:numId w:val="40"/>
        </w:numPr>
        <w:spacing w:before="120" w:after="120" w:line="276" w:lineRule="auto"/>
        <w:jc w:val="both"/>
      </w:pPr>
      <w:r w:rsidRPr="00B25E45">
        <w:rPr>
          <w:b/>
          <w:bCs/>
        </w:rPr>
        <w:t>Vyjasnění vztahu řízení podle části páté občanského soudního řádu a ochrany ve správním soudnictví</w:t>
      </w:r>
      <w:r w:rsidRPr="00B25E45">
        <w:t>, což má potenciál snížit množství sporů o pravomoc před kompetenčními senáty dle zákona č. 131/2002 Sb. V konečném důsledku změna může přispět ke zrychlení řízení a snížení rizika odpovědnosti státu za průtahy podle zákona č. 82/1998 Sb.</w:t>
      </w:r>
    </w:p>
    <w:p w14:paraId="0983DC93" w14:textId="522B9B87" w:rsidR="004304F6" w:rsidRPr="00B25E45" w:rsidRDefault="004304F6" w:rsidP="00F6177A">
      <w:pPr>
        <w:pStyle w:val="Odstavecseseznamem"/>
        <w:widowControl w:val="0"/>
        <w:numPr>
          <w:ilvl w:val="0"/>
          <w:numId w:val="40"/>
        </w:numPr>
        <w:spacing w:before="120" w:after="120" w:line="276" w:lineRule="auto"/>
        <w:jc w:val="both"/>
      </w:pPr>
      <w:r w:rsidRPr="00B25E45">
        <w:t xml:space="preserve">Návrh obsahuje řadu </w:t>
      </w:r>
      <w:r w:rsidRPr="00B25E45">
        <w:rPr>
          <w:b/>
          <w:bCs/>
        </w:rPr>
        <w:t>organizačních opatření, které cílí na dílčí ulehčení práce a efektivitu dělby této práce v rámci senátů správních soudů</w:t>
      </w:r>
      <w:r w:rsidRPr="00B25E45">
        <w:t>. Ať už jde o posílení kompetencí pověřených členů senátu, o rozšíření možností využívat k jednodušším procesním rozhodnutím také asistenty nebo vyšší soudní úředníky, či obecně snahu o rozšíření okruhu věcí, které na prvním stupni mohou rozhodovat samosoudci (a nikoliv, jako je tomu dnes, senát složený ze tří soudců profesionálů). Všechny tyto změny přispějí k hospodárnějšímu vynakládání prostředků v agendě správního soudnictví, zejména pokud jde o prostředky na platy.</w:t>
      </w:r>
    </w:p>
    <w:p w14:paraId="4668F19D" w14:textId="0EB73048" w:rsidR="004304F6" w:rsidRPr="00B25E45" w:rsidRDefault="004304F6" w:rsidP="00F6177A">
      <w:pPr>
        <w:pStyle w:val="Odstavecseseznamem"/>
        <w:widowControl w:val="0"/>
        <w:numPr>
          <w:ilvl w:val="0"/>
          <w:numId w:val="40"/>
        </w:numPr>
        <w:spacing w:before="120" w:after="120" w:line="276" w:lineRule="auto"/>
        <w:jc w:val="both"/>
      </w:pPr>
      <w:r w:rsidRPr="00B25E45">
        <w:t xml:space="preserve">Návrh také zavádí </w:t>
      </w:r>
      <w:r w:rsidRPr="00B25E45">
        <w:rPr>
          <w:b/>
          <w:bCs/>
        </w:rPr>
        <w:t xml:space="preserve">účinnější nástroje proti </w:t>
      </w:r>
      <w:proofErr w:type="spellStart"/>
      <w:r w:rsidRPr="00B25E45">
        <w:rPr>
          <w:b/>
          <w:bCs/>
        </w:rPr>
        <w:t>šikanozním</w:t>
      </w:r>
      <w:proofErr w:type="spellEnd"/>
      <w:r w:rsidRPr="00B25E45">
        <w:rPr>
          <w:b/>
          <w:bCs/>
        </w:rPr>
        <w:t xml:space="preserve"> a zjevně neopodstatněným návrhům</w:t>
      </w:r>
      <w:r w:rsidRPr="00B25E45">
        <w:t>, což přispěje k uvolnění kapacity správních soudů, které se budou moci věnovat více případům skutečného příkoří, kde správní orgány zasáhly do veřejných subjektivních práv žalobců. V konečném důsledku změna může přispět ke zrychlení řízení a snížení rizika odpovědnosti státu za průtahy podle zákona č. 82/1998 Sb.</w:t>
      </w:r>
    </w:p>
    <w:p w14:paraId="24C40383" w14:textId="3F57AD23" w:rsidR="004304F6" w:rsidRPr="00B25E45" w:rsidRDefault="004304F6" w:rsidP="00F6177A">
      <w:pPr>
        <w:pStyle w:val="Odstavecseseznamem"/>
        <w:widowControl w:val="0"/>
        <w:numPr>
          <w:ilvl w:val="0"/>
          <w:numId w:val="40"/>
        </w:numPr>
        <w:spacing w:before="120" w:after="120" w:line="276" w:lineRule="auto"/>
        <w:jc w:val="both"/>
      </w:pPr>
      <w:r w:rsidRPr="00B25E45">
        <w:rPr>
          <w:b/>
          <w:bCs/>
        </w:rPr>
        <w:t xml:space="preserve">Posílení funkce zálohy </w:t>
      </w:r>
      <w:r w:rsidR="0054260B" w:rsidRPr="00B25E45">
        <w:rPr>
          <w:b/>
          <w:bCs/>
        </w:rPr>
        <w:t xml:space="preserve">na obstarání důkazu </w:t>
      </w:r>
      <w:r w:rsidRPr="00B25E45">
        <w:rPr>
          <w:b/>
          <w:bCs/>
        </w:rPr>
        <w:t>dle § 59 odst. 2 s. ř. s.</w:t>
      </w:r>
      <w:r w:rsidRPr="00B25E45">
        <w:t xml:space="preserve"> může motivovat účastníky řízení v tom, aby zálohu platili, čímž se </w:t>
      </w:r>
      <w:proofErr w:type="gramStart"/>
      <w:r w:rsidRPr="00B25E45">
        <w:t>sníží</w:t>
      </w:r>
      <w:proofErr w:type="gramEnd"/>
      <w:r w:rsidRPr="00B25E45">
        <w:t xml:space="preserve"> dopady na státní rozpočet za obstarávání důkazních prostředků.</w:t>
      </w:r>
    </w:p>
    <w:p w14:paraId="04497E56" w14:textId="77777777" w:rsidR="004304F6" w:rsidRPr="00B25E45" w:rsidRDefault="004304F6" w:rsidP="00F6177A">
      <w:pPr>
        <w:pStyle w:val="Odstavecseseznamem"/>
        <w:widowControl w:val="0"/>
        <w:numPr>
          <w:ilvl w:val="0"/>
          <w:numId w:val="40"/>
        </w:numPr>
        <w:spacing w:before="120" w:after="120" w:line="276" w:lineRule="auto"/>
        <w:jc w:val="both"/>
      </w:pPr>
      <w:r w:rsidRPr="00B25E45">
        <w:rPr>
          <w:b/>
          <w:bCs/>
        </w:rPr>
        <w:t>Rozšíření institutu nepřijatelnosti kasační stížnosti</w:t>
      </w:r>
      <w:r w:rsidRPr="00B25E45">
        <w:t xml:space="preserve"> </w:t>
      </w:r>
      <w:r w:rsidRPr="00B25E45">
        <w:rPr>
          <w:b/>
          <w:bCs/>
        </w:rPr>
        <w:t>a rozšíření důvodu, kdy je kasační stížnost nepřípustná</w:t>
      </w:r>
      <w:r w:rsidRPr="00B25E45">
        <w:t xml:space="preserve"> (§ 104 s. ř. s.), znamená přímé snížení věcí, jimiž se bude Nejvyšší správní soud muset zabývat meritorně. Ve svém důsledku může tato změna přispět ke zrychlení rozhodování NSS, a tudíž ke snížení počtu řízení, v nichž dochází k nepřiměřeným průtahům, za které stát odpovídá podle zákona č. 82/1998 Sb. Mohlo by tedy dojít ke snížení výše peněžitých odškodnění vyplácených těm, v jejichž věci nebylo včas rozhodnuto. </w:t>
      </w:r>
    </w:p>
    <w:p w14:paraId="1C9B138B" w14:textId="4F7131C0" w:rsidR="004304F6" w:rsidRPr="00B25E45" w:rsidRDefault="004304F6" w:rsidP="00F6177A">
      <w:pPr>
        <w:pStyle w:val="Odstavecseseznamem"/>
        <w:widowControl w:val="0"/>
        <w:numPr>
          <w:ilvl w:val="0"/>
          <w:numId w:val="40"/>
        </w:numPr>
        <w:spacing w:before="120" w:after="120" w:line="276" w:lineRule="auto"/>
        <w:jc w:val="both"/>
      </w:pPr>
      <w:r w:rsidRPr="00B25E45">
        <w:rPr>
          <w:b/>
          <w:bCs/>
        </w:rPr>
        <w:t>Omezení rizika „ping-pongu“ mezi Nejvyšším správním soudem a krajskými soudy</w:t>
      </w:r>
      <w:r w:rsidRPr="00B25E45">
        <w:t xml:space="preserve"> tím, že se rozšiřuje možnost Nejvyššího správního soudu přímo rozhodnout. Tato změna povede k odbřemenění krajských soudů od věcí vráceným Nejvyšším správním soudem, v nichž mohl tento soud rozhodnout. V konečném důsledku </w:t>
      </w:r>
      <w:r w:rsidRPr="00B25E45">
        <w:lastRenderedPageBreak/>
        <w:t>změna přinese zrychlení řízení a snížení rizika odpovědnosti státu za průtahy podle zákona č. 82/1998 Sb.</w:t>
      </w:r>
    </w:p>
    <w:p w14:paraId="2AD3629F" w14:textId="469666FA" w:rsidR="00867174" w:rsidRPr="00B25E45" w:rsidRDefault="00867174" w:rsidP="00F6177A">
      <w:pPr>
        <w:pStyle w:val="Odstavecseseznamem"/>
        <w:widowControl w:val="0"/>
        <w:numPr>
          <w:ilvl w:val="0"/>
          <w:numId w:val="41"/>
        </w:numPr>
        <w:spacing w:before="120" w:after="120" w:line="276" w:lineRule="auto"/>
        <w:jc w:val="both"/>
        <w:rPr>
          <w:i/>
          <w:iCs/>
        </w:rPr>
      </w:pPr>
      <w:r w:rsidRPr="00B25E45">
        <w:rPr>
          <w:i/>
          <w:iCs/>
        </w:rPr>
        <w:t xml:space="preserve">Změny, které budou mít negativní dopad na státní rozpočet, jelikož je možné od nich </w:t>
      </w:r>
      <w:r w:rsidRPr="00B25E45">
        <w:rPr>
          <w:i/>
          <w:iCs/>
          <w:u w:val="single"/>
        </w:rPr>
        <w:t>očekávat snížení příjmů nebo zvýšení výdajů státního rozpočtu</w:t>
      </w:r>
      <w:r w:rsidRPr="00B25E45">
        <w:rPr>
          <w:i/>
          <w:iCs/>
        </w:rPr>
        <w:t>:</w:t>
      </w:r>
    </w:p>
    <w:p w14:paraId="12F969C0" w14:textId="542B1D34" w:rsidR="004304F6" w:rsidRPr="00B25E45" w:rsidRDefault="004304F6" w:rsidP="00F6177A">
      <w:pPr>
        <w:pStyle w:val="Odstavecseseznamem"/>
        <w:widowControl w:val="0"/>
        <w:numPr>
          <w:ilvl w:val="0"/>
          <w:numId w:val="40"/>
        </w:numPr>
        <w:spacing w:before="120" w:after="120" w:line="276" w:lineRule="auto"/>
        <w:jc w:val="both"/>
      </w:pPr>
      <w:r w:rsidRPr="00B25E45">
        <w:t xml:space="preserve">Zavedení </w:t>
      </w:r>
      <w:r w:rsidRPr="00B25E45">
        <w:rPr>
          <w:b/>
          <w:bCs/>
        </w:rPr>
        <w:t>nového řízení o přezkumu stavovských předpisů</w:t>
      </w:r>
      <w:r w:rsidRPr="00B25E45">
        <w:t xml:space="preserve">, které může přispět k mírnému zvýšení nápadu na správních soudech. Nicméně s ohledem na to, že se dnes tento typ sporů </w:t>
      </w:r>
      <w:r w:rsidR="0054260B" w:rsidRPr="00B25E45">
        <w:t xml:space="preserve">prakticky </w:t>
      </w:r>
      <w:r w:rsidRPr="00B25E45">
        <w:t>vůbec nevyskytuje (byť existuje možnost, jak se u soudu domáhat zrušení</w:t>
      </w:r>
      <w:r w:rsidR="004A4C42" w:rsidRPr="00B25E45">
        <w:t xml:space="preserve"> vybraných</w:t>
      </w:r>
      <w:r w:rsidRPr="00B25E45">
        <w:t xml:space="preserve"> stavovských předpisů</w:t>
      </w:r>
      <w:r w:rsidR="004A4C42" w:rsidRPr="00B25E45">
        <w:t xml:space="preserve"> již dnes</w:t>
      </w:r>
      <w:r w:rsidRPr="00B25E45">
        <w:t>), nelze očekávat, že by počet těchto věcí přesahoval řády jednotek ročně.</w:t>
      </w:r>
    </w:p>
    <w:p w14:paraId="45EB3547" w14:textId="7F30A2ED" w:rsidR="00BA0BA0" w:rsidRPr="00B25E45" w:rsidRDefault="00BA0BA0" w:rsidP="00F6177A">
      <w:pPr>
        <w:pStyle w:val="Odstavecseseznamem"/>
        <w:widowControl w:val="0"/>
        <w:numPr>
          <w:ilvl w:val="0"/>
          <w:numId w:val="40"/>
        </w:numPr>
        <w:spacing w:before="120" w:after="120" w:line="276" w:lineRule="auto"/>
        <w:jc w:val="both"/>
      </w:pPr>
      <w:r w:rsidRPr="00B25E45">
        <w:t xml:space="preserve">Ke zvýšení nápadu může vést </w:t>
      </w:r>
      <w:r w:rsidRPr="00B25E45">
        <w:rPr>
          <w:b/>
          <w:bCs/>
        </w:rPr>
        <w:t>i posílení role veřejného ochránce práva a nejvyššího státního zástupce při podávání žaloby na ochranu veřejného zájmu</w:t>
      </w:r>
      <w:r w:rsidRPr="00B25E45">
        <w:t xml:space="preserve">. </w:t>
      </w:r>
      <w:r w:rsidRPr="00B25E45">
        <w:rPr>
          <w:i/>
          <w:iCs/>
        </w:rPr>
        <w:t xml:space="preserve">De lege lata </w:t>
      </w:r>
      <w:r w:rsidRPr="00B25E45">
        <w:t xml:space="preserve">mají oba tyto subjekty možnost podávat veřejnou žalobu pouze v případě rozhodnutí správního orgánu. Návrh však žalobní legitimaci rozšiřuje i na žalobu proti zásahu a nečinnosti a návrh na zrušení opatření obecné povahy. Potenciálně tak v této oblasti může dojít až ke </w:t>
      </w:r>
      <w:r w:rsidR="0054260B" w:rsidRPr="00B25E45">
        <w:t>zčtyřnásobení</w:t>
      </w:r>
      <w:r w:rsidRPr="00B25E45">
        <w:t xml:space="preserve"> nápadu oproti stávajícímu stavu.</w:t>
      </w:r>
      <w:r w:rsidR="00D875F9" w:rsidRPr="00B25E45">
        <w:t xml:space="preserve"> Nicméně </w:t>
      </w:r>
      <w:r w:rsidR="003B2FEF" w:rsidRPr="00B25E45">
        <w:t>p</w:t>
      </w:r>
      <w:r w:rsidR="00D875F9" w:rsidRPr="00B25E45">
        <w:t>očty těchto žalob se pohybují v řádu jednotek ročně.</w:t>
      </w:r>
    </w:p>
    <w:p w14:paraId="42DCC6AA" w14:textId="38CBAFDD" w:rsidR="00DB333A" w:rsidRPr="00B25E45" w:rsidRDefault="00D875F9" w:rsidP="000F0904">
      <w:pPr>
        <w:widowControl w:val="0"/>
        <w:spacing w:before="120"/>
        <w:jc w:val="both"/>
        <w:rPr>
          <w:rFonts w:ascii="Times New Roman" w:hAnsi="Times New Roman"/>
          <w:sz w:val="24"/>
          <w:szCs w:val="24"/>
        </w:rPr>
      </w:pPr>
      <w:r w:rsidRPr="00B25E45">
        <w:rPr>
          <w:rFonts w:ascii="Times New Roman" w:hAnsi="Times New Roman"/>
          <w:sz w:val="24"/>
          <w:szCs w:val="24"/>
        </w:rPr>
        <w:t>Počet žalob nejvyššího státního zastupitelství mezi roky 2003 a 2022 shrnuje níže uvedená tabulka:</w:t>
      </w:r>
    </w:p>
    <w:tbl>
      <w:tblPr>
        <w:tblStyle w:val="Mkatabulky"/>
        <w:tblpPr w:leftFromText="141" w:rightFromText="141" w:vertAnchor="text" w:horzAnchor="margin" w:tblpY="172"/>
        <w:tblOverlap w:val="never"/>
        <w:tblW w:w="0" w:type="auto"/>
        <w:tblInd w:w="0" w:type="dxa"/>
        <w:tblLook w:val="04A0" w:firstRow="1" w:lastRow="0" w:firstColumn="1" w:lastColumn="0" w:noHBand="0" w:noVBand="1"/>
      </w:tblPr>
      <w:tblGrid>
        <w:gridCol w:w="7083"/>
        <w:gridCol w:w="1979"/>
      </w:tblGrid>
      <w:tr w:rsidR="00DB333A" w:rsidRPr="00B25E45" w14:paraId="28ACDD3B" w14:textId="77777777" w:rsidTr="00DB333A">
        <w:tc>
          <w:tcPr>
            <w:tcW w:w="9062" w:type="dxa"/>
            <w:gridSpan w:val="2"/>
            <w:vAlign w:val="center"/>
          </w:tcPr>
          <w:p w14:paraId="1C8B579D" w14:textId="77777777" w:rsidR="00DB333A" w:rsidRPr="00B25E45" w:rsidRDefault="00DB333A" w:rsidP="00DB333A">
            <w:pPr>
              <w:keepNext/>
              <w:widowControl w:val="0"/>
              <w:spacing w:before="40" w:after="40" w:line="240" w:lineRule="auto"/>
              <w:jc w:val="center"/>
              <w:rPr>
                <w:rFonts w:ascii="Times New Roman" w:hAnsi="Times New Roman"/>
                <w:b/>
                <w:bCs/>
                <w:sz w:val="22"/>
                <w:szCs w:val="22"/>
              </w:rPr>
            </w:pPr>
            <w:r w:rsidRPr="00B25E45">
              <w:rPr>
                <w:rFonts w:ascii="Times New Roman" w:hAnsi="Times New Roman"/>
                <w:b/>
                <w:bCs/>
                <w:sz w:val="22"/>
                <w:szCs w:val="22"/>
              </w:rPr>
              <w:t>Počet žalob podaných nejvyšším státním zástupcem podle § 66 odst. 2 s. ř. s.</w:t>
            </w:r>
          </w:p>
        </w:tc>
      </w:tr>
      <w:tr w:rsidR="00DB333A" w:rsidRPr="00B25E45" w14:paraId="1B09040C" w14:textId="77777777" w:rsidTr="00DB333A">
        <w:trPr>
          <w:trHeight w:val="20"/>
        </w:trPr>
        <w:tc>
          <w:tcPr>
            <w:tcW w:w="7083" w:type="dxa"/>
            <w:vAlign w:val="center"/>
          </w:tcPr>
          <w:p w14:paraId="0AAFE6F2" w14:textId="77777777" w:rsidR="00DB333A" w:rsidRPr="00B25E45" w:rsidRDefault="00DB333A" w:rsidP="00DB333A">
            <w:pPr>
              <w:keepNext/>
              <w:widowControl w:val="0"/>
              <w:spacing w:before="40" w:after="40" w:line="240" w:lineRule="auto"/>
              <w:jc w:val="center"/>
              <w:rPr>
                <w:rFonts w:ascii="Times New Roman" w:hAnsi="Times New Roman"/>
                <w:b/>
                <w:bCs/>
                <w:sz w:val="22"/>
                <w:szCs w:val="22"/>
              </w:rPr>
            </w:pPr>
            <w:r w:rsidRPr="00B25E45">
              <w:rPr>
                <w:rFonts w:ascii="Times New Roman" w:hAnsi="Times New Roman"/>
                <w:b/>
                <w:bCs/>
                <w:sz w:val="22"/>
                <w:szCs w:val="22"/>
              </w:rPr>
              <w:t>Rok</w:t>
            </w:r>
          </w:p>
        </w:tc>
        <w:tc>
          <w:tcPr>
            <w:tcW w:w="1979" w:type="dxa"/>
            <w:vAlign w:val="center"/>
          </w:tcPr>
          <w:p w14:paraId="193B8278" w14:textId="77777777" w:rsidR="00DB333A" w:rsidRPr="00B25E45" w:rsidRDefault="00DB333A" w:rsidP="00DB333A">
            <w:pPr>
              <w:keepNext/>
              <w:widowControl w:val="0"/>
              <w:spacing w:before="40" w:after="40" w:line="240" w:lineRule="auto"/>
              <w:jc w:val="center"/>
              <w:rPr>
                <w:rFonts w:ascii="Times New Roman" w:hAnsi="Times New Roman"/>
                <w:b/>
                <w:bCs/>
                <w:sz w:val="22"/>
                <w:szCs w:val="22"/>
              </w:rPr>
            </w:pPr>
            <w:r w:rsidRPr="00B25E45">
              <w:rPr>
                <w:rFonts w:ascii="Times New Roman" w:hAnsi="Times New Roman"/>
                <w:b/>
                <w:bCs/>
                <w:sz w:val="22"/>
                <w:szCs w:val="22"/>
              </w:rPr>
              <w:t>Počet žalob</w:t>
            </w:r>
            <w:r w:rsidRPr="00B25E45">
              <w:rPr>
                <w:rStyle w:val="Znakapoznpodarou"/>
                <w:rFonts w:ascii="Times New Roman" w:hAnsi="Times New Roman"/>
                <w:b/>
                <w:bCs/>
                <w:sz w:val="22"/>
                <w:szCs w:val="22"/>
              </w:rPr>
              <w:footnoteReference w:id="12"/>
            </w:r>
          </w:p>
        </w:tc>
      </w:tr>
      <w:tr w:rsidR="00DB333A" w:rsidRPr="00B25E45" w14:paraId="6896A1F2" w14:textId="77777777" w:rsidTr="00DB333A">
        <w:trPr>
          <w:trHeight w:val="20"/>
        </w:trPr>
        <w:tc>
          <w:tcPr>
            <w:tcW w:w="7083" w:type="dxa"/>
            <w:vAlign w:val="center"/>
          </w:tcPr>
          <w:p w14:paraId="43ECFAA7" w14:textId="77777777" w:rsidR="00DB333A" w:rsidRPr="00B25E45" w:rsidRDefault="00DB333A" w:rsidP="00DB333A">
            <w:pPr>
              <w:keepNext/>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t>2003</w:t>
            </w:r>
          </w:p>
        </w:tc>
        <w:tc>
          <w:tcPr>
            <w:tcW w:w="1979" w:type="dxa"/>
            <w:vAlign w:val="center"/>
          </w:tcPr>
          <w:p w14:paraId="7558BEA4" w14:textId="77777777" w:rsidR="00DB333A" w:rsidRPr="00B25E45" w:rsidRDefault="00DB333A" w:rsidP="00DB333A">
            <w:pPr>
              <w:keepNext/>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1</w:t>
            </w:r>
          </w:p>
        </w:tc>
      </w:tr>
      <w:tr w:rsidR="00DB333A" w:rsidRPr="00B25E45" w14:paraId="1098A2C3" w14:textId="77777777" w:rsidTr="00DB333A">
        <w:trPr>
          <w:trHeight w:val="20"/>
        </w:trPr>
        <w:tc>
          <w:tcPr>
            <w:tcW w:w="7083" w:type="dxa"/>
            <w:vAlign w:val="center"/>
          </w:tcPr>
          <w:p w14:paraId="75CFB13B"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t>2004</w:t>
            </w:r>
          </w:p>
        </w:tc>
        <w:tc>
          <w:tcPr>
            <w:tcW w:w="1979" w:type="dxa"/>
            <w:vAlign w:val="center"/>
          </w:tcPr>
          <w:p w14:paraId="3BCF08FD" w14:textId="77777777" w:rsidR="00DB333A" w:rsidRPr="00B25E45" w:rsidRDefault="00DB333A" w:rsidP="00DB333A">
            <w:pPr>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6</w:t>
            </w:r>
          </w:p>
        </w:tc>
      </w:tr>
      <w:tr w:rsidR="00DB333A" w:rsidRPr="00B25E45" w14:paraId="72D0FE04" w14:textId="77777777" w:rsidTr="00DB333A">
        <w:trPr>
          <w:trHeight w:val="20"/>
        </w:trPr>
        <w:tc>
          <w:tcPr>
            <w:tcW w:w="7083" w:type="dxa"/>
            <w:vAlign w:val="center"/>
          </w:tcPr>
          <w:p w14:paraId="4AA8C5F1"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t>2005</w:t>
            </w:r>
          </w:p>
        </w:tc>
        <w:tc>
          <w:tcPr>
            <w:tcW w:w="1979" w:type="dxa"/>
            <w:vAlign w:val="center"/>
          </w:tcPr>
          <w:p w14:paraId="47BE83BE" w14:textId="77777777" w:rsidR="00DB333A" w:rsidRPr="00B25E45" w:rsidRDefault="00DB333A" w:rsidP="00DB333A">
            <w:pPr>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2</w:t>
            </w:r>
          </w:p>
        </w:tc>
      </w:tr>
      <w:tr w:rsidR="00DB333A" w:rsidRPr="00B25E45" w14:paraId="5F509B54" w14:textId="77777777" w:rsidTr="00DB333A">
        <w:trPr>
          <w:trHeight w:val="20"/>
        </w:trPr>
        <w:tc>
          <w:tcPr>
            <w:tcW w:w="7083" w:type="dxa"/>
            <w:vAlign w:val="center"/>
          </w:tcPr>
          <w:p w14:paraId="56ADD22B"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t>2006</w:t>
            </w:r>
          </w:p>
        </w:tc>
        <w:tc>
          <w:tcPr>
            <w:tcW w:w="1979" w:type="dxa"/>
            <w:vAlign w:val="center"/>
          </w:tcPr>
          <w:p w14:paraId="6564990E" w14:textId="77777777" w:rsidR="00DB333A" w:rsidRPr="00B25E45" w:rsidRDefault="00DB333A" w:rsidP="00DB333A">
            <w:pPr>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3</w:t>
            </w:r>
          </w:p>
        </w:tc>
      </w:tr>
      <w:tr w:rsidR="00DB333A" w:rsidRPr="00B25E45" w14:paraId="177D2FC0" w14:textId="77777777" w:rsidTr="00DB333A">
        <w:trPr>
          <w:trHeight w:val="20"/>
        </w:trPr>
        <w:tc>
          <w:tcPr>
            <w:tcW w:w="7083" w:type="dxa"/>
            <w:vAlign w:val="center"/>
          </w:tcPr>
          <w:p w14:paraId="3263DF46"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t>2007</w:t>
            </w:r>
          </w:p>
        </w:tc>
        <w:tc>
          <w:tcPr>
            <w:tcW w:w="1979" w:type="dxa"/>
            <w:vAlign w:val="center"/>
          </w:tcPr>
          <w:p w14:paraId="3C7960A3" w14:textId="77777777" w:rsidR="00DB333A" w:rsidRPr="00B25E45" w:rsidRDefault="00DB333A" w:rsidP="00DB333A">
            <w:pPr>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1</w:t>
            </w:r>
          </w:p>
        </w:tc>
      </w:tr>
      <w:tr w:rsidR="00DB333A" w:rsidRPr="00B25E45" w14:paraId="69404664" w14:textId="77777777" w:rsidTr="00DB333A">
        <w:trPr>
          <w:trHeight w:val="20"/>
        </w:trPr>
        <w:tc>
          <w:tcPr>
            <w:tcW w:w="7083" w:type="dxa"/>
            <w:vAlign w:val="center"/>
          </w:tcPr>
          <w:p w14:paraId="389D86C2"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t>2008</w:t>
            </w:r>
          </w:p>
        </w:tc>
        <w:tc>
          <w:tcPr>
            <w:tcW w:w="1979" w:type="dxa"/>
            <w:vAlign w:val="center"/>
          </w:tcPr>
          <w:p w14:paraId="0E478830" w14:textId="77777777" w:rsidR="00DB333A" w:rsidRPr="00B25E45" w:rsidRDefault="00DB333A" w:rsidP="00DB333A">
            <w:pPr>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10</w:t>
            </w:r>
          </w:p>
        </w:tc>
      </w:tr>
      <w:tr w:rsidR="00DB333A" w:rsidRPr="00B25E45" w14:paraId="5E744A87" w14:textId="77777777" w:rsidTr="00DB333A">
        <w:trPr>
          <w:trHeight w:val="20"/>
        </w:trPr>
        <w:tc>
          <w:tcPr>
            <w:tcW w:w="7083" w:type="dxa"/>
            <w:vAlign w:val="center"/>
          </w:tcPr>
          <w:p w14:paraId="61D969EE"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t>2009</w:t>
            </w:r>
          </w:p>
        </w:tc>
        <w:tc>
          <w:tcPr>
            <w:tcW w:w="1979" w:type="dxa"/>
            <w:vAlign w:val="center"/>
          </w:tcPr>
          <w:p w14:paraId="6CC1B61C" w14:textId="77777777" w:rsidR="00DB333A" w:rsidRPr="00B25E45" w:rsidRDefault="00DB333A" w:rsidP="00DB333A">
            <w:pPr>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5</w:t>
            </w:r>
          </w:p>
        </w:tc>
      </w:tr>
      <w:tr w:rsidR="00DB333A" w:rsidRPr="00B25E45" w14:paraId="3963C78D" w14:textId="77777777" w:rsidTr="00DB333A">
        <w:trPr>
          <w:trHeight w:val="20"/>
        </w:trPr>
        <w:tc>
          <w:tcPr>
            <w:tcW w:w="7083" w:type="dxa"/>
            <w:vAlign w:val="center"/>
          </w:tcPr>
          <w:p w14:paraId="2E5C0EB6"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t>2010</w:t>
            </w:r>
          </w:p>
        </w:tc>
        <w:tc>
          <w:tcPr>
            <w:tcW w:w="1979" w:type="dxa"/>
            <w:vAlign w:val="center"/>
          </w:tcPr>
          <w:p w14:paraId="1CAD24A6" w14:textId="77777777" w:rsidR="00DB333A" w:rsidRPr="00B25E45" w:rsidRDefault="00DB333A" w:rsidP="00DB333A">
            <w:pPr>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38</w:t>
            </w:r>
          </w:p>
        </w:tc>
      </w:tr>
      <w:tr w:rsidR="00DB333A" w:rsidRPr="00B25E45" w14:paraId="7070987A" w14:textId="77777777" w:rsidTr="00DB333A">
        <w:trPr>
          <w:trHeight w:val="20"/>
        </w:trPr>
        <w:tc>
          <w:tcPr>
            <w:tcW w:w="7083" w:type="dxa"/>
            <w:vAlign w:val="center"/>
          </w:tcPr>
          <w:p w14:paraId="43EB3E7E"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t>2011</w:t>
            </w:r>
          </w:p>
        </w:tc>
        <w:tc>
          <w:tcPr>
            <w:tcW w:w="1979" w:type="dxa"/>
            <w:vAlign w:val="center"/>
          </w:tcPr>
          <w:p w14:paraId="32C9528C" w14:textId="77777777" w:rsidR="00DB333A" w:rsidRPr="00B25E45" w:rsidRDefault="00DB333A" w:rsidP="00DB333A">
            <w:pPr>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3</w:t>
            </w:r>
          </w:p>
        </w:tc>
      </w:tr>
      <w:tr w:rsidR="00DB333A" w:rsidRPr="00B25E45" w14:paraId="242A0C24" w14:textId="77777777" w:rsidTr="00DB333A">
        <w:trPr>
          <w:trHeight w:val="20"/>
        </w:trPr>
        <w:tc>
          <w:tcPr>
            <w:tcW w:w="7083" w:type="dxa"/>
            <w:vAlign w:val="center"/>
          </w:tcPr>
          <w:p w14:paraId="2A96756F"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t>2012</w:t>
            </w:r>
          </w:p>
        </w:tc>
        <w:tc>
          <w:tcPr>
            <w:tcW w:w="1979" w:type="dxa"/>
            <w:vAlign w:val="center"/>
          </w:tcPr>
          <w:p w14:paraId="6923F991" w14:textId="77777777" w:rsidR="00DB333A" w:rsidRPr="00B25E45" w:rsidRDefault="00DB333A" w:rsidP="00DB333A">
            <w:pPr>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9</w:t>
            </w:r>
          </w:p>
        </w:tc>
      </w:tr>
      <w:tr w:rsidR="00DB333A" w:rsidRPr="00B25E45" w14:paraId="5DA98246" w14:textId="77777777" w:rsidTr="00DB333A">
        <w:trPr>
          <w:trHeight w:val="20"/>
        </w:trPr>
        <w:tc>
          <w:tcPr>
            <w:tcW w:w="7083" w:type="dxa"/>
            <w:vAlign w:val="center"/>
          </w:tcPr>
          <w:p w14:paraId="7C207A18"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t>2013</w:t>
            </w:r>
          </w:p>
        </w:tc>
        <w:tc>
          <w:tcPr>
            <w:tcW w:w="1979" w:type="dxa"/>
            <w:vAlign w:val="center"/>
          </w:tcPr>
          <w:p w14:paraId="04F8F3B1" w14:textId="77777777" w:rsidR="00DB333A" w:rsidRPr="00B25E45" w:rsidRDefault="00DB333A" w:rsidP="00DB333A">
            <w:pPr>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20</w:t>
            </w:r>
          </w:p>
        </w:tc>
      </w:tr>
      <w:tr w:rsidR="00DB333A" w:rsidRPr="00B25E45" w14:paraId="51137B8B" w14:textId="77777777" w:rsidTr="00DB333A">
        <w:trPr>
          <w:trHeight w:val="20"/>
        </w:trPr>
        <w:tc>
          <w:tcPr>
            <w:tcW w:w="7083" w:type="dxa"/>
            <w:vAlign w:val="center"/>
          </w:tcPr>
          <w:p w14:paraId="4AF7A161"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t>2014</w:t>
            </w:r>
          </w:p>
        </w:tc>
        <w:tc>
          <w:tcPr>
            <w:tcW w:w="1979" w:type="dxa"/>
            <w:vAlign w:val="center"/>
          </w:tcPr>
          <w:p w14:paraId="18F6D9F0" w14:textId="77777777" w:rsidR="00DB333A" w:rsidRPr="00B25E45" w:rsidRDefault="00DB333A" w:rsidP="00DB333A">
            <w:pPr>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3</w:t>
            </w:r>
          </w:p>
        </w:tc>
      </w:tr>
      <w:tr w:rsidR="00DB333A" w:rsidRPr="00B25E45" w14:paraId="23044EEC" w14:textId="77777777" w:rsidTr="00DB333A">
        <w:trPr>
          <w:trHeight w:val="20"/>
        </w:trPr>
        <w:tc>
          <w:tcPr>
            <w:tcW w:w="7083" w:type="dxa"/>
            <w:vAlign w:val="center"/>
          </w:tcPr>
          <w:p w14:paraId="7377558A"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t>2015</w:t>
            </w:r>
          </w:p>
        </w:tc>
        <w:tc>
          <w:tcPr>
            <w:tcW w:w="1979" w:type="dxa"/>
            <w:vAlign w:val="center"/>
          </w:tcPr>
          <w:p w14:paraId="44198B5D" w14:textId="77777777" w:rsidR="00DB333A" w:rsidRPr="00B25E45" w:rsidRDefault="00DB333A" w:rsidP="00DB333A">
            <w:pPr>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1</w:t>
            </w:r>
          </w:p>
        </w:tc>
      </w:tr>
      <w:tr w:rsidR="00DB333A" w:rsidRPr="00B25E45" w14:paraId="4EE9F7D5" w14:textId="77777777" w:rsidTr="00DB333A">
        <w:trPr>
          <w:trHeight w:val="20"/>
        </w:trPr>
        <w:tc>
          <w:tcPr>
            <w:tcW w:w="7083" w:type="dxa"/>
            <w:vAlign w:val="center"/>
          </w:tcPr>
          <w:p w14:paraId="775468EE"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t>2016</w:t>
            </w:r>
          </w:p>
        </w:tc>
        <w:tc>
          <w:tcPr>
            <w:tcW w:w="1979" w:type="dxa"/>
            <w:vAlign w:val="center"/>
          </w:tcPr>
          <w:p w14:paraId="7C4A7150" w14:textId="77777777" w:rsidR="00DB333A" w:rsidRPr="00B25E45" w:rsidRDefault="00DB333A" w:rsidP="00DB333A">
            <w:pPr>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2</w:t>
            </w:r>
          </w:p>
        </w:tc>
      </w:tr>
      <w:tr w:rsidR="00DB333A" w:rsidRPr="00B25E45" w14:paraId="21C1E6F1" w14:textId="77777777" w:rsidTr="00DB333A">
        <w:trPr>
          <w:trHeight w:val="20"/>
        </w:trPr>
        <w:tc>
          <w:tcPr>
            <w:tcW w:w="7083" w:type="dxa"/>
            <w:vAlign w:val="center"/>
          </w:tcPr>
          <w:p w14:paraId="00D58445"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t>2017</w:t>
            </w:r>
          </w:p>
        </w:tc>
        <w:tc>
          <w:tcPr>
            <w:tcW w:w="1979" w:type="dxa"/>
            <w:vAlign w:val="center"/>
          </w:tcPr>
          <w:p w14:paraId="1A3FEF09" w14:textId="77777777" w:rsidR="00DB333A" w:rsidRPr="00B25E45" w:rsidRDefault="00DB333A" w:rsidP="00DB333A">
            <w:pPr>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0</w:t>
            </w:r>
          </w:p>
        </w:tc>
      </w:tr>
      <w:tr w:rsidR="00DB333A" w:rsidRPr="00B25E45" w14:paraId="30076404" w14:textId="77777777" w:rsidTr="00DB333A">
        <w:trPr>
          <w:trHeight w:val="20"/>
        </w:trPr>
        <w:tc>
          <w:tcPr>
            <w:tcW w:w="7083" w:type="dxa"/>
            <w:vAlign w:val="center"/>
          </w:tcPr>
          <w:p w14:paraId="26C57326"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lastRenderedPageBreak/>
              <w:t>2018</w:t>
            </w:r>
          </w:p>
        </w:tc>
        <w:tc>
          <w:tcPr>
            <w:tcW w:w="1979" w:type="dxa"/>
            <w:vAlign w:val="center"/>
          </w:tcPr>
          <w:p w14:paraId="7FDF2E7D" w14:textId="77777777" w:rsidR="00DB333A" w:rsidRPr="00B25E45" w:rsidRDefault="00DB333A" w:rsidP="00DB333A">
            <w:pPr>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0</w:t>
            </w:r>
          </w:p>
        </w:tc>
      </w:tr>
      <w:tr w:rsidR="00DB333A" w:rsidRPr="00B25E45" w14:paraId="380473D0" w14:textId="77777777" w:rsidTr="00DB333A">
        <w:trPr>
          <w:trHeight w:val="20"/>
        </w:trPr>
        <w:tc>
          <w:tcPr>
            <w:tcW w:w="7083" w:type="dxa"/>
            <w:vAlign w:val="center"/>
          </w:tcPr>
          <w:p w14:paraId="2694AD38"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t>2019</w:t>
            </w:r>
          </w:p>
        </w:tc>
        <w:tc>
          <w:tcPr>
            <w:tcW w:w="1979" w:type="dxa"/>
            <w:vAlign w:val="center"/>
          </w:tcPr>
          <w:p w14:paraId="30C606ED" w14:textId="77777777" w:rsidR="00DB333A" w:rsidRPr="00B25E45" w:rsidRDefault="00DB333A" w:rsidP="00DB333A">
            <w:pPr>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66</w:t>
            </w:r>
          </w:p>
        </w:tc>
      </w:tr>
      <w:tr w:rsidR="00DB333A" w:rsidRPr="00B25E45" w14:paraId="6C6A95FF" w14:textId="77777777" w:rsidTr="00DB333A">
        <w:trPr>
          <w:trHeight w:val="20"/>
        </w:trPr>
        <w:tc>
          <w:tcPr>
            <w:tcW w:w="7083" w:type="dxa"/>
            <w:vAlign w:val="center"/>
          </w:tcPr>
          <w:p w14:paraId="1DDBB181"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t>2020</w:t>
            </w:r>
          </w:p>
        </w:tc>
        <w:tc>
          <w:tcPr>
            <w:tcW w:w="1979" w:type="dxa"/>
            <w:vAlign w:val="center"/>
          </w:tcPr>
          <w:p w14:paraId="10356B85" w14:textId="77777777" w:rsidR="00DB333A" w:rsidRPr="00B25E45" w:rsidRDefault="00DB333A" w:rsidP="00DB333A">
            <w:pPr>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1</w:t>
            </w:r>
          </w:p>
        </w:tc>
      </w:tr>
      <w:tr w:rsidR="00DB333A" w:rsidRPr="00B25E45" w14:paraId="7990E0D1" w14:textId="77777777" w:rsidTr="00DB333A">
        <w:trPr>
          <w:trHeight w:val="20"/>
        </w:trPr>
        <w:tc>
          <w:tcPr>
            <w:tcW w:w="7083" w:type="dxa"/>
            <w:vAlign w:val="center"/>
          </w:tcPr>
          <w:p w14:paraId="500938D1"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t>2021</w:t>
            </w:r>
          </w:p>
        </w:tc>
        <w:tc>
          <w:tcPr>
            <w:tcW w:w="1979" w:type="dxa"/>
            <w:vAlign w:val="center"/>
          </w:tcPr>
          <w:p w14:paraId="0CD59A66" w14:textId="77777777" w:rsidR="00DB333A" w:rsidRPr="00B25E45" w:rsidRDefault="00DB333A" w:rsidP="00DB333A">
            <w:pPr>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1</w:t>
            </w:r>
          </w:p>
        </w:tc>
      </w:tr>
      <w:tr w:rsidR="00DB333A" w:rsidRPr="00B25E45" w14:paraId="0EE9AF06" w14:textId="77777777" w:rsidTr="00DB333A">
        <w:trPr>
          <w:trHeight w:val="20"/>
        </w:trPr>
        <w:tc>
          <w:tcPr>
            <w:tcW w:w="7083" w:type="dxa"/>
            <w:vAlign w:val="center"/>
          </w:tcPr>
          <w:p w14:paraId="460DA0BF"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t>2022</w:t>
            </w:r>
          </w:p>
        </w:tc>
        <w:tc>
          <w:tcPr>
            <w:tcW w:w="1979" w:type="dxa"/>
            <w:vAlign w:val="center"/>
          </w:tcPr>
          <w:p w14:paraId="13DC8BBE" w14:textId="77777777" w:rsidR="00DB333A" w:rsidRPr="00B25E45" w:rsidRDefault="00DB333A" w:rsidP="00DB333A">
            <w:pPr>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1</w:t>
            </w:r>
          </w:p>
        </w:tc>
      </w:tr>
      <w:tr w:rsidR="00DB333A" w:rsidRPr="00B25E45" w14:paraId="243C4EA2" w14:textId="77777777" w:rsidTr="00DB333A">
        <w:trPr>
          <w:trHeight w:val="20"/>
        </w:trPr>
        <w:tc>
          <w:tcPr>
            <w:tcW w:w="7083" w:type="dxa"/>
            <w:vAlign w:val="center"/>
          </w:tcPr>
          <w:p w14:paraId="35EC3918" w14:textId="77777777" w:rsidR="00DB333A" w:rsidRPr="00B25E45" w:rsidRDefault="00DB333A" w:rsidP="00DB333A">
            <w:pPr>
              <w:widowControl w:val="0"/>
              <w:spacing w:before="40" w:after="40" w:line="240" w:lineRule="auto"/>
              <w:rPr>
                <w:rFonts w:ascii="Times New Roman" w:hAnsi="Times New Roman"/>
                <w:color w:val="000000"/>
                <w:sz w:val="22"/>
                <w:szCs w:val="22"/>
              </w:rPr>
            </w:pPr>
            <w:r w:rsidRPr="00B25E45">
              <w:rPr>
                <w:rFonts w:ascii="Times New Roman" w:hAnsi="Times New Roman"/>
                <w:color w:val="000000"/>
                <w:sz w:val="22"/>
                <w:szCs w:val="22"/>
              </w:rPr>
              <w:t>Celkem za 20 let</w:t>
            </w:r>
          </w:p>
        </w:tc>
        <w:tc>
          <w:tcPr>
            <w:tcW w:w="1979" w:type="dxa"/>
            <w:vAlign w:val="center"/>
          </w:tcPr>
          <w:p w14:paraId="4257253C" w14:textId="77777777" w:rsidR="00DB333A" w:rsidRPr="00B25E45" w:rsidRDefault="00DB333A" w:rsidP="00DB333A">
            <w:pPr>
              <w:widowControl w:val="0"/>
              <w:spacing w:before="40" w:after="40" w:line="240" w:lineRule="auto"/>
              <w:jc w:val="center"/>
              <w:rPr>
                <w:rFonts w:ascii="Times New Roman" w:hAnsi="Times New Roman"/>
                <w:sz w:val="22"/>
                <w:szCs w:val="22"/>
              </w:rPr>
            </w:pPr>
            <w:r w:rsidRPr="00B25E45">
              <w:rPr>
                <w:rFonts w:ascii="Times New Roman" w:hAnsi="Times New Roman"/>
                <w:sz w:val="22"/>
                <w:szCs w:val="22"/>
              </w:rPr>
              <w:t>173</w:t>
            </w:r>
          </w:p>
        </w:tc>
      </w:tr>
      <w:tr w:rsidR="00DB333A" w:rsidRPr="00B25E45" w14:paraId="2E4C0F02" w14:textId="77777777" w:rsidTr="00DB333A">
        <w:trPr>
          <w:trHeight w:val="20"/>
        </w:trPr>
        <w:tc>
          <w:tcPr>
            <w:tcW w:w="7083" w:type="dxa"/>
            <w:vAlign w:val="bottom"/>
          </w:tcPr>
          <w:p w14:paraId="38A15C8B" w14:textId="77777777" w:rsidR="00DB333A" w:rsidRPr="00B25E45" w:rsidRDefault="00DB333A" w:rsidP="00DB333A">
            <w:pPr>
              <w:widowControl w:val="0"/>
              <w:spacing w:before="40" w:after="40" w:line="240" w:lineRule="auto"/>
              <w:jc w:val="both"/>
              <w:rPr>
                <w:rFonts w:ascii="Times New Roman" w:hAnsi="Times New Roman"/>
                <w:b/>
                <w:bCs/>
                <w:color w:val="000000"/>
                <w:sz w:val="22"/>
                <w:szCs w:val="22"/>
              </w:rPr>
            </w:pPr>
            <w:r w:rsidRPr="00B25E45">
              <w:rPr>
                <w:rFonts w:ascii="Times New Roman" w:hAnsi="Times New Roman"/>
                <w:b/>
                <w:bCs/>
                <w:color w:val="000000"/>
                <w:sz w:val="22"/>
                <w:szCs w:val="22"/>
              </w:rPr>
              <w:t>Průměr počtu veřejných žalob za rok (po zaokrouhlení)</w:t>
            </w:r>
          </w:p>
        </w:tc>
        <w:tc>
          <w:tcPr>
            <w:tcW w:w="1979" w:type="dxa"/>
            <w:vAlign w:val="center"/>
          </w:tcPr>
          <w:p w14:paraId="2168031C" w14:textId="77777777" w:rsidR="00DB333A" w:rsidRPr="00B25E45" w:rsidRDefault="00DB333A" w:rsidP="00DB333A">
            <w:pPr>
              <w:widowControl w:val="0"/>
              <w:spacing w:before="40" w:after="40" w:line="240" w:lineRule="auto"/>
              <w:jc w:val="center"/>
              <w:rPr>
                <w:rFonts w:ascii="Times New Roman" w:hAnsi="Times New Roman"/>
                <w:b/>
                <w:bCs/>
                <w:sz w:val="22"/>
                <w:szCs w:val="22"/>
              </w:rPr>
            </w:pPr>
            <w:r w:rsidRPr="00B25E45">
              <w:rPr>
                <w:rFonts w:ascii="Times New Roman" w:hAnsi="Times New Roman"/>
                <w:b/>
                <w:bCs/>
                <w:sz w:val="22"/>
                <w:szCs w:val="22"/>
              </w:rPr>
              <w:t>9</w:t>
            </w:r>
          </w:p>
        </w:tc>
      </w:tr>
    </w:tbl>
    <w:p w14:paraId="0614930E" w14:textId="77777777" w:rsidR="00BA0BA0" w:rsidRPr="00B25E45" w:rsidRDefault="00BA0BA0" w:rsidP="00DB333A">
      <w:pPr>
        <w:widowControl w:val="0"/>
        <w:spacing w:before="120"/>
        <w:jc w:val="both"/>
      </w:pPr>
    </w:p>
    <w:p w14:paraId="0FCC4290" w14:textId="4003B6F6" w:rsidR="00D875F9" w:rsidRPr="00B25E45" w:rsidRDefault="00D875F9" w:rsidP="000F0904">
      <w:pPr>
        <w:widowControl w:val="0"/>
        <w:spacing w:before="120"/>
        <w:jc w:val="both"/>
        <w:rPr>
          <w:rFonts w:ascii="Times New Roman" w:hAnsi="Times New Roman"/>
          <w:sz w:val="24"/>
        </w:rPr>
      </w:pPr>
      <w:r w:rsidRPr="00B25E45">
        <w:rPr>
          <w:rFonts w:ascii="Times New Roman" w:hAnsi="Times New Roman"/>
          <w:sz w:val="24"/>
        </w:rPr>
        <w:t xml:space="preserve">Je zřejmé, že nápad veřejných žalob ze strany nejvyššího státního zástupce se v jednotlivých letech </w:t>
      </w:r>
      <w:proofErr w:type="gramStart"/>
      <w:r w:rsidRPr="00B25E45">
        <w:rPr>
          <w:rFonts w:ascii="Times New Roman" w:hAnsi="Times New Roman"/>
          <w:sz w:val="24"/>
        </w:rPr>
        <w:t>liší</w:t>
      </w:r>
      <w:proofErr w:type="gramEnd"/>
      <w:r w:rsidRPr="00B25E45">
        <w:rPr>
          <w:rFonts w:ascii="Times New Roman" w:hAnsi="Times New Roman"/>
          <w:sz w:val="24"/>
        </w:rPr>
        <w:t xml:space="preserve">, nicméně obecně osciluje okolo 0-5 ročně, pouze výjimečně (tři roky za posledních 20 letech) bylo žalob za daný rok více </w:t>
      </w:r>
      <w:r w:rsidR="003B2FEF" w:rsidRPr="00B25E45">
        <w:rPr>
          <w:rFonts w:ascii="Times New Roman" w:hAnsi="Times New Roman"/>
          <w:sz w:val="24"/>
        </w:rPr>
        <w:t xml:space="preserve">než </w:t>
      </w:r>
      <w:r w:rsidRPr="00B25E45">
        <w:rPr>
          <w:rFonts w:ascii="Times New Roman" w:hAnsi="Times New Roman"/>
          <w:sz w:val="24"/>
        </w:rPr>
        <w:t>10, nejvíce jich bylo v roce 2019 (66).</w:t>
      </w:r>
      <w:r w:rsidR="0054260B" w:rsidRPr="00B25E45">
        <w:rPr>
          <w:rFonts w:ascii="Times New Roman" w:hAnsi="Times New Roman"/>
          <w:sz w:val="24"/>
        </w:rPr>
        <w:t xml:space="preserve"> Při zprůměrování jednotlivých let lze uzavřít, že nejvyšší státní zástupce podává v průměru 9 žalob ročně.</w:t>
      </w:r>
    </w:p>
    <w:p w14:paraId="60A7B227" w14:textId="29CF52D6" w:rsidR="00D875F9" w:rsidRPr="00B25E45" w:rsidRDefault="00D875F9" w:rsidP="000F0904">
      <w:pPr>
        <w:widowControl w:val="0"/>
        <w:spacing w:before="120"/>
        <w:jc w:val="both"/>
        <w:rPr>
          <w:rFonts w:ascii="Times New Roman" w:hAnsi="Times New Roman"/>
          <w:sz w:val="24"/>
        </w:rPr>
      </w:pPr>
      <w:r w:rsidRPr="00B25E45">
        <w:rPr>
          <w:rFonts w:ascii="Times New Roman" w:hAnsi="Times New Roman"/>
          <w:sz w:val="24"/>
        </w:rPr>
        <w:t>Pokud jde o žaloby veřejného ochránce práv, podle evidence stížností byly dosud za dobu účinnosti soudního řádu správního podány jen tři</w:t>
      </w:r>
      <w:r w:rsidR="004A4C42" w:rsidRPr="00B25E45">
        <w:rPr>
          <w:rFonts w:ascii="Times New Roman" w:hAnsi="Times New Roman"/>
          <w:sz w:val="24"/>
        </w:rPr>
        <w:t xml:space="preserve"> žaloby dle § 66 odst. 3 s. ř. s.</w:t>
      </w:r>
      <w:r w:rsidRPr="00B25E45">
        <w:rPr>
          <w:rStyle w:val="Znakapoznpodarou"/>
          <w:rFonts w:ascii="Times New Roman" w:hAnsi="Times New Roman"/>
          <w:sz w:val="24"/>
        </w:rPr>
        <w:footnoteReference w:id="13"/>
      </w:r>
    </w:p>
    <w:tbl>
      <w:tblPr>
        <w:tblStyle w:val="Mkatabulky"/>
        <w:tblpPr w:leftFromText="141" w:rightFromText="141" w:vertAnchor="text" w:horzAnchor="margin" w:tblpY="133"/>
        <w:tblOverlap w:val="never"/>
        <w:tblW w:w="0" w:type="auto"/>
        <w:tblInd w:w="0" w:type="dxa"/>
        <w:tblLook w:val="04A0" w:firstRow="1" w:lastRow="0" w:firstColumn="1" w:lastColumn="0" w:noHBand="0" w:noVBand="1"/>
      </w:tblPr>
      <w:tblGrid>
        <w:gridCol w:w="6374"/>
        <w:gridCol w:w="2688"/>
      </w:tblGrid>
      <w:tr w:rsidR="00DB333A" w:rsidRPr="00B25E45" w14:paraId="6FE44D0E" w14:textId="77777777" w:rsidTr="00DB333A">
        <w:tc>
          <w:tcPr>
            <w:tcW w:w="9062" w:type="dxa"/>
            <w:gridSpan w:val="2"/>
            <w:vAlign w:val="center"/>
          </w:tcPr>
          <w:p w14:paraId="5DC88006" w14:textId="77777777" w:rsidR="00DB333A" w:rsidRPr="00B25E45" w:rsidRDefault="00DB333A" w:rsidP="00DB333A">
            <w:pPr>
              <w:widowControl w:val="0"/>
              <w:spacing w:before="40" w:after="40" w:line="240" w:lineRule="auto"/>
              <w:jc w:val="center"/>
              <w:rPr>
                <w:rFonts w:ascii="Times New Roman" w:hAnsi="Times New Roman"/>
                <w:b/>
                <w:bCs/>
                <w:sz w:val="22"/>
                <w:szCs w:val="22"/>
              </w:rPr>
            </w:pPr>
            <w:r w:rsidRPr="00B25E45">
              <w:rPr>
                <w:rFonts w:ascii="Times New Roman" w:hAnsi="Times New Roman"/>
                <w:b/>
                <w:bCs/>
                <w:sz w:val="22"/>
                <w:szCs w:val="22"/>
              </w:rPr>
              <w:t>Počet žalob podaných veřejným ochráncem práv podle § 66 odst. 2 s. ř. s.</w:t>
            </w:r>
          </w:p>
        </w:tc>
      </w:tr>
      <w:tr w:rsidR="00DB333A" w:rsidRPr="00B25E45" w14:paraId="15A3E6FB" w14:textId="77777777" w:rsidTr="0054260B">
        <w:tc>
          <w:tcPr>
            <w:tcW w:w="6374" w:type="dxa"/>
            <w:vAlign w:val="center"/>
          </w:tcPr>
          <w:p w14:paraId="246CFAFD" w14:textId="77777777" w:rsidR="00DB333A" w:rsidRPr="00B25E45" w:rsidRDefault="00DB333A" w:rsidP="00DB333A">
            <w:pPr>
              <w:widowControl w:val="0"/>
              <w:spacing w:before="40" w:after="40" w:line="240" w:lineRule="auto"/>
              <w:jc w:val="center"/>
              <w:rPr>
                <w:rFonts w:ascii="Times New Roman" w:hAnsi="Times New Roman"/>
                <w:b/>
                <w:bCs/>
                <w:sz w:val="22"/>
                <w:szCs w:val="22"/>
              </w:rPr>
            </w:pPr>
            <w:r w:rsidRPr="00B25E45">
              <w:rPr>
                <w:rFonts w:ascii="Times New Roman" w:hAnsi="Times New Roman"/>
                <w:b/>
                <w:bCs/>
                <w:sz w:val="22"/>
                <w:szCs w:val="22"/>
              </w:rPr>
              <w:t>Celkem</w:t>
            </w:r>
          </w:p>
        </w:tc>
        <w:tc>
          <w:tcPr>
            <w:tcW w:w="2688" w:type="dxa"/>
            <w:vAlign w:val="center"/>
          </w:tcPr>
          <w:p w14:paraId="03E57AC7" w14:textId="77777777" w:rsidR="00DB333A" w:rsidRPr="00B25E45" w:rsidRDefault="00DB333A" w:rsidP="00DB333A">
            <w:pPr>
              <w:widowControl w:val="0"/>
              <w:spacing w:before="40" w:after="40" w:line="240" w:lineRule="auto"/>
              <w:jc w:val="center"/>
              <w:rPr>
                <w:rFonts w:ascii="Times New Roman" w:hAnsi="Times New Roman"/>
                <w:b/>
                <w:bCs/>
                <w:sz w:val="22"/>
                <w:szCs w:val="22"/>
              </w:rPr>
            </w:pPr>
            <w:r w:rsidRPr="00B25E45">
              <w:rPr>
                <w:rFonts w:ascii="Times New Roman" w:hAnsi="Times New Roman"/>
                <w:b/>
                <w:bCs/>
                <w:sz w:val="22"/>
                <w:szCs w:val="22"/>
              </w:rPr>
              <w:t>Počet žalob</w:t>
            </w:r>
          </w:p>
        </w:tc>
      </w:tr>
      <w:tr w:rsidR="00DB333A" w:rsidRPr="00B25E45" w14:paraId="73D4F39B" w14:textId="77777777" w:rsidTr="0054260B">
        <w:tc>
          <w:tcPr>
            <w:tcW w:w="6374" w:type="dxa"/>
            <w:vAlign w:val="center"/>
          </w:tcPr>
          <w:p w14:paraId="4BE0F7FC"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color w:val="000000"/>
                <w:sz w:val="22"/>
                <w:szCs w:val="22"/>
              </w:rPr>
              <w:t>Za roky 2012-2022</w:t>
            </w:r>
          </w:p>
        </w:tc>
        <w:tc>
          <w:tcPr>
            <w:tcW w:w="2688" w:type="dxa"/>
            <w:vAlign w:val="center"/>
          </w:tcPr>
          <w:p w14:paraId="10965F5C" w14:textId="77777777" w:rsidR="00DB333A" w:rsidRPr="00B25E45" w:rsidRDefault="00DB333A" w:rsidP="00DB333A">
            <w:pPr>
              <w:widowControl w:val="0"/>
              <w:spacing w:before="40" w:after="40" w:line="240" w:lineRule="auto"/>
              <w:rPr>
                <w:rFonts w:ascii="Times New Roman" w:hAnsi="Times New Roman"/>
                <w:sz w:val="22"/>
                <w:szCs w:val="22"/>
              </w:rPr>
            </w:pPr>
            <w:r w:rsidRPr="00B25E45">
              <w:rPr>
                <w:rFonts w:ascii="Times New Roman" w:hAnsi="Times New Roman"/>
                <w:sz w:val="22"/>
                <w:szCs w:val="22"/>
              </w:rPr>
              <w:t>3</w:t>
            </w:r>
          </w:p>
        </w:tc>
      </w:tr>
      <w:tr w:rsidR="00DB333A" w:rsidRPr="00B25E45" w14:paraId="16F64995" w14:textId="77777777" w:rsidTr="0054260B">
        <w:tc>
          <w:tcPr>
            <w:tcW w:w="6374" w:type="dxa"/>
            <w:vAlign w:val="bottom"/>
          </w:tcPr>
          <w:p w14:paraId="4B928170" w14:textId="77777777" w:rsidR="00DB333A" w:rsidRPr="00B25E45" w:rsidRDefault="00DB333A" w:rsidP="00DB333A">
            <w:pPr>
              <w:widowControl w:val="0"/>
              <w:spacing w:before="40" w:after="40" w:line="240" w:lineRule="auto"/>
              <w:jc w:val="both"/>
              <w:rPr>
                <w:rFonts w:ascii="Times New Roman" w:hAnsi="Times New Roman"/>
                <w:b/>
                <w:bCs/>
                <w:color w:val="000000"/>
                <w:sz w:val="22"/>
                <w:szCs w:val="22"/>
              </w:rPr>
            </w:pPr>
            <w:r w:rsidRPr="00B25E45">
              <w:rPr>
                <w:rFonts w:ascii="Times New Roman" w:hAnsi="Times New Roman"/>
                <w:b/>
                <w:bCs/>
                <w:color w:val="000000"/>
                <w:sz w:val="22"/>
                <w:szCs w:val="22"/>
              </w:rPr>
              <w:t>Průměr počtu veřejných žalob za rok (po zaokrouhlení)</w:t>
            </w:r>
          </w:p>
        </w:tc>
        <w:tc>
          <w:tcPr>
            <w:tcW w:w="2688" w:type="dxa"/>
          </w:tcPr>
          <w:p w14:paraId="4E7C708A" w14:textId="77777777" w:rsidR="00DB333A" w:rsidRPr="00B25E45" w:rsidRDefault="00DB333A" w:rsidP="00DB333A">
            <w:pPr>
              <w:widowControl w:val="0"/>
              <w:spacing w:before="40" w:after="40" w:line="240" w:lineRule="auto"/>
              <w:jc w:val="both"/>
              <w:rPr>
                <w:rFonts w:ascii="Times New Roman" w:hAnsi="Times New Roman"/>
                <w:b/>
                <w:bCs/>
                <w:sz w:val="22"/>
                <w:szCs w:val="22"/>
              </w:rPr>
            </w:pPr>
            <w:r w:rsidRPr="00B25E45">
              <w:rPr>
                <w:rFonts w:ascii="Times New Roman" w:hAnsi="Times New Roman"/>
                <w:b/>
                <w:bCs/>
                <w:sz w:val="22"/>
                <w:szCs w:val="22"/>
              </w:rPr>
              <w:t>0</w:t>
            </w:r>
          </w:p>
        </w:tc>
      </w:tr>
    </w:tbl>
    <w:p w14:paraId="6E25CD85" w14:textId="77777777" w:rsidR="0054260B" w:rsidRPr="00B25E45" w:rsidRDefault="0054260B" w:rsidP="000F0904">
      <w:pPr>
        <w:widowControl w:val="0"/>
        <w:spacing w:before="120"/>
        <w:jc w:val="both"/>
        <w:rPr>
          <w:rFonts w:ascii="Times New Roman" w:hAnsi="Times New Roman"/>
          <w:sz w:val="24"/>
        </w:rPr>
      </w:pPr>
    </w:p>
    <w:p w14:paraId="277A8F35" w14:textId="3090DBDF" w:rsidR="003B2FEF" w:rsidRPr="00B25E45" w:rsidRDefault="003B2FEF" w:rsidP="000F0904">
      <w:pPr>
        <w:widowControl w:val="0"/>
        <w:spacing w:before="120"/>
        <w:jc w:val="both"/>
        <w:rPr>
          <w:rFonts w:ascii="Times New Roman" w:hAnsi="Times New Roman"/>
          <w:sz w:val="24"/>
        </w:rPr>
      </w:pPr>
      <w:r w:rsidRPr="00B25E45">
        <w:rPr>
          <w:rFonts w:ascii="Times New Roman" w:hAnsi="Times New Roman"/>
          <w:sz w:val="24"/>
        </w:rPr>
        <w:t>Ve svém souhrnu</w:t>
      </w:r>
      <w:r w:rsidR="0054260B" w:rsidRPr="00B25E45">
        <w:rPr>
          <w:rFonts w:ascii="Times New Roman" w:hAnsi="Times New Roman"/>
          <w:sz w:val="24"/>
        </w:rPr>
        <w:t xml:space="preserve"> se </w:t>
      </w:r>
      <w:r w:rsidRPr="00B25E45">
        <w:rPr>
          <w:rFonts w:ascii="Times New Roman" w:hAnsi="Times New Roman"/>
          <w:sz w:val="24"/>
        </w:rPr>
        <w:t xml:space="preserve">tak dle stávající úpravy </w:t>
      </w:r>
      <w:r w:rsidR="0054260B" w:rsidRPr="00B25E45">
        <w:rPr>
          <w:rFonts w:ascii="Times New Roman" w:hAnsi="Times New Roman"/>
          <w:sz w:val="24"/>
        </w:rPr>
        <w:t xml:space="preserve">vyskytuje </w:t>
      </w:r>
      <w:r w:rsidRPr="00B25E45">
        <w:rPr>
          <w:rFonts w:ascii="Times New Roman" w:hAnsi="Times New Roman"/>
          <w:sz w:val="24"/>
        </w:rPr>
        <w:t xml:space="preserve">v průměru méně než 10 žalob ve veřejném zájmu ročně, což by i při </w:t>
      </w:r>
      <w:r w:rsidR="001E5B71" w:rsidRPr="00B25E45">
        <w:rPr>
          <w:rFonts w:ascii="Times New Roman" w:hAnsi="Times New Roman"/>
          <w:sz w:val="24"/>
        </w:rPr>
        <w:t>zčtyřnásobení</w:t>
      </w:r>
      <w:r w:rsidRPr="00B25E45">
        <w:rPr>
          <w:rFonts w:ascii="Times New Roman" w:hAnsi="Times New Roman"/>
          <w:sz w:val="24"/>
        </w:rPr>
        <w:t xml:space="preserve"> nápadu znamenalo, že se nápad těchto žalob </w:t>
      </w:r>
      <w:proofErr w:type="gramStart"/>
      <w:r w:rsidRPr="00B25E45">
        <w:rPr>
          <w:rFonts w:ascii="Times New Roman" w:hAnsi="Times New Roman"/>
          <w:sz w:val="24"/>
        </w:rPr>
        <w:t>zvýší</w:t>
      </w:r>
      <w:proofErr w:type="gramEnd"/>
      <w:r w:rsidRPr="00B25E45">
        <w:rPr>
          <w:rFonts w:ascii="Times New Roman" w:hAnsi="Times New Roman"/>
          <w:sz w:val="24"/>
        </w:rPr>
        <w:t xml:space="preserve"> v průměru na max. 40 žalob, ale bude to spíše méně, při aktuálním počtu lze odhadovat okolo max. 20 žalob ve veřejném zájmu ročně</w:t>
      </w:r>
      <w:r w:rsidR="0054260B" w:rsidRPr="00B25E45">
        <w:rPr>
          <w:rFonts w:ascii="Times New Roman" w:hAnsi="Times New Roman"/>
          <w:sz w:val="24"/>
        </w:rPr>
        <w:t xml:space="preserve">, rozprostřených </w:t>
      </w:r>
      <w:r w:rsidRPr="00B25E45">
        <w:rPr>
          <w:rFonts w:ascii="Times New Roman" w:hAnsi="Times New Roman"/>
          <w:sz w:val="24"/>
        </w:rPr>
        <w:t xml:space="preserve">na všechny krajské soudy v ČR. S ohledem na celkový nápad věcí, který </w:t>
      </w:r>
      <w:r w:rsidR="0054260B" w:rsidRPr="00B25E45">
        <w:rPr>
          <w:rFonts w:ascii="Times New Roman" w:hAnsi="Times New Roman"/>
          <w:sz w:val="24"/>
        </w:rPr>
        <w:t xml:space="preserve">se </w:t>
      </w:r>
      <w:r w:rsidRPr="00B25E45">
        <w:rPr>
          <w:rFonts w:ascii="Times New Roman" w:hAnsi="Times New Roman"/>
          <w:sz w:val="24"/>
        </w:rPr>
        <w:t xml:space="preserve">u krajských soudů </w:t>
      </w:r>
      <w:r w:rsidR="0054260B" w:rsidRPr="00B25E45">
        <w:rPr>
          <w:rFonts w:ascii="Times New Roman" w:hAnsi="Times New Roman"/>
          <w:sz w:val="24"/>
        </w:rPr>
        <w:t xml:space="preserve">ve správní agendě </w:t>
      </w:r>
      <w:r w:rsidRPr="00B25E45">
        <w:rPr>
          <w:rFonts w:ascii="Times New Roman" w:hAnsi="Times New Roman"/>
          <w:sz w:val="24"/>
        </w:rPr>
        <w:t>pohybuje kolem 8 000 až 11 000 ročně,</w:t>
      </w:r>
      <w:r w:rsidRPr="00B25E45">
        <w:rPr>
          <w:rStyle w:val="Znakapoznpodarou"/>
          <w:rFonts w:ascii="Times New Roman" w:hAnsi="Times New Roman"/>
          <w:sz w:val="24"/>
        </w:rPr>
        <w:footnoteReference w:id="14"/>
      </w:r>
      <w:r w:rsidRPr="00B25E45">
        <w:rPr>
          <w:rFonts w:ascii="Times New Roman" w:hAnsi="Times New Roman"/>
          <w:sz w:val="24"/>
        </w:rPr>
        <w:t xml:space="preserve"> jde o méně než 0,2 % veškeré agendy krajských soudů</w:t>
      </w:r>
      <w:r w:rsidR="0054260B" w:rsidRPr="00B25E45">
        <w:rPr>
          <w:rFonts w:ascii="Times New Roman" w:hAnsi="Times New Roman"/>
          <w:sz w:val="24"/>
        </w:rPr>
        <w:t xml:space="preserve"> v oblasti správního soudnictví</w:t>
      </w:r>
      <w:r w:rsidRPr="00B25E45">
        <w:rPr>
          <w:rFonts w:ascii="Times New Roman" w:hAnsi="Times New Roman"/>
          <w:sz w:val="24"/>
        </w:rPr>
        <w:t>, s minimálním potenciálem významněji zasáhnout do celkového vytížení těchto soudů a délky soudního řízení.</w:t>
      </w:r>
    </w:p>
    <w:p w14:paraId="7D1F952D" w14:textId="404FB4FB" w:rsidR="001E5B71" w:rsidRPr="00B25E45" w:rsidRDefault="001E5B71" w:rsidP="000F0904">
      <w:pPr>
        <w:widowControl w:val="0"/>
        <w:spacing w:before="120"/>
        <w:jc w:val="both"/>
        <w:rPr>
          <w:rFonts w:ascii="Times New Roman" w:hAnsi="Times New Roman"/>
          <w:sz w:val="24"/>
        </w:rPr>
      </w:pPr>
      <w:r w:rsidRPr="00B25E45">
        <w:rPr>
          <w:rFonts w:ascii="Times New Roman" w:hAnsi="Times New Roman"/>
          <w:sz w:val="24"/>
        </w:rPr>
        <w:t>Rozšíření kompetencí nejvyššího státního zástupce a veřejného ochránce práv nicméně povede k tomu, že</w:t>
      </w:r>
      <w:r w:rsidR="0054260B" w:rsidRPr="00B25E45">
        <w:rPr>
          <w:rFonts w:ascii="Times New Roman" w:hAnsi="Times New Roman"/>
          <w:sz w:val="24"/>
        </w:rPr>
        <w:t xml:space="preserve"> se</w:t>
      </w:r>
      <w:r w:rsidRPr="00B25E45">
        <w:rPr>
          <w:rFonts w:ascii="Times New Roman" w:hAnsi="Times New Roman"/>
          <w:sz w:val="24"/>
        </w:rPr>
        <w:t xml:space="preserve"> </w:t>
      </w:r>
      <w:r w:rsidR="0054260B" w:rsidRPr="00B25E45">
        <w:rPr>
          <w:rFonts w:ascii="Times New Roman" w:hAnsi="Times New Roman"/>
          <w:sz w:val="24"/>
        </w:rPr>
        <w:t>tito</w:t>
      </w:r>
      <w:r w:rsidRPr="00B25E45">
        <w:rPr>
          <w:rFonts w:ascii="Times New Roman" w:hAnsi="Times New Roman"/>
          <w:sz w:val="24"/>
        </w:rPr>
        <w:t xml:space="preserve"> žalobci budou napříště muset zaměřovat i na jiné formy činnosti veřejné správy vedle rozhodnutí</w:t>
      </w:r>
      <w:r w:rsidR="0054260B" w:rsidRPr="00B25E45">
        <w:rPr>
          <w:rFonts w:ascii="Times New Roman" w:hAnsi="Times New Roman"/>
          <w:sz w:val="24"/>
        </w:rPr>
        <w:t xml:space="preserve"> správních orgánů</w:t>
      </w:r>
      <w:r w:rsidRPr="00B25E45">
        <w:rPr>
          <w:rFonts w:ascii="Times New Roman" w:hAnsi="Times New Roman"/>
          <w:sz w:val="24"/>
        </w:rPr>
        <w:t xml:space="preserve">. Na agendu bude nutné alokovat vyšší počet personálních kapacit, než je tomu dosud. Tato skutečnost může mít určité dopady na státní rozpočet v podobě potřeby personálního posílení nejvyššího státního zastupitelství a kanceláře </w:t>
      </w:r>
      <w:r w:rsidRPr="00B25E45">
        <w:rPr>
          <w:rFonts w:ascii="Times New Roman" w:hAnsi="Times New Roman"/>
          <w:sz w:val="24"/>
        </w:rPr>
        <w:lastRenderedPageBreak/>
        <w:t>veřejného ochránce práv. S ohledem na nízké množství žalob, které je dnes podáváno, lze však odhadovat, že tyto vícenáklady budou spíše zanedbatelné a v celkové šíři budou vyváženy pozitivními dopady této novely, která má s výjimkou zde uvedených změn veskrze pozitivní dopady na hospodaření státu.</w:t>
      </w:r>
    </w:p>
    <w:p w14:paraId="2D3FC58A" w14:textId="58F08321" w:rsidR="001E5B71" w:rsidRPr="00B25E45" w:rsidRDefault="001E5B71" w:rsidP="000F0904">
      <w:pPr>
        <w:keepNext/>
        <w:numPr>
          <w:ilvl w:val="2"/>
          <w:numId w:val="0"/>
        </w:numPr>
        <w:spacing w:before="120"/>
        <w:jc w:val="both"/>
        <w:outlineLvl w:val="2"/>
        <w:rPr>
          <w:rFonts w:ascii="Times New Roman" w:hAnsi="Times New Roman"/>
          <w:b/>
          <w:sz w:val="24"/>
        </w:rPr>
      </w:pPr>
      <w:r w:rsidRPr="00B25E45">
        <w:rPr>
          <w:rFonts w:ascii="Times New Roman" w:hAnsi="Times New Roman"/>
          <w:b/>
          <w:sz w:val="24"/>
        </w:rPr>
        <w:t>b) Dopady na rozpočet obcí a krajů</w:t>
      </w:r>
    </w:p>
    <w:p w14:paraId="5D76AFB6" w14:textId="3DDB4738" w:rsidR="001E5B71" w:rsidRPr="00B25E45" w:rsidRDefault="001E5B71" w:rsidP="000F0904">
      <w:pPr>
        <w:widowControl w:val="0"/>
        <w:spacing w:before="120"/>
        <w:jc w:val="both"/>
        <w:rPr>
          <w:rFonts w:ascii="Times New Roman" w:hAnsi="Times New Roman"/>
          <w:sz w:val="24"/>
        </w:rPr>
      </w:pPr>
      <w:r w:rsidRPr="00B25E45">
        <w:rPr>
          <w:rFonts w:ascii="Times New Roman" w:hAnsi="Times New Roman"/>
          <w:sz w:val="24"/>
        </w:rPr>
        <w:t xml:space="preserve">Žalovaným správním orgánem dle soudního řádu správního mohou být i orgány územních samosprávných celků [srov. § 4 odst. 1 písm. a) s. ř. s.]. Z tohoto hlediska lze dopady na stát </w:t>
      </w:r>
      <w:proofErr w:type="spellStart"/>
      <w:r w:rsidRPr="00B25E45">
        <w:rPr>
          <w:rFonts w:ascii="Times New Roman" w:hAnsi="Times New Roman"/>
          <w:i/>
          <w:iCs/>
          <w:sz w:val="24"/>
        </w:rPr>
        <w:t>mutatis</w:t>
      </w:r>
      <w:proofErr w:type="spellEnd"/>
      <w:r w:rsidRPr="00B25E45">
        <w:rPr>
          <w:rFonts w:ascii="Times New Roman" w:hAnsi="Times New Roman"/>
          <w:i/>
          <w:iCs/>
          <w:sz w:val="24"/>
        </w:rPr>
        <w:t xml:space="preserve"> </w:t>
      </w:r>
      <w:proofErr w:type="spellStart"/>
      <w:r w:rsidRPr="00B25E45">
        <w:rPr>
          <w:rFonts w:ascii="Times New Roman" w:hAnsi="Times New Roman"/>
          <w:i/>
          <w:iCs/>
          <w:sz w:val="24"/>
        </w:rPr>
        <w:t>mutandis</w:t>
      </w:r>
      <w:proofErr w:type="spellEnd"/>
      <w:r w:rsidRPr="00B25E45">
        <w:rPr>
          <w:rFonts w:ascii="Times New Roman" w:hAnsi="Times New Roman"/>
          <w:i/>
          <w:iCs/>
          <w:sz w:val="24"/>
        </w:rPr>
        <w:t xml:space="preserve"> </w:t>
      </w:r>
      <w:r w:rsidRPr="00B25E45">
        <w:rPr>
          <w:rFonts w:ascii="Times New Roman" w:hAnsi="Times New Roman"/>
          <w:sz w:val="24"/>
        </w:rPr>
        <w:t>vztáhnout také na územní samosprávné celky. Tyto budou profitovat na předložené novele pozitivně zejména z těchto důvodů:</w:t>
      </w:r>
    </w:p>
    <w:p w14:paraId="204805D0" w14:textId="1114BDF8" w:rsidR="001E5B71" w:rsidRPr="00B25E45" w:rsidRDefault="001E5B71" w:rsidP="00F6177A">
      <w:pPr>
        <w:pStyle w:val="Odstavecseseznamem"/>
        <w:widowControl w:val="0"/>
        <w:numPr>
          <w:ilvl w:val="0"/>
          <w:numId w:val="40"/>
        </w:numPr>
        <w:spacing w:before="120" w:after="120" w:line="276" w:lineRule="auto"/>
        <w:jc w:val="both"/>
      </w:pPr>
      <w:r w:rsidRPr="00B25E45">
        <w:t>Dojde k celkovému zrychlení a zefektivnění řízení před správními soudy, čímž se urychlí rozhodování o žalobách, v nichž orgány územních samosprávných celků figurují na straně žalované.</w:t>
      </w:r>
    </w:p>
    <w:p w14:paraId="63C87BEE" w14:textId="22C32D98" w:rsidR="001E5B71" w:rsidRPr="00B25E45" w:rsidRDefault="001E5B71" w:rsidP="00F6177A">
      <w:pPr>
        <w:pStyle w:val="Odstavecseseznamem"/>
        <w:widowControl w:val="0"/>
        <w:numPr>
          <w:ilvl w:val="0"/>
          <w:numId w:val="40"/>
        </w:numPr>
        <w:spacing w:before="120" w:after="120" w:line="276" w:lineRule="auto"/>
        <w:jc w:val="both"/>
      </w:pPr>
      <w:r w:rsidRPr="00B25E45">
        <w:t xml:space="preserve">I orgány územních samosprávných celků budou mít nově větší právní jistotu v otázce náhrady nákladů řízení tam, kde orgány uspěly ve věci samé. Zatímco dosud se na ně ve většině vztahovala rozhodovací praxe, která správním orgánům právo na náhradu nákladů přiznávala jen výjimečně (např. malým obcím, které nedisponují odborným personálem ani potřebnými finančními zdroji nezbytnými pro vedení složitého soudního řízení – srov. usnesení rozšířeného senátu Nejvyššího správního soudu ze dne 31. 3. 2015, čj. 7 </w:t>
      </w:r>
      <w:proofErr w:type="spellStart"/>
      <w:r w:rsidRPr="00B25E45">
        <w:t>Afs</w:t>
      </w:r>
      <w:proofErr w:type="spellEnd"/>
      <w:r w:rsidRPr="00B25E45">
        <w:t xml:space="preserve"> 11/2014-47, bod 29), nově bude postaveno najisto, že i orgány územních samosprávných celků mají zásadně právo na náhradu hotových výdajů a dále náhradu výdajů v paušální výši za zastupování. Tato změna má přímý pozitivní dopad na rozpočty územních samosprávných celků, jelikož jim přinese nové finanční prostředky.</w:t>
      </w:r>
    </w:p>
    <w:p w14:paraId="401EF254" w14:textId="5BAAB9A7" w:rsidR="001E5B71" w:rsidRPr="00B25E45" w:rsidRDefault="001E5B71" w:rsidP="000F0904">
      <w:pPr>
        <w:keepNext/>
        <w:numPr>
          <w:ilvl w:val="2"/>
          <w:numId w:val="0"/>
        </w:numPr>
        <w:spacing w:before="120"/>
        <w:jc w:val="both"/>
        <w:outlineLvl w:val="2"/>
        <w:rPr>
          <w:rFonts w:ascii="Times New Roman" w:hAnsi="Times New Roman"/>
          <w:b/>
          <w:sz w:val="24"/>
        </w:rPr>
      </w:pPr>
      <w:bookmarkStart w:id="19" w:name="_Toc25695645"/>
      <w:r w:rsidRPr="00B25E45">
        <w:rPr>
          <w:rFonts w:ascii="Times New Roman" w:hAnsi="Times New Roman"/>
          <w:b/>
          <w:sz w:val="24"/>
        </w:rPr>
        <w:t xml:space="preserve">7.2 Dopady na podnikatelské prostředí </w:t>
      </w:r>
    </w:p>
    <w:bookmarkEnd w:id="19"/>
    <w:p w14:paraId="4F97D994" w14:textId="57757C52" w:rsidR="001E5B71" w:rsidRPr="00B25E45" w:rsidRDefault="001E5B71" w:rsidP="000F0904">
      <w:pPr>
        <w:spacing w:before="120"/>
        <w:jc w:val="both"/>
        <w:rPr>
          <w:rFonts w:ascii="Times New Roman" w:hAnsi="Times New Roman"/>
          <w:sz w:val="24"/>
        </w:rPr>
      </w:pPr>
      <w:r w:rsidRPr="00B25E45">
        <w:rPr>
          <w:rFonts w:ascii="Times New Roman" w:hAnsi="Times New Roman"/>
          <w:sz w:val="24"/>
        </w:rPr>
        <w:t xml:space="preserve">Předkládaný zákon nemá přímé dopady na podnikatelské prostředí v tom smyslu, že by se </w:t>
      </w:r>
      <w:proofErr w:type="gramStart"/>
      <w:r w:rsidRPr="00B25E45">
        <w:rPr>
          <w:rFonts w:ascii="Times New Roman" w:hAnsi="Times New Roman"/>
          <w:sz w:val="24"/>
        </w:rPr>
        <w:t>jím</w:t>
      </w:r>
      <w:proofErr w:type="gramEnd"/>
      <w:r w:rsidRPr="00B25E45">
        <w:rPr>
          <w:rFonts w:ascii="Times New Roman" w:hAnsi="Times New Roman"/>
          <w:sz w:val="24"/>
        </w:rPr>
        <w:t xml:space="preserve"> jakkoliv reguloval přístup k podnikatelské činnosti nebo podmínky jejího výkonu. Zákon upravuje postup v řízení před správními soudy. Nicméně nepřímo se podnikatelského prostředí dotýká, a to v otázce vymahatelnosti veřejných subjektivních práv, která mohou vznikat i podnikatelům.</w:t>
      </w:r>
    </w:p>
    <w:p w14:paraId="512F40B6" w14:textId="0689536C" w:rsidR="001E5B71" w:rsidRPr="00B25E45" w:rsidRDefault="001E5B71" w:rsidP="000F0904">
      <w:pPr>
        <w:spacing w:before="120"/>
        <w:jc w:val="both"/>
        <w:rPr>
          <w:rFonts w:ascii="Times New Roman" w:hAnsi="Times New Roman"/>
          <w:sz w:val="24"/>
        </w:rPr>
      </w:pPr>
      <w:r w:rsidRPr="00B25E45">
        <w:rPr>
          <w:rFonts w:ascii="Times New Roman" w:hAnsi="Times New Roman"/>
          <w:sz w:val="24"/>
        </w:rPr>
        <w:t xml:space="preserve">Na úvod je vhodné poznamenat, že </w:t>
      </w:r>
      <w:r w:rsidR="008A4A18" w:rsidRPr="00B25E45">
        <w:rPr>
          <w:rFonts w:ascii="Times New Roman" w:hAnsi="Times New Roman"/>
          <w:sz w:val="24"/>
        </w:rPr>
        <w:t>předložený zákon činí všechny úpravy soudního řádu správního</w:t>
      </w:r>
      <w:r w:rsidRPr="00B25E45">
        <w:rPr>
          <w:rFonts w:ascii="Times New Roman" w:hAnsi="Times New Roman"/>
          <w:sz w:val="24"/>
        </w:rPr>
        <w:t xml:space="preserve"> obecn</w:t>
      </w:r>
      <w:r w:rsidR="008A4A18" w:rsidRPr="00B25E45">
        <w:rPr>
          <w:rFonts w:ascii="Times New Roman" w:hAnsi="Times New Roman"/>
          <w:sz w:val="24"/>
        </w:rPr>
        <w:t>ě</w:t>
      </w:r>
      <w:r w:rsidRPr="00B25E45">
        <w:rPr>
          <w:rFonts w:ascii="Times New Roman" w:hAnsi="Times New Roman"/>
          <w:sz w:val="24"/>
        </w:rPr>
        <w:t xml:space="preserve"> a respektuj</w:t>
      </w:r>
      <w:r w:rsidR="008A4A18" w:rsidRPr="00B25E45">
        <w:rPr>
          <w:rFonts w:ascii="Times New Roman" w:hAnsi="Times New Roman"/>
          <w:sz w:val="24"/>
        </w:rPr>
        <w:t>e plně</w:t>
      </w:r>
      <w:r w:rsidRPr="00B25E45">
        <w:rPr>
          <w:rFonts w:ascii="Times New Roman" w:hAnsi="Times New Roman"/>
          <w:sz w:val="24"/>
        </w:rPr>
        <w:t xml:space="preserve"> zásadu rovnosti před zákonem i </w:t>
      </w:r>
      <w:r w:rsidR="00B638D9" w:rsidRPr="00B25E45">
        <w:rPr>
          <w:rFonts w:ascii="Times New Roman" w:hAnsi="Times New Roman"/>
          <w:sz w:val="24"/>
        </w:rPr>
        <w:t xml:space="preserve">rovnosti </w:t>
      </w:r>
      <w:r w:rsidRPr="00B25E45">
        <w:rPr>
          <w:rFonts w:ascii="Times New Roman" w:hAnsi="Times New Roman"/>
          <w:sz w:val="24"/>
        </w:rPr>
        <w:t>před soudem</w:t>
      </w:r>
      <w:r w:rsidR="008A4A18" w:rsidRPr="00B25E45">
        <w:rPr>
          <w:rFonts w:ascii="Times New Roman" w:hAnsi="Times New Roman"/>
          <w:sz w:val="24"/>
        </w:rPr>
        <w:t xml:space="preserve">. Navržené novelizační body tak </w:t>
      </w:r>
      <w:r w:rsidRPr="00B25E45">
        <w:rPr>
          <w:rFonts w:ascii="Times New Roman" w:hAnsi="Times New Roman"/>
          <w:sz w:val="24"/>
        </w:rPr>
        <w:t>nejsou zaměřeny specificky na podnikatele</w:t>
      </w:r>
      <w:r w:rsidR="008A4A18" w:rsidRPr="00B25E45">
        <w:rPr>
          <w:rFonts w:ascii="Times New Roman" w:hAnsi="Times New Roman"/>
          <w:sz w:val="24"/>
        </w:rPr>
        <w:t xml:space="preserve">, ale budou účinkovat vůči všem potenciálním účastníkům řízení ve správním soudnictví, ať už jde o zástupce soukromého sektoru či správní orgány, o podnikatele či spotřebitele, nebo o podnikatele </w:t>
      </w:r>
      <w:r w:rsidR="00B638D9" w:rsidRPr="00B25E45">
        <w:rPr>
          <w:rFonts w:ascii="Times New Roman" w:hAnsi="Times New Roman"/>
          <w:sz w:val="24"/>
        </w:rPr>
        <w:t>podle různých odvětví</w:t>
      </w:r>
      <w:r w:rsidR="008A4A18" w:rsidRPr="00B25E45">
        <w:rPr>
          <w:rFonts w:ascii="Times New Roman" w:hAnsi="Times New Roman"/>
          <w:sz w:val="24"/>
        </w:rPr>
        <w:t xml:space="preserve">. </w:t>
      </w:r>
    </w:p>
    <w:p w14:paraId="2C249AAF" w14:textId="33BA8089" w:rsidR="001E5B71" w:rsidRPr="00B25E45" w:rsidRDefault="008A4A18" w:rsidP="000F0904">
      <w:pPr>
        <w:spacing w:before="120"/>
        <w:jc w:val="both"/>
        <w:rPr>
          <w:rFonts w:ascii="Times New Roman" w:hAnsi="Times New Roman"/>
          <w:sz w:val="24"/>
        </w:rPr>
      </w:pPr>
      <w:r w:rsidRPr="00B25E45">
        <w:rPr>
          <w:rFonts w:ascii="Times New Roman" w:hAnsi="Times New Roman"/>
          <w:sz w:val="24"/>
        </w:rPr>
        <w:t xml:space="preserve">To, co bylo řečeno pro hospodářské a finanční dopady státu, tak do určité míry platí i pro dopady na podnikatelské prostředí. </w:t>
      </w:r>
      <w:r w:rsidR="001E5B71" w:rsidRPr="00B25E45">
        <w:rPr>
          <w:rFonts w:ascii="Times New Roman" w:hAnsi="Times New Roman"/>
          <w:sz w:val="24"/>
        </w:rPr>
        <w:t xml:space="preserve">Z hlediska hospodářských a finančních dopadů je i v případě </w:t>
      </w:r>
      <w:r w:rsidRPr="00B25E45">
        <w:rPr>
          <w:rFonts w:ascii="Times New Roman" w:hAnsi="Times New Roman"/>
          <w:sz w:val="24"/>
        </w:rPr>
        <w:t>podnikatelů</w:t>
      </w:r>
      <w:r w:rsidR="001E5B71" w:rsidRPr="00B25E45">
        <w:rPr>
          <w:rFonts w:ascii="Times New Roman" w:hAnsi="Times New Roman"/>
          <w:sz w:val="24"/>
        </w:rPr>
        <w:t xml:space="preserve"> možné navrhované změny rozdělit do tří kategorií</w:t>
      </w:r>
      <w:r w:rsidRPr="00B25E45">
        <w:rPr>
          <w:rFonts w:ascii="Times New Roman" w:hAnsi="Times New Roman"/>
          <w:sz w:val="24"/>
        </w:rPr>
        <w:t>:</w:t>
      </w:r>
    </w:p>
    <w:p w14:paraId="14E1CD3B" w14:textId="3908A142" w:rsidR="008A4A18" w:rsidRPr="00B25E45" w:rsidRDefault="008A4A18" w:rsidP="000F0904">
      <w:pPr>
        <w:spacing w:before="120"/>
        <w:ind w:left="708"/>
        <w:jc w:val="both"/>
        <w:rPr>
          <w:rFonts w:ascii="Times New Roman" w:hAnsi="Times New Roman"/>
          <w:b/>
          <w:bCs/>
          <w:i/>
          <w:iCs/>
          <w:sz w:val="24"/>
        </w:rPr>
      </w:pPr>
      <w:r w:rsidRPr="00B25E45">
        <w:rPr>
          <w:rFonts w:ascii="Times New Roman" w:hAnsi="Times New Roman"/>
          <w:b/>
          <w:bCs/>
          <w:i/>
          <w:iCs/>
          <w:sz w:val="24"/>
        </w:rPr>
        <w:lastRenderedPageBreak/>
        <w:t>a) Neutrální změny, které nemají hospodářský nebo finanční dopad na podnikatele</w:t>
      </w:r>
    </w:p>
    <w:p w14:paraId="1B1F247D" w14:textId="1C4FE3AD" w:rsidR="008A4A18" w:rsidRPr="00B25E45" w:rsidRDefault="008A4A18" w:rsidP="000F0904">
      <w:pPr>
        <w:spacing w:before="120"/>
        <w:ind w:left="708"/>
        <w:jc w:val="both"/>
        <w:rPr>
          <w:rFonts w:ascii="Times New Roman" w:hAnsi="Times New Roman"/>
          <w:sz w:val="24"/>
        </w:rPr>
      </w:pPr>
      <w:r w:rsidRPr="00B25E45">
        <w:rPr>
          <w:rFonts w:ascii="Times New Roman" w:hAnsi="Times New Roman"/>
          <w:sz w:val="24"/>
        </w:rPr>
        <w:t>Do této kategorie spadá naprostá většina předložených novelizačních bodů a blíže se jim dále na tomto místě nevěnujeme.</w:t>
      </w:r>
    </w:p>
    <w:p w14:paraId="742C9E8E" w14:textId="3FDE2F60" w:rsidR="008A4A18" w:rsidRPr="00B25E45" w:rsidRDefault="008A4A18" w:rsidP="000F0904">
      <w:pPr>
        <w:spacing w:before="120"/>
        <w:ind w:left="708"/>
        <w:jc w:val="both"/>
        <w:rPr>
          <w:rFonts w:ascii="Times New Roman" w:hAnsi="Times New Roman"/>
          <w:b/>
          <w:bCs/>
          <w:i/>
          <w:iCs/>
          <w:sz w:val="24"/>
        </w:rPr>
      </w:pPr>
      <w:r w:rsidRPr="00B25E45">
        <w:rPr>
          <w:rFonts w:ascii="Times New Roman" w:hAnsi="Times New Roman"/>
          <w:b/>
          <w:bCs/>
          <w:i/>
          <w:iCs/>
          <w:sz w:val="24"/>
        </w:rPr>
        <w:t>b) Změny, které mají pozitivní dopady na podnikatele</w:t>
      </w:r>
    </w:p>
    <w:p w14:paraId="49CC534F" w14:textId="0D6703CC" w:rsidR="008A4A18" w:rsidRPr="00B25E45" w:rsidRDefault="008A4A18" w:rsidP="000F0904">
      <w:pPr>
        <w:spacing w:before="120"/>
        <w:ind w:left="708"/>
        <w:jc w:val="both"/>
        <w:rPr>
          <w:rFonts w:ascii="Times New Roman" w:hAnsi="Times New Roman"/>
          <w:sz w:val="24"/>
        </w:rPr>
      </w:pPr>
      <w:r w:rsidRPr="00B25E45">
        <w:rPr>
          <w:rFonts w:ascii="Times New Roman" w:hAnsi="Times New Roman"/>
          <w:sz w:val="24"/>
        </w:rPr>
        <w:t>Druhou největší část novelizačních bodů lze charakterizovat jako změny, které se na podnikatelské prostředí projeví pozitivně. Do této kategorie je nutné zařadit všechny změny, jimiž je sledováno</w:t>
      </w:r>
    </w:p>
    <w:p w14:paraId="44095EFC" w14:textId="1A2F13C0" w:rsidR="008A4A18" w:rsidRPr="00B25E45" w:rsidRDefault="008A4A18" w:rsidP="000F0904">
      <w:pPr>
        <w:spacing w:before="120"/>
        <w:ind w:left="708"/>
        <w:jc w:val="both"/>
        <w:rPr>
          <w:rFonts w:ascii="Times New Roman" w:hAnsi="Times New Roman"/>
          <w:sz w:val="24"/>
        </w:rPr>
      </w:pPr>
      <w:r w:rsidRPr="00B25E45">
        <w:rPr>
          <w:rFonts w:ascii="Times New Roman" w:hAnsi="Times New Roman"/>
          <w:sz w:val="24"/>
        </w:rPr>
        <w:t>a) posílení práv účastníků řízení, a to zejména na straně žalující</w:t>
      </w:r>
      <w:r w:rsidR="0054260B" w:rsidRPr="00B25E45">
        <w:rPr>
          <w:rFonts w:ascii="Times New Roman" w:hAnsi="Times New Roman"/>
          <w:sz w:val="24"/>
        </w:rPr>
        <w:t>,</w:t>
      </w:r>
    </w:p>
    <w:p w14:paraId="30E5C71B" w14:textId="4CDED926" w:rsidR="008A4A18" w:rsidRPr="00B25E45" w:rsidRDefault="008A4A18" w:rsidP="000F0904">
      <w:pPr>
        <w:spacing w:before="120"/>
        <w:ind w:left="708"/>
        <w:jc w:val="both"/>
        <w:rPr>
          <w:rFonts w:ascii="Times New Roman" w:hAnsi="Times New Roman"/>
          <w:sz w:val="24"/>
        </w:rPr>
      </w:pPr>
      <w:r w:rsidRPr="00B25E45">
        <w:rPr>
          <w:rFonts w:ascii="Times New Roman" w:hAnsi="Times New Roman"/>
          <w:sz w:val="24"/>
        </w:rPr>
        <w:t xml:space="preserve">- </w:t>
      </w:r>
      <w:r w:rsidR="0054260B" w:rsidRPr="00B25E45">
        <w:rPr>
          <w:rFonts w:ascii="Times New Roman" w:hAnsi="Times New Roman"/>
          <w:sz w:val="24"/>
        </w:rPr>
        <w:t>J</w:t>
      </w:r>
      <w:r w:rsidRPr="00B25E45">
        <w:rPr>
          <w:rFonts w:ascii="Times New Roman" w:hAnsi="Times New Roman"/>
          <w:sz w:val="24"/>
        </w:rPr>
        <w:t>de např. o rozšíření institutu osoby zúčastněné na řízení</w:t>
      </w:r>
      <w:r w:rsidR="00B638D9" w:rsidRPr="00B25E45">
        <w:rPr>
          <w:rFonts w:ascii="Times New Roman" w:hAnsi="Times New Roman"/>
          <w:sz w:val="24"/>
        </w:rPr>
        <w:t xml:space="preserve"> či o </w:t>
      </w:r>
      <w:r w:rsidRPr="00B25E45">
        <w:rPr>
          <w:rFonts w:ascii="Times New Roman" w:hAnsi="Times New Roman"/>
          <w:sz w:val="24"/>
        </w:rPr>
        <w:t>zefektivnění institutu uspokojení navrhovatele, což bude pro podnikatele, kteří podali žalobu, znamenat rychlejší ukončení sporu se správním orgánem a tím i rychlejší nápravu při odstraňování zásahu do jejich veřejných subjektivních práv.</w:t>
      </w:r>
    </w:p>
    <w:p w14:paraId="342FE1D5" w14:textId="3202FD7E" w:rsidR="008A4A18" w:rsidRPr="00B25E45" w:rsidRDefault="008A4A18" w:rsidP="000F0904">
      <w:pPr>
        <w:spacing w:before="120"/>
        <w:ind w:left="708"/>
        <w:jc w:val="both"/>
        <w:rPr>
          <w:rFonts w:ascii="Times New Roman" w:hAnsi="Times New Roman"/>
          <w:sz w:val="24"/>
        </w:rPr>
      </w:pPr>
      <w:r w:rsidRPr="00B25E45">
        <w:rPr>
          <w:rFonts w:ascii="Times New Roman" w:hAnsi="Times New Roman"/>
          <w:sz w:val="24"/>
        </w:rPr>
        <w:t>b) zavedení nástrojů pro zefektivnění a zrychlení řízení před správními soudy, které povede k tomu, že bude možné rychleji dosáhnout konečného rozhodnutí, a tím i skončení soudního řízení</w:t>
      </w:r>
      <w:r w:rsidR="00B638D9" w:rsidRPr="00B25E45">
        <w:rPr>
          <w:rFonts w:ascii="Times New Roman" w:hAnsi="Times New Roman"/>
          <w:sz w:val="24"/>
        </w:rPr>
        <w:t>.</w:t>
      </w:r>
    </w:p>
    <w:p w14:paraId="6400F0D3" w14:textId="1F7386C7" w:rsidR="008A4A18" w:rsidRPr="00B25E45" w:rsidRDefault="008A4A18" w:rsidP="000F0904">
      <w:pPr>
        <w:spacing w:before="120"/>
        <w:ind w:left="705"/>
        <w:jc w:val="both"/>
        <w:rPr>
          <w:rFonts w:ascii="Times New Roman" w:hAnsi="Times New Roman"/>
          <w:sz w:val="24"/>
        </w:rPr>
      </w:pPr>
      <w:r w:rsidRPr="00B25E45">
        <w:rPr>
          <w:rFonts w:ascii="Times New Roman" w:hAnsi="Times New Roman"/>
          <w:sz w:val="24"/>
        </w:rPr>
        <w:t xml:space="preserve">- </w:t>
      </w:r>
      <w:r w:rsidR="0054260B" w:rsidRPr="00B25E45">
        <w:rPr>
          <w:rFonts w:ascii="Times New Roman" w:hAnsi="Times New Roman"/>
          <w:sz w:val="24"/>
        </w:rPr>
        <w:t>D</w:t>
      </w:r>
      <w:r w:rsidRPr="00B25E45">
        <w:rPr>
          <w:rFonts w:ascii="Times New Roman" w:hAnsi="Times New Roman"/>
          <w:sz w:val="24"/>
        </w:rPr>
        <w:t xml:space="preserve">o této kategorie </w:t>
      </w:r>
      <w:proofErr w:type="gramStart"/>
      <w:r w:rsidRPr="00B25E45">
        <w:rPr>
          <w:rFonts w:ascii="Times New Roman" w:hAnsi="Times New Roman"/>
          <w:sz w:val="24"/>
        </w:rPr>
        <w:t>patří</w:t>
      </w:r>
      <w:proofErr w:type="gramEnd"/>
      <w:r w:rsidRPr="00B25E45">
        <w:rPr>
          <w:rFonts w:ascii="Times New Roman" w:hAnsi="Times New Roman"/>
          <w:sz w:val="24"/>
        </w:rPr>
        <w:t xml:space="preserve"> např. posílení pravomocí členů senátu či asistentů, rozšíření okruhu </w:t>
      </w:r>
      <w:proofErr w:type="spellStart"/>
      <w:r w:rsidRPr="00B25E45">
        <w:rPr>
          <w:rFonts w:ascii="Times New Roman" w:hAnsi="Times New Roman"/>
          <w:sz w:val="24"/>
        </w:rPr>
        <w:t>samosoudcovských</w:t>
      </w:r>
      <w:proofErr w:type="spellEnd"/>
      <w:r w:rsidRPr="00B25E45">
        <w:rPr>
          <w:rFonts w:ascii="Times New Roman" w:hAnsi="Times New Roman"/>
          <w:sz w:val="24"/>
        </w:rPr>
        <w:t xml:space="preserve"> věcí;</w:t>
      </w:r>
    </w:p>
    <w:p w14:paraId="3B2B7290" w14:textId="2F90E7B4" w:rsidR="008A4A18" w:rsidRPr="00B25E45" w:rsidRDefault="008A4A18" w:rsidP="000F0904">
      <w:pPr>
        <w:spacing w:before="120"/>
        <w:ind w:left="705"/>
        <w:jc w:val="both"/>
        <w:rPr>
          <w:rFonts w:ascii="Times New Roman" w:hAnsi="Times New Roman"/>
          <w:sz w:val="24"/>
        </w:rPr>
      </w:pPr>
      <w:r w:rsidRPr="00B25E45">
        <w:rPr>
          <w:rFonts w:ascii="Times New Roman" w:hAnsi="Times New Roman"/>
          <w:sz w:val="24"/>
        </w:rPr>
        <w:t xml:space="preserve">- dále sem </w:t>
      </w:r>
      <w:proofErr w:type="gramStart"/>
      <w:r w:rsidRPr="00B25E45">
        <w:rPr>
          <w:rFonts w:ascii="Times New Roman" w:hAnsi="Times New Roman"/>
          <w:sz w:val="24"/>
        </w:rPr>
        <w:t>patří</w:t>
      </w:r>
      <w:proofErr w:type="gramEnd"/>
      <w:r w:rsidRPr="00B25E45">
        <w:rPr>
          <w:rFonts w:ascii="Times New Roman" w:hAnsi="Times New Roman"/>
          <w:sz w:val="24"/>
        </w:rPr>
        <w:t xml:space="preserve"> opatření proti zjevně </w:t>
      </w:r>
      <w:r w:rsidR="00B638D9" w:rsidRPr="00B25E45">
        <w:rPr>
          <w:rFonts w:ascii="Times New Roman" w:hAnsi="Times New Roman"/>
          <w:sz w:val="24"/>
        </w:rPr>
        <w:t>šikanózním</w:t>
      </w:r>
      <w:r w:rsidRPr="00B25E45">
        <w:rPr>
          <w:rFonts w:ascii="Times New Roman" w:hAnsi="Times New Roman"/>
          <w:sz w:val="24"/>
        </w:rPr>
        <w:t xml:space="preserve"> nebo bezúspěšným žalobám, které uvolní správním soudům ruce, aby bylo možné se zaměřit na legitimní správní žaloby a jejich vyřizování bylo možné zajistit v přiměřených lhůtách;</w:t>
      </w:r>
    </w:p>
    <w:p w14:paraId="6DB657B5" w14:textId="6C0629FD" w:rsidR="008A4A18" w:rsidRPr="00B25E45" w:rsidRDefault="008A4A18" w:rsidP="000F0904">
      <w:pPr>
        <w:spacing w:before="120"/>
        <w:ind w:left="705"/>
        <w:jc w:val="both"/>
        <w:rPr>
          <w:rFonts w:ascii="Times New Roman" w:hAnsi="Times New Roman"/>
          <w:sz w:val="24"/>
        </w:rPr>
      </w:pPr>
      <w:r w:rsidRPr="00B25E45">
        <w:rPr>
          <w:rFonts w:ascii="Times New Roman" w:hAnsi="Times New Roman"/>
          <w:sz w:val="24"/>
        </w:rPr>
        <w:t>- za velmi přínosn</w:t>
      </w:r>
      <w:r w:rsidR="00B638D9" w:rsidRPr="00B25E45">
        <w:rPr>
          <w:rFonts w:ascii="Times New Roman" w:hAnsi="Times New Roman"/>
          <w:sz w:val="24"/>
        </w:rPr>
        <w:t>ou</w:t>
      </w:r>
      <w:r w:rsidRPr="00B25E45">
        <w:rPr>
          <w:rFonts w:ascii="Times New Roman" w:hAnsi="Times New Roman"/>
          <w:sz w:val="24"/>
        </w:rPr>
        <w:t xml:space="preserve"> z pohledu délek řízení ve správním soudnictví je možné hodnotit i úpravu § 110 s. ř. s., která by měla umožnit Nejvyššímu správnímu soudu častěji rozhodnout ve věci samé, čímž se zamezí riziku </w:t>
      </w:r>
      <w:r w:rsidR="00B638D9" w:rsidRPr="00B25E45">
        <w:rPr>
          <w:rFonts w:ascii="Times New Roman" w:hAnsi="Times New Roman"/>
          <w:sz w:val="24"/>
        </w:rPr>
        <w:t>ping-pongu</w:t>
      </w:r>
      <w:r w:rsidRPr="00B25E45">
        <w:rPr>
          <w:rFonts w:ascii="Times New Roman" w:hAnsi="Times New Roman"/>
          <w:sz w:val="24"/>
        </w:rPr>
        <w:t xml:space="preserve"> mezi krajskými soudy a NSS. </w:t>
      </w:r>
      <w:r w:rsidR="00B638D9" w:rsidRPr="00B25E45">
        <w:rPr>
          <w:rFonts w:ascii="Times New Roman" w:hAnsi="Times New Roman"/>
          <w:sz w:val="24"/>
        </w:rPr>
        <w:t>I t</w:t>
      </w:r>
      <w:r w:rsidRPr="00B25E45">
        <w:rPr>
          <w:rFonts w:ascii="Times New Roman" w:hAnsi="Times New Roman"/>
          <w:sz w:val="24"/>
        </w:rPr>
        <w:t>oto opatření přispěje k urychlení soudních řízení.</w:t>
      </w:r>
    </w:p>
    <w:p w14:paraId="6C3DDCEE" w14:textId="06BFF547" w:rsidR="008A4A18" w:rsidRPr="00B25E45" w:rsidRDefault="008A4A18" w:rsidP="000F0904">
      <w:pPr>
        <w:spacing w:before="120"/>
        <w:ind w:left="705"/>
        <w:jc w:val="both"/>
        <w:rPr>
          <w:rFonts w:ascii="Times New Roman" w:hAnsi="Times New Roman"/>
          <w:b/>
          <w:bCs/>
          <w:i/>
          <w:iCs/>
          <w:sz w:val="24"/>
        </w:rPr>
      </w:pPr>
      <w:r w:rsidRPr="00B25E45">
        <w:rPr>
          <w:rFonts w:ascii="Times New Roman" w:hAnsi="Times New Roman"/>
          <w:b/>
          <w:bCs/>
          <w:i/>
          <w:iCs/>
          <w:sz w:val="24"/>
        </w:rPr>
        <w:t>c) Změny, které mají na podnikatele negativní dopady</w:t>
      </w:r>
    </w:p>
    <w:p w14:paraId="6A3C4BED" w14:textId="010FAE34" w:rsidR="00B638D9" w:rsidRPr="00B25E45" w:rsidRDefault="00B638D9" w:rsidP="000F0904">
      <w:pPr>
        <w:spacing w:before="120"/>
        <w:ind w:left="705"/>
        <w:jc w:val="both"/>
        <w:rPr>
          <w:rFonts w:ascii="Times New Roman" w:hAnsi="Times New Roman"/>
          <w:bCs/>
          <w:sz w:val="24"/>
        </w:rPr>
      </w:pPr>
      <w:r w:rsidRPr="00B25E45">
        <w:rPr>
          <w:rFonts w:ascii="Times New Roman" w:hAnsi="Times New Roman"/>
          <w:bCs/>
          <w:sz w:val="24"/>
        </w:rPr>
        <w:t>V zájmu posílení účelnosti projednávané agendy před správními soudy obsahuje návrh i tři změny, které budou mít na podnikatelské prostředí za určitých okolností negativní dopady. Jde o:</w:t>
      </w:r>
    </w:p>
    <w:p w14:paraId="519AB4D1" w14:textId="7126CD07" w:rsidR="00B638D9" w:rsidRPr="00B25E45" w:rsidRDefault="00B638D9" w:rsidP="00F6177A">
      <w:pPr>
        <w:pStyle w:val="Odstavecseseznamem"/>
        <w:numPr>
          <w:ilvl w:val="0"/>
          <w:numId w:val="40"/>
        </w:numPr>
        <w:spacing w:before="120" w:after="120" w:line="276" w:lineRule="auto"/>
        <w:jc w:val="both"/>
        <w:rPr>
          <w:bCs/>
          <w:i/>
          <w:iCs/>
        </w:rPr>
      </w:pPr>
      <w:r w:rsidRPr="00B25E45">
        <w:rPr>
          <w:bCs/>
          <w:i/>
          <w:iCs/>
        </w:rPr>
        <w:t>Zakotvení důsledku při nesložení zálohy na provedení důkazu, kdy soud bude moci rozhodnout, že se navrhovaný důkaz neprovede.</w:t>
      </w:r>
    </w:p>
    <w:p w14:paraId="5513F148" w14:textId="31D1D721" w:rsidR="00B638D9" w:rsidRPr="00B25E45" w:rsidRDefault="00B638D9" w:rsidP="000F0904">
      <w:pPr>
        <w:pStyle w:val="Odstavecseseznamem"/>
        <w:spacing w:before="120" w:after="120" w:line="276" w:lineRule="auto"/>
        <w:ind w:left="720"/>
        <w:jc w:val="both"/>
        <w:rPr>
          <w:bCs/>
        </w:rPr>
      </w:pPr>
      <w:r w:rsidRPr="00B25E45">
        <w:rPr>
          <w:bCs/>
        </w:rPr>
        <w:t xml:space="preserve">Samotná záloha představuje určitou finanční bariéru. Návrh však tuto zálohu nezavádí, záloha na složení důkazu je dlouho běžnou součástí řízení před správními soudy, stejně jako řízení v civilních věcech. Změna spočívá jen v tom, že zákon staví na jisto, jaký důsledek může být spojen s tím, když účastník zálohu nezaplatí. Zde je nutné zopakovat, že obdobné pravidlo platí již řadu let před civilními soudy, navíc tam ani nemá soud diskreci, zda důkaz provede či nikoliv (vždy, když nedojde ke složení zálohy, soud by důkaz provést neměl). Rovněž je nutné připomenout, že </w:t>
      </w:r>
      <w:r w:rsidRPr="00B25E45">
        <w:rPr>
          <w:bCs/>
        </w:rPr>
        <w:lastRenderedPageBreak/>
        <w:t xml:space="preserve">povinnost složit zálohu se netýká osob, které splňují předpoklady pro individuální osvobození od soudních poplatků. Ze všech těchto důvodů máme za to, že dopady na podnikatelské prostředí v této otázce budou nakonec zanedbatelné a k žádnému velkému zhoršení oproti stávajícímu stavu </w:t>
      </w:r>
      <w:r w:rsidR="0054260B" w:rsidRPr="00B25E45">
        <w:rPr>
          <w:bCs/>
        </w:rPr>
        <w:t>nedojde</w:t>
      </w:r>
      <w:r w:rsidRPr="00B25E45">
        <w:rPr>
          <w:bCs/>
        </w:rPr>
        <w:t>.</w:t>
      </w:r>
    </w:p>
    <w:p w14:paraId="30781674" w14:textId="42843192" w:rsidR="00B638D9" w:rsidRPr="00B25E45" w:rsidRDefault="00B638D9" w:rsidP="00F6177A">
      <w:pPr>
        <w:pStyle w:val="Odstavecseseznamem"/>
        <w:numPr>
          <w:ilvl w:val="0"/>
          <w:numId w:val="40"/>
        </w:numPr>
        <w:spacing w:before="120" w:after="120" w:line="276" w:lineRule="auto"/>
        <w:jc w:val="both"/>
        <w:rPr>
          <w:bCs/>
          <w:i/>
          <w:iCs/>
        </w:rPr>
      </w:pPr>
      <w:r w:rsidRPr="00B25E45">
        <w:rPr>
          <w:bCs/>
          <w:i/>
          <w:iCs/>
        </w:rPr>
        <w:t>Podstatně zásadněji podnikatele zasáhne pravidlo o tom, že v případě neúspěchu je žalobce povinen žalovanému nahradit v rámci náhrady nákladů řízení hotové výdaje a paušální částku stanovenou prováděcím právním předpisem.</w:t>
      </w:r>
    </w:p>
    <w:p w14:paraId="646E94EA" w14:textId="7B1B9B51" w:rsidR="00B638D9" w:rsidRPr="00B25E45" w:rsidRDefault="00B638D9" w:rsidP="000F0904">
      <w:pPr>
        <w:pStyle w:val="Odstavecseseznamem"/>
        <w:spacing w:before="120" w:after="120" w:line="276" w:lineRule="auto"/>
        <w:ind w:left="720"/>
        <w:jc w:val="both"/>
        <w:rPr>
          <w:bCs/>
        </w:rPr>
      </w:pPr>
      <w:r w:rsidRPr="00B25E45">
        <w:rPr>
          <w:bCs/>
        </w:rPr>
        <w:t xml:space="preserve">Tato změna může mít na podnikatele přímé finanční dopady, jelikož dnes podnikatel při neúspěchu zpravidla správnímu orgánu nic hradit nemusí. Popsaný stav však vede k tomu, že mezi žalobcem a žalovaným není rovné postavení (zatímco žalobce náhradu nákladů dostane vždy, žalovaný správní orgán téměř nikdy). Úprava tak sleduje legitimní cíl, tj. narovnání postavení účastníků řízení tak, aby se důsledně prosadila zásada rovnosti před soudem (srov. též mimo jiné </w:t>
      </w:r>
      <w:r w:rsidRPr="00B25E45">
        <w:t xml:space="preserve">odlišné stanovisko soudců J. </w:t>
      </w:r>
      <w:proofErr w:type="spellStart"/>
      <w:r w:rsidRPr="00B25E45">
        <w:t>Vlašína</w:t>
      </w:r>
      <w:proofErr w:type="spellEnd"/>
      <w:r w:rsidRPr="00B25E45">
        <w:t xml:space="preserve"> a Z. </w:t>
      </w:r>
      <w:proofErr w:type="spellStart"/>
      <w:r w:rsidRPr="00B25E45">
        <w:t>Kühna</w:t>
      </w:r>
      <w:proofErr w:type="spellEnd"/>
      <w:r w:rsidRPr="00B25E45">
        <w:t xml:space="preserve"> k usnesení rozšířeného senátu Nejvyššího správního soudu ze dne 31. 3. 2015, čj. 7 </w:t>
      </w:r>
      <w:proofErr w:type="spellStart"/>
      <w:r w:rsidRPr="00B25E45">
        <w:t>Afs</w:t>
      </w:r>
      <w:proofErr w:type="spellEnd"/>
      <w:r w:rsidRPr="00B25E45">
        <w:t xml:space="preserve"> 11/2014-47</w:t>
      </w:r>
      <w:r w:rsidRPr="00B25E45">
        <w:rPr>
          <w:bCs/>
        </w:rPr>
        <w:t>, body 18-20).</w:t>
      </w:r>
    </w:p>
    <w:p w14:paraId="409ED261" w14:textId="6FB3785E" w:rsidR="00B638D9" w:rsidRPr="00B25E45" w:rsidRDefault="00B638D9" w:rsidP="000F0904">
      <w:pPr>
        <w:pStyle w:val="Odstavecseseznamem"/>
        <w:spacing w:before="120" w:after="120" w:line="276" w:lineRule="auto"/>
        <w:ind w:left="720"/>
        <w:jc w:val="both"/>
        <w:rPr>
          <w:bCs/>
        </w:rPr>
      </w:pPr>
      <w:r w:rsidRPr="00B25E45">
        <w:rPr>
          <w:bCs/>
        </w:rPr>
        <w:t xml:space="preserve">Lze </w:t>
      </w:r>
      <w:r w:rsidR="006462B5" w:rsidRPr="00B25E45">
        <w:rPr>
          <w:bCs/>
        </w:rPr>
        <w:t xml:space="preserve">rovněž </w:t>
      </w:r>
      <w:r w:rsidRPr="00B25E45">
        <w:rPr>
          <w:bCs/>
        </w:rPr>
        <w:t xml:space="preserve">připomenout, že právo na náhradu nákladů správního orgánu bude limitováno pouze na hotové výdaje a paušální částku, </w:t>
      </w:r>
      <w:r w:rsidR="006462B5" w:rsidRPr="00B25E45">
        <w:rPr>
          <w:bCs/>
        </w:rPr>
        <w:t xml:space="preserve">přičemž náleží správnímu orgánu pouze tehdy, pokud žalobce nebyl se svým návrhem úspěšný. Zároveň zůstává nedotčeno, aby soud </w:t>
      </w:r>
      <w:r w:rsidR="006462B5" w:rsidRPr="00B25E45">
        <w:rPr>
          <w:bCs/>
          <w:i/>
          <w:iCs/>
        </w:rPr>
        <w:t xml:space="preserve">výjimečně </w:t>
      </w:r>
      <w:r w:rsidR="006462B5" w:rsidRPr="00B25E45">
        <w:rPr>
          <w:bCs/>
        </w:rPr>
        <w:t>náhradu nákladů nepřiznal, jsou-li pro to důvody hodné zvláštního zřetele (§ 60 odst. 7).</w:t>
      </w:r>
    </w:p>
    <w:p w14:paraId="305B369F" w14:textId="4952CA1C" w:rsidR="006462B5" w:rsidRPr="00B25E45" w:rsidRDefault="006462B5" w:rsidP="00F6177A">
      <w:pPr>
        <w:pStyle w:val="Odstavecseseznamem"/>
        <w:numPr>
          <w:ilvl w:val="0"/>
          <w:numId w:val="40"/>
        </w:numPr>
        <w:spacing w:before="120" w:after="120" w:line="276" w:lineRule="auto"/>
        <w:jc w:val="both"/>
        <w:rPr>
          <w:bCs/>
          <w:i/>
          <w:iCs/>
        </w:rPr>
      </w:pPr>
      <w:r w:rsidRPr="00B25E45">
        <w:rPr>
          <w:bCs/>
          <w:i/>
          <w:iCs/>
        </w:rPr>
        <w:t>V konkrétních případech může být pro podnikatele omezující i rozšíření nepřijatelnosti (§ 104a s. ř. s.) kasační stížnosti.</w:t>
      </w:r>
    </w:p>
    <w:p w14:paraId="03D2AC9F" w14:textId="6D225DA5" w:rsidR="006462B5" w:rsidRPr="00B25E45" w:rsidRDefault="006462B5" w:rsidP="000F0904">
      <w:pPr>
        <w:pStyle w:val="Odstavecseseznamem"/>
        <w:spacing w:before="120" w:after="120" w:line="276" w:lineRule="auto"/>
        <w:ind w:left="720"/>
        <w:jc w:val="both"/>
        <w:rPr>
          <w:bCs/>
        </w:rPr>
      </w:pPr>
      <w:r w:rsidRPr="00B25E45">
        <w:rPr>
          <w:bCs/>
        </w:rPr>
        <w:t xml:space="preserve">Dopady na podnikatele mohou být zdánlivě negativní v situacích, kdy má za to, že krajský soud v jeho případě pochybil, a zároveň </w:t>
      </w:r>
      <w:proofErr w:type="gramStart"/>
      <w:r w:rsidRPr="00B25E45">
        <w:rPr>
          <w:bCs/>
        </w:rPr>
        <w:t>věří</w:t>
      </w:r>
      <w:proofErr w:type="gramEnd"/>
      <w:r w:rsidRPr="00B25E45">
        <w:rPr>
          <w:bCs/>
        </w:rPr>
        <w:t>, že Nejvyšší správní soud by mohl verdikt</w:t>
      </w:r>
      <w:r w:rsidR="0054260B" w:rsidRPr="00B25E45">
        <w:rPr>
          <w:bCs/>
        </w:rPr>
        <w:t xml:space="preserve"> první instance</w:t>
      </w:r>
      <w:r w:rsidRPr="00B25E45">
        <w:rPr>
          <w:bCs/>
        </w:rPr>
        <w:t xml:space="preserve"> zvrátit. Zde mohou nastat dvě situace. </w:t>
      </w:r>
    </w:p>
    <w:p w14:paraId="6671CAE5" w14:textId="2542841A" w:rsidR="006462B5" w:rsidRPr="00B25E45" w:rsidRDefault="006462B5" w:rsidP="000F0904">
      <w:pPr>
        <w:pStyle w:val="Odstavecseseznamem"/>
        <w:spacing w:before="120" w:after="120" w:line="276" w:lineRule="auto"/>
        <w:ind w:left="720"/>
        <w:jc w:val="both"/>
        <w:rPr>
          <w:bCs/>
        </w:rPr>
      </w:pPr>
      <w:r w:rsidRPr="00B25E45">
        <w:rPr>
          <w:bCs/>
        </w:rPr>
        <w:t xml:space="preserve">Zaprvé, krajský soud skutečně pochybil, přičemž vybočil buď již z ustálené praxe, nebo řešil otázku dosud neřešenou, ale NSS na ní má jiný názor, pak se NSS bude kasační stížností zabývat a rozhodnutí krajského soudu zvrátí. V této linii se postup nebude lišit od stavu </w:t>
      </w:r>
      <w:r w:rsidRPr="00B25E45">
        <w:rPr>
          <w:bCs/>
          <w:i/>
          <w:iCs/>
        </w:rPr>
        <w:t>de lege lata</w:t>
      </w:r>
      <w:r w:rsidRPr="00B25E45">
        <w:rPr>
          <w:bCs/>
        </w:rPr>
        <w:t>.</w:t>
      </w:r>
    </w:p>
    <w:p w14:paraId="132CE0D5" w14:textId="7581BEFA" w:rsidR="006462B5" w:rsidRPr="00B25E45" w:rsidRDefault="006462B5" w:rsidP="000F0904">
      <w:pPr>
        <w:pStyle w:val="Odstavecseseznamem"/>
        <w:spacing w:before="120" w:after="120" w:line="276" w:lineRule="auto"/>
        <w:ind w:left="720"/>
        <w:jc w:val="both"/>
        <w:rPr>
          <w:bCs/>
        </w:rPr>
      </w:pPr>
      <w:r w:rsidRPr="00B25E45">
        <w:rPr>
          <w:bCs/>
        </w:rPr>
        <w:t xml:space="preserve">Nově se však zvyšuje riziko, že Nejvyšší správní soud vyhodnotí kasační stížnost jako nepřijatelnou, neboť dle názorů všech členů senátu nepřesahuje daná věc individuální zájmy stěžovatele. Za této situace sice po přijetí této novely formálně ubude jeden (mimořádný) opravný prostředek, respektive bude možné kasační stížnost vyřídit jednodušeji a rychleji, nicméně je otázkou, do jaké míry by dnes rozhodnutí NSS ve věci samé bylo odlišné. I dnes by patrně za těchto okolností, kdy krajský soud nevybočil z ustálené rozhodovací praxe a respektoval názor vrcholné </w:t>
      </w:r>
      <w:r w:rsidRPr="00B25E45">
        <w:rPr>
          <w:bCs/>
        </w:rPr>
        <w:lastRenderedPageBreak/>
        <w:t>instance, nebyla kasační stížnost úspěšná. Tímto způsobem se o tom podnikatel alespoň dozví dříve.</w:t>
      </w:r>
    </w:p>
    <w:p w14:paraId="2FAAA274" w14:textId="60E4A353" w:rsidR="006462B5" w:rsidRPr="00B25E45" w:rsidRDefault="006462B5" w:rsidP="000F0904">
      <w:pPr>
        <w:pStyle w:val="Odstavecseseznamem"/>
        <w:spacing w:before="120" w:after="120" w:line="276" w:lineRule="auto"/>
        <w:ind w:left="720"/>
        <w:jc w:val="both"/>
        <w:rPr>
          <w:bCs/>
        </w:rPr>
      </w:pPr>
      <w:r w:rsidRPr="00B25E45">
        <w:rPr>
          <w:bCs/>
        </w:rPr>
        <w:t>Naopak tam, kde by kasační stížnost podával správní orgán, bude nová úprava pro podnikatele jednoznačně příznivější.</w:t>
      </w:r>
    </w:p>
    <w:p w14:paraId="532E5503" w14:textId="42E9F7B2" w:rsidR="00B638D9" w:rsidRPr="00B25E45" w:rsidRDefault="006462B5" w:rsidP="000F0904">
      <w:pPr>
        <w:spacing w:before="120"/>
        <w:jc w:val="both"/>
        <w:rPr>
          <w:rFonts w:ascii="Times New Roman" w:hAnsi="Times New Roman"/>
          <w:bCs/>
          <w:sz w:val="24"/>
          <w:szCs w:val="24"/>
        </w:rPr>
      </w:pPr>
      <w:r w:rsidRPr="00B25E45">
        <w:rPr>
          <w:rFonts w:ascii="Times New Roman" w:hAnsi="Times New Roman"/>
          <w:bCs/>
          <w:sz w:val="24"/>
          <w:szCs w:val="24"/>
        </w:rPr>
        <w:t>Ve světle výše uvedených skutečností lze shrnout, že nová úprava se na podnikatelském prostředí v otázce hospodářských a finančních dopadů projeví převážně pozitivně. Přispěje ke zrychlení řízení před správními soudy, což povede k posílení právní jistoty a k tomu, že podnikatelé budou mít rychlejší přístup ke spravedlnosti, popřípadě dříve zjistí, že jejich návrh není důvodný.</w:t>
      </w:r>
    </w:p>
    <w:p w14:paraId="6E6308FA" w14:textId="77777777" w:rsidR="008A4A18" w:rsidRPr="00B25E45" w:rsidRDefault="008A4A18" w:rsidP="000F0904">
      <w:pPr>
        <w:spacing w:before="120"/>
        <w:jc w:val="both"/>
        <w:rPr>
          <w:rFonts w:ascii="Times New Roman" w:hAnsi="Times New Roman"/>
          <w:b/>
          <w:sz w:val="24"/>
        </w:rPr>
      </w:pPr>
    </w:p>
    <w:p w14:paraId="2B3D755E" w14:textId="6909F4BB" w:rsidR="006462B5" w:rsidRPr="00B25E45" w:rsidRDefault="006462B5" w:rsidP="000F0904">
      <w:pPr>
        <w:pStyle w:val="Nadpis2"/>
        <w:spacing w:line="276" w:lineRule="auto"/>
        <w:jc w:val="both"/>
        <w:rPr>
          <w:b/>
          <w:sz w:val="28"/>
          <w:szCs w:val="22"/>
          <w:u w:val="single"/>
        </w:rPr>
      </w:pPr>
      <w:bookmarkStart w:id="20" w:name="_Toc25695648"/>
      <w:r w:rsidRPr="00B25E45">
        <w:rPr>
          <w:b/>
          <w:sz w:val="28"/>
          <w:szCs w:val="22"/>
          <w:u w:val="single"/>
        </w:rPr>
        <w:t>Zhodnocení sociálních dopadů, včetně dopadů na specifické skupiny obyvatel, zejména osoby sociálně slabé, osoby se zdravotním postižením a národnostní menšiny, dopadů na ochranu práv dětí a dopadů na životní prostředí.</w:t>
      </w:r>
    </w:p>
    <w:p w14:paraId="6C6A828D" w14:textId="5AEA5857" w:rsidR="006462B5" w:rsidRPr="00B25E45" w:rsidRDefault="006462B5" w:rsidP="000F0904">
      <w:pPr>
        <w:keepNext/>
        <w:numPr>
          <w:ilvl w:val="2"/>
          <w:numId w:val="0"/>
        </w:numPr>
        <w:spacing w:before="120"/>
        <w:jc w:val="both"/>
        <w:outlineLvl w:val="2"/>
        <w:rPr>
          <w:rFonts w:ascii="Times New Roman" w:hAnsi="Times New Roman"/>
          <w:b/>
          <w:sz w:val="24"/>
        </w:rPr>
      </w:pPr>
      <w:bookmarkStart w:id="21" w:name="_Toc25695646"/>
      <w:r w:rsidRPr="00B25E45">
        <w:rPr>
          <w:rFonts w:ascii="Times New Roman" w:hAnsi="Times New Roman"/>
          <w:b/>
          <w:sz w:val="24"/>
        </w:rPr>
        <w:t>8.1 Sociální dopady, včetně dopadů na rodiny a dopadů na specifické skupiny obyvatel, zejména osoby sociálně slabé, osoby se zdravotním postižením a národnostní menšiny</w:t>
      </w:r>
      <w:bookmarkEnd w:id="21"/>
    </w:p>
    <w:p w14:paraId="43A7BCF0" w14:textId="4C3AA961" w:rsidR="006462B5" w:rsidRPr="00B25E45" w:rsidRDefault="00D70839" w:rsidP="000F0904">
      <w:pPr>
        <w:spacing w:before="120"/>
        <w:jc w:val="both"/>
        <w:rPr>
          <w:rFonts w:ascii="Times New Roman" w:hAnsi="Times New Roman"/>
          <w:sz w:val="24"/>
        </w:rPr>
      </w:pPr>
      <w:r w:rsidRPr="00B25E45">
        <w:rPr>
          <w:rFonts w:ascii="Times New Roman" w:hAnsi="Times New Roman"/>
          <w:sz w:val="24"/>
        </w:rPr>
        <w:t>Správní soudy projednávají také věci související se sociálními dávkami, lze očekávat, že celkové zrychlení řízení před těmito soudy bude mít pozitivní dopad na vymahatelnost veřejných subjektivních práv v oblasti práva sociálního zabezpečení.</w:t>
      </w:r>
    </w:p>
    <w:p w14:paraId="6115772A" w14:textId="77777777" w:rsidR="00D70839" w:rsidRPr="00B25E45" w:rsidRDefault="00D70839" w:rsidP="000F0904">
      <w:pPr>
        <w:spacing w:before="120"/>
        <w:jc w:val="both"/>
        <w:rPr>
          <w:rFonts w:ascii="Times New Roman" w:hAnsi="Times New Roman"/>
          <w:sz w:val="24"/>
        </w:rPr>
      </w:pPr>
      <w:r w:rsidRPr="00B25E45">
        <w:rPr>
          <w:rFonts w:ascii="Times New Roman" w:hAnsi="Times New Roman"/>
          <w:sz w:val="24"/>
        </w:rPr>
        <w:t>Některé negativní dopady právní úpravy vůči potenciálním žalobcům jsou pak u osob sociálně slabých či jinak znevýhodněných významně omezeny:</w:t>
      </w:r>
    </w:p>
    <w:p w14:paraId="51690050" w14:textId="24D03657" w:rsidR="00D70839" w:rsidRPr="00B25E45" w:rsidRDefault="00D70839" w:rsidP="00F6177A">
      <w:pPr>
        <w:pStyle w:val="Odstavecseseznamem"/>
        <w:numPr>
          <w:ilvl w:val="0"/>
          <w:numId w:val="40"/>
        </w:numPr>
        <w:spacing w:before="120" w:after="120" w:line="276" w:lineRule="auto"/>
        <w:jc w:val="both"/>
      </w:pPr>
      <w:r w:rsidRPr="00B25E45">
        <w:t>V souvislosti s novou povinností hradit náhradu nákladů řízení úspěšnému správnímu orgánu lze vyzdvihnout, že v případech sociálně citlivých oblastí je náhrada nákladů řízení správnímu orgánu zcela vyloučena a toto ustanovení se v navrhované úpravě nijak nemění. V souladu s § 60 odst. 2 s. ř. s. tak i nadále právo na náhradu nákladů nevznikne, mělo-li by být přiznáno správnímu orgánu ve věcech důchodového pojištění, nemocenského pojištění, pomoci v hmotné nouzi a sociální péče. Zároveň mohou soudy využít výjimečné odchylky, kterou připouští § 60 odst. 7 s. ř. s., pokud daná oblast není kryta § 60 odst. 2 cit</w:t>
      </w:r>
      <w:r w:rsidR="0054260B" w:rsidRPr="00B25E45">
        <w:t>.</w:t>
      </w:r>
      <w:r w:rsidRPr="00B25E45">
        <w:t xml:space="preserve"> zákona.</w:t>
      </w:r>
    </w:p>
    <w:p w14:paraId="42E5FD82" w14:textId="3686188F" w:rsidR="00D70839" w:rsidRPr="00B25E45" w:rsidRDefault="00D70839" w:rsidP="00F6177A">
      <w:pPr>
        <w:pStyle w:val="Odstavecseseznamem"/>
        <w:numPr>
          <w:ilvl w:val="0"/>
          <w:numId w:val="40"/>
        </w:numPr>
        <w:spacing w:before="120" w:after="120" w:line="276" w:lineRule="auto"/>
        <w:jc w:val="both"/>
      </w:pPr>
      <w:r w:rsidRPr="00B25E45">
        <w:t>Zálohu na provedení důkazu nelze vymáhat po osobách, které splňují podmínky pro osvobození od soudních poplatků, a ani to se v novele nezmění. Proto ani změna v podobě důsledků nesložení zálohy na sociálně slabší osoby ve finanční tísni nedolehne.</w:t>
      </w:r>
    </w:p>
    <w:p w14:paraId="6478E777" w14:textId="77777777" w:rsidR="00D70839" w:rsidRPr="00B25E45" w:rsidRDefault="00D70839" w:rsidP="000F0904">
      <w:pPr>
        <w:spacing w:before="120"/>
        <w:jc w:val="both"/>
        <w:rPr>
          <w:rFonts w:ascii="Times New Roman" w:hAnsi="Times New Roman"/>
          <w:sz w:val="24"/>
        </w:rPr>
      </w:pPr>
    </w:p>
    <w:p w14:paraId="15082127" w14:textId="2E2D5CD1" w:rsidR="006462B5" w:rsidRPr="00B25E45" w:rsidRDefault="006462B5" w:rsidP="000F0904">
      <w:pPr>
        <w:keepNext/>
        <w:numPr>
          <w:ilvl w:val="2"/>
          <w:numId w:val="0"/>
        </w:numPr>
        <w:spacing w:before="120"/>
        <w:jc w:val="both"/>
        <w:outlineLvl w:val="2"/>
        <w:rPr>
          <w:rFonts w:ascii="Times New Roman" w:hAnsi="Times New Roman"/>
          <w:b/>
          <w:sz w:val="24"/>
        </w:rPr>
      </w:pPr>
      <w:bookmarkStart w:id="22" w:name="_Toc25695647"/>
      <w:r w:rsidRPr="00B25E45">
        <w:rPr>
          <w:rFonts w:ascii="Times New Roman" w:hAnsi="Times New Roman"/>
          <w:b/>
          <w:sz w:val="24"/>
        </w:rPr>
        <w:lastRenderedPageBreak/>
        <w:t>8.2 Dopady na životní prostředí</w:t>
      </w:r>
      <w:bookmarkEnd w:id="22"/>
    </w:p>
    <w:p w14:paraId="0A0A97A8" w14:textId="2461EB17" w:rsidR="006462B5" w:rsidRPr="00B25E45" w:rsidRDefault="006462B5" w:rsidP="000F0904">
      <w:pPr>
        <w:spacing w:before="120"/>
        <w:jc w:val="both"/>
        <w:rPr>
          <w:rFonts w:ascii="Times New Roman" w:hAnsi="Times New Roman"/>
          <w:sz w:val="24"/>
        </w:rPr>
      </w:pPr>
      <w:r w:rsidRPr="00B25E45">
        <w:rPr>
          <w:rFonts w:ascii="Times New Roman" w:hAnsi="Times New Roman"/>
          <w:sz w:val="24"/>
        </w:rPr>
        <w:t xml:space="preserve">Jelikož část agendy před správními soudy se týká i věcí, které přímo či nepřímo souvisejí s ochranou životního prostřední (např. kompetence České inspekce životního prostředí podle zákona č. 114/1992 Sb., o ochraně přírody a krajiny), bude mít celkové posílení hospodárnosti a účelnosti řízení ve správním soudnictví pozitivní vliv také na posílení vymahatelnosti práva v oblasti ochrany přírody a krajiny, ovzduší nebo vodních zdrojů v ČR. </w:t>
      </w:r>
    </w:p>
    <w:p w14:paraId="5B84A533" w14:textId="77777777" w:rsidR="00E41176" w:rsidRPr="00B25E45" w:rsidRDefault="00E41176" w:rsidP="000F0904">
      <w:pPr>
        <w:spacing w:before="120"/>
        <w:jc w:val="both"/>
        <w:rPr>
          <w:rFonts w:ascii="Times New Roman" w:hAnsi="Times New Roman"/>
          <w:b/>
          <w:sz w:val="28"/>
          <w:u w:val="single"/>
        </w:rPr>
      </w:pPr>
    </w:p>
    <w:bookmarkEnd w:id="20"/>
    <w:p w14:paraId="72A62796" w14:textId="5B690094" w:rsidR="00D70839" w:rsidRPr="00B25E45" w:rsidRDefault="00D70839" w:rsidP="000F0904">
      <w:pPr>
        <w:keepNext/>
        <w:numPr>
          <w:ilvl w:val="0"/>
          <w:numId w:val="5"/>
        </w:numPr>
        <w:spacing w:before="120"/>
        <w:ind w:left="0" w:firstLine="0"/>
        <w:jc w:val="both"/>
        <w:outlineLvl w:val="1"/>
        <w:rPr>
          <w:rFonts w:ascii="Times New Roman" w:hAnsi="Times New Roman"/>
          <w:b/>
          <w:sz w:val="28"/>
          <w:u w:val="single"/>
        </w:rPr>
      </w:pPr>
      <w:r w:rsidRPr="00B25E45">
        <w:rPr>
          <w:rFonts w:ascii="Times New Roman" w:hAnsi="Times New Roman"/>
          <w:b/>
          <w:sz w:val="28"/>
          <w:u w:val="single"/>
        </w:rPr>
        <w:t>Zhodnocení dopadů navrhovaného řešení ve vztahu k ochraně soukromí a osobních údajů, které musí obsahovat vysvětlení účelu navrhovaného zpracování osobních údajů a popis návaznosti na stávající nebo již připravovaná zpracování osobních údajů, posouzení navrhovaného řešení zpracování z hlediska nezbytnosti a přiměřenosti ve vztahu k jím sledovanému účelu a posouzení rizik pro práva a svobody fyzických osob a možných opatření k jejich snížení,</w:t>
      </w:r>
    </w:p>
    <w:p w14:paraId="18A78E1C" w14:textId="6F03974B" w:rsidR="00D70839" w:rsidRPr="00B25E45" w:rsidRDefault="00D70839" w:rsidP="000F0904">
      <w:pPr>
        <w:spacing w:before="120"/>
        <w:jc w:val="both"/>
        <w:rPr>
          <w:rFonts w:ascii="Times New Roman" w:hAnsi="Times New Roman"/>
          <w:sz w:val="24"/>
        </w:rPr>
      </w:pPr>
      <w:r w:rsidRPr="00B25E45">
        <w:rPr>
          <w:rFonts w:ascii="Times New Roman" w:hAnsi="Times New Roman"/>
          <w:sz w:val="24"/>
        </w:rPr>
        <w:t>Navrhovaná úprava nezavádí žádné nové způsoby zpracování osobních údajů ani nijak nerozšiřuje stávající možnosti, s nimiž soudy disponují. Navrhovaná úprava tak nemá žádný dopad na ochranu soukromí a ochranu osobních údajů, pokud jde o jejich zpracovávání.</w:t>
      </w:r>
    </w:p>
    <w:p w14:paraId="3E2C60F6" w14:textId="5581E2FF" w:rsidR="000149E3" w:rsidRPr="00B25E45" w:rsidRDefault="00D70839" w:rsidP="000F0904">
      <w:pPr>
        <w:spacing w:before="120"/>
        <w:jc w:val="both"/>
        <w:rPr>
          <w:rFonts w:ascii="Times New Roman" w:hAnsi="Times New Roman"/>
          <w:bCs/>
          <w:sz w:val="24"/>
        </w:rPr>
      </w:pPr>
      <w:r w:rsidRPr="00B25E45">
        <w:rPr>
          <w:rFonts w:ascii="Times New Roman" w:hAnsi="Times New Roman"/>
          <w:bCs/>
          <w:sz w:val="24"/>
        </w:rPr>
        <w:t>Pozitivní dopady na tuto oblast je však možné spatřovat v tom, že i ochrana soukromí a osobních údajů může být předmětem řízení ve správním soudnictví. Mají-li se tato řízení zrychlit, zrychlí se i poskytování soudní ochrany, došlo-li k protiprávnímu zásahu do soukromí nebo do osobních údajů ze strany veřejné moci.</w:t>
      </w:r>
    </w:p>
    <w:p w14:paraId="72EE41C7" w14:textId="77777777" w:rsidR="00E41176" w:rsidRPr="00B25E45" w:rsidRDefault="00E41176" w:rsidP="000F0904">
      <w:pPr>
        <w:spacing w:before="120"/>
        <w:jc w:val="both"/>
        <w:rPr>
          <w:rFonts w:ascii="Times New Roman" w:hAnsi="Times New Roman"/>
          <w:bCs/>
          <w:sz w:val="24"/>
        </w:rPr>
      </w:pPr>
    </w:p>
    <w:p w14:paraId="4790A48B" w14:textId="77777777" w:rsidR="000149E3" w:rsidRPr="00B25E45" w:rsidRDefault="000149E3" w:rsidP="000F0904">
      <w:pPr>
        <w:keepNext/>
        <w:numPr>
          <w:ilvl w:val="0"/>
          <w:numId w:val="5"/>
        </w:numPr>
        <w:spacing w:before="120"/>
        <w:ind w:left="0" w:firstLine="0"/>
        <w:jc w:val="both"/>
        <w:outlineLvl w:val="1"/>
        <w:rPr>
          <w:rFonts w:ascii="Times New Roman" w:hAnsi="Times New Roman"/>
          <w:b/>
          <w:sz w:val="28"/>
          <w:u w:val="single"/>
        </w:rPr>
      </w:pPr>
      <w:bookmarkStart w:id="23" w:name="_Toc25695650"/>
      <w:r w:rsidRPr="00B25E45">
        <w:rPr>
          <w:rFonts w:ascii="Times New Roman" w:hAnsi="Times New Roman"/>
          <w:b/>
          <w:sz w:val="28"/>
          <w:u w:val="single"/>
        </w:rPr>
        <w:t>Zhodnocení korupčních rizik navrhovaného řešení (CIA)</w:t>
      </w:r>
      <w:bookmarkEnd w:id="23"/>
    </w:p>
    <w:p w14:paraId="130546E9" w14:textId="1DB6DACE" w:rsidR="000149E3" w:rsidRPr="00B25E45" w:rsidRDefault="00956155" w:rsidP="000F0904">
      <w:pPr>
        <w:keepNext/>
        <w:numPr>
          <w:ilvl w:val="2"/>
          <w:numId w:val="0"/>
        </w:numPr>
        <w:spacing w:before="120"/>
        <w:jc w:val="both"/>
        <w:outlineLvl w:val="2"/>
        <w:rPr>
          <w:rFonts w:ascii="Times New Roman" w:hAnsi="Times New Roman"/>
          <w:b/>
          <w:sz w:val="24"/>
        </w:rPr>
      </w:pPr>
      <w:bookmarkStart w:id="24" w:name="_Toc25695651"/>
      <w:r w:rsidRPr="00B25E45">
        <w:rPr>
          <w:rFonts w:ascii="Times New Roman" w:hAnsi="Times New Roman"/>
          <w:b/>
          <w:sz w:val="24"/>
        </w:rPr>
        <w:t>10</w:t>
      </w:r>
      <w:r w:rsidR="000149E3" w:rsidRPr="00B25E45">
        <w:rPr>
          <w:rFonts w:ascii="Times New Roman" w:hAnsi="Times New Roman"/>
          <w:b/>
          <w:sz w:val="24"/>
        </w:rPr>
        <w:t>.1 Dopady na korupční rizika</w:t>
      </w:r>
      <w:bookmarkEnd w:id="24"/>
    </w:p>
    <w:p w14:paraId="4C7E0706" w14:textId="77777777" w:rsidR="000149E3" w:rsidRPr="00B25E45" w:rsidRDefault="000149E3" w:rsidP="000F0904">
      <w:pPr>
        <w:spacing w:before="120"/>
        <w:jc w:val="both"/>
        <w:rPr>
          <w:rFonts w:ascii="Times New Roman" w:hAnsi="Times New Roman"/>
          <w:sz w:val="24"/>
        </w:rPr>
      </w:pPr>
      <w:r w:rsidRPr="00B25E45">
        <w:rPr>
          <w:rFonts w:ascii="Times New Roman" w:hAnsi="Times New Roman"/>
          <w:sz w:val="24"/>
        </w:rPr>
        <w:t>Předkladatel provedl zhodnocení korupčních rizik, jak stanoví čl. 4 odst. 1 písm. h) Legislativních pravidel vlády, a to podle Metodiky CIA (</w:t>
      </w:r>
      <w:proofErr w:type="spellStart"/>
      <w:r w:rsidRPr="00B25E45">
        <w:rPr>
          <w:rFonts w:ascii="Times New Roman" w:hAnsi="Times New Roman"/>
          <w:sz w:val="24"/>
        </w:rPr>
        <w:t>Corruption</w:t>
      </w:r>
      <w:proofErr w:type="spellEnd"/>
      <w:r w:rsidRPr="00B25E45">
        <w:rPr>
          <w:rFonts w:ascii="Times New Roman" w:hAnsi="Times New Roman"/>
          <w:sz w:val="24"/>
        </w:rPr>
        <w:t xml:space="preserve"> </w:t>
      </w:r>
      <w:proofErr w:type="spellStart"/>
      <w:r w:rsidRPr="00B25E45">
        <w:rPr>
          <w:rFonts w:ascii="Times New Roman" w:hAnsi="Times New Roman"/>
          <w:sz w:val="24"/>
        </w:rPr>
        <w:t>Impact</w:t>
      </w:r>
      <w:proofErr w:type="spellEnd"/>
      <w:r w:rsidRPr="00B25E45">
        <w:rPr>
          <w:rFonts w:ascii="Times New Roman" w:hAnsi="Times New Roman"/>
          <w:sz w:val="24"/>
        </w:rPr>
        <w:t xml:space="preserve"> </w:t>
      </w:r>
      <w:proofErr w:type="spellStart"/>
      <w:r w:rsidRPr="00B25E45">
        <w:rPr>
          <w:rFonts w:ascii="Times New Roman" w:hAnsi="Times New Roman"/>
          <w:sz w:val="24"/>
        </w:rPr>
        <w:t>Assessment</w:t>
      </w:r>
      <w:proofErr w:type="spellEnd"/>
      <w:r w:rsidRPr="00B25E45">
        <w:rPr>
          <w:rFonts w:ascii="Times New Roman" w:hAnsi="Times New Roman"/>
          <w:sz w:val="24"/>
        </w:rPr>
        <w:t>; Metodika hodnocení korupčních rizik), kterou uveřejnil Vládní výbor pro koordinaci boje s korupcí.</w:t>
      </w:r>
    </w:p>
    <w:p w14:paraId="19E05BBB" w14:textId="0094882D" w:rsidR="000149E3" w:rsidRPr="00B25E45" w:rsidRDefault="00D70839" w:rsidP="000F0904">
      <w:pPr>
        <w:spacing w:before="120"/>
        <w:jc w:val="both"/>
        <w:rPr>
          <w:rFonts w:ascii="Times New Roman" w:hAnsi="Times New Roman"/>
          <w:sz w:val="24"/>
        </w:rPr>
      </w:pPr>
      <w:r w:rsidRPr="00B25E45">
        <w:rPr>
          <w:rFonts w:ascii="Times New Roman" w:hAnsi="Times New Roman"/>
          <w:sz w:val="24"/>
        </w:rPr>
        <w:t xml:space="preserve">U novely soudního řádu správního a souvisejících předpisů </w:t>
      </w:r>
      <w:r w:rsidR="000149E3" w:rsidRPr="00B25E45">
        <w:rPr>
          <w:rFonts w:ascii="Times New Roman" w:hAnsi="Times New Roman"/>
          <w:sz w:val="24"/>
        </w:rPr>
        <w:t>nelze hovořit o nějakém nadměrném zvýšení rizika na straně soudů</w:t>
      </w:r>
      <w:r w:rsidRPr="00B25E45">
        <w:rPr>
          <w:rFonts w:ascii="Times New Roman" w:hAnsi="Times New Roman"/>
          <w:sz w:val="24"/>
        </w:rPr>
        <w:t>, neboť nedochází k tomu, že by nový orgán získával novou kompetenci</w:t>
      </w:r>
      <w:r w:rsidR="000149E3" w:rsidRPr="00B25E45">
        <w:rPr>
          <w:rFonts w:ascii="Times New Roman" w:hAnsi="Times New Roman"/>
          <w:sz w:val="24"/>
        </w:rPr>
        <w:t>.</w:t>
      </w:r>
      <w:r w:rsidRPr="00B25E45">
        <w:rPr>
          <w:rFonts w:ascii="Times New Roman" w:hAnsi="Times New Roman"/>
          <w:sz w:val="24"/>
        </w:rPr>
        <w:t xml:space="preserve"> Správní soudy již 20 let poskytují ochranu při poškození veřejných subjektivních práv, což tento návrh nijak nezpochybňuje.</w:t>
      </w:r>
      <w:r w:rsidR="000149E3" w:rsidRPr="00B25E45">
        <w:rPr>
          <w:rFonts w:ascii="Times New Roman" w:hAnsi="Times New Roman"/>
          <w:sz w:val="24"/>
        </w:rPr>
        <w:t xml:space="preserve"> </w:t>
      </w:r>
      <w:r w:rsidRPr="00B25E45">
        <w:rPr>
          <w:rFonts w:ascii="Times New Roman" w:hAnsi="Times New Roman"/>
          <w:sz w:val="24"/>
        </w:rPr>
        <w:t xml:space="preserve">Jde </w:t>
      </w:r>
      <w:r w:rsidR="000149E3" w:rsidRPr="00B25E45">
        <w:rPr>
          <w:rFonts w:ascii="Times New Roman" w:hAnsi="Times New Roman"/>
          <w:sz w:val="24"/>
        </w:rPr>
        <w:t>o pravomoc soudů, kterou mají již dnes</w:t>
      </w:r>
      <w:r w:rsidRPr="00B25E45">
        <w:rPr>
          <w:rFonts w:ascii="Times New Roman" w:hAnsi="Times New Roman"/>
          <w:sz w:val="24"/>
        </w:rPr>
        <w:t xml:space="preserve">, z čehož vyplývá, že </w:t>
      </w:r>
      <w:r w:rsidR="000149E3" w:rsidRPr="00B25E45">
        <w:rPr>
          <w:rFonts w:ascii="Times New Roman" w:hAnsi="Times New Roman"/>
          <w:sz w:val="24"/>
        </w:rPr>
        <w:t xml:space="preserve">riziko vzniku </w:t>
      </w:r>
      <w:r w:rsidRPr="00B25E45">
        <w:rPr>
          <w:rFonts w:ascii="Times New Roman" w:hAnsi="Times New Roman"/>
          <w:sz w:val="24"/>
        </w:rPr>
        <w:t xml:space="preserve">nového </w:t>
      </w:r>
      <w:r w:rsidR="000149E3" w:rsidRPr="00B25E45">
        <w:rPr>
          <w:rFonts w:ascii="Times New Roman" w:hAnsi="Times New Roman"/>
          <w:sz w:val="24"/>
        </w:rPr>
        <w:t xml:space="preserve">korupčního potenciálu, resp. zhoršení oproti stávajícímu stavu, </w:t>
      </w:r>
      <w:r w:rsidRPr="00B25E45">
        <w:rPr>
          <w:rFonts w:ascii="Times New Roman" w:hAnsi="Times New Roman"/>
          <w:sz w:val="24"/>
        </w:rPr>
        <w:t>je zcela</w:t>
      </w:r>
      <w:r w:rsidR="000149E3" w:rsidRPr="00B25E45">
        <w:rPr>
          <w:rFonts w:ascii="Times New Roman" w:hAnsi="Times New Roman"/>
          <w:sz w:val="24"/>
        </w:rPr>
        <w:t xml:space="preserve"> nevýznamné.</w:t>
      </w:r>
    </w:p>
    <w:p w14:paraId="5F63626A" w14:textId="261347C0" w:rsidR="000149E3" w:rsidRPr="00B25E45" w:rsidRDefault="00956155" w:rsidP="000F0904">
      <w:pPr>
        <w:keepNext/>
        <w:numPr>
          <w:ilvl w:val="2"/>
          <w:numId w:val="0"/>
        </w:numPr>
        <w:spacing w:before="120"/>
        <w:jc w:val="both"/>
        <w:outlineLvl w:val="2"/>
        <w:rPr>
          <w:rFonts w:ascii="Times New Roman" w:hAnsi="Times New Roman"/>
          <w:b/>
          <w:sz w:val="24"/>
        </w:rPr>
      </w:pPr>
      <w:bookmarkStart w:id="25" w:name="_Toc25695652"/>
      <w:r w:rsidRPr="00B25E45">
        <w:rPr>
          <w:rFonts w:ascii="Times New Roman" w:hAnsi="Times New Roman"/>
          <w:b/>
          <w:sz w:val="24"/>
        </w:rPr>
        <w:lastRenderedPageBreak/>
        <w:t>10</w:t>
      </w:r>
      <w:r w:rsidR="000149E3" w:rsidRPr="00B25E45">
        <w:rPr>
          <w:rFonts w:ascii="Times New Roman" w:hAnsi="Times New Roman"/>
          <w:b/>
          <w:sz w:val="24"/>
        </w:rPr>
        <w:t>.2 Přiměřenost</w:t>
      </w:r>
      <w:bookmarkEnd w:id="25"/>
    </w:p>
    <w:p w14:paraId="02C377EB" w14:textId="3B63336C" w:rsidR="000149E3" w:rsidRPr="00B25E45" w:rsidRDefault="000149E3" w:rsidP="000F0904">
      <w:pPr>
        <w:spacing w:before="120"/>
        <w:jc w:val="both"/>
        <w:rPr>
          <w:rFonts w:ascii="Times New Roman" w:hAnsi="Times New Roman"/>
          <w:sz w:val="24"/>
        </w:rPr>
      </w:pPr>
      <w:r w:rsidRPr="00B25E45">
        <w:rPr>
          <w:rFonts w:ascii="Times New Roman" w:hAnsi="Times New Roman"/>
          <w:sz w:val="24"/>
        </w:rPr>
        <w:t xml:space="preserve">Cílem předkládaného návrhu zákona je </w:t>
      </w:r>
      <w:r w:rsidR="00D70839" w:rsidRPr="00B25E45">
        <w:rPr>
          <w:rFonts w:ascii="Times New Roman" w:hAnsi="Times New Roman"/>
          <w:sz w:val="24"/>
        </w:rPr>
        <w:t>zlepšit a zefektivnit postup soudů ve správním soudnictví</w:t>
      </w:r>
      <w:r w:rsidRPr="00B25E45">
        <w:rPr>
          <w:rFonts w:ascii="Times New Roman" w:hAnsi="Times New Roman"/>
          <w:sz w:val="24"/>
        </w:rPr>
        <w:t xml:space="preserve">. Na tuto skutečnost apeluje jednak odborná veřejnost, ale </w:t>
      </w:r>
      <w:r w:rsidR="00D70839" w:rsidRPr="00B25E45">
        <w:rPr>
          <w:rFonts w:ascii="Times New Roman" w:hAnsi="Times New Roman"/>
          <w:sz w:val="24"/>
        </w:rPr>
        <w:t xml:space="preserve">také </w:t>
      </w:r>
      <w:r w:rsidRPr="00B25E45">
        <w:rPr>
          <w:rFonts w:ascii="Times New Roman" w:hAnsi="Times New Roman"/>
          <w:sz w:val="24"/>
        </w:rPr>
        <w:t>Evropská unie</w:t>
      </w:r>
      <w:r w:rsidR="00D70839" w:rsidRPr="00B25E45">
        <w:rPr>
          <w:rFonts w:ascii="Times New Roman" w:hAnsi="Times New Roman"/>
          <w:sz w:val="24"/>
        </w:rPr>
        <w:t xml:space="preserve"> ve svých hodnotících zprávách o stavu právního státu ve členských státech.</w:t>
      </w:r>
      <w:r w:rsidRPr="00B25E45">
        <w:rPr>
          <w:rFonts w:ascii="Times New Roman" w:hAnsi="Times New Roman"/>
          <w:sz w:val="24"/>
        </w:rPr>
        <w:t xml:space="preserve"> </w:t>
      </w:r>
      <w:r w:rsidR="00D70839" w:rsidRPr="00B25E45">
        <w:rPr>
          <w:rFonts w:ascii="Times New Roman" w:hAnsi="Times New Roman"/>
          <w:sz w:val="24"/>
        </w:rPr>
        <w:t>Úprava tak usiluje o zacílené změny reagující na poptávku a požadavky praxe.</w:t>
      </w:r>
      <w:r w:rsidRPr="00B25E45">
        <w:rPr>
          <w:rFonts w:ascii="Times New Roman" w:hAnsi="Times New Roman"/>
          <w:sz w:val="24"/>
        </w:rPr>
        <w:t xml:space="preserve"> Návrh </w:t>
      </w:r>
      <w:r w:rsidR="00D70839" w:rsidRPr="00B25E45">
        <w:rPr>
          <w:rFonts w:ascii="Times New Roman" w:hAnsi="Times New Roman"/>
          <w:sz w:val="24"/>
        </w:rPr>
        <w:t xml:space="preserve">je tedy </w:t>
      </w:r>
      <w:r w:rsidRPr="00B25E45">
        <w:rPr>
          <w:rFonts w:ascii="Times New Roman" w:hAnsi="Times New Roman"/>
          <w:sz w:val="24"/>
        </w:rPr>
        <w:t xml:space="preserve">svým rozsahem přiměřený množině vztahů, které má za cíl upravovat. </w:t>
      </w:r>
    </w:p>
    <w:p w14:paraId="5C935CC5" w14:textId="4E803ACC" w:rsidR="000149E3" w:rsidRPr="00B25E45" w:rsidRDefault="000149E3" w:rsidP="000F0904">
      <w:pPr>
        <w:spacing w:before="120"/>
        <w:jc w:val="both"/>
        <w:rPr>
          <w:rFonts w:ascii="Times New Roman" w:hAnsi="Times New Roman"/>
          <w:sz w:val="24"/>
        </w:rPr>
      </w:pPr>
      <w:r w:rsidRPr="00B25E45">
        <w:rPr>
          <w:rFonts w:ascii="Times New Roman" w:hAnsi="Times New Roman"/>
          <w:sz w:val="24"/>
        </w:rPr>
        <w:t xml:space="preserve">Kompetence orgánů </w:t>
      </w:r>
      <w:r w:rsidR="00D70839" w:rsidRPr="00B25E45">
        <w:rPr>
          <w:rFonts w:ascii="Times New Roman" w:hAnsi="Times New Roman"/>
          <w:sz w:val="24"/>
        </w:rPr>
        <w:t xml:space="preserve">soudní moci, pokud jde o rozhodování ve věcech spadajících do působnosti správního soudnictví, se v návrhu upravují pouze </w:t>
      </w:r>
      <w:r w:rsidRPr="00B25E45">
        <w:rPr>
          <w:rFonts w:ascii="Times New Roman" w:hAnsi="Times New Roman"/>
          <w:sz w:val="24"/>
        </w:rPr>
        <w:t>v</w:t>
      </w:r>
      <w:r w:rsidR="00D70839" w:rsidRPr="00B25E45">
        <w:rPr>
          <w:rFonts w:ascii="Times New Roman" w:hAnsi="Times New Roman"/>
          <w:sz w:val="24"/>
        </w:rPr>
        <w:t> nezbytně nutném</w:t>
      </w:r>
      <w:r w:rsidRPr="00B25E45">
        <w:rPr>
          <w:rFonts w:ascii="Times New Roman" w:hAnsi="Times New Roman"/>
          <w:sz w:val="24"/>
        </w:rPr>
        <w:t xml:space="preserve"> rozsah</w:t>
      </w:r>
      <w:r w:rsidR="00D70839" w:rsidRPr="00B25E45">
        <w:rPr>
          <w:rFonts w:ascii="Times New Roman" w:hAnsi="Times New Roman"/>
          <w:sz w:val="24"/>
        </w:rPr>
        <w:t>u a respektují dosavadní nastavení dělby moci, i dělby práce mezi jednotlivé složky soudní soustavy či aktéry na jednotlivých soudech</w:t>
      </w:r>
      <w:r w:rsidRPr="00B25E45">
        <w:rPr>
          <w:rFonts w:ascii="Times New Roman" w:hAnsi="Times New Roman"/>
          <w:sz w:val="24"/>
        </w:rPr>
        <w:t xml:space="preserve">. </w:t>
      </w:r>
    </w:p>
    <w:p w14:paraId="1C5AE52F" w14:textId="231D239B" w:rsidR="000149E3" w:rsidRPr="00B25E45" w:rsidRDefault="00956155" w:rsidP="000F0904">
      <w:pPr>
        <w:keepNext/>
        <w:numPr>
          <w:ilvl w:val="2"/>
          <w:numId w:val="0"/>
        </w:numPr>
        <w:spacing w:before="120"/>
        <w:jc w:val="both"/>
        <w:outlineLvl w:val="2"/>
        <w:rPr>
          <w:rFonts w:ascii="Times New Roman" w:hAnsi="Times New Roman"/>
          <w:b/>
          <w:sz w:val="24"/>
        </w:rPr>
      </w:pPr>
      <w:bookmarkStart w:id="26" w:name="_Toc25695653"/>
      <w:r w:rsidRPr="00B25E45">
        <w:rPr>
          <w:rFonts w:ascii="Times New Roman" w:hAnsi="Times New Roman"/>
          <w:b/>
          <w:sz w:val="24"/>
        </w:rPr>
        <w:t>10</w:t>
      </w:r>
      <w:r w:rsidR="000149E3" w:rsidRPr="00B25E45">
        <w:rPr>
          <w:rFonts w:ascii="Times New Roman" w:hAnsi="Times New Roman"/>
          <w:b/>
          <w:sz w:val="24"/>
        </w:rPr>
        <w:t>.3 Efektivita</w:t>
      </w:r>
      <w:bookmarkEnd w:id="26"/>
    </w:p>
    <w:p w14:paraId="6616F9F7" w14:textId="6EF0CDD5" w:rsidR="000149E3" w:rsidRPr="00B25E45" w:rsidRDefault="000149E3" w:rsidP="000F0904">
      <w:pPr>
        <w:spacing w:before="120"/>
        <w:jc w:val="both"/>
        <w:rPr>
          <w:rFonts w:ascii="Times New Roman" w:hAnsi="Times New Roman"/>
          <w:sz w:val="24"/>
        </w:rPr>
      </w:pPr>
      <w:r w:rsidRPr="00B25E45">
        <w:rPr>
          <w:rFonts w:ascii="Times New Roman" w:hAnsi="Times New Roman"/>
          <w:sz w:val="24"/>
        </w:rPr>
        <w:t xml:space="preserve">Návrh zákona reaguje na situaci, kdy platná právní úprava </w:t>
      </w:r>
      <w:r w:rsidR="00D70839" w:rsidRPr="00B25E45">
        <w:rPr>
          <w:rFonts w:ascii="Times New Roman" w:hAnsi="Times New Roman"/>
          <w:sz w:val="24"/>
        </w:rPr>
        <w:t xml:space="preserve">se v několika konkrétních oblastech neosvědčila, neodpovídá vývoji judikatury nebo naopak se </w:t>
      </w:r>
      <w:proofErr w:type="gramStart"/>
      <w:r w:rsidR="00D70839" w:rsidRPr="00B25E45">
        <w:rPr>
          <w:rFonts w:ascii="Times New Roman" w:hAnsi="Times New Roman"/>
          <w:sz w:val="24"/>
        </w:rPr>
        <w:t>snaží</w:t>
      </w:r>
      <w:proofErr w:type="gramEnd"/>
      <w:r w:rsidR="00D70839" w:rsidRPr="00B25E45">
        <w:rPr>
          <w:rFonts w:ascii="Times New Roman" w:hAnsi="Times New Roman"/>
          <w:sz w:val="24"/>
        </w:rPr>
        <w:t xml:space="preserve"> vývoj judikatury zvrátit, jelikož byl vyhodnocen jako nevhodný</w:t>
      </w:r>
      <w:r w:rsidRPr="00B25E45">
        <w:rPr>
          <w:rFonts w:ascii="Times New Roman" w:hAnsi="Times New Roman"/>
          <w:sz w:val="24"/>
        </w:rPr>
        <w:t xml:space="preserve">. Cílem zákona je co nejrychleji </w:t>
      </w:r>
      <w:r w:rsidR="00327AE3" w:rsidRPr="00B25E45">
        <w:rPr>
          <w:rFonts w:ascii="Times New Roman" w:hAnsi="Times New Roman"/>
          <w:sz w:val="24"/>
        </w:rPr>
        <w:t>identifikované nedostatky</w:t>
      </w:r>
      <w:r w:rsidRPr="00B25E45">
        <w:rPr>
          <w:rFonts w:ascii="Times New Roman" w:hAnsi="Times New Roman"/>
          <w:sz w:val="24"/>
        </w:rPr>
        <w:t xml:space="preserve"> v české legislativě </w:t>
      </w:r>
      <w:r w:rsidR="00327AE3" w:rsidRPr="00B25E45">
        <w:rPr>
          <w:rFonts w:ascii="Times New Roman" w:hAnsi="Times New Roman"/>
          <w:sz w:val="24"/>
        </w:rPr>
        <w:t>napravit</w:t>
      </w:r>
      <w:r w:rsidRPr="00B25E45">
        <w:rPr>
          <w:rFonts w:ascii="Times New Roman" w:hAnsi="Times New Roman"/>
          <w:sz w:val="24"/>
        </w:rPr>
        <w:t xml:space="preserve"> tak, aby </w:t>
      </w:r>
      <w:r w:rsidR="00327AE3" w:rsidRPr="00B25E45">
        <w:rPr>
          <w:rFonts w:ascii="Times New Roman" w:hAnsi="Times New Roman"/>
          <w:sz w:val="24"/>
        </w:rPr>
        <w:t>výsledek odpovídal požadavkům praxe, mezinárodn</w:t>
      </w:r>
      <w:r w:rsidR="0054260B" w:rsidRPr="00B25E45">
        <w:rPr>
          <w:rFonts w:ascii="Times New Roman" w:hAnsi="Times New Roman"/>
          <w:sz w:val="24"/>
        </w:rPr>
        <w:t>ím</w:t>
      </w:r>
      <w:r w:rsidR="00327AE3" w:rsidRPr="00B25E45">
        <w:rPr>
          <w:rFonts w:ascii="Times New Roman" w:hAnsi="Times New Roman"/>
          <w:sz w:val="24"/>
        </w:rPr>
        <w:t xml:space="preserve"> závazků</w:t>
      </w:r>
      <w:r w:rsidR="0054260B" w:rsidRPr="00B25E45">
        <w:rPr>
          <w:rFonts w:ascii="Times New Roman" w:hAnsi="Times New Roman"/>
          <w:sz w:val="24"/>
        </w:rPr>
        <w:t>m</w:t>
      </w:r>
      <w:r w:rsidR="00327AE3" w:rsidRPr="00B25E45">
        <w:rPr>
          <w:rFonts w:ascii="Times New Roman" w:hAnsi="Times New Roman"/>
          <w:sz w:val="24"/>
        </w:rPr>
        <w:t>, jimiž je ČR vázána, i ústavnímu pořádku a z něho plynoucímu právu na přístup k soudu a spravedlivý proces.</w:t>
      </w:r>
    </w:p>
    <w:p w14:paraId="1A8053EC" w14:textId="4D593695" w:rsidR="000149E3" w:rsidRPr="00B25E45" w:rsidRDefault="00956155" w:rsidP="000F0904">
      <w:pPr>
        <w:keepNext/>
        <w:numPr>
          <w:ilvl w:val="2"/>
          <w:numId w:val="0"/>
        </w:numPr>
        <w:spacing w:before="120"/>
        <w:jc w:val="both"/>
        <w:outlineLvl w:val="2"/>
        <w:rPr>
          <w:rFonts w:ascii="Times New Roman" w:hAnsi="Times New Roman"/>
          <w:b/>
          <w:sz w:val="24"/>
        </w:rPr>
      </w:pPr>
      <w:bookmarkStart w:id="27" w:name="_Toc25695654"/>
      <w:r w:rsidRPr="00B25E45">
        <w:rPr>
          <w:rFonts w:ascii="Times New Roman" w:hAnsi="Times New Roman"/>
          <w:b/>
          <w:sz w:val="24"/>
        </w:rPr>
        <w:t>10</w:t>
      </w:r>
      <w:r w:rsidR="000149E3" w:rsidRPr="00B25E45">
        <w:rPr>
          <w:rFonts w:ascii="Times New Roman" w:hAnsi="Times New Roman"/>
          <w:b/>
          <w:sz w:val="24"/>
        </w:rPr>
        <w:t>.4 Odpovědnost</w:t>
      </w:r>
      <w:bookmarkEnd w:id="27"/>
    </w:p>
    <w:p w14:paraId="48203A62" w14:textId="0D453D3C" w:rsidR="000149E3" w:rsidRPr="00B25E45" w:rsidRDefault="000149E3" w:rsidP="000F0904">
      <w:pPr>
        <w:spacing w:before="120"/>
        <w:jc w:val="both"/>
        <w:rPr>
          <w:rFonts w:ascii="Times New Roman" w:hAnsi="Times New Roman"/>
          <w:sz w:val="24"/>
        </w:rPr>
      </w:pPr>
      <w:r w:rsidRPr="00B25E45">
        <w:rPr>
          <w:rFonts w:ascii="Times New Roman" w:hAnsi="Times New Roman"/>
          <w:sz w:val="24"/>
        </w:rPr>
        <w:t>V tomto směru je z návrhu zřejmé, který orgán je kompetentní danou věc rozhodnout a že nebude docházet k nadměrnému soustředění pravomocí u jednoho konkrétního orgánu.</w:t>
      </w:r>
      <w:r w:rsidR="00327AE3" w:rsidRPr="00B25E45">
        <w:rPr>
          <w:rFonts w:ascii="Times New Roman" w:hAnsi="Times New Roman"/>
          <w:sz w:val="24"/>
        </w:rPr>
        <w:t xml:space="preserve"> Zákon nijak nezasahuje do aktuálního nastavení </w:t>
      </w:r>
      <w:proofErr w:type="gramStart"/>
      <w:r w:rsidR="00327AE3" w:rsidRPr="00B25E45">
        <w:rPr>
          <w:rFonts w:ascii="Times New Roman" w:hAnsi="Times New Roman"/>
          <w:sz w:val="24"/>
        </w:rPr>
        <w:t>kompetencí</w:t>
      </w:r>
      <w:proofErr w:type="gramEnd"/>
      <w:r w:rsidR="00327AE3" w:rsidRPr="00B25E45">
        <w:rPr>
          <w:rFonts w:ascii="Times New Roman" w:hAnsi="Times New Roman"/>
          <w:sz w:val="24"/>
        </w:rPr>
        <w:t xml:space="preserve"> a i nadále ponechává veškeré rozhodování ve věci samé nezávislým a nestranným soudům, které za to také nesou odpovídající odpovědnost.</w:t>
      </w:r>
    </w:p>
    <w:p w14:paraId="3CE48C1A" w14:textId="0FA8EFF1" w:rsidR="000149E3" w:rsidRPr="00B25E45" w:rsidRDefault="00956155" w:rsidP="000F0904">
      <w:pPr>
        <w:keepNext/>
        <w:numPr>
          <w:ilvl w:val="2"/>
          <w:numId w:val="0"/>
        </w:numPr>
        <w:spacing w:before="120"/>
        <w:jc w:val="both"/>
        <w:outlineLvl w:val="2"/>
        <w:rPr>
          <w:rFonts w:ascii="Times New Roman" w:hAnsi="Times New Roman"/>
          <w:b/>
          <w:sz w:val="24"/>
        </w:rPr>
      </w:pPr>
      <w:bookmarkStart w:id="28" w:name="_Toc25695655"/>
      <w:r w:rsidRPr="00B25E45">
        <w:rPr>
          <w:rFonts w:ascii="Times New Roman" w:hAnsi="Times New Roman"/>
          <w:b/>
          <w:sz w:val="24"/>
        </w:rPr>
        <w:t>10</w:t>
      </w:r>
      <w:r w:rsidR="000149E3" w:rsidRPr="00B25E45">
        <w:rPr>
          <w:rFonts w:ascii="Times New Roman" w:hAnsi="Times New Roman"/>
          <w:b/>
          <w:sz w:val="24"/>
        </w:rPr>
        <w:t>.5</w:t>
      </w:r>
      <w:r w:rsidR="000149E3" w:rsidRPr="00B25E45">
        <w:rPr>
          <w:rFonts w:ascii="Times New Roman" w:hAnsi="Times New Roman"/>
          <w:b/>
          <w:sz w:val="24"/>
        </w:rPr>
        <w:tab/>
        <w:t>Opravné prostředky a kontrolní mechanismy</w:t>
      </w:r>
      <w:bookmarkEnd w:id="28"/>
    </w:p>
    <w:p w14:paraId="26DF9A89" w14:textId="4713C128" w:rsidR="000149E3" w:rsidRPr="00B25E45" w:rsidRDefault="00327AE3" w:rsidP="000F0904">
      <w:pPr>
        <w:spacing w:before="120"/>
        <w:jc w:val="both"/>
        <w:rPr>
          <w:rFonts w:ascii="Times New Roman" w:hAnsi="Times New Roman"/>
          <w:sz w:val="24"/>
        </w:rPr>
      </w:pPr>
      <w:r w:rsidRPr="00B25E45">
        <w:rPr>
          <w:rFonts w:ascii="Times New Roman" w:hAnsi="Times New Roman"/>
          <w:sz w:val="24"/>
        </w:rPr>
        <w:t xml:space="preserve">Návrh zachovává současné kontrolní mechanismy, zejména možnost podat kasační stížnost k Nejvyššímu správnímu soudu. </w:t>
      </w:r>
    </w:p>
    <w:p w14:paraId="5BE5F25F" w14:textId="77777777" w:rsidR="000F0904" w:rsidRPr="00B25E45" w:rsidRDefault="000F0904" w:rsidP="000F0904">
      <w:pPr>
        <w:spacing w:before="120"/>
        <w:jc w:val="both"/>
        <w:rPr>
          <w:rFonts w:ascii="Times New Roman" w:hAnsi="Times New Roman"/>
          <w:sz w:val="24"/>
        </w:rPr>
      </w:pPr>
    </w:p>
    <w:p w14:paraId="6B38527B" w14:textId="77777777" w:rsidR="000149E3" w:rsidRPr="00B25E45" w:rsidRDefault="000149E3" w:rsidP="000F0904">
      <w:pPr>
        <w:keepNext/>
        <w:numPr>
          <w:ilvl w:val="0"/>
          <w:numId w:val="5"/>
        </w:numPr>
        <w:spacing w:before="120"/>
        <w:ind w:left="0" w:firstLine="0"/>
        <w:jc w:val="both"/>
        <w:outlineLvl w:val="1"/>
        <w:rPr>
          <w:rFonts w:ascii="Times New Roman" w:hAnsi="Times New Roman"/>
          <w:b/>
          <w:sz w:val="28"/>
          <w:u w:val="single"/>
        </w:rPr>
      </w:pPr>
      <w:bookmarkStart w:id="29" w:name="_Toc25695656"/>
      <w:r w:rsidRPr="00B25E45">
        <w:rPr>
          <w:rFonts w:ascii="Times New Roman" w:hAnsi="Times New Roman"/>
          <w:b/>
          <w:sz w:val="28"/>
          <w:u w:val="single"/>
        </w:rPr>
        <w:t>Dopady na bezpečnost a obranu státu</w:t>
      </w:r>
      <w:bookmarkEnd w:id="29"/>
    </w:p>
    <w:p w14:paraId="6AC13B48" w14:textId="071AA226" w:rsidR="000149E3" w:rsidRPr="00B25E45" w:rsidRDefault="000149E3" w:rsidP="000F0904">
      <w:pPr>
        <w:spacing w:before="120"/>
        <w:jc w:val="both"/>
        <w:rPr>
          <w:rFonts w:ascii="Times New Roman" w:hAnsi="Times New Roman"/>
          <w:sz w:val="24"/>
        </w:rPr>
      </w:pPr>
      <w:r w:rsidRPr="00B25E45">
        <w:rPr>
          <w:rFonts w:ascii="Times New Roman" w:hAnsi="Times New Roman"/>
          <w:sz w:val="24"/>
        </w:rPr>
        <w:t>Navrhované varianty úpravy nebudou mít dopad na bezpečnost a obranu státu.</w:t>
      </w:r>
    </w:p>
    <w:p w14:paraId="23CB3DEF" w14:textId="77777777" w:rsidR="000F0904" w:rsidRPr="00B25E45" w:rsidRDefault="000F0904" w:rsidP="000F0904">
      <w:pPr>
        <w:spacing w:before="120"/>
        <w:jc w:val="both"/>
        <w:rPr>
          <w:rFonts w:ascii="Times New Roman" w:hAnsi="Times New Roman"/>
          <w:sz w:val="24"/>
        </w:rPr>
      </w:pPr>
    </w:p>
    <w:p w14:paraId="4C1588FF" w14:textId="6800D453" w:rsidR="00327AE3" w:rsidRPr="00B25E45" w:rsidRDefault="00327AE3" w:rsidP="000F0904">
      <w:pPr>
        <w:pStyle w:val="Nadpis2"/>
        <w:spacing w:line="276" w:lineRule="auto"/>
        <w:jc w:val="both"/>
        <w:rPr>
          <w:b/>
          <w:sz w:val="28"/>
          <w:szCs w:val="22"/>
          <w:u w:val="single"/>
        </w:rPr>
      </w:pPr>
      <w:bookmarkStart w:id="30" w:name="_Toc504748124"/>
      <w:bookmarkStart w:id="31" w:name="_Toc25695657"/>
      <w:r w:rsidRPr="00B25E45">
        <w:rPr>
          <w:b/>
          <w:sz w:val="28"/>
          <w:szCs w:val="22"/>
          <w:u w:val="single"/>
        </w:rPr>
        <w:t xml:space="preserve">Zhodnocení dopadů na rodiny, zejména s ohledem na plnění funkcí rodiny, s ohledem na počet vyživovaných členů, na případnou přítomnost hendikepovaných členů a rodiny samoživitelů, rodiny se třemi a více dětmi a další specifické životní situace, dále s ohledem na posílení integrity a stability rodiny a posílení rodinné harmonie, lepší rovnováhy mezi prací a rodinou a na posílení mezigeneračních a širších příbuzenských vztahů; zhodnocení </w:t>
      </w:r>
      <w:r w:rsidRPr="00B25E45">
        <w:rPr>
          <w:b/>
          <w:sz w:val="28"/>
          <w:szCs w:val="22"/>
          <w:u w:val="single"/>
        </w:rPr>
        <w:lastRenderedPageBreak/>
        <w:t>musí obsahovat vysvětlení příčin případných rozdílů, očekávaných dopadů nebo očekávaného vývoje, s využitím statistických nebo jiných údajů, jsou-li tyto údaje k dispozici.</w:t>
      </w:r>
    </w:p>
    <w:p w14:paraId="242AB5A8" w14:textId="6249AEEA" w:rsidR="00327AE3" w:rsidRPr="00B25E45" w:rsidRDefault="00327AE3" w:rsidP="000F0904">
      <w:pPr>
        <w:spacing w:before="120"/>
        <w:jc w:val="both"/>
        <w:rPr>
          <w:rFonts w:ascii="Times New Roman" w:hAnsi="Times New Roman"/>
          <w:sz w:val="24"/>
        </w:rPr>
      </w:pPr>
      <w:r w:rsidRPr="00B25E45">
        <w:rPr>
          <w:rFonts w:ascii="Times New Roman" w:hAnsi="Times New Roman"/>
          <w:sz w:val="24"/>
        </w:rPr>
        <w:t>Problematika rodinného práva, vč. slaďování soukromého a pracovního života na pracovišti, je řešena převážně na půdě soukromoprávní a zabývají se jí obecné civilní soudy. Nicméně některé otázky spadají i do oblasti veřejného práva (např. sociální dávky jako náhradní výživné, rodičovský příspěvek či peněžitá pomoc v mateřství, slaďování rodinného a pracovního života ve služebním poměru apod.).</w:t>
      </w:r>
      <w:r w:rsidR="0054260B" w:rsidRPr="00B25E45">
        <w:rPr>
          <w:rFonts w:ascii="Times New Roman" w:hAnsi="Times New Roman"/>
          <w:sz w:val="24"/>
        </w:rPr>
        <w:t xml:space="preserve"> </w:t>
      </w:r>
      <w:r w:rsidRPr="00B25E45">
        <w:rPr>
          <w:rFonts w:ascii="Times New Roman" w:hAnsi="Times New Roman"/>
          <w:sz w:val="24"/>
        </w:rPr>
        <w:t>V této veřejnoprávní větvi rodinného práva v tom nejširším smyslu je možné čekávat zlepšení vymahatelnosti veřejných subjektivních práv a zrychlení soudních řízení, v nichž se o těchto právech rozhoduje. Návrh tak bude mít na oblast rodinného práva v rovině veřejnoprávní pozitivní vliv.</w:t>
      </w:r>
    </w:p>
    <w:p w14:paraId="3FC81FF3" w14:textId="77777777" w:rsidR="00E41176" w:rsidRPr="00B25E45" w:rsidRDefault="00E41176" w:rsidP="000F0904">
      <w:pPr>
        <w:spacing w:before="120"/>
        <w:jc w:val="both"/>
        <w:rPr>
          <w:rFonts w:ascii="Times New Roman" w:hAnsi="Times New Roman"/>
          <w:sz w:val="24"/>
        </w:rPr>
      </w:pPr>
    </w:p>
    <w:p w14:paraId="5CA5B0EC" w14:textId="12618624" w:rsidR="00327AE3" w:rsidRPr="00B25E45" w:rsidRDefault="00327AE3" w:rsidP="000F0904">
      <w:pPr>
        <w:pStyle w:val="Nadpis2"/>
        <w:spacing w:line="276" w:lineRule="auto"/>
        <w:jc w:val="both"/>
        <w:rPr>
          <w:b/>
          <w:sz w:val="28"/>
          <w:szCs w:val="22"/>
          <w:u w:val="single"/>
        </w:rPr>
      </w:pPr>
      <w:r w:rsidRPr="00B25E45">
        <w:rPr>
          <w:b/>
          <w:sz w:val="28"/>
          <w:szCs w:val="22"/>
          <w:u w:val="single"/>
        </w:rPr>
        <w:t>Zhodnocení územních dopadů, včetně dopadů na územní samosprávné celky.</w:t>
      </w:r>
    </w:p>
    <w:p w14:paraId="4F508AB7" w14:textId="692254BD" w:rsidR="000F0904" w:rsidRPr="00B25E45" w:rsidRDefault="00327AE3" w:rsidP="000F0904">
      <w:pPr>
        <w:spacing w:before="120"/>
        <w:jc w:val="both"/>
        <w:rPr>
          <w:rFonts w:ascii="Times New Roman" w:hAnsi="Times New Roman"/>
          <w:sz w:val="24"/>
          <w:szCs w:val="24"/>
        </w:rPr>
      </w:pPr>
      <w:r w:rsidRPr="00B25E45">
        <w:rPr>
          <w:rFonts w:ascii="Times New Roman" w:hAnsi="Times New Roman"/>
          <w:sz w:val="24"/>
          <w:szCs w:val="24"/>
        </w:rPr>
        <w:t xml:space="preserve">Navrhovaný zákon se přímo nezabývá regulací územních samosprávních celků nebo územním členěním České republiky. Zákon nijak </w:t>
      </w:r>
      <w:proofErr w:type="gramStart"/>
      <w:r w:rsidRPr="00B25E45">
        <w:rPr>
          <w:rFonts w:ascii="Times New Roman" w:hAnsi="Times New Roman"/>
          <w:sz w:val="24"/>
          <w:szCs w:val="24"/>
        </w:rPr>
        <w:t>neřeší</w:t>
      </w:r>
      <w:proofErr w:type="gramEnd"/>
      <w:r w:rsidRPr="00B25E45">
        <w:rPr>
          <w:rFonts w:ascii="Times New Roman" w:hAnsi="Times New Roman"/>
          <w:sz w:val="24"/>
          <w:szCs w:val="24"/>
        </w:rPr>
        <w:t xml:space="preserve"> pravomoc těchto celků, výkon samostatné nebo přenesené působnosti </w:t>
      </w:r>
      <w:r w:rsidR="00956155" w:rsidRPr="00B25E45">
        <w:rPr>
          <w:rFonts w:ascii="Times New Roman" w:hAnsi="Times New Roman"/>
          <w:sz w:val="24"/>
          <w:szCs w:val="24"/>
        </w:rPr>
        <w:t xml:space="preserve">a nijak nezasahuje ani do </w:t>
      </w:r>
      <w:r w:rsidRPr="00B25E45">
        <w:rPr>
          <w:rFonts w:ascii="Times New Roman" w:hAnsi="Times New Roman"/>
          <w:sz w:val="24"/>
          <w:szCs w:val="24"/>
        </w:rPr>
        <w:t xml:space="preserve">územního nebo administrativního členění státu. Zároveň však orgány územních samosprávných celků mohou být v postavení správních orgánů, které jsou účastníkem řízení ve správním soudnictví. </w:t>
      </w:r>
    </w:p>
    <w:p w14:paraId="6A6C3B98" w14:textId="0606A57C" w:rsidR="00327AE3" w:rsidRPr="00B25E45" w:rsidRDefault="00327AE3" w:rsidP="000F0904">
      <w:pPr>
        <w:spacing w:before="120"/>
        <w:jc w:val="both"/>
        <w:rPr>
          <w:rFonts w:ascii="Times New Roman" w:hAnsi="Times New Roman"/>
          <w:sz w:val="24"/>
          <w:szCs w:val="24"/>
        </w:rPr>
      </w:pPr>
      <w:r w:rsidRPr="00B25E45">
        <w:rPr>
          <w:rFonts w:ascii="Times New Roman" w:hAnsi="Times New Roman"/>
          <w:sz w:val="24"/>
          <w:szCs w:val="24"/>
        </w:rPr>
        <w:t xml:space="preserve">V tomto ohledu odkazujeme na závěry kapitoly 7.1 b), ve které bylo podrobněji </w:t>
      </w:r>
      <w:r w:rsidR="000F0904" w:rsidRPr="00B25E45">
        <w:rPr>
          <w:rFonts w:ascii="Times New Roman" w:hAnsi="Times New Roman"/>
          <w:sz w:val="24"/>
          <w:szCs w:val="24"/>
        </w:rPr>
        <w:t>shrnuto,</w:t>
      </w:r>
      <w:r w:rsidRPr="00B25E45">
        <w:rPr>
          <w:rFonts w:ascii="Times New Roman" w:hAnsi="Times New Roman"/>
          <w:sz w:val="24"/>
          <w:szCs w:val="24"/>
        </w:rPr>
        <w:t xml:space="preserve"> v jakém ohledu se návrh dotýká územních samosprávných celků. Lze </w:t>
      </w:r>
      <w:r w:rsidR="00956155" w:rsidRPr="00B25E45">
        <w:rPr>
          <w:rFonts w:ascii="Times New Roman" w:hAnsi="Times New Roman"/>
          <w:sz w:val="24"/>
          <w:szCs w:val="24"/>
        </w:rPr>
        <w:t>zopakovat</w:t>
      </w:r>
      <w:r w:rsidRPr="00B25E45">
        <w:rPr>
          <w:rFonts w:ascii="Times New Roman" w:hAnsi="Times New Roman"/>
          <w:sz w:val="24"/>
          <w:szCs w:val="24"/>
        </w:rPr>
        <w:t>, že jednotlivé změny budou mít na územní samosprávné celky převážně pozitivní dopady</w:t>
      </w:r>
      <w:r w:rsidR="000F0904" w:rsidRPr="00B25E45">
        <w:rPr>
          <w:rFonts w:ascii="Times New Roman" w:hAnsi="Times New Roman"/>
          <w:sz w:val="24"/>
          <w:szCs w:val="24"/>
        </w:rPr>
        <w:t xml:space="preserve">, neboť tyto celky budou těžit ze zrychlení a zefektivnění správního soudnictví. Za </w:t>
      </w:r>
      <w:r w:rsidR="00956155" w:rsidRPr="00B25E45">
        <w:rPr>
          <w:rFonts w:ascii="Times New Roman" w:hAnsi="Times New Roman"/>
          <w:sz w:val="24"/>
          <w:szCs w:val="24"/>
        </w:rPr>
        <w:t>jednoznačně</w:t>
      </w:r>
      <w:r w:rsidR="000F0904" w:rsidRPr="00B25E45">
        <w:rPr>
          <w:rFonts w:ascii="Times New Roman" w:hAnsi="Times New Roman"/>
          <w:sz w:val="24"/>
          <w:szCs w:val="24"/>
        </w:rPr>
        <w:t xml:space="preserve"> pozitivní </w:t>
      </w:r>
      <w:r w:rsidR="00956155" w:rsidRPr="00B25E45">
        <w:rPr>
          <w:rFonts w:ascii="Times New Roman" w:hAnsi="Times New Roman"/>
          <w:sz w:val="24"/>
          <w:szCs w:val="24"/>
        </w:rPr>
        <w:t>se dá označit</w:t>
      </w:r>
      <w:r w:rsidR="000F0904" w:rsidRPr="00B25E45">
        <w:rPr>
          <w:rFonts w:ascii="Times New Roman" w:hAnsi="Times New Roman"/>
          <w:sz w:val="24"/>
          <w:szCs w:val="24"/>
        </w:rPr>
        <w:t xml:space="preserve"> rozpočtový dopad v podobě přiznání práva na náhradu nákladů řízení, je-li žalovaným správní orgán územního samosprávného celku, který má v řízení úspěch. </w:t>
      </w:r>
    </w:p>
    <w:p w14:paraId="4807364D" w14:textId="77777777" w:rsidR="00E41176" w:rsidRPr="00B25E45" w:rsidRDefault="00E41176" w:rsidP="000F0904">
      <w:pPr>
        <w:spacing w:before="120"/>
        <w:jc w:val="both"/>
        <w:rPr>
          <w:rFonts w:ascii="Times New Roman" w:hAnsi="Times New Roman"/>
          <w:sz w:val="24"/>
          <w:szCs w:val="24"/>
        </w:rPr>
      </w:pPr>
    </w:p>
    <w:p w14:paraId="2619EE07" w14:textId="162759BD" w:rsidR="000F0904" w:rsidRPr="00B25E45" w:rsidRDefault="000F0904" w:rsidP="000F0904">
      <w:pPr>
        <w:pStyle w:val="Nadpis2"/>
        <w:jc w:val="both"/>
        <w:rPr>
          <w:b/>
          <w:sz w:val="28"/>
          <w:szCs w:val="22"/>
          <w:u w:val="single"/>
        </w:rPr>
      </w:pPr>
      <w:r w:rsidRPr="00B25E45">
        <w:rPr>
          <w:b/>
          <w:sz w:val="28"/>
          <w:szCs w:val="22"/>
          <w:u w:val="single"/>
        </w:rPr>
        <w:t>Zhodnocení souladu navrhovaného řešení se zásadami tvorby digitálně přívětivé legislativy, včetně zhodnocení rizika vyloučení nebo omezení možnosti přístupu specifických skupin osob k některým službám v důsledku digitalizace jejich poskytování (digitální vyloučení),</w:t>
      </w:r>
    </w:p>
    <w:p w14:paraId="499C95E8" w14:textId="0F72F79E" w:rsidR="000F0904" w:rsidRPr="00B25E45" w:rsidRDefault="000F0904" w:rsidP="000F0904">
      <w:pPr>
        <w:spacing w:before="120"/>
        <w:jc w:val="both"/>
        <w:rPr>
          <w:rFonts w:ascii="Times New Roman" w:hAnsi="Times New Roman"/>
          <w:sz w:val="24"/>
          <w:szCs w:val="24"/>
        </w:rPr>
      </w:pPr>
      <w:r w:rsidRPr="00B25E45">
        <w:rPr>
          <w:rFonts w:ascii="Times New Roman" w:hAnsi="Times New Roman"/>
          <w:sz w:val="24"/>
          <w:szCs w:val="24"/>
        </w:rPr>
        <w:t xml:space="preserve">Návrh jako takový nepřináší žádné posuny v oblasti digitalizace soudního řízení, jelikož téma elektronického soudního spisu nebo možnost využívání videokonferencí je nutné řešit komplexně pro </w:t>
      </w:r>
      <w:r w:rsidR="00A45D12" w:rsidRPr="00B25E45">
        <w:rPr>
          <w:rFonts w:ascii="Times New Roman" w:hAnsi="Times New Roman"/>
          <w:sz w:val="24"/>
          <w:szCs w:val="24"/>
        </w:rPr>
        <w:t>všechna</w:t>
      </w:r>
      <w:r w:rsidRPr="00B25E45">
        <w:rPr>
          <w:rFonts w:ascii="Times New Roman" w:hAnsi="Times New Roman"/>
          <w:sz w:val="24"/>
          <w:szCs w:val="24"/>
        </w:rPr>
        <w:t xml:space="preserve"> soudní řízení. I v kontextu správního soudnictví je to tedy především otázka případných změn občanského soudního řádu. Ten již dnes s existencí elektronického soudního spisu počítá (srov. § 40b o. s. ř.), stejně jako s možností využívat v soudním řízení videokonference (§ 101a o. s. ř.). Obě pravidla se ve správním soudnictví použijí podpůrně (§ 64 s. ř. s.) a v tuto chvílí není nutné na nich nic měnit.</w:t>
      </w:r>
    </w:p>
    <w:p w14:paraId="0AE0B84D" w14:textId="57BB00E9" w:rsidR="000F0904" w:rsidRPr="00B25E45" w:rsidRDefault="000F0904" w:rsidP="000F0904">
      <w:pPr>
        <w:spacing w:before="120"/>
        <w:jc w:val="both"/>
        <w:rPr>
          <w:rFonts w:ascii="Times New Roman" w:hAnsi="Times New Roman"/>
          <w:sz w:val="24"/>
          <w:szCs w:val="24"/>
        </w:rPr>
      </w:pPr>
      <w:r w:rsidRPr="00B25E45">
        <w:rPr>
          <w:rFonts w:ascii="Times New Roman" w:hAnsi="Times New Roman"/>
          <w:sz w:val="24"/>
          <w:szCs w:val="24"/>
        </w:rPr>
        <w:lastRenderedPageBreak/>
        <w:t xml:space="preserve">S elektronizací však souvisí změna ve způsobu podávání </w:t>
      </w:r>
      <w:r w:rsidR="0054260B" w:rsidRPr="00B25E45">
        <w:rPr>
          <w:rFonts w:ascii="Times New Roman" w:hAnsi="Times New Roman"/>
          <w:sz w:val="24"/>
          <w:szCs w:val="24"/>
        </w:rPr>
        <w:t>účastnických písemností</w:t>
      </w:r>
      <w:r w:rsidR="00956155" w:rsidRPr="00B25E45">
        <w:rPr>
          <w:rFonts w:ascii="Times New Roman" w:hAnsi="Times New Roman"/>
          <w:sz w:val="24"/>
          <w:szCs w:val="24"/>
        </w:rPr>
        <w:t xml:space="preserve">. Úprava zavádí nový režim odstraňování </w:t>
      </w:r>
      <w:r w:rsidRPr="00B25E45">
        <w:rPr>
          <w:rFonts w:ascii="Times New Roman" w:hAnsi="Times New Roman"/>
          <w:sz w:val="24"/>
          <w:szCs w:val="24"/>
        </w:rPr>
        <w:t>nedostatků podání ve věci samé</w:t>
      </w:r>
      <w:r w:rsidR="0054260B" w:rsidRPr="00B25E45">
        <w:rPr>
          <w:rFonts w:ascii="Times New Roman" w:hAnsi="Times New Roman"/>
          <w:sz w:val="24"/>
          <w:szCs w:val="24"/>
        </w:rPr>
        <w:t xml:space="preserve"> učiněných </w:t>
      </w:r>
      <w:r w:rsidRPr="00B25E45">
        <w:rPr>
          <w:rFonts w:ascii="Times New Roman" w:hAnsi="Times New Roman"/>
          <w:sz w:val="24"/>
          <w:szCs w:val="24"/>
        </w:rPr>
        <w:t>v elektronické podobě</w:t>
      </w:r>
      <w:r w:rsidR="00956155" w:rsidRPr="00B25E45">
        <w:rPr>
          <w:rFonts w:ascii="Times New Roman" w:hAnsi="Times New Roman"/>
          <w:sz w:val="24"/>
          <w:szCs w:val="24"/>
        </w:rPr>
        <w:t>, pokud jde o náležitost kvalifikovaného el. podpisu</w:t>
      </w:r>
      <w:r w:rsidRPr="00B25E45">
        <w:rPr>
          <w:rFonts w:ascii="Times New Roman" w:hAnsi="Times New Roman"/>
          <w:sz w:val="24"/>
          <w:szCs w:val="24"/>
        </w:rPr>
        <w:t>. Zatímco dnes se při nedoplnění podání do 3 dnů k</w:t>
      </w:r>
      <w:r w:rsidR="00956155" w:rsidRPr="00B25E45">
        <w:rPr>
          <w:rFonts w:ascii="Times New Roman" w:hAnsi="Times New Roman"/>
          <w:sz w:val="24"/>
          <w:szCs w:val="24"/>
        </w:rPr>
        <w:t> takovému p</w:t>
      </w:r>
      <w:r w:rsidRPr="00B25E45">
        <w:rPr>
          <w:rFonts w:ascii="Times New Roman" w:hAnsi="Times New Roman"/>
          <w:sz w:val="24"/>
          <w:szCs w:val="24"/>
        </w:rPr>
        <w:t xml:space="preserve">odáním nepřihlíží, nově by soud měl stejně jako u listinného podání účastníka nejprve vyzvat k opravě vad, čímž bude zajištěno, že tato forma podání nebude </w:t>
      </w:r>
      <w:r w:rsidR="00956155" w:rsidRPr="00B25E45">
        <w:rPr>
          <w:rFonts w:ascii="Times New Roman" w:hAnsi="Times New Roman"/>
          <w:sz w:val="24"/>
          <w:szCs w:val="24"/>
        </w:rPr>
        <w:t>napříště v</w:t>
      </w:r>
      <w:r w:rsidRPr="00B25E45">
        <w:rPr>
          <w:rFonts w:ascii="Times New Roman" w:hAnsi="Times New Roman"/>
          <w:sz w:val="24"/>
          <w:szCs w:val="24"/>
        </w:rPr>
        <w:t>ůči listinné podobě diskriminována. Mimo to návrh podporuje, aby osoby, jimž se zřizuje datová schránka i bez žádosti, musely činit podání vůči soudu elektronicky, ledaže to vylučují okolnosti zvláštního zřetele hodné. K tomu podobně odkazujeme na § 80a zákona č. 182/2006 Sb., o úpadku a způsoben jeho řešení,</w:t>
      </w:r>
      <w:r w:rsidR="00A45D12" w:rsidRPr="00B25E45">
        <w:rPr>
          <w:rFonts w:ascii="Times New Roman" w:hAnsi="Times New Roman"/>
          <w:sz w:val="24"/>
          <w:szCs w:val="24"/>
        </w:rPr>
        <w:t xml:space="preserve"> v platném znění</w:t>
      </w:r>
      <w:r w:rsidRPr="00B25E45">
        <w:rPr>
          <w:rFonts w:ascii="Times New Roman" w:hAnsi="Times New Roman"/>
          <w:sz w:val="24"/>
          <w:szCs w:val="24"/>
        </w:rPr>
        <w:t xml:space="preserve"> (insolvenční zákon</w:t>
      </w:r>
      <w:r w:rsidR="00956155" w:rsidRPr="00B25E45">
        <w:rPr>
          <w:rFonts w:ascii="Times New Roman" w:hAnsi="Times New Roman"/>
          <w:sz w:val="24"/>
          <w:szCs w:val="24"/>
        </w:rPr>
        <w:t>).</w:t>
      </w:r>
    </w:p>
    <w:p w14:paraId="3C1EDBC9" w14:textId="77777777" w:rsidR="00E41176" w:rsidRPr="00B25E45" w:rsidRDefault="00E41176" w:rsidP="000F0904">
      <w:pPr>
        <w:spacing w:before="120"/>
        <w:jc w:val="both"/>
        <w:rPr>
          <w:rFonts w:ascii="Times New Roman" w:hAnsi="Times New Roman"/>
          <w:sz w:val="24"/>
          <w:szCs w:val="24"/>
        </w:rPr>
      </w:pPr>
    </w:p>
    <w:p w14:paraId="120C2A14" w14:textId="24E0E79A" w:rsidR="000149E3" w:rsidRPr="00B25E45" w:rsidRDefault="000149E3" w:rsidP="000F0904">
      <w:pPr>
        <w:keepNext/>
        <w:numPr>
          <w:ilvl w:val="0"/>
          <w:numId w:val="5"/>
        </w:numPr>
        <w:spacing w:before="120"/>
        <w:ind w:left="0" w:firstLine="0"/>
        <w:jc w:val="both"/>
        <w:outlineLvl w:val="1"/>
        <w:rPr>
          <w:rFonts w:ascii="Times New Roman" w:hAnsi="Times New Roman"/>
          <w:b/>
          <w:sz w:val="28"/>
          <w:u w:val="single"/>
        </w:rPr>
      </w:pPr>
      <w:r w:rsidRPr="00B25E45">
        <w:rPr>
          <w:rFonts w:ascii="Times New Roman" w:hAnsi="Times New Roman"/>
          <w:b/>
          <w:sz w:val="28"/>
          <w:u w:val="single"/>
        </w:rPr>
        <w:t>Přezkum účinnosti regulace</w:t>
      </w:r>
      <w:bookmarkEnd w:id="30"/>
      <w:bookmarkEnd w:id="31"/>
    </w:p>
    <w:p w14:paraId="3F4E206A" w14:textId="6A2373D3" w:rsidR="000149E3" w:rsidRPr="00B25E45" w:rsidRDefault="000149E3" w:rsidP="000F0904">
      <w:pPr>
        <w:spacing w:before="120"/>
        <w:jc w:val="both"/>
        <w:rPr>
          <w:rFonts w:ascii="Times New Roman" w:hAnsi="Times New Roman"/>
          <w:sz w:val="24"/>
        </w:rPr>
      </w:pPr>
      <w:r w:rsidRPr="00B25E45">
        <w:rPr>
          <w:rFonts w:ascii="Times New Roman" w:hAnsi="Times New Roman"/>
          <w:sz w:val="24"/>
        </w:rPr>
        <w:t xml:space="preserve">Přezkum účinnosti regulace </w:t>
      </w:r>
      <w:r w:rsidR="00956155" w:rsidRPr="00B25E45">
        <w:rPr>
          <w:rFonts w:ascii="Times New Roman" w:hAnsi="Times New Roman"/>
          <w:sz w:val="24"/>
        </w:rPr>
        <w:t>novelizovaného soudního řádu správního</w:t>
      </w:r>
      <w:r w:rsidRPr="00B25E45">
        <w:rPr>
          <w:rFonts w:ascii="Times New Roman" w:hAnsi="Times New Roman"/>
          <w:sz w:val="24"/>
        </w:rPr>
        <w:t xml:space="preserve"> provede </w:t>
      </w:r>
      <w:r w:rsidR="00523DA5" w:rsidRPr="00B25E45">
        <w:rPr>
          <w:rFonts w:ascii="Times New Roman" w:hAnsi="Times New Roman"/>
          <w:sz w:val="24"/>
        </w:rPr>
        <w:t>ministerstvo</w:t>
      </w:r>
      <w:r w:rsidRPr="00B25E45">
        <w:rPr>
          <w:rFonts w:ascii="Times New Roman" w:hAnsi="Times New Roman"/>
          <w:sz w:val="24"/>
        </w:rPr>
        <w:t xml:space="preserve"> po </w:t>
      </w:r>
      <w:r w:rsidR="00956155" w:rsidRPr="00B25E45">
        <w:rPr>
          <w:rFonts w:ascii="Times New Roman" w:hAnsi="Times New Roman"/>
          <w:sz w:val="24"/>
        </w:rPr>
        <w:t>4</w:t>
      </w:r>
      <w:r w:rsidRPr="00B25E45">
        <w:rPr>
          <w:rFonts w:ascii="Times New Roman" w:hAnsi="Times New Roman"/>
          <w:sz w:val="24"/>
        </w:rPr>
        <w:t xml:space="preserve"> letech od nabytí účinnosti</w:t>
      </w:r>
      <w:r w:rsidR="00956155" w:rsidRPr="00B25E45">
        <w:rPr>
          <w:rFonts w:ascii="Times New Roman" w:hAnsi="Times New Roman"/>
          <w:sz w:val="24"/>
        </w:rPr>
        <w:t xml:space="preserve"> tohoto zákona</w:t>
      </w:r>
      <w:r w:rsidRPr="00B25E45">
        <w:rPr>
          <w:rFonts w:ascii="Times New Roman" w:hAnsi="Times New Roman"/>
          <w:sz w:val="24"/>
        </w:rPr>
        <w:t xml:space="preserve">. </w:t>
      </w:r>
      <w:r w:rsidR="00956155" w:rsidRPr="00B25E45">
        <w:rPr>
          <w:rFonts w:ascii="Times New Roman" w:hAnsi="Times New Roman"/>
          <w:sz w:val="24"/>
        </w:rPr>
        <w:t>S ohledem na délku řízení j</w:t>
      </w:r>
      <w:r w:rsidRPr="00B25E45">
        <w:rPr>
          <w:rFonts w:ascii="Times New Roman" w:hAnsi="Times New Roman"/>
          <w:sz w:val="24"/>
        </w:rPr>
        <w:t xml:space="preserve">de o adekvátní dobu pro sběr dat a posouzení prvotních zkušeností s novou regulací. </w:t>
      </w:r>
    </w:p>
    <w:p w14:paraId="333E511C" w14:textId="77777777" w:rsidR="000149E3" w:rsidRPr="00B25E45" w:rsidRDefault="000149E3" w:rsidP="000F0904">
      <w:pPr>
        <w:spacing w:before="120"/>
        <w:jc w:val="both"/>
        <w:rPr>
          <w:rFonts w:ascii="Times New Roman" w:hAnsi="Times New Roman"/>
          <w:sz w:val="24"/>
        </w:rPr>
      </w:pPr>
      <w:r w:rsidRPr="00B25E45">
        <w:rPr>
          <w:rFonts w:ascii="Times New Roman" w:hAnsi="Times New Roman"/>
          <w:sz w:val="24"/>
        </w:rPr>
        <w:t>V této souvislosti budou zejména zjišťovány (a jako indikátory účinnosti regulace byly zvoleny) následující údaje:</w:t>
      </w:r>
    </w:p>
    <w:p w14:paraId="59B12C57" w14:textId="48D60E62" w:rsidR="000149E3" w:rsidRPr="00B25E45" w:rsidRDefault="00956155" w:rsidP="00F6177A">
      <w:pPr>
        <w:numPr>
          <w:ilvl w:val="0"/>
          <w:numId w:val="7"/>
        </w:numPr>
        <w:spacing w:before="120"/>
        <w:ind w:left="714" w:hanging="357"/>
        <w:jc w:val="both"/>
        <w:rPr>
          <w:rFonts w:ascii="Times New Roman" w:hAnsi="Times New Roman"/>
          <w:sz w:val="24"/>
        </w:rPr>
      </w:pPr>
      <w:r w:rsidRPr="00B25E45">
        <w:rPr>
          <w:rFonts w:ascii="Times New Roman" w:hAnsi="Times New Roman"/>
          <w:sz w:val="24"/>
        </w:rPr>
        <w:t>jak se přijetí novely projevilo na nápadu správních soudů;</w:t>
      </w:r>
    </w:p>
    <w:p w14:paraId="681BB771" w14:textId="3D2B21DA" w:rsidR="00956155" w:rsidRPr="00B25E45" w:rsidRDefault="00956155" w:rsidP="00F6177A">
      <w:pPr>
        <w:numPr>
          <w:ilvl w:val="0"/>
          <w:numId w:val="7"/>
        </w:numPr>
        <w:spacing w:before="120"/>
        <w:ind w:left="714" w:hanging="357"/>
        <w:jc w:val="both"/>
        <w:rPr>
          <w:rFonts w:ascii="Times New Roman" w:hAnsi="Times New Roman"/>
          <w:sz w:val="24"/>
        </w:rPr>
      </w:pPr>
      <w:r w:rsidRPr="00B25E45">
        <w:rPr>
          <w:rFonts w:ascii="Times New Roman" w:hAnsi="Times New Roman"/>
          <w:sz w:val="24"/>
        </w:rPr>
        <w:t>jak se po přijetí novely vyvíjela průměrná délka řízení ve správním soudnictví;</w:t>
      </w:r>
    </w:p>
    <w:p w14:paraId="69BB6B5F" w14:textId="15CD57C8" w:rsidR="00956155" w:rsidRPr="00B25E45" w:rsidRDefault="00956155" w:rsidP="00F6177A">
      <w:pPr>
        <w:numPr>
          <w:ilvl w:val="0"/>
          <w:numId w:val="7"/>
        </w:numPr>
        <w:spacing w:before="120"/>
        <w:ind w:left="714" w:hanging="357"/>
        <w:jc w:val="both"/>
        <w:rPr>
          <w:rFonts w:ascii="Times New Roman" w:hAnsi="Times New Roman"/>
          <w:sz w:val="24"/>
        </w:rPr>
      </w:pPr>
      <w:r w:rsidRPr="00B25E45">
        <w:rPr>
          <w:rFonts w:ascii="Times New Roman" w:hAnsi="Times New Roman"/>
          <w:sz w:val="24"/>
        </w:rPr>
        <w:t>jak se novela podepsala na nápadu na Nejvyšším správním soudu a délce řízení u tohoto soudu;</w:t>
      </w:r>
    </w:p>
    <w:p w14:paraId="3ABE901F" w14:textId="76D52362" w:rsidR="00956155" w:rsidRPr="00B25E45" w:rsidRDefault="00956155" w:rsidP="00F6177A">
      <w:pPr>
        <w:numPr>
          <w:ilvl w:val="0"/>
          <w:numId w:val="7"/>
        </w:numPr>
        <w:spacing w:before="120"/>
        <w:ind w:left="714" w:hanging="357"/>
        <w:jc w:val="both"/>
        <w:rPr>
          <w:rFonts w:ascii="Times New Roman" w:hAnsi="Times New Roman"/>
          <w:sz w:val="24"/>
        </w:rPr>
      </w:pPr>
      <w:r w:rsidRPr="00B25E45">
        <w:rPr>
          <w:rFonts w:ascii="Times New Roman" w:hAnsi="Times New Roman"/>
          <w:sz w:val="24"/>
        </w:rPr>
        <w:t>kolik žalob ve veřejném zájmu podá veřejný ochránce práv a nejvyšší státní zástupce;</w:t>
      </w:r>
    </w:p>
    <w:p w14:paraId="20123DAF" w14:textId="3C57D3BC" w:rsidR="00956155" w:rsidRPr="00B25E45" w:rsidRDefault="00956155" w:rsidP="00F6177A">
      <w:pPr>
        <w:numPr>
          <w:ilvl w:val="0"/>
          <w:numId w:val="7"/>
        </w:numPr>
        <w:spacing w:before="120"/>
        <w:ind w:left="714" w:hanging="357"/>
        <w:jc w:val="both"/>
        <w:rPr>
          <w:rFonts w:ascii="Times New Roman" w:hAnsi="Times New Roman"/>
          <w:sz w:val="24"/>
        </w:rPr>
      </w:pPr>
      <w:r w:rsidRPr="00B25E45">
        <w:rPr>
          <w:rFonts w:ascii="Times New Roman" w:hAnsi="Times New Roman"/>
          <w:sz w:val="24"/>
        </w:rPr>
        <w:t>jaký podíl kasačních stížností byl shledán jako nepřípustný;</w:t>
      </w:r>
    </w:p>
    <w:p w14:paraId="106295C3" w14:textId="01411E28" w:rsidR="00956155" w:rsidRPr="00B25E45" w:rsidRDefault="00956155" w:rsidP="00F6177A">
      <w:pPr>
        <w:numPr>
          <w:ilvl w:val="0"/>
          <w:numId w:val="7"/>
        </w:numPr>
        <w:spacing w:before="120"/>
        <w:ind w:left="714" w:hanging="357"/>
        <w:jc w:val="both"/>
        <w:rPr>
          <w:rFonts w:ascii="Times New Roman" w:hAnsi="Times New Roman"/>
          <w:sz w:val="24"/>
        </w:rPr>
      </w:pPr>
      <w:r w:rsidRPr="00B25E45">
        <w:rPr>
          <w:rFonts w:ascii="Times New Roman" w:hAnsi="Times New Roman"/>
          <w:sz w:val="24"/>
        </w:rPr>
        <w:t>zda se snížil počet zneužívajících a zjevně neopodstatněných návrhů a zda novela přispěla k efektivnějšímu řešení těchto návrhů;</w:t>
      </w:r>
    </w:p>
    <w:p w14:paraId="3A2E8367" w14:textId="3BE7398F" w:rsidR="00956155" w:rsidRPr="00B25E45" w:rsidRDefault="00956155" w:rsidP="00F6177A">
      <w:pPr>
        <w:numPr>
          <w:ilvl w:val="0"/>
          <w:numId w:val="7"/>
        </w:numPr>
        <w:spacing w:before="120"/>
        <w:ind w:left="714" w:hanging="357"/>
        <w:jc w:val="both"/>
        <w:rPr>
          <w:rFonts w:ascii="Times New Roman" w:hAnsi="Times New Roman"/>
          <w:sz w:val="24"/>
        </w:rPr>
      </w:pPr>
      <w:r w:rsidRPr="00B25E45">
        <w:rPr>
          <w:rFonts w:ascii="Times New Roman" w:hAnsi="Times New Roman"/>
          <w:sz w:val="24"/>
        </w:rPr>
        <w:t>zda se častěji využívá nástroje uspokojení navrhovatele;</w:t>
      </w:r>
    </w:p>
    <w:p w14:paraId="19D88188" w14:textId="015B48F9" w:rsidR="00F6177A" w:rsidRPr="00B25E45" w:rsidRDefault="00956155" w:rsidP="00F6177A">
      <w:pPr>
        <w:numPr>
          <w:ilvl w:val="0"/>
          <w:numId w:val="7"/>
        </w:numPr>
        <w:spacing w:before="120"/>
        <w:ind w:left="714" w:hanging="357"/>
        <w:jc w:val="both"/>
        <w:rPr>
          <w:rFonts w:ascii="Times New Roman" w:hAnsi="Times New Roman"/>
          <w:sz w:val="24"/>
        </w:rPr>
      </w:pPr>
      <w:r w:rsidRPr="00B25E45">
        <w:rPr>
          <w:rFonts w:ascii="Times New Roman" w:hAnsi="Times New Roman"/>
          <w:sz w:val="24"/>
        </w:rPr>
        <w:t>v jakém rozsahu se využívá institutu zásadního usnesení a zda je schopen plnit svoji roli.</w:t>
      </w:r>
    </w:p>
    <w:p w14:paraId="260B178E" w14:textId="77777777" w:rsidR="00F6177A" w:rsidRPr="00B25E45" w:rsidRDefault="00F6177A">
      <w:pPr>
        <w:spacing w:after="160" w:line="259" w:lineRule="auto"/>
        <w:rPr>
          <w:rFonts w:ascii="Times New Roman" w:hAnsi="Times New Roman"/>
          <w:sz w:val="24"/>
        </w:rPr>
      </w:pPr>
      <w:r w:rsidRPr="00B25E45">
        <w:rPr>
          <w:rFonts w:ascii="Times New Roman" w:hAnsi="Times New Roman"/>
          <w:sz w:val="24"/>
        </w:rPr>
        <w:br w:type="page"/>
      </w:r>
    </w:p>
    <w:p w14:paraId="402C2457" w14:textId="68C926A4" w:rsidR="00F6177A" w:rsidRPr="00B25E45" w:rsidRDefault="00F6177A" w:rsidP="00F6177A">
      <w:pPr>
        <w:spacing w:before="120"/>
        <w:jc w:val="center"/>
        <w:outlineLvl w:val="0"/>
        <w:rPr>
          <w:rFonts w:ascii="Times New Roman" w:hAnsi="Times New Roman"/>
          <w:sz w:val="28"/>
        </w:rPr>
      </w:pPr>
      <w:r w:rsidRPr="00B25E45">
        <w:rPr>
          <w:rFonts w:ascii="Times New Roman" w:hAnsi="Times New Roman"/>
          <w:sz w:val="28"/>
        </w:rPr>
        <w:lastRenderedPageBreak/>
        <w:t>II. Zvláštní část</w:t>
      </w:r>
    </w:p>
    <w:p w14:paraId="316A184B" w14:textId="33F8E9EF" w:rsidR="00F6177A" w:rsidRPr="00B25E45" w:rsidRDefault="00F6177A" w:rsidP="00E41176">
      <w:pPr>
        <w:pStyle w:val="Nadpis2"/>
        <w:numPr>
          <w:ilvl w:val="0"/>
          <w:numId w:val="0"/>
        </w:numPr>
        <w:spacing w:before="240"/>
        <w:jc w:val="left"/>
        <w:rPr>
          <w:b/>
          <w:bCs/>
        </w:rPr>
      </w:pPr>
      <w:r w:rsidRPr="00B25E45">
        <w:rPr>
          <w:b/>
          <w:bCs/>
        </w:rPr>
        <w:t>ČÁST PRVNÍ – změna soudního řádu správního</w:t>
      </w:r>
    </w:p>
    <w:p w14:paraId="6F334ACA" w14:textId="5501E094" w:rsidR="00E41176" w:rsidRPr="00B25E45" w:rsidRDefault="00E41176" w:rsidP="00E41176">
      <w:pPr>
        <w:pStyle w:val="Nadpis2"/>
        <w:numPr>
          <w:ilvl w:val="0"/>
          <w:numId w:val="0"/>
        </w:numPr>
        <w:jc w:val="left"/>
        <w:rPr>
          <w:b/>
          <w:bCs/>
        </w:rPr>
      </w:pPr>
      <w:r w:rsidRPr="00B25E45">
        <w:rPr>
          <w:b/>
          <w:bCs/>
        </w:rPr>
        <w:t>K čl. I</w:t>
      </w:r>
    </w:p>
    <w:p w14:paraId="4E32C797" w14:textId="77777777" w:rsidR="00F6177A" w:rsidRPr="00B25E45" w:rsidRDefault="00F6177A" w:rsidP="00E41176">
      <w:pPr>
        <w:pStyle w:val="Nadpis3"/>
      </w:pPr>
      <w:r w:rsidRPr="00B25E45">
        <w:t>K bodu 1 (§ 4 odst. 2)</w:t>
      </w:r>
    </w:p>
    <w:p w14:paraId="0D1FDD9A"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4 je obsažen výčet věcí, které se projednávají a rozhodují ve správním soudnictví. Toto ustanovení je rozděleno na dva odstavce. V prvním odstavci jsou obsaženy věci, které představují jádro správního soudnictví, tj. věci, jejichž předmětem je poskytnout ochranu veřejným subjektivním právům fyzických a právnických osob. Ve druhém odstavci jsou pak obsaženy další věci rozhodované správními soudy.</w:t>
      </w:r>
    </w:p>
    <w:p w14:paraId="1A85061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rámci tohoto ustanovení jsou navrhovány dvě změny. </w:t>
      </w:r>
    </w:p>
    <w:p w14:paraId="7C4722C0"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První představuje pouze technickou úpravu, která odstraní nedostatek dosavadní úpravy, že výčet v § 4 není úplný. Ve výčtu totiž chybí pravomoc rušit služební předpisy, ač úprava řízení o zrušení služebního předpisu v soudním řádu správním obsažena je.</w:t>
      </w:r>
    </w:p>
    <w:p w14:paraId="500D18C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Druhá změna pak souvisí s návrhem rozšířit okruh věcí projednávaných a rozhodovaných ve správním soudnictví o pravomoc rušit stavovské předpisy – tj. vnitřní předpisy profesních komor (k tomu blíže u novelizačního bodu 90).</w:t>
      </w:r>
    </w:p>
    <w:p w14:paraId="217BB1CE" w14:textId="77777777" w:rsidR="00F6177A" w:rsidRPr="00B25E45" w:rsidRDefault="00F6177A" w:rsidP="00E41176">
      <w:pPr>
        <w:pStyle w:val="Nadpis3"/>
      </w:pPr>
      <w:r w:rsidRPr="00B25E45">
        <w:t>K bodu 2 (§ 7 odst. 3)</w:t>
      </w:r>
    </w:p>
    <w:p w14:paraId="2160F1D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7 je upravena věcná a místní příslušnost soudů ve správním soudnictví. V § 7 odst. 3 je potom obsažen výčet věcí, v nichž je k řízení místně příslušný krajský soud, v jehož obvodu má bydliště nebo sídlo navrhovatel.</w:t>
      </w:r>
    </w:p>
    <w:p w14:paraId="1F29D1CB"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rámci tohoto ustanovení se navrhují pouze drobné změny technického charakteru, jejichž cílem je terminologické sjednocení výčtu obsaženého v § 7 odst. 3 s výčty obsaženými v § 31 odst. 2, § 56 odst. 3 a § 60 odst. 2. Cílem těchto úprav je jednak zvýšit důraz na jednotné používání pojmu „věc“, jednak docílit toho, aby nevznikaly rozdíly v terminologii. Budou-li v těchto výčtových ustanoveních užívány stejné pojmy, bude praxe těmto pojmům přikládat vždy stejný význam a nebude nutné drobné odlišnosti překlenovat výkladem (k tomu blíže u novelizačního bodu 14).</w:t>
      </w:r>
    </w:p>
    <w:p w14:paraId="22621DAF" w14:textId="77777777" w:rsidR="00F6177A" w:rsidRPr="00B25E45" w:rsidRDefault="00F6177A" w:rsidP="00E41176">
      <w:pPr>
        <w:pStyle w:val="Nadpis3"/>
      </w:pPr>
      <w:r w:rsidRPr="00B25E45">
        <w:t>K bodu 3 (§ 8 odst. 6)</w:t>
      </w:r>
    </w:p>
    <w:p w14:paraId="29197A3F"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 8 je upraven institut podjatosti soudce a jiných soudních osob. Jde o institut, který naplňuje ústavní požadavek nestrannosti soudu, neboť stanoví, že soudce rozhodující určitý případ nesmí být nikdy ve vztahu k tomuto případu podjatý. Soudce nemá mít k tomuto případu žádný vztah, přičemž stačí jen důvod pochybnosti o jeho nepodjatosti. </w:t>
      </w:r>
    </w:p>
    <w:p w14:paraId="51739B27" w14:textId="1A9EB662"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Úprava obsažená v § 8 ovšem nepředstavuje komplexní úpravu tohoto institutu, nýbrž zaměřuje se jen na některé otázky. V otázkách neupravených v § 8 se postupuje přiměřeně podle úpravy obsažené v občanském soudním řádu. Mezi takové otázky </w:t>
      </w:r>
      <w:proofErr w:type="gramStart"/>
      <w:r w:rsidRPr="00B25E45">
        <w:rPr>
          <w:rFonts w:ascii="Times New Roman" w:hAnsi="Times New Roman"/>
          <w:sz w:val="24"/>
        </w:rPr>
        <w:t>patří</w:t>
      </w:r>
      <w:proofErr w:type="gramEnd"/>
      <w:r w:rsidRPr="00B25E45">
        <w:rPr>
          <w:rFonts w:ascii="Times New Roman" w:hAnsi="Times New Roman"/>
          <w:sz w:val="24"/>
        </w:rPr>
        <w:t xml:space="preserve">, jak lze dovodit kupř. z usnesení Nejvyššího správního soudu čj. </w:t>
      </w:r>
      <w:proofErr w:type="spellStart"/>
      <w:r w:rsidRPr="00B25E45">
        <w:rPr>
          <w:rFonts w:ascii="Times New Roman" w:hAnsi="Times New Roman"/>
          <w:sz w:val="24"/>
        </w:rPr>
        <w:t>Nao</w:t>
      </w:r>
      <w:proofErr w:type="spellEnd"/>
      <w:r w:rsidRPr="00B25E45">
        <w:rPr>
          <w:rFonts w:ascii="Times New Roman" w:hAnsi="Times New Roman"/>
          <w:sz w:val="24"/>
        </w:rPr>
        <w:t xml:space="preserve"> 122/2017-136 z 28. března 2017 nebo z rozsudku </w:t>
      </w:r>
      <w:r w:rsidRPr="00B25E45">
        <w:rPr>
          <w:rFonts w:ascii="Times New Roman" w:hAnsi="Times New Roman"/>
          <w:sz w:val="24"/>
        </w:rPr>
        <w:lastRenderedPageBreak/>
        <w:t>Nejvyššího správního soudu čj. 9 As 184/2018-33 z 29. ledna 2020, i pravidlo obsažené v § 15b odst. 2 o. s. ř.</w:t>
      </w:r>
    </w:p>
    <w:p w14:paraId="5B13FFF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Podle tohoto pravidla platí, že soud nemusí předložit věc svému nadřízenému soudu k rozhodnutí o námitce podjatosti, byla-li tato námitka uplatněna před nebo v průběhu jednání, při němž byla věc soudem rozhodnuta, a má-li soud za to, že tato námitka není důvodná. Toto pravidlo představuje výjimku z obecného postupu, podle kterého má soud po uplatnění námitky podjatosti předložit věc svému nadřízenému soudu k rozhodnutí o této námitce, přičemž mezitím může činit pouze neodkladné úkony. Je zřejmé, že smyslem této výjimky je předejít případným obstrukcím ze strany účastníků, jimiž by uplatněním nedůvodné námitky podjatosti dosáhli zmaření připraveného nebo již probíhajícího jednání a oddálení rozhodnutí soudu ve věci.</w:t>
      </w:r>
    </w:p>
    <w:p w14:paraId="294F3D36"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zájmu posílení právní jistoty se navrhuje doplnit tuto výjimku přímo do soudního řádu správního. S ohledem na smysl a účel této výjimky, tj. předcházet obstrukcím, lze tuto výjimku považovat za natolik významnou, aby byla přímo obsažena v soudním řádu správním, a nebylo tak nutno ji pro správní soudnictví dovozovat výkladem a přiměřeným užitím úpravy obsažené v občanském soudním řádu.</w:t>
      </w:r>
    </w:p>
    <w:p w14:paraId="5FEC06F9"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Závěrem je vhodné poznamenat, že tato výjimka nepředstavuje upření práva na uplatnění námitky podjatosti a na její řádné projednání, a to proto, že podjatost soudce je podle § 103 odst. 1 písm. c) s. ř. s. důvodem pro podání kasační stížnosti.</w:t>
      </w:r>
    </w:p>
    <w:p w14:paraId="7CD46DCC" w14:textId="77777777" w:rsidR="00F6177A" w:rsidRPr="00B25E45" w:rsidRDefault="00F6177A" w:rsidP="00E41176">
      <w:pPr>
        <w:pStyle w:val="Nadpis3"/>
      </w:pPr>
      <w:r w:rsidRPr="00B25E45">
        <w:t>K bodu 4 (§ 14 odst. 5)</w:t>
      </w:r>
    </w:p>
    <w:p w14:paraId="7C852829"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14 je upraveno postavení asistenta soudce Nejvyššího správního soudu.</w:t>
      </w:r>
    </w:p>
    <w:p w14:paraId="1B62B33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Podle dosavadní úpravy činí asistent soudce Nejvyššího správního soudu úkony z pověření soudce. Asistent soudce tak nemůže sám činit nic. Takové postavení asistenta ovšem není v justici běžné. Jde o starší a menšinový koncept, který vychází z myšlenky, že úloha asistenta soudce je obstarávat pomocné, rešeršní a případně i poradní funkce a nikoli výkon samostatné rozhodovací činnosti. Z tohoto konceptu vychází pouze právní úprava asistenta soudce Nejvyššího správního soudu (§ 14 odst. 5) a právní úprava asistenta soudce Nejvyššího soudu (§ 38b o. s. ř., § 27c </w:t>
      </w:r>
      <w:proofErr w:type="spellStart"/>
      <w:r w:rsidRPr="00B25E45">
        <w:rPr>
          <w:rFonts w:ascii="Times New Roman" w:hAnsi="Times New Roman"/>
          <w:sz w:val="24"/>
        </w:rPr>
        <w:t>tr</w:t>
      </w:r>
      <w:proofErr w:type="spellEnd"/>
      <w:r w:rsidRPr="00B25E45">
        <w:rPr>
          <w:rFonts w:ascii="Times New Roman" w:hAnsi="Times New Roman"/>
          <w:sz w:val="24"/>
        </w:rPr>
        <w:t>. ř.). Naopak mnohem běžnější je postavení asistenta vycházející z pozdějšího a opačného konceptu, podle kterého asistent vykonává samostatnou rozhodovací činnost ve stejném rozsahu jako vyšší soudní úředník. Tento model vychází z myšlenky, že asistent přispívá svojí pomocí k odbřemenění soudce od jednodušších úkonů. Soudce pak má větší prostor na to, aby se zabýval meritem jednotlivých případů. Z tohoto konceptu vychází platná právní úprava asistenta soudce okresního, krajského a vrchního soudu (§ 36a odst. 5 z. s. s.).</w:t>
      </w:r>
    </w:p>
    <w:p w14:paraId="34831F3A"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současné době se ovšem ukazuje, že prve zmíněný koncept, ze kterého vychází dosavadní úprava postavení asistenta soudce Nejvyššího správního soudu, již neodpovídá aktuálním potřebám Nejvyššího správního soudu. Ten totiž (na rozdíl od Nejvyššího soudu) provádí veškeré úkony soudu v řízení o kasační stížnosti, tedy kupř. výzvy k odstranění vad kasační stížnosti, výzvy k zaplacení soudního poplatku, rozeslání kasační stížnosti dalším účastníkům </w:t>
      </w:r>
      <w:r w:rsidRPr="00B25E45">
        <w:rPr>
          <w:rFonts w:ascii="Times New Roman" w:hAnsi="Times New Roman"/>
          <w:sz w:val="24"/>
        </w:rPr>
        <w:lastRenderedPageBreak/>
        <w:t>řízení a osobám zúčastněným na řízení. Navrhuje se proto upravit postavení asistenta soudce Nejvyššího správního soudu tak, aby vycházelo z pozdějšího konceptu, tedy tak, že i asistent soudce Nejvyššího správního soudu bude nadán výkonem samostatné rozhodovací činnosti ve stejném rozsahu jako vyšší soudní úředník. Přínosem této změny bude, že všechny výše uvedené úkony soudu bude moci učinit asistent soudce Nejvyššího správního soudu bez dalšího. Závěrem je potřeba poznamenat, že úloha asistenta soudce Nejvyššího správního soudu týkající se obstarávání pomocné, rešeršní a případně i poradní funkce není touto změnou nijak dotčena a zůstává zachována.</w:t>
      </w:r>
    </w:p>
    <w:p w14:paraId="2551B569" w14:textId="77777777" w:rsidR="00F6177A" w:rsidRPr="00B25E45" w:rsidRDefault="00F6177A" w:rsidP="00E41176">
      <w:pPr>
        <w:pStyle w:val="Nadpis3"/>
      </w:pPr>
      <w:r w:rsidRPr="00B25E45">
        <w:t>K bodům 5 a 6 (§ 15)</w:t>
      </w:r>
    </w:p>
    <w:p w14:paraId="4AA93F9B"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15 je upraven institut kolegií Nejvyššího správního soudu. Kolegia jsou větší tělesa uvnitř soudu, která umožňují vnitřní specializaci a užší spolupráci soudců zařazených do konkrétního kolegia.</w:t>
      </w:r>
    </w:p>
    <w:p w14:paraId="59F9FB91"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Platná právní úprava v § 15 výslovně počítá s existencí kolegií Nejvyššího správního soudu. V roce 2004 byla v rámci Nejvyššího správního soudu zřízena dvě kolegia, a to kolegium finančně správní a kolegium sociálně správní. V roce 2013 od nich bylo nicméně po deseti letech jejich existence upuštěno. To proto, že specializace soudců Nejvyššího správního soudu a jejich dělení do specializovaných kolegií nebyly doporučeny vzhledem k roli Nejvyššího správního soudu jakožto sjednotitele judikatury na úseku celého správního soudnictví. Druhým důvodem byl i relativně nízký počtu soudců Nejvyššího správního soudu.</w:t>
      </w:r>
    </w:p>
    <w:p w14:paraId="6634D6D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Institut kolegií Nejvyššího správního soudu je inspirován obdobným institutem kolegií Nejvyššího soudu, v </w:t>
      </w:r>
      <w:proofErr w:type="gramStart"/>
      <w:r w:rsidRPr="00B25E45">
        <w:rPr>
          <w:rFonts w:ascii="Times New Roman" w:hAnsi="Times New Roman"/>
          <w:sz w:val="24"/>
        </w:rPr>
        <w:t>rámci</w:t>
      </w:r>
      <w:proofErr w:type="gramEnd"/>
      <w:r w:rsidRPr="00B25E45">
        <w:rPr>
          <w:rFonts w:ascii="Times New Roman" w:hAnsi="Times New Roman"/>
          <w:sz w:val="24"/>
        </w:rPr>
        <w:t xml:space="preserve"> kterého se kolegia osvědčila. Tento rozdíl je však nutno přičítat tomu, že Nejvyšší soud má roli sjednotitele judikatury na dvou odlišných úsecích soudnictví, a to na úseku trestního soudnictví a na úseku civilního soudnictví, přičemž každý z těchto úseků je postaven na vlastní procesní úpravě.</w:t>
      </w:r>
    </w:p>
    <w:p w14:paraId="14230F43"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S ohledem na tyto skutečnosti se proto navrhuje zmírnit dosavadní úpravu institutu kolegií Nejvyššího správního soudu, a to tak, že nově bude mít Nejvyšší správní soud možnost a nikoli povinnost zřídit kolegia.</w:t>
      </w:r>
    </w:p>
    <w:p w14:paraId="200D3B4F" w14:textId="77777777" w:rsidR="00F6177A" w:rsidRPr="00B25E45" w:rsidRDefault="00F6177A" w:rsidP="00E41176">
      <w:pPr>
        <w:pStyle w:val="Nadpis3"/>
      </w:pPr>
      <w:r w:rsidRPr="00B25E45">
        <w:t>K bodu 7 (§ 16 odst. 1)</w:t>
      </w:r>
    </w:p>
    <w:p w14:paraId="36A9017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16 odst. 1 je upraven způsob rozhodování Nejvyššího správního soudu. Tento soud rozhoduje v senátech nebo v rozšířených senátech, není-li výslovně stanoveno, že rozhoduje a jednotlivé úkony činí předseda senátu.</w:t>
      </w:r>
    </w:p>
    <w:p w14:paraId="0CAB16AB"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Pravidlem tedy je, že Nejvyšší správní soud rozhoduje v senátech. Pokud jde o předsedu senátu Nejvyššího správního soudu, tak jeho rozhodovací činnost spočívá v rozhodování záležitostí procesní povahy uvnitř řízení, jako kupř. výzva podatele k odstranění vad podání, rozhodnutí o žádosti o osvobození od povinnosti platit soudní poplatky nebo rozhodnutí o svědečném, znalečném a </w:t>
      </w:r>
      <w:proofErr w:type="spellStart"/>
      <w:r w:rsidRPr="00B25E45">
        <w:rPr>
          <w:rFonts w:ascii="Times New Roman" w:hAnsi="Times New Roman"/>
          <w:sz w:val="24"/>
        </w:rPr>
        <w:t>tlumočném</w:t>
      </w:r>
      <w:proofErr w:type="spellEnd"/>
      <w:r w:rsidRPr="00B25E45">
        <w:rPr>
          <w:rFonts w:ascii="Times New Roman" w:hAnsi="Times New Roman"/>
          <w:sz w:val="24"/>
        </w:rPr>
        <w:t>.</w:t>
      </w:r>
    </w:p>
    <w:p w14:paraId="1A91541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Platná právní úprava je ve vztahu k rozhodovací činnosti předsedy senátu Nejvyššího správního soudu velmi přísná, neboť neumožňuje, aby předseda senátu Nejvyššího správního soudu </w:t>
      </w:r>
      <w:r w:rsidRPr="00B25E45">
        <w:rPr>
          <w:rFonts w:ascii="Times New Roman" w:hAnsi="Times New Roman"/>
          <w:sz w:val="24"/>
        </w:rPr>
        <w:lastRenderedPageBreak/>
        <w:t>pověřil touto činností jiného člena senátu. To ve svém důsledku vede k nepoměrně většímu zatížení předsedy senátu ve srovnání se zbývajícími členy senátu. Proto se navrhuje zmírnění, a to v podobě umožnění, aby předseda senátu Nejvyššího správního soudu pověřil touto činností jiného člena senátu. Jde o řešení, které je inspirováno dosavadní úpravou civilního práva procesního obsaženou v § 36d o. s. ř. a jehož cílem je jednak odbřemenění předsedy senátu Nejvyššího správního soudu, jednak posílení pravomocí zbývajících členů senátu.</w:t>
      </w:r>
    </w:p>
    <w:p w14:paraId="545307FC" w14:textId="77777777" w:rsidR="00F6177A" w:rsidRPr="00B25E45" w:rsidRDefault="00F6177A" w:rsidP="00E41176">
      <w:pPr>
        <w:pStyle w:val="Nadpis3"/>
      </w:pPr>
      <w:r w:rsidRPr="00B25E45">
        <w:t>K bodům 8 až 11 (§ 16 odst. 3 a § 18)</w:t>
      </w:r>
    </w:p>
    <w:p w14:paraId="10663966"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 18 je upraven institut zásadního usnesení, jehož smyslem je řešit rozpory ve výkladu právních otázek mezi jednotlivými senáty Nejvyššího správního soudu na straně jedné a správními orgány na straně druhé. Dopadá na situace, kdy správní orgán opakovaně nerespektuje ustálený právní názor Nejvyššího správního soudu k určité právní otázce. V takovém případě je totiž senát Nejvyššího správního soudu oprávněn předložit danou právní otázku rozšířenému senátu Nejvyššího správního soudu k posouzení, přičemž dospěje-li rozšířený senát k závěru potvrzujícím dosavadní ustálený výklad Nejvyššího správního soudu, přijme jej jako zásadní usnesení. </w:t>
      </w:r>
    </w:p>
    <w:p w14:paraId="3CB4B24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Přestože institut zásadního usnesení představuje vhodné řešení citlivého problému dělby moci mezi soudnictvím a mocí výkonnou, nebyl dosud v praxi využit, a to pro některé nedostatky dosavadní úpravy. Zejména z důvodu neřešení situace, kdy se rozšířený senát ztotožní s právním názorem správního orgánu. Podle dosavadní právní úpravy nelze v takovém případě zásadní usnesení přijmout, což bude mít za následek, že rozšířený senát nebude moci svůj právní názor vyslovit a dosavadní judikatura Nejvyššího správního soudu, s níž se rozšířený senát neztotožnil, zůstane dál v platnosti.</w:t>
      </w:r>
    </w:p>
    <w:p w14:paraId="7B283EC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Předmětem navrhované změny je tento nedostatek odstranit. Napříště se výslovně stanoví, že rozšířený senát se usnese buď na právním názoru totožném s dosavadní judikaturou Nejvyššího správního soudu, nebo na jiném právním názoru. Rozšířený senát tak bude mít nově volnost v rozhodování a ve vyslovení svého názoru na předloženou právní otázku. Současně se stanoví, že pouze v případě, kdy se rozšířený senát ztotožní s dosavadní judikaturou Nejvyššího správního soudu, přijme jej jako zvláštní usnesení. </w:t>
      </w:r>
    </w:p>
    <w:p w14:paraId="51FD7B90"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Spolu s těmito změnami se navrhuje posílit postavení moci výkonné. Příslušný ústřední správní úřad bude mít možnost vyjádřit se, zda na odlišném právním názoru trvá, a popřípadě z jakých důvodů. Současně se navrhuje posílit i roli rozšířeného senátu výslovným uvedením, že rozšířený senát je oprávněn vyžádat si vyjádření i jiných správních úřadů, správních senátů krajských soudů a jiných osob.</w:t>
      </w:r>
    </w:p>
    <w:p w14:paraId="047A155D"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Konečně se navrhuje odstranit dosavadní roztříštěnost co do složení rozšířeného senátu. Podle dosavadní úpravy totiž platí, že předloženou právní otázku posuzuje sedmičlenný rozšířený senát, je-li mu právní otázka předložena tříčlenným senátem Nejvyššího správního soudu, respektive devítičlenný rozšířený senát, je-li mu právní otázka předložena sedmičlenným senátem Nejvyššího správního soudu. Vzhledem k významu zásadního usnesení se navrhuje, aby tato úloha do budoucna náležela výlučně devítičlennému senátu.</w:t>
      </w:r>
    </w:p>
    <w:p w14:paraId="5A92404A" w14:textId="77777777" w:rsidR="00F6177A" w:rsidRPr="00B25E45" w:rsidRDefault="00F6177A" w:rsidP="00E41176">
      <w:pPr>
        <w:pStyle w:val="Nadpis3"/>
      </w:pPr>
      <w:r w:rsidRPr="00B25E45">
        <w:lastRenderedPageBreak/>
        <w:t>K bodům 12, 19, 33, 34, 36 a 38 (§ 27a odst. 2, § 35 odst. 4 a 5 § 44 odst. 2, § 45 odst. 3, 5 a 6, § 48 odst. 1, § 49 odst. 2)</w:t>
      </w:r>
    </w:p>
    <w:p w14:paraId="37B936D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Součástí soudního řádu správního je text nenormativního charakteru v podobě poznámek pod čarou, ve kterých jsou zpravidla uváděny odkazy na jiné právní předpisy, případně na jejich konkrétní ustanovení. Byť jsou tyto poznámky aktuální v době jejich přijetí, zapomíná se na jejich průběžnou aktualizaci, což vede k tomu, že odkazují na zrušené ustanovení nebo na zrušený předpis. V jednom případě dokonce existují dvě rozdílné poznámky pod čarou č. 1a). Navrhuje se proto v rámci velké technické novely soudního řádu správního novelizovat jednotlivé poznámky pod čarou a zrušit ty, které již nejsou aktuální.</w:t>
      </w:r>
    </w:p>
    <w:p w14:paraId="577AB046" w14:textId="77777777" w:rsidR="00F6177A" w:rsidRPr="00B25E45" w:rsidRDefault="00F6177A" w:rsidP="00E41176">
      <w:pPr>
        <w:pStyle w:val="Nadpis3"/>
      </w:pPr>
      <w:r w:rsidRPr="00B25E45">
        <w:t>K bodu 13 (§ 29a)</w:t>
      </w:r>
    </w:p>
    <w:p w14:paraId="18C94E2A"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Do kompetencí předsedy Nejvyššího správního soudu a ředitele správy tohoto soudu se navrhuje doplnit právo a zároveň i povinnost spolupráce s Ministerstvem spravedlnosti, pokud jde o vývoj připravovaného elektronického soudního spisu v agendě správního soudnictví. Tento nový elektronický soudní spis se v tuto chvíli připravuje v agendě insolvencí, výhledově se pak počítá s jeho rozšířením do civilní, trestní i správní agendy. S ohledem na specifika správního soudnictví (skutečnost, že před projednáním u správních soudů zpravidla již existuje relevantní správní spis žalovaného správního orgánu apod.) je potřeba k otázce zavádění této novinky do soudního řízení před správními soudy postupovat v kooperaci s Nejvyšším správním soudem. Nejvyšší instance má přímou vazbu na soudních řízení ve správní agendě, ať už na prvním nebo i druhém stupni, a tím i nejlepší předpoklady pro to, aby bylo zajištěno, že elektronický soudní spis bude mít odpovídající funkce a bude uživatelsky přívětivý jak pro správní soudy, tak i pro účastníky soudních řízení.</w:t>
      </w:r>
    </w:p>
    <w:p w14:paraId="7DC867D6" w14:textId="77777777" w:rsidR="00F6177A" w:rsidRPr="00B25E45" w:rsidRDefault="00F6177A" w:rsidP="00E41176">
      <w:pPr>
        <w:pStyle w:val="Nadpis3"/>
      </w:pPr>
      <w:r w:rsidRPr="00B25E45">
        <w:t>K bodu 14 (§ 31 odst. 2)</w:t>
      </w:r>
    </w:p>
    <w:p w14:paraId="0C4480F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31 je upraveno postavení krajských soudů ve správním soudnictví, zejména pak otázky týkající se složení krajského soudu ve správním soudnictví.</w:t>
      </w:r>
    </w:p>
    <w:p w14:paraId="3B155AA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 úrovni krajských soudů jedná a rozhoduje ve věcech správního soudnictví buď specializovaný samosoudce, nebo tříčlenný senát. V § 31 odst. 2, popřípadě ve zvláštních zákonech, je obsažen výčet věcí, v nichž jedná a rozhoduje specializovaný samosoudce. V ostatních věcech, které nejsou uvedeny v § 31 odst. 2 nebo ve zvláštních zákonech, jedná a rozhoduje senát (§ 31 odst. 1).</w:t>
      </w:r>
    </w:p>
    <w:p w14:paraId="3D4486D9"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Rozdělení věcí podle toho, zda jsou na úrovni krajských soudů projednávány specializovaným samosoudcem nebo senátem, vychází dílem z tradice naší dřívější právní úpravy, dílem z požadavku na rychlost projednání a rozhodnutí správním soudem. Pro potřebu jejich rychlého projednání tak byly mezi věci projednávané a rozhodované specializovaným samosoudcem zařazeny kupř. věci mezinárodní ochrany a věci pobytu cizinců na území České republiky. Naopak nelze říct, že by kritériem rozdělení věcí podle toho, zda jsou na úrovni krajských soudů projednávány specializovaným samosoudcem nebo senátem, byla jejich složitost.</w:t>
      </w:r>
    </w:p>
    <w:p w14:paraId="08F6112C"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lastRenderedPageBreak/>
        <w:t>Změny navrhované v tomto ustanovení nemají za cíl nějak výrazně měnit výše uvedená pravidla, nýbrž odstranit kritizované nedostatky a reagovat na požadavky praxe.</w:t>
      </w:r>
    </w:p>
    <w:p w14:paraId="62FD6C65" w14:textId="46762C5D"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Nejvýraznější změna má za cíl odstranit formulační nepřesnost dosavadní úpravy, která vedla k výkladovým nejasnostem ohledně toho, zda věci uvedené v § 31 odst. 2 na úrovni krajských soudů projednává a rozhoduje specializovaný samosoudce bez ohledu na to, o jaký typ žaloby se jedná, nebo zda tyto věci projednává a rozhoduje specializovaný samosoudce jen, jde-li o konkrétní typ žaloby. Tuto otázku vyřešil Nejvyšší správní soud, který se přiklonil k restriktivnímu výkladu a dovodil, že věci uvedené v § 31 odst. 2 projednává a rozhoduje specializovaný samosoudce pouze tehdy, jde-li o žalobu proti rozhodnutí správního orgánu. Naopak jde-li o žalobu na ochranu proti nečinnosti správního orgánu nebo o žalobu na ochranu před nezákonným zásahem, pokynem nebo donucením správního orgánu, projedná a rozhodne věc na úrovni krajských soudů senát, třebaže jde o věc uvedenou v § 31 odst. 2 (srov. blíže rozsudek Nejvyššího správního soudu čj. 9 </w:t>
      </w:r>
      <w:proofErr w:type="spellStart"/>
      <w:r w:rsidRPr="00B25E45">
        <w:rPr>
          <w:rFonts w:ascii="Times New Roman" w:hAnsi="Times New Roman"/>
          <w:sz w:val="24"/>
        </w:rPr>
        <w:t>Aps</w:t>
      </w:r>
      <w:proofErr w:type="spellEnd"/>
      <w:r w:rsidRPr="00B25E45">
        <w:rPr>
          <w:rFonts w:ascii="Times New Roman" w:hAnsi="Times New Roman"/>
          <w:sz w:val="24"/>
        </w:rPr>
        <w:t xml:space="preserve"> 5/2007-63 z 15. listopadu 2007, rozsudek Nejvyššího správního soudu čj. 4 </w:t>
      </w:r>
      <w:proofErr w:type="spellStart"/>
      <w:r w:rsidRPr="00B25E45">
        <w:rPr>
          <w:rFonts w:ascii="Times New Roman" w:hAnsi="Times New Roman"/>
          <w:sz w:val="24"/>
        </w:rPr>
        <w:t>Aps</w:t>
      </w:r>
      <w:proofErr w:type="spellEnd"/>
      <w:r w:rsidRPr="00B25E45">
        <w:rPr>
          <w:rFonts w:ascii="Times New Roman" w:hAnsi="Times New Roman"/>
          <w:sz w:val="24"/>
        </w:rPr>
        <w:t xml:space="preserve"> 2/2010-44 ze 17. prosince 2010 nebo rozsudek Nejvyššího správního soudu čj. 7 </w:t>
      </w:r>
      <w:proofErr w:type="spellStart"/>
      <w:r w:rsidRPr="00B25E45">
        <w:rPr>
          <w:rFonts w:ascii="Times New Roman" w:hAnsi="Times New Roman"/>
          <w:sz w:val="24"/>
        </w:rPr>
        <w:t>Ans</w:t>
      </w:r>
      <w:proofErr w:type="spellEnd"/>
      <w:r w:rsidRPr="00B25E45">
        <w:rPr>
          <w:rFonts w:ascii="Times New Roman" w:hAnsi="Times New Roman"/>
          <w:sz w:val="24"/>
        </w:rPr>
        <w:t xml:space="preserve"> 9/2011-106 z 28. prosince 2011).</w:t>
      </w:r>
    </w:p>
    <w:p w14:paraId="2F344D5D"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Právě popsaný stav je hodnocen jako nevyhovující, neboť v praxi vede k nelogickým závěrům. Kupříkladu o žalobě proti rozhodnutí správního orgánu o zamítnutí žádosti o udělení mezinárodní ochrany rozhoduje specializovaný samosoudce, zatímco o žalobě na ochranu proti nečinnosti správního orgánu v téže věci, tj. ve věci žádosti o udělení mezinárodní ochrany, rozhoduje senát.</w:t>
      </w:r>
    </w:p>
    <w:p w14:paraId="0488A721"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Navrhuje se proto v § 31 odst. 2 výslovně stanovit, že věci uvedené v tomto ustanovení projednává a rozhoduje specializovaný samosoudce bez ohledu na to, o jaký typ žaloby se jedná. Nově by tak ve výše uvedeném příkladu specializovaný samosoudce rozhodoval jak žalobu proti rozhodnutí správního orgánu o zamítnutí žádosti o udělení mezinárodní ochrany, tak i žalobu na ochranu proti nečinnosti správního orgánu ve věci žádosti o udělení mezinárodní ochrany.</w:t>
      </w:r>
    </w:p>
    <w:p w14:paraId="09805543"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Další změna je reakcí na požadavek praxe. To, zda ve věcech přestupků na úrovni krajských soudů jedná a rozhoduje specializovaný samosoudce nebo senát, závisí dnes na horní hranici sazby pokuty. Činí-li horní hranice pokuty za projednávaný přestupek nejvýše 100.000 Kč, rozhoduje věc specializovaný samosoudce; činí-li více než 100.000 Kč, pak věc projednává senát. </w:t>
      </w:r>
    </w:p>
    <w:p w14:paraId="1B53AEA1"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Tato úprava se však v praxi dlouhodobě ukazuje jako nepraktická a zatěžující, neboť již při nápadu žaloby a před jejím přidělením vyřizujícímu soudci vyžaduje, aby administrativní soudní pracovník na zápisovém oddělení žalobu prostudoval, zjistil, jakého přestupku se předcházející správní řízení týkalo, a následně v zákoně vyhledal, jaká je horní hranice pokuty za tento přestupek. Jedině tak lze určit, má-li být daná žaloba projednána specializovaným samosoudcem nebo senátem.</w:t>
      </w:r>
    </w:p>
    <w:p w14:paraId="745F0E4F"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Z právě uvedeného důvodu se navrhuje, aby kritériem byla nikoli horní hranice pokuty, kterou lze za projednávaný přestupek uložit, nýbrž částka odpovídající výši uložené pokuty. Navrhuje </w:t>
      </w:r>
      <w:r w:rsidRPr="00B25E45">
        <w:rPr>
          <w:rFonts w:ascii="Times New Roman" w:hAnsi="Times New Roman"/>
          <w:sz w:val="24"/>
        </w:rPr>
        <w:lastRenderedPageBreak/>
        <w:t>se tedy, aby ve věcech přestupků jednal a rozhodoval specializovaný samosoudce, činí-li výše skutečně uložené pokuty nejvýše 100.000 Kč, a aby ve věcech přestupků jednal a rozhodoval senát, přesahuje-li výše skutečně uložené pokuty 100.000 Kč. Pokud by bylo jedním rozhodnutím uloženo více pokut, bude rozhodující nejvyšší z nich.</w:t>
      </w:r>
    </w:p>
    <w:p w14:paraId="7DB4D2E6"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Touto změnou se dosáhne odbřemenění administrativních soudních pracovníků, kteří pro správné přidělení žaloby budou potřebovat pouze údaje uvedené přímo v žalobě, respektive v žalobou napadeném správním rozhodnutím, a nebudou již potřebovat údaje z jiných zdrojů (např. Sbírka zákonů). Současně se </w:t>
      </w:r>
      <w:proofErr w:type="gramStart"/>
      <w:r w:rsidRPr="00B25E45">
        <w:rPr>
          <w:rFonts w:ascii="Times New Roman" w:hAnsi="Times New Roman"/>
          <w:sz w:val="24"/>
        </w:rPr>
        <w:t>sníží</w:t>
      </w:r>
      <w:proofErr w:type="gramEnd"/>
      <w:r w:rsidRPr="00B25E45">
        <w:rPr>
          <w:rFonts w:ascii="Times New Roman" w:hAnsi="Times New Roman"/>
          <w:sz w:val="24"/>
        </w:rPr>
        <w:t xml:space="preserve"> riziko vady řízení způsobené nezákonným soudcem z důvodu nesprávného přidělení.</w:t>
      </w:r>
    </w:p>
    <w:p w14:paraId="1D0BB87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Další změna je rovněž reakcí na požadavek praxe. Podle dosavadní úpravy platí, že ve věcech pobytu cizinců na území České republiky jedná a rozhoduje specializovaný samosoudce pouze a právě tehdy, týká-li se některého v zákoně vyjmenovaných rozhodnutí správního orgánu. Důvodem tohoto řešení je požadavek na rychlost soudního přezkumu. </w:t>
      </w:r>
    </w:p>
    <w:p w14:paraId="65B09142" w14:textId="5586DF70"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Nejvyšší správní soud však v rámci své rozhodovací činnosti dovodil, že na úrovni krajských soudů jedná a rozhoduje specializovaný samosoudce ve věcech pobytu cizinců na území České republiky i v dalších případech, a to konkrétně ještě tehdy, týká-li se žaloba rozhodnutí správního orgánu o nákladech spojených se správním vyhoštěním. Podle Nejvyššího správního soudu totiž jde o rozhodnutí, které je svou povahou závislé na hlavním rozhodnutí, tj. rozhodnutí o správním vyhoštění (srov. blíže usnesení Nejvyššího správního soudu čj. 1 </w:t>
      </w:r>
      <w:proofErr w:type="spellStart"/>
      <w:r w:rsidRPr="00B25E45">
        <w:rPr>
          <w:rFonts w:ascii="Times New Roman" w:hAnsi="Times New Roman"/>
          <w:sz w:val="24"/>
        </w:rPr>
        <w:t>Azs</w:t>
      </w:r>
      <w:proofErr w:type="spellEnd"/>
      <w:r w:rsidRPr="00B25E45">
        <w:rPr>
          <w:rFonts w:ascii="Times New Roman" w:hAnsi="Times New Roman"/>
          <w:sz w:val="24"/>
        </w:rPr>
        <w:t xml:space="preserve"> 7/2018-15 ze 14. února 2018). Vzhledem k právě uvedenému se proto navrhuje vtělit tyto závěry Nejvyššího správního soudu přímo do zákona, čímž se posílí právní jistota adresátů soudního řádu správního.</w:t>
      </w:r>
    </w:p>
    <w:p w14:paraId="41C17D9F"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Další změna je reakcí na kritiku odborné praxe týkající se mnohdy nedůsledného a nekoncepčního rozdělení věcí podle toho, zda jsou na úrovni krajských soudů projednávány specializovaným samosoudcem nebo senátem. Konkrétně je v rámci této kritiky poukazováno na několik oblastí, a to [1.] nedůslednost tohoto rozdělení v oblasti sociálního pojištění a [2.] nekoncepčnost tohoto rozdělení ve vztahu k přestupkům řidičů motorových vozidel. Pokud jde o první oblast, je odbornou praxí poukazováno na to, že podle dosavadní úpravy náleží projednání a rozhodování ve věcech důchodového a nemocenského pojištění specializovanému samosoudci. Naproti tomu senátu náleží projednání a rozhodování ve věcech pojistného na důchodové a nemocenské pojištění. Pokud jde o druhou oblast, ve věcech bodového hodnocení řidičů náleží projednání a rozhodování senátu, aniž by to mělo jakýkoliv racionální důvod.</w:t>
      </w:r>
    </w:p>
    <w:p w14:paraId="36FD2523"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Cílem této novely je i určitá racionalizace rozdělení věcí podle toho, zda jsou na úrovni krajských soudů projednávány specializovaným samosoudcem nebo senátem. </w:t>
      </w:r>
    </w:p>
    <w:p w14:paraId="28868A8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Ve vztahu k oblasti sociálního pojištění se touto racionalizací myslí, že za situace, kdy ve věcech důchodového a nemocenského pojištění náleží projednání a rozhodování specializovanému samosoudci, je racionální, aby specializovaný samosoudce projednával a rozhodoval i věcech pojistného na sociálního zabezpečení, tj. ve věcech pojistného na nemocenské a důchodové pojištění. Obě oblasti totiž spolu úzce souvisí a důvod dosavadního </w:t>
      </w:r>
      <w:r w:rsidRPr="00B25E45">
        <w:rPr>
          <w:rFonts w:ascii="Times New Roman" w:hAnsi="Times New Roman"/>
          <w:sz w:val="24"/>
        </w:rPr>
        <w:lastRenderedPageBreak/>
        <w:t>odlišného režimu je ryze formální. Věcmi důchodového pojištění a věcmi nemocenského pojištění jsou totiž chápány věci upravené zákonem o důchodovém pojištění, resp. zákonem o nemocenském pojištění, zatímco pojistné je upraveno zákonem o pojistném na sociální zabezpečení.</w:t>
      </w:r>
    </w:p>
    <w:p w14:paraId="4C7D3C93"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Ze stejného důvodu se navrhuje, aby specializovaný samosoudce projednával a rozhodoval i věci ochrany zaměstnanců při platební neschopnosti zaměstnavatele. Jde totiž o oblast, kterou podle dosavadní úpravy projednávají a rozhodují senáty, byť věci zaměstnanosti, se kterou tato oblast úzce souvisí, projednávají a rozhodují specializovaní samosoudci, a to z podobně ryze formálního důvodu (jde o věci upravené zákonem o ochraně zaměstnanců při platební neschopnosti, kdežto věci zaměstnanosti jsou upraveny zákonem o zaměstnanosti).</w:t>
      </w:r>
    </w:p>
    <w:p w14:paraId="7B89C3F1"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Z důvodu racionalizace se rovněž navrhuje, aby specializovaný samosoudce projednával a rozhodoval i věci bodového hodnocení řidičů. Jak totiž upozorňuje i odborná praxe, není dán žádný důvod, proč by tyto věci měl projednávat a rozhodovat senát. Navíc lze předpokládat, že budou-li tyto věci projednávány a rozhodovány specializovaným samosoudcem, může dojít k určitému urychlení jejich soudního přezkumu, což je důležité zejména v případech, kdy došlo k tzv. vybodování řidiče a s tím spojenému důsledku v podobě odebrání řidičského průkazu.</w:t>
      </w:r>
    </w:p>
    <w:p w14:paraId="6F2EEE02" w14:textId="78F135C0"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S ohledem na vyšší množství navrhovaných změn a k jejich charakteru bylo současně přistoupeno k celkové úpravě znění § 31 odst. 2. Cílem této úpravy je jednak celkové zpřehlednění tohoto ustanovení; výčet věcí projednávaných a rozhodovaných specializovaným samosoudcem bude mít nově podobu seznamu, jak je u podobných výčtových ustanovení běžné (kupř. § 9 odst. 2 o. s. ř.). Mimo to je také kladen vyšší důraz na jednotné užívání pojmu „věc“. Nově navrhované znění vychází z obecně uznávaného chápání pojmu „věc“ jako hmotného práva nebo povinnosti, o níž bylo ve správním řízení jednáno a rozhodováno (srov. blíže rozsudek Nejvyššího správního soudu čj. 3 </w:t>
      </w:r>
      <w:proofErr w:type="spellStart"/>
      <w:r w:rsidRPr="00B25E45">
        <w:rPr>
          <w:rFonts w:ascii="Times New Roman" w:hAnsi="Times New Roman"/>
          <w:sz w:val="24"/>
        </w:rPr>
        <w:t>Ads</w:t>
      </w:r>
      <w:proofErr w:type="spellEnd"/>
      <w:r w:rsidRPr="00B25E45">
        <w:rPr>
          <w:rFonts w:ascii="Times New Roman" w:hAnsi="Times New Roman"/>
          <w:sz w:val="24"/>
        </w:rPr>
        <w:t xml:space="preserve"> 284/2016-43 z 22. února 2017). Z tohoto pojetí pak vychází výčet oborů činností veřejné správy, neboť ty jsou použity ve smyslu množiny hmotných práv nebo povinností, o nichž bylo rozhodováno na určitém úseku veřejné správy. Současně se přikročilo i k aktualizaci samotného výčtu, přičemž nejviditelnější změnou je nahrazení dnes již neexistujícího pojmu „sociální péče“ aktuálními pojmy uvedenými v navrhovaném § 31 odst. 2 písm. g), h) a i).</w:t>
      </w:r>
    </w:p>
    <w:p w14:paraId="766DAD7F"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Spolu s celkovou úpravou znění § 31 odst. 2 bylo přikročeno i k úpravám výčtů obsažených v § 7 odst. 3, § 56 odst. 3 a § 60 odst. 2. Cílem těchto úprav bylo jednak zvýšit důraz na jednotné používání pojmu „věc“, jednak docílit toho, aby nevznikaly rozdíly v terminologii. Budou-li v těchto výčtových ustanoveních užívány stejné pojmy, pak bude praxe těmto pojmům přikládat vždy stejný význam a nebude nutné drobné odlišnosti překlenovat výkladem. Tyto úpravy lze ilustrovat na pojmu „věci důchodového pojištění“, kdy do výčtů v § 31 odst. 2 a v § 60 odst. 2 bylo převzato přesnější označení obsažené v § 7 odst. 3, tedy „věci důchodového pojištění a dávek podle zvláštních předpisů vyplácených spolu s důchody“. Není důvod, aby věci týkající se dávek podle zvláštních předpisů vyplácené spolu s důchody měly v § 31 odst. 2 a § 60 odst. 2 jiný režim než věci důchodového pojištění.</w:t>
      </w:r>
    </w:p>
    <w:p w14:paraId="68A5DB31" w14:textId="77777777" w:rsidR="00F6177A" w:rsidRPr="00B25E45" w:rsidRDefault="00F6177A" w:rsidP="00E41176">
      <w:pPr>
        <w:pStyle w:val="Nadpis3"/>
      </w:pPr>
      <w:r w:rsidRPr="00B25E45">
        <w:lastRenderedPageBreak/>
        <w:t>K bodu 15 (§ 31 odst. 3)</w:t>
      </w:r>
    </w:p>
    <w:p w14:paraId="3DD6E2F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31 odst. 3 je upraveno postavení předsedy senátu krajského soudu. To je přitom obdobné jako postavení předsedy senátu Nejvyššího správního soudu, které je upraveno v § 16 odst. 1.</w:t>
      </w:r>
    </w:p>
    <w:p w14:paraId="77CDAA04"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Platí tedy, že ve věcech, které podle § 31 odst. 2 projednává a rozhoduje na úrovni krajských soudů senát, spočívá rozhodovací činnost předsedy senátu v rozhodování záležitostí procesní povahy uvnitř řízení, jako kupř. výzva podatele k odstranění vad podání, rozhodnutí o žádosti o osvobození od povinnosti platit soudní poplatky nebo rozhodnutí o svědečném, znalečném a </w:t>
      </w:r>
      <w:proofErr w:type="spellStart"/>
      <w:r w:rsidRPr="00B25E45">
        <w:rPr>
          <w:rFonts w:ascii="Times New Roman" w:hAnsi="Times New Roman"/>
          <w:sz w:val="24"/>
        </w:rPr>
        <w:t>tlumočném</w:t>
      </w:r>
      <w:proofErr w:type="spellEnd"/>
      <w:r w:rsidRPr="00B25E45">
        <w:rPr>
          <w:rFonts w:ascii="Times New Roman" w:hAnsi="Times New Roman"/>
          <w:sz w:val="24"/>
        </w:rPr>
        <w:t>.</w:t>
      </w:r>
    </w:p>
    <w:p w14:paraId="28005391"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Platná právní úprava je tak velmi přísná i ve vztahu k rozhodovací činnosti předsedy senátu krajského soudu, neboť neumožňuje, aby předseda senátu krajského soudu pověřil touto činností jiného člena senátu. To ve svém důsledku vede k nepoměrně většímu zatížení předsedy senátu ve srovnání se zbývajícími členy senátu. Proto se stejně jako u předsedy senátu Nejvyššího správního soudu navrhuje zmírnění. Nově se umožňuje, aby předseda senátu krajského soudu pověřil touto činností jiného člena senátu. Jde o řešení, které je inspirováno dosavadní úpravou civilního práva procesního obsaženou v § 36d o. s. ř. a jehož cílem je jednak odbřemenění předsedy senátu krajského soudu, jednak posílení pravomocí zbývajících členů senátu.</w:t>
      </w:r>
    </w:p>
    <w:p w14:paraId="2F929BBF" w14:textId="77777777" w:rsidR="00F6177A" w:rsidRPr="00B25E45" w:rsidRDefault="00F6177A" w:rsidP="00E41176">
      <w:pPr>
        <w:pStyle w:val="Nadpis3"/>
      </w:pPr>
      <w:r w:rsidRPr="00B25E45">
        <w:t>K bodu 16 (§ 34 odst. 1)</w:t>
      </w:r>
    </w:p>
    <w:p w14:paraId="266DBF76"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34 odst. 1 je obsažena definice osoby zúčastněné na řízení. Osobou zúčastněnou na řízení se rozumí osoba, která v soudním řízení správním hájí vlastní práva, ale není účastníkem řízení. Může tedy hájit práva žalobce, resp. navrhovatele, nebo žalovaného, resp. odpůrce, nebo může zastávat vlastní stanovisko, které neodpovídá ani stanovisku žalobce, resp. navrhovatele, ani stanovisku žalovaného, resp. odpůrce.</w:t>
      </w:r>
    </w:p>
    <w:p w14:paraId="5B56D9DF" w14:textId="34999ECE"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Tento institut pomáhá naplnit požadavek obsažený v čl. 38 odst. 2 Listiny základních práv a svobod. Umožňuje tomu, jehož práv a povinností se dotýká věc projednávaná před správním orgánem, vyjádřit své stanovisko i v rámci soudního přezkumu. Dosavadní definice osoby zúčastněné na řízení je ovšem formulována tak, že dopadá především na řízení o žalobě proti rozhodnutí správního orgánu a na řízení o žalobě na ochranu proti nečinnosti správního orgánu, přičemž se v praxi ukazuje, že tato formulace je nedostačující. O tom ostatně </w:t>
      </w:r>
      <w:proofErr w:type="gramStart"/>
      <w:r w:rsidRPr="00B25E45">
        <w:rPr>
          <w:rFonts w:ascii="Times New Roman" w:hAnsi="Times New Roman"/>
          <w:sz w:val="24"/>
        </w:rPr>
        <w:t>svědčí</w:t>
      </w:r>
      <w:proofErr w:type="gramEnd"/>
      <w:r w:rsidRPr="00B25E45">
        <w:rPr>
          <w:rFonts w:ascii="Times New Roman" w:hAnsi="Times New Roman"/>
          <w:sz w:val="24"/>
        </w:rPr>
        <w:t xml:space="preserve"> i vývoj judikatury Nejvyššího správního soudu v této otázce. Dlouhou dobu byl Nejvyšším správním soudem zastáván názor, že v jiných typech řízení, než je řízení o žalobě proti rozhodnutí správního orgánu a řízení o žalobě na ochranu proti nečinnosti správního orgánu, nemohou osoby zúčastněné na řízení vystupovat (srov. blíže rozsudek Nejvyššího správního soudu čj. 3 </w:t>
      </w:r>
      <w:proofErr w:type="spellStart"/>
      <w:r w:rsidRPr="00B25E45">
        <w:rPr>
          <w:rFonts w:ascii="Times New Roman" w:hAnsi="Times New Roman"/>
          <w:sz w:val="24"/>
        </w:rPr>
        <w:t>Aps</w:t>
      </w:r>
      <w:proofErr w:type="spellEnd"/>
      <w:r w:rsidRPr="00B25E45">
        <w:rPr>
          <w:rFonts w:ascii="Times New Roman" w:hAnsi="Times New Roman"/>
          <w:sz w:val="24"/>
        </w:rPr>
        <w:t xml:space="preserve"> 5/2008-282 z 2. října 2008). K připuštění možnosti, že by se osoby zúčastněné na řízení mohly vyskytovat i v dalších typech řízení, tj. zejména v řízení o žalobě na ochranu před nezákonným zásahem, pokynem nebo donucením, docházelo u Nejvyššího správního soudu postupně a na základě použití analogie (srov. blíže usnesení Nejvyššího správního soudu čj. 2 As 86/2010-76 z 18. září 2012, rozsudek Nejvyššího správního soudu čj. 1 </w:t>
      </w:r>
      <w:proofErr w:type="spellStart"/>
      <w:r w:rsidRPr="00B25E45">
        <w:rPr>
          <w:rFonts w:ascii="Times New Roman" w:hAnsi="Times New Roman"/>
          <w:sz w:val="24"/>
        </w:rPr>
        <w:t>Afs</w:t>
      </w:r>
      <w:proofErr w:type="spellEnd"/>
      <w:r w:rsidRPr="00B25E45">
        <w:rPr>
          <w:rFonts w:ascii="Times New Roman" w:hAnsi="Times New Roman"/>
          <w:sz w:val="24"/>
        </w:rPr>
        <w:t xml:space="preserve"> 58/2017-42 z 5. </w:t>
      </w:r>
      <w:r w:rsidRPr="00B25E45">
        <w:rPr>
          <w:rFonts w:ascii="Times New Roman" w:hAnsi="Times New Roman"/>
          <w:sz w:val="24"/>
        </w:rPr>
        <w:lastRenderedPageBreak/>
        <w:t>prosince 2017 nebo usnesení Nejvyššího správního soudu čj. Vol 76/2018-105 z 6. listopadu 2018).</w:t>
      </w:r>
    </w:p>
    <w:p w14:paraId="2DF12F3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Navrhovaná změna má za cíl upravit dosavadní definici osoby zúčastnění na řízení tak, aby bylo zdůrazněno, že se tento institut vztahuje na všechny typy řízení ve správním soudnictví. Samozřejmě s výjimkou těch řízení, pro která stanoví zvláštní úprava jinak (v současnosti jde o řízení o kompetenční žalobě, které obsahuje vlastní definici osoby zúčastněné na řízení; viz § 98 odst. 5). Naváže se tak na současný vývoj v judikatuře Nejvyššího správního soudu v této otázce, který je vzhledem k ústavnímu požadavku obsaženému v čl. 38 odst. 2 Listiny základních práv a svobod nutno chápat jako pozitivní, a odstraní se současně nutnost dovozovat obecnou platnost institutu osoby zúčastněné na řízení na všechna řízení ve správním soudnictví pomocí analogie.</w:t>
      </w:r>
    </w:p>
    <w:p w14:paraId="18ACCD03" w14:textId="77777777" w:rsidR="00F6177A" w:rsidRPr="00B25E45" w:rsidRDefault="00F6177A" w:rsidP="00E41176">
      <w:pPr>
        <w:pStyle w:val="Nadpis3"/>
      </w:pPr>
      <w:r w:rsidRPr="00B25E45">
        <w:t>K bodu 17 (§ 34 odst. 3)</w:t>
      </w:r>
    </w:p>
    <w:p w14:paraId="3841ADE1"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 34 odst. 3 je obsažen výčet práv osoby zúčastněné na řízení. </w:t>
      </w:r>
    </w:p>
    <w:p w14:paraId="4AB856A5" w14:textId="0F5C675E"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Součástí tohoto výčtu je i výčet soudních písemností a dalších listin, které se osobě zúčastněné na řízení doručují. Tento výčet však již není aktuální, když byl judikaturou Nejvyššího správního soudu několikrát rozšířen o další soudní písemnosti a listiny – zejména vyjádření k žalobě nebo návrhu, návrh na přiznání odkladného účinku a návrh na nařízení předběžného opatření (srov. blíže rozsudek Nejvyššího správního soudu čj. 1 As 41/2009-145 z 2. září 2009).</w:t>
      </w:r>
    </w:p>
    <w:p w14:paraId="1CE0E3D7"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Navrhovaná změna na tuto skutečnost reaguje a tento výčet soudních písemností a dalších listin doručovaných osobě zúčastněné na řízení aktualizuje doplněním o výše uvedené listiny. Cílem této změny je zvýšení právní jistoty adresátů soudního řádu správního</w:t>
      </w:r>
    </w:p>
    <w:p w14:paraId="7A91782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Současně se také navrhuje odstranit terminologickou nepřesnost a v tomto seznamu nahradit žalobu širším pojmem návrh. To souvisí s tím, že osoba zúčastněná na řízení může být kupř. i v řízení ve věcech volebních nebo v řízení o zrušení opatření obecné povahy nebo jeho části, která však nejsou zahajovaná žalobou, nýbrž návrhem. Touto změnou se tak stvrdí výklad a dosavadní praxe správních soudů. Není úmyslem zákonodárce, aby osobě zúčastněné na řízení bylo doručováno podání, kterým se zahajuje řízení pouze v řízeních, jež se zahajují žalobou, nýbrž aby jí bylo doručováno podání, kterým se zahajuje řízení bez ohledu na to, zda jde o řízení zahajované žalobou nebo návrhem.</w:t>
      </w:r>
    </w:p>
    <w:p w14:paraId="39BB9A8E" w14:textId="77777777" w:rsidR="00F6177A" w:rsidRPr="00B25E45" w:rsidRDefault="00F6177A" w:rsidP="00E41176">
      <w:pPr>
        <w:pStyle w:val="Nadpis3"/>
      </w:pPr>
      <w:r w:rsidRPr="00B25E45">
        <w:t>K bodu 18 (§ 35 odst. 2)</w:t>
      </w:r>
    </w:p>
    <w:p w14:paraId="6D25158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35 odst. 2 je upraveno zastoupení účastníka řízení advokátem a jinou osobou vykonávající specializované poradenství.</w:t>
      </w:r>
    </w:p>
    <w:p w14:paraId="42B78AA6" w14:textId="10531885"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Soudní řád správní umožňuje, aby byl účastník řízení zastoupen osobou, která vykonává specializované poradenství, pokud se řízení týká oblasti její specializace. Osobou vykonávající specializované poradenství se rozumí osoba, u které je poskytování právního poradenství předmětem její výdělečné činnosti (daňový poradce, patentový zástupce notář apod.). Na rozdíl od advokátů však u těchto osob neplatí omezení, že zástupcem účastníka řízení může být pouze fyzická osoba. Je tak možné, aby účastník řízení byl zastoupen i právnickou osobou </w:t>
      </w:r>
      <w:r w:rsidRPr="00B25E45">
        <w:rPr>
          <w:rFonts w:ascii="Times New Roman" w:hAnsi="Times New Roman"/>
          <w:sz w:val="24"/>
        </w:rPr>
        <w:lastRenderedPageBreak/>
        <w:t xml:space="preserve">vykonávající specializované poradenství, kupř. kanceláří daňových poradců (srov. blíže kupř. rozsudek Nejvyššího správního soudu čj. 5 </w:t>
      </w:r>
      <w:proofErr w:type="spellStart"/>
      <w:r w:rsidRPr="00B25E45">
        <w:rPr>
          <w:rFonts w:ascii="Times New Roman" w:hAnsi="Times New Roman"/>
          <w:sz w:val="24"/>
        </w:rPr>
        <w:t>Afs</w:t>
      </w:r>
      <w:proofErr w:type="spellEnd"/>
      <w:r w:rsidRPr="00B25E45">
        <w:rPr>
          <w:rFonts w:ascii="Times New Roman" w:hAnsi="Times New Roman"/>
          <w:sz w:val="24"/>
        </w:rPr>
        <w:t xml:space="preserve"> 12/2010-80 z 6. srpna 2010).</w:t>
      </w:r>
    </w:p>
    <w:p w14:paraId="164EDB8C"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Dosavadní právní úprava však již nestanoví žádné požadavky na osoby, které za právnickou osobu vykonávající specializované poradenství vůči soudu vystupují. Smyslem této úpravy přitom je, aby za účastníka se správním soudem komunikoval odborník v dané profesi, díky čemuž bude jejich vzájemná komunikace probíhat na potřebné odborné úrovni. </w:t>
      </w:r>
    </w:p>
    <w:p w14:paraId="6A494A2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Proto se navrhuje doplnit § 35 odst. 2 tak, že zastupuje-li účastníka řízení právnická osoba vykonávající specializované poradenství, může za ni v řízení vystupovat pouze osoba, která sama toto specializované poradenství vykonává. Tím bude dosaženo toho, že za účastníka řízení bude se správním soudem komunikovat fyzická osoba, která sama vykonává specializované poradenství. V situaci, kdy zástupcem tohoto účastníka bude právnická osoba vykonávající specializované poradenství, nesmí u soudu vystupovat její zaměstnanec nebo spolupracovník bez příslušné specializace.</w:t>
      </w:r>
    </w:p>
    <w:p w14:paraId="18AE67CD" w14:textId="77777777" w:rsidR="00F6177A" w:rsidRPr="00B25E45" w:rsidRDefault="00F6177A" w:rsidP="00E41176">
      <w:pPr>
        <w:pStyle w:val="Nadpis3"/>
      </w:pPr>
      <w:r w:rsidRPr="00B25E45">
        <w:t>K bodům 20 až 22 (§ 37 odst. 2 až 6)</w:t>
      </w:r>
    </w:p>
    <w:p w14:paraId="75D0EEB3"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37 je obsažena obecná úprava požadavků na procesní úkony účastníků řízení a osob zúčastněných na řízení. Jde však o úpravu, která není komplexní, nýbrž která se zaměřuje na některé dílčí otázky, zejména na formu podání, obsahové náležitosti podání, vady podání a jejich následky a zpětvzetí návrhu.</w:t>
      </w:r>
    </w:p>
    <w:p w14:paraId="6B6230F3"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Dosavadní právní úprava požadavků na podání je obdobná úpravě požadavků na podání obsažené v občanském soudním řádu. Pro obě je příznačné jejich rozlišování mezi listinnými podáními, elektronickými podáními, podáními učiněnými ústně do protokolu a podáními učiněnými v jiné podobě. Od toho, v jaké podobě bylo dané podání učiněno, se totiž odvíjely další formální a obsahové požadavky. </w:t>
      </w:r>
    </w:p>
    <w:p w14:paraId="30FCD815" w14:textId="63A1A739"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Nejvýrazněji se toto rozlišování dotklo právě elektronických podání, jimiž se disponuje řízením nebo jeho předmětem. Platí pro ně totiž, že za elektronické podání je považováno pouze takové podání, který je opatřeno kvalifikovaným elektronickým podpisem podle zákona o službách vytvářejících důvěru pro elektronické transakce nebo které bylo soudu doručeno prostřednictvím datové schránky (srov. blíže rozsudek Nejvyššího správního soudu čj. 7 As 274/2016-16 z 21. prosince 2016). Jakkoli jinak učiněné podání není podle platné právní úpravy považováno za elektronické podání, byť bylo učiněno prostřednictvím elektronické komunikace (typicky podání bez kvalifikovaného elektronického podpisu zaslané soudu prostřednictvím e-mailu), nýbrž je považováno za podání učiněné v jiné podobě, pročež pro něj platí, že musí být ve lhůtě 3 dnů doplněno předložením originálu nebo listinným podáním shodného znění, jinak se k němu nepřihlíží. Tento důsledek je zvlášť ve vztahu k elektronickým podáním velmi přísný, když na nutnost doplnění není podatel ze strany soudu nijak upozorněn. Tato přísnost se pak vyjímá při srovnání s postupem, kdy nějakou náležitost postrádá listinné podání (kupř. vlastnoruční podpis); v takovém případě totiž soud vyzve k odstranění vady a </w:t>
      </w:r>
      <w:proofErr w:type="gramStart"/>
      <w:r w:rsidRPr="00B25E45">
        <w:rPr>
          <w:rFonts w:ascii="Times New Roman" w:hAnsi="Times New Roman"/>
          <w:sz w:val="24"/>
        </w:rPr>
        <w:t>poučí</w:t>
      </w:r>
      <w:proofErr w:type="gramEnd"/>
      <w:r w:rsidRPr="00B25E45">
        <w:rPr>
          <w:rFonts w:ascii="Times New Roman" w:hAnsi="Times New Roman"/>
          <w:sz w:val="24"/>
        </w:rPr>
        <w:t xml:space="preserve"> o tom, jak má být vada odstraněna.</w:t>
      </w:r>
    </w:p>
    <w:p w14:paraId="6EFA7691"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lastRenderedPageBreak/>
        <w:t>Navrhovaná změna má za cíl narovnat postavení listinných podání a elektronických podání, a to tak, že nově by měla elektronická podání stejný režim jako listinná podání. Zejména dojde k odstranění rozdílů v tom, jaké důsledky jsou spojovány s vadami podání. Jednak není důvod k rozdílnému přístupu k vadám elektronického podání a k vadám listinného podání, jednak je existence rozdílného přístupu v rozporu s nařízením Evropské Unie č. 910/2014 (</w:t>
      </w:r>
      <w:proofErr w:type="spellStart"/>
      <w:r w:rsidRPr="00B25E45">
        <w:rPr>
          <w:rFonts w:ascii="Times New Roman" w:hAnsi="Times New Roman"/>
          <w:sz w:val="24"/>
        </w:rPr>
        <w:t>eIDAS</w:t>
      </w:r>
      <w:proofErr w:type="spellEnd"/>
      <w:r w:rsidRPr="00B25E45">
        <w:rPr>
          <w:rFonts w:ascii="Times New Roman" w:hAnsi="Times New Roman"/>
          <w:sz w:val="24"/>
        </w:rPr>
        <w:t>), které naopak předpokládá, že se s elektronickým podáním nakládá stejně jako s listinným podáním. Současně je cílem motivovat k činění elektronických podání a učinit elektronickou podobu podání obecně atraktivnější.</w:t>
      </w:r>
    </w:p>
    <w:p w14:paraId="19A389D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Navrhuje se tedy, aby se i na elektronická podání, jimiž se disponuje řízením nebo jeho předmětem, která nesplňují všechny formální požadavky, vztahoval postup odstranění vad platný pro listinná podání. To znamená, že např. v případě podání bez kvalifikovaného elektronického podpisu zaslaného soudu prostřednictvím e-mailu již nebude platit ona povinnost doplnit jej ve lhůtě 3 dnů originálem nebo listinným podáním shodného znění pod sankcí nepřihlížení. Nově soud podatele vyzve k odstranění vad a současně jej </w:t>
      </w:r>
      <w:proofErr w:type="gramStart"/>
      <w:r w:rsidRPr="00B25E45">
        <w:rPr>
          <w:rFonts w:ascii="Times New Roman" w:hAnsi="Times New Roman"/>
          <w:sz w:val="24"/>
        </w:rPr>
        <w:t>poučí</w:t>
      </w:r>
      <w:proofErr w:type="gramEnd"/>
      <w:r w:rsidRPr="00B25E45">
        <w:rPr>
          <w:rFonts w:ascii="Times New Roman" w:hAnsi="Times New Roman"/>
          <w:sz w:val="24"/>
        </w:rPr>
        <w:t xml:space="preserve"> o tom, jak má být tato vada odstraněna.</w:t>
      </w:r>
    </w:p>
    <w:p w14:paraId="31EAFB8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Nutno zdůraznit, že navrhovaná změna se týká pouze podání, jimiž se disponuje řízením nebo jeho předmětem. Pro ostatní podání zůstane i nadále v platnosti, že elektronická podání mohou být činěna zásadně jakoukoliv cestou s tím, že předseda senátu bude moci určit jinak (kupř. v situaci, kdy bude mít pochybnosti, zda elektronické podání doručené soudu prostřednictvím e-mailu bylo skutečně odesláno podatelem).</w:t>
      </w:r>
    </w:p>
    <w:p w14:paraId="1EC14E41"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Závěrem je nutno poznamenat, že tato navrhovaná změna je součástí širší změny mající za cíl narovnat postavení listinných podání a elektronických podání nejen ve správním soudnictví, ale i v civilním právu procesním (srov. k tomu změny v § 42 a 43 o. s. ř.).</w:t>
      </w:r>
    </w:p>
    <w:p w14:paraId="78E3DB04"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Dále se v návaznosti na tuto změnu navrhuje posílit elektronickou komunikaci se soudem u osob, kterým se zřídila datová schránka bez žádosti, a to zavedením povinnosti pro tyto osoby činit podání včetně příloh v elektronické podobě. Jde o povinnost, která je těmto osobám již uložena ve vztahu k insolvenčnímu řízení (§ 80a odst. 1 insolvenčního zákona) a která má být současně rozšířena i na celé civilní právo procesní. Povinnost činit podání v elektronické podobě však není pro tyto osoby bezvýjimečná, neboť se současně stanoví, že v odůvodněných případech mohou i tyto osoby činit podání v listinné podobě. Nicméně, nepůjde-li o takový případ, bude učinění podání v listinné podobě namísto v elektronické považováno za vadu a podatel bude soudem vyzván k odstranění této vady, tedy buď k učinění podání ve správné, tj. elektronické podobě, nebo k dodatečnému uvedení důvodů, pro které bylo podání učiněno v listinné podobě.</w:t>
      </w:r>
    </w:p>
    <w:p w14:paraId="58562CA0"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Pokud jde o samotný obsah této povinnosti, pak se ponechává na vůli osob, kterým se zřídila datová schránka bez žádosti, jakým způsobem tuto povinnost splní, tedy zda budou činit elektronická podání prostřednictvím datových schránek nebo zda je budou zasílat prostřednictvím e-mailu s kvalifikovaným elektronickým podpisem.</w:t>
      </w:r>
    </w:p>
    <w:p w14:paraId="7CFADFD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lastRenderedPageBreak/>
        <w:t xml:space="preserve">Nad rámec výše uvedeného se navrhuje provést kosmetickou úpravu náležitostí podání, pokud jde o vymezení osobních údajů podatele, aby došlo ke sjednocení těchto údajů s § 79 odst. 1 občanského soudního řádu. </w:t>
      </w:r>
    </w:p>
    <w:p w14:paraId="3F6A6CFC" w14:textId="77777777" w:rsidR="00F6177A" w:rsidRPr="00B25E45" w:rsidRDefault="00F6177A" w:rsidP="00E41176">
      <w:pPr>
        <w:pStyle w:val="Nadpis3"/>
      </w:pPr>
      <w:r w:rsidRPr="00B25E45">
        <w:t>K bodu 23 (§ 37 odst. 6)</w:t>
      </w:r>
    </w:p>
    <w:p w14:paraId="70E3E1C6"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37 odst. 6 má být nově upraven postup pro případy, kdy navrhovatel zvolí k ochraně svých veřejných subjektivních práv nesprávný typ žaloby.</w:t>
      </w:r>
    </w:p>
    <w:p w14:paraId="71596E26"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Dosavadní úprava správního soudnictví je postavena na několika samostatných žalobních typech; těmi hlavními žalobními typy je žaloba proti správnímu rozhodnutí, žaloba na ochranu proti nečinnosti správního orgánu a žaloba na ochranu před nezákonným zásahem, pokynem a donucením správního orgánu. Tato koncepce je u správního soudnictví hodnocena jako osvědčená. Slabinou, která si zasluhuje pozornosti, jsou nicméně situace, kdy žalobce užije k ochraně svých veřejných subjektivních práv nesprávný žalobní typ. K této situaci může dojít nikoli pouze z žalobcovy neznalosti, nýbrž nezřídka i tehdy, kdy není zcela jasné, jaký žalobní typ má být správně použit. Jako příklad lze uvést hranici mezi tím, co je ještě rozhodnutím správního orgánu a co je nutno chápat již jako zásah, pokyn nebo donucení správního orgánu.</w:t>
      </w:r>
    </w:p>
    <w:p w14:paraId="0EE3A683" w14:textId="3500CC73"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Na tomto místě je potřeba uvést, že podle nyní platné úpravy může žalobce zvolit vždy pouze jeden žalobní typ, přičemž není možné jednotlivé žalobní typy navzájem zaměňovat či je směšovat. Jiné žalobní typy nelze uvádět ani jako alternativní či eventuální petit (srov. blíže rozsudek Nejvyššího správního soudu čj. 7 </w:t>
      </w:r>
      <w:proofErr w:type="spellStart"/>
      <w:r w:rsidRPr="00B25E45">
        <w:rPr>
          <w:rFonts w:ascii="Times New Roman" w:hAnsi="Times New Roman"/>
          <w:sz w:val="24"/>
        </w:rPr>
        <w:t>Afs</w:t>
      </w:r>
      <w:proofErr w:type="spellEnd"/>
      <w:r w:rsidRPr="00B25E45">
        <w:rPr>
          <w:rFonts w:ascii="Times New Roman" w:hAnsi="Times New Roman"/>
          <w:sz w:val="24"/>
        </w:rPr>
        <w:t xml:space="preserve"> 84/2004-84 z 20. dubna 2005 nebo rozsudek Nejvyššího správního soudu čj. 10 </w:t>
      </w:r>
      <w:proofErr w:type="spellStart"/>
      <w:r w:rsidRPr="00B25E45">
        <w:rPr>
          <w:rFonts w:ascii="Times New Roman" w:hAnsi="Times New Roman"/>
          <w:sz w:val="24"/>
        </w:rPr>
        <w:t>Afs</w:t>
      </w:r>
      <w:proofErr w:type="spellEnd"/>
      <w:r w:rsidRPr="00B25E45">
        <w:rPr>
          <w:rFonts w:ascii="Times New Roman" w:hAnsi="Times New Roman"/>
          <w:sz w:val="24"/>
        </w:rPr>
        <w:t xml:space="preserve"> 151/2015-27 z 9. prosince 2015). Stejně tak je potřeba uvést, že není-li důvod pochybovat o tom, jaký žalobní typ je použit, nemůže soud o své vlastní vůli žalobu překvalifikovat na jiný typ (srov. blíže rozsudek Nejvyššího správního soudu čj. 1 </w:t>
      </w:r>
      <w:proofErr w:type="spellStart"/>
      <w:r w:rsidRPr="00B25E45">
        <w:rPr>
          <w:rFonts w:ascii="Times New Roman" w:hAnsi="Times New Roman"/>
          <w:sz w:val="24"/>
        </w:rPr>
        <w:t>Ans</w:t>
      </w:r>
      <w:proofErr w:type="spellEnd"/>
      <w:r w:rsidRPr="00B25E45">
        <w:rPr>
          <w:rFonts w:ascii="Times New Roman" w:hAnsi="Times New Roman"/>
          <w:sz w:val="24"/>
        </w:rPr>
        <w:t xml:space="preserve"> 21/2012-42 z 22. května 2013). Obojí ve své kombinaci klade příliš vysoké nároky na žalobce, aby k ochraně svých veřejných subjektivních práv zvolil správný žalobní typ. Volba nesprávného žalobního typu pro něj bude znamenat neúspěch ve věci a velmi pravděpodobně též i nemožnost znovu se domáhat ochrany svých veřejných subjektivních práv pomocí správně zvoleného žalobního typu, když mu mezitím uplyne lhůta k podání žaloby.</w:t>
      </w:r>
    </w:p>
    <w:p w14:paraId="4E77A90F" w14:textId="57D27DE6"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Navrhuje se proto dosavadní koncepci samostatných žalobních typů doplnit o úpravu postupu v případech, kdy žalobce užije k ochraně svých veřejných subjektivních práv nesprávný žalobní typ. Navrhovaná úprava je inspirována návrhy Nejvyššího správního soudu obsaženými v jeho rozsudku čj. 6 As 69/2016-39 z 19. května 2016 a v jeho rozsudku čj. 7 As 155/2015-160 z 21. listopadu 2017 a je postavena jednak na poučovací povinnosti soudu ohledně toho, jaký žalobní typ má být použit k ochraně veřejných subjektivních práv, o která v řízení jde, jednak na tradičním procesním institutu změny žaloby. Dojde-li tedy soud k závěru, že žalobce použil nesprávný žalobní typ k ochraně těch svých veřejných subjektivních práv, o něž v řízení jde, pak o tom žalobce </w:t>
      </w:r>
      <w:proofErr w:type="gramStart"/>
      <w:r w:rsidRPr="00B25E45">
        <w:rPr>
          <w:rFonts w:ascii="Times New Roman" w:hAnsi="Times New Roman"/>
          <w:sz w:val="24"/>
        </w:rPr>
        <w:t>poučí</w:t>
      </w:r>
      <w:proofErr w:type="gramEnd"/>
      <w:r w:rsidRPr="00B25E45">
        <w:rPr>
          <w:rFonts w:ascii="Times New Roman" w:hAnsi="Times New Roman"/>
          <w:sz w:val="24"/>
        </w:rPr>
        <w:t xml:space="preserve"> a stanoví mu lhůtu ke změně žaloby. Tím je dán prostor žalobci, zda se ztotožní s názorem soudu a navrhne změnu žaloby nebo zda ponechá žalobu v původním znění.</w:t>
      </w:r>
    </w:p>
    <w:p w14:paraId="5F9D8A80"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lastRenderedPageBreak/>
        <w:t>Výhodou tohoto řešení je, že je to stále žalobce, kdo disponuje řízením a jeho předmětem. Soud tak není stavěn do pozice, ve které by měl do žalobcem vymezeného řízení a jeho předmětu zasáhnout vlastním překvalifikováním toho, čeho se žalobce domáhá. Změna žaloby na správný žalobní typ je právem žalobce a nikoli jeho povinností. Rozhodne-li se žalobce ponechat svou žalobu v původním znění, nebude tím nijak penalizován (kupř. odmítnutím žaloby ze strany soudu), nýbrž jeho žaloba bude soudem řádně projednána, nebude-li jejímu projednání bránit jiná skutečnost.</w:t>
      </w:r>
    </w:p>
    <w:p w14:paraId="39D7397A"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Pro změnu petitu se předpokládá přiměřené použití úpravy obsažená v § 95 o. s. ř.</w:t>
      </w:r>
    </w:p>
    <w:p w14:paraId="10C4C328" w14:textId="1DF990B6"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Tím, že navrhované řešení je inspirováno návrhy Nejvyššího správního soudu na řešení této problematiky, se současně ponechává prostor pro </w:t>
      </w:r>
      <w:proofErr w:type="spellStart"/>
      <w:r w:rsidRPr="00B25E45">
        <w:rPr>
          <w:rFonts w:ascii="Times New Roman" w:hAnsi="Times New Roman"/>
          <w:sz w:val="24"/>
        </w:rPr>
        <w:t>judikatorní</w:t>
      </w:r>
      <w:proofErr w:type="spellEnd"/>
      <w:r w:rsidRPr="00B25E45">
        <w:rPr>
          <w:rFonts w:ascii="Times New Roman" w:hAnsi="Times New Roman"/>
          <w:sz w:val="24"/>
        </w:rPr>
        <w:t xml:space="preserve"> převzetí závěrů Nejvyššího správního soudu ohledně dopadu změny žaloby na účinky původní žaloby (srov. blíže výše uvedený rozsudek Nejvyššího správního soudu čj. 7 As 155/2015-160 z 21. listopadu 2017). Nejvyšší správní soud totiž již v rámci těchto návrhů dovodil, že případná změna žaloby provedená v návaznosti na poučení soudu ohledně nesprávně zvoleného žalobního typu nebude mít vliv na účinky původní žaloby.</w:t>
      </w:r>
    </w:p>
    <w:p w14:paraId="677F941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Ač navrhované změny dopadají zejména na žalobní typy ve správním soudnictví, neomezuje se navrhovaná úprava pouze na žaloby, nýbrž je koncipována tak, aby se vztahovala i na ostatní návrhy na zahájení řízení. Není totiž žádný důvod ostatní návrhy na zahájení řízení vylučovat.</w:t>
      </w:r>
    </w:p>
    <w:p w14:paraId="24615043" w14:textId="77777777" w:rsidR="00F6177A" w:rsidRPr="00B25E45" w:rsidRDefault="00F6177A" w:rsidP="00E41176">
      <w:pPr>
        <w:pStyle w:val="Nadpis3"/>
      </w:pPr>
      <w:r w:rsidRPr="00B25E45">
        <w:t>K bodům 24 až 27 (§ 38)</w:t>
      </w:r>
    </w:p>
    <w:p w14:paraId="4450D143"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38 je obsažena úprava institutu předběžného opatření. Předběžné opatření je klasický procesní institut sloužící k zajištění nějakého stavu, a to pomocí ukládání zatímních povinností a zatímních zákazů (kupř. zatímní povinnost zdržet se určitého jednání).</w:t>
      </w:r>
    </w:p>
    <w:p w14:paraId="6B78D6A5" w14:textId="2339B75B"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dosavadní úpravě však je institut předběžných opatření upozaděn ve prospěch institutu odkladného účinku žaloby upraveného v § 73, se kterým se v mnoha ohledech překrývá. Podle dosavadní judikatury totiž platí, že lze-li účinky spojené s rozhodnutím správního orgánu odvrátit přiznáním odkladného účinku žalobě, má tento institut přednost před institutem předběžného opatření (srov. blíže usnesení Nejvyššího správního soudu čj. Na 112/2006-37 z 24. května 2006).</w:t>
      </w:r>
    </w:p>
    <w:p w14:paraId="15CF79F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Institutu odkladného účinku žaloby se tak dostalo velmi širokého užití, přičemž mnohdy jde o užití problematické, a to z několika důvodů. Zaprvé pro jeho co nejširší dopad, kdy přiznáním odkladného účinku žalobě se pozastavují všechny možné účinky žalobou napadeného rozhodnutí správního orgánu. Zadruhé pro jeho působení pro </w:t>
      </w:r>
      <w:proofErr w:type="spellStart"/>
      <w:r w:rsidRPr="00B25E45">
        <w:rPr>
          <w:rFonts w:ascii="Times New Roman" w:hAnsi="Times New Roman"/>
          <w:sz w:val="24"/>
        </w:rPr>
        <w:t>futuro</w:t>
      </w:r>
      <w:proofErr w:type="spellEnd"/>
      <w:r w:rsidRPr="00B25E45">
        <w:rPr>
          <w:rFonts w:ascii="Times New Roman" w:hAnsi="Times New Roman"/>
          <w:sz w:val="24"/>
        </w:rPr>
        <w:t>, když přiznání odkladného účinku žaloby nepůsobí zpětně nýbrž až od vykonatelnosti rozhodnutí soudu o přiznání odkladného účinku žalobě (to kupř. znamená, že stalo-li se do té doby napadené rozhodnutí správního orgánu vykonatelným, bylo nutné se jím do doby přiznání odkladného účinku žalobě řídit, přičemž v té době mohlo toto rozhodnutí přivodit nějaké následky).</w:t>
      </w:r>
    </w:p>
    <w:p w14:paraId="5385F21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Vzhledem k oběma právě uvedeným důvodům se navrhuje dosavadní vztah těchto institutů upravit, a to omezením použitelnosti institutu odkladného účinku žaloby ve prospěch institutu </w:t>
      </w:r>
      <w:r w:rsidRPr="00B25E45">
        <w:rPr>
          <w:rFonts w:ascii="Times New Roman" w:hAnsi="Times New Roman"/>
          <w:sz w:val="24"/>
        </w:rPr>
        <w:lastRenderedPageBreak/>
        <w:t xml:space="preserve">předběžného opatření. Institut předběžného opatření totiž umožňuje lépe, resp. přesněji konkretizovat, co má být dotčeno. </w:t>
      </w:r>
    </w:p>
    <w:p w14:paraId="54A5002C"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Navrhované omezení institutu odkladného účinku žaloby se potom týká pouze odkladného účinku přiznaného na návrh rozhodnutím soudu (§ 73 odst. 2), ledaže tato možnost vyplývá z jiného zákona. V případech, ve kterých nebude mít žaloba odkladný účinek ze zákona a ve kterých ani nebude zvláštním zákonem výslovně umožněno podání návrhu na přiznání odkladného účinku žalobě rozhodnutím soudu, budou mít účastníci řízení nově prostor domáhat se nařízení předběžného opatření, kterým by byla někomu uložena zatímní povinnost něco vykonat, něčeho se zdržet nebo něco snášet. Půjde tak kupř. nařídit předběžné opatření, kterým bude jiné osobě zatímně zakázáno vykonat právo přiznané jí napadeným rozhodnutím správního orgánu (kupř. stavebníkovi bude zatímně zakázáno provést stavbu podle napadeného stavebního povolení).</w:t>
      </w:r>
    </w:p>
    <w:p w14:paraId="59046B14"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Současně se u institutu předběžného opatření navrhuje několik drobných úprav majících za cíl sladění úpravy s úpravou obsaženou v občanském soudním řádu, a to jak po terminologické stránce, tak i po obsahové. Cílem tohoto sjednocení je, aby v praxi nevznikaly nejasnosti ohledně toho, zda mírně odlišné pojmy a mírně odlišný obsah znamenají odlišné pojetí tohoto institutu v soudním řádu správním a v občanském soudním řádu. Rovněž bude snazší případné přiměřené použití úpravy obsažené v občanském soudním řádu v otázkách, které soudní řád správní neupravuje. </w:t>
      </w:r>
    </w:p>
    <w:p w14:paraId="198CC8F7"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rámci tohoto sladění se tak do správního soudnictví přebírá terminologie obsažená v občanském soudním řádu, která je přesnější v tom, že vyjadřuje skutečnost, že předběžné opatření se nařizuje. Současně se přebírá i způsob rozhodování soudu o návrhu. Dosavadní úprava totiž dává soudu i v případě, že jsou splněny všechny předpoklady pro nařízení předběžného opatření, prostor pro uvážení, zda požadované předběžné opatření nařídí (viz slovo může v § 38 odst. 1). To dává osobě, která nařízení předběžného opatření navrhla, jistou míru právní nejistoty, ačkoli k takovému korektivu není důvod. Naopak pro to, zda má být požadované předběžné opatření nařízeno či nikoli, by mělo být rozhodující, zda jsou naplněny zákonem stanovené předpoklady pro jeho nařízení.</w:t>
      </w:r>
    </w:p>
    <w:p w14:paraId="49067862" w14:textId="77777777" w:rsidR="00F6177A" w:rsidRPr="00B25E45" w:rsidRDefault="00F6177A" w:rsidP="00E41176">
      <w:pPr>
        <w:pStyle w:val="Nadpis3"/>
      </w:pPr>
      <w:r w:rsidRPr="00B25E45">
        <w:t>K bodům 28 a 29 (§ 39)</w:t>
      </w:r>
    </w:p>
    <w:p w14:paraId="18451A7A"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 39 je upraven institut spojení a vyloučení věcí. Jde o institut, který naplňuje jednak zásadu hospodárnosti řízení, jednak zásadu rychlosti řízení. Dosavadní úprava však tento institut umožňuje využít pouze v řízení o žalobě proti rozhodnutí správního orgánu. Pro toto omezení přitom není žádné opodstatnění, o čemž </w:t>
      </w:r>
      <w:proofErr w:type="gramStart"/>
      <w:r w:rsidRPr="00B25E45">
        <w:rPr>
          <w:rFonts w:ascii="Times New Roman" w:hAnsi="Times New Roman"/>
          <w:sz w:val="24"/>
        </w:rPr>
        <w:t>svědčí</w:t>
      </w:r>
      <w:proofErr w:type="gramEnd"/>
      <w:r w:rsidRPr="00B25E45">
        <w:rPr>
          <w:rFonts w:ascii="Times New Roman" w:hAnsi="Times New Roman"/>
          <w:sz w:val="24"/>
        </w:rPr>
        <w:t xml:space="preserve"> i skutečnost, že možnost spojení a vyloučení věcí ve vztahu k ostatním žalobám a návrhům je v praxi dovozována za přiměřeného užití úpravy spojení a vyloučení věci obsažené § 112 o. s. ř.</w:t>
      </w:r>
    </w:p>
    <w:p w14:paraId="2E1569C0"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Vzhledem k právě uvedeným důvodům se proto navrhuje odstranit ono neopodstatněné omezení a vztáhnout úpravu institutu spojení a vyloučení věci obsaženou v soudním řádu správním na všechny žaloby a návrhy podle soudního řádu správního. Touto změnou se docílí zjednodušení dosavadní úpravy a její lepší čitelnosti a předvídatelnosti.</w:t>
      </w:r>
    </w:p>
    <w:p w14:paraId="0686C3C5" w14:textId="77777777" w:rsidR="00F6177A" w:rsidRPr="00B25E45" w:rsidRDefault="00F6177A" w:rsidP="00E41176">
      <w:pPr>
        <w:pStyle w:val="Nadpis3"/>
      </w:pPr>
      <w:r w:rsidRPr="00B25E45">
        <w:lastRenderedPageBreak/>
        <w:t>K bodu 30 (§ 42 odst. 3)</w:t>
      </w:r>
    </w:p>
    <w:p w14:paraId="7B1107F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42 odst. 3 je upraven postup pro doručování, u kterého lze předpokládat průtahy nebo obtíže. V takových případech má soud možnost uložit tomu, koho se to týká, aby si zvolil zmocněnce pro doručování; jinak mu budou písemnosti doručovány jejich uložením u soudu.</w:t>
      </w:r>
    </w:p>
    <w:p w14:paraId="576AD5A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Jde o úpravu, která je obdobná úpravě obsažené v § 46c o. s. ř., která je však podrobnější, a to zejména co do výčtu osob, vůči kterým se tento postup neuplatní (kupř. osoby ve výkonu trestu odnětí svobody, osoby požívající diplomatické výsady a imunity nebo osoby, které jsou příslušníky Policie České republiky, Hasičského záchranného sboru České republiky nebo Vězeňské služby a justiční stráže).</w:t>
      </w:r>
    </w:p>
    <w:p w14:paraId="3892987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Ustanovení § 42 odst. 5 stanoví, že pro způsob doručování se použije úprava obsažená v občanském soudním řádu, nestanoví-li soudní řád správní jinak. V praxi pak vyvstává otázka, zda úprava obsažená v § 42 odst. 3, ač není natolik podrobná jako úprava obsažená v § 46c o. s. ř., představuje ucelenou úpravu této otázky pro správní soudnictví a jako taková tím bez dalšího vylučuje užití úpravy obsažené v občanském soudním řádu. Nebo zda tomu tak není a úprava obsažená v § 42 odst. 3 užití úpravy obsažené v občanském soudním řádu, zejména doplňujících podrobností, nevylučuje.</w:t>
      </w:r>
    </w:p>
    <w:p w14:paraId="6AF00DA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Pro vyloučení těchto pochybností se proto navrhuje ustanovení § 42 odst. 3 vypustit pro duplicitu. Do budoucna bude i pro správní soudnictví otázka postupu pro doručování, u kterého lze předpokládat průtahy nebo obtíže, upravena v § 46c o. s. ř. Vypuštěním § 42 odst. 3 bude úprava této otázky v občanském soudním řádu bez dalšího plně použitelná i pro správní soudnictví, a to díky odkazu obsaženého v § 42 odst. 5.</w:t>
      </w:r>
    </w:p>
    <w:p w14:paraId="1648CC9C" w14:textId="77777777" w:rsidR="00F6177A" w:rsidRPr="00B25E45" w:rsidRDefault="00F6177A" w:rsidP="00E41176">
      <w:pPr>
        <w:pStyle w:val="Nadpis3"/>
      </w:pPr>
      <w:r w:rsidRPr="00B25E45">
        <w:t>K bodům 31 a 32 (§ 43)</w:t>
      </w:r>
    </w:p>
    <w:p w14:paraId="01DE49C7"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43 je upraveno předvolání a předvedení. Jde o úpravu, která je obdobná úpravě předvolání obsažené v § 51 o. s. ř. a úpravě předvedení obsažené v § 52 o. s. ř. Nicméně v případě předvedení je úprava obsažená v občanském soudním řádu podrobnější, a to zejména co do úpravy týkající se předvedení nezletilých a co do rozhodování soudu o náhradě nákladů předvedení.</w:t>
      </w:r>
    </w:p>
    <w:p w14:paraId="47C1073F"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Nastává tak obdobná potíž jako u dosavadní úpravy postupu pro doručování, u kterého lze předpokládat průtahy nebo obtíže (viz výše). Podle § 64 platí, že ve správním soudnictví lze přiměřeně použít ustanovení občanského soudního řádu, nestanoví-li soudní řád správní jinak. Vyvstává proto opět otázka, zda úprava obsažená v § 43, ač není natolik podrobná jako úprava obsažená v § 52 o. s. ř., představuje ucelenou úpravu vylučující aplikaci občanského soudního řádu nebo lze občanský soudní řád využít podpůrně.</w:t>
      </w:r>
    </w:p>
    <w:p w14:paraId="533FDF51"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Pro vyloučení těchto pochybností se navrhuje doplnit úpravu obsaženou v soudním řádu správním tak, aby byla natolik podrobná a komplexní jako úprava obsažená v občanském soudním řádu. Opačný postup, tj. vypuštění jednotlivých podrobností pro duplicitu, jako je navrhováno u řešení stejného problému u dosavadní úpravy postupu pro doručování, u kterého lze předpokládat průtahy nebo obtíže (viz výše), v tomto případě použít nelze. Důvodem je </w:t>
      </w:r>
      <w:r w:rsidRPr="00B25E45">
        <w:rPr>
          <w:rFonts w:ascii="Times New Roman" w:hAnsi="Times New Roman"/>
          <w:sz w:val="24"/>
        </w:rPr>
        <w:lastRenderedPageBreak/>
        <w:t>odlišná vazba soudního řádu správního na úpravu v občanském soudním řádu v těchto otázkách (obecné pravidlo obsažené v § 64 vs. zvláštní pravidlo pro doručování obsažené v § 42 odst. 5).</w:t>
      </w:r>
    </w:p>
    <w:p w14:paraId="546718B1"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Sjednocení úpravy předvedení se navrhuje provést jednak tak, že v dosavadním § 43 odst. 2 zůstane upraven postup soudu při nařízení předvedení a předpoklady, za nichž lze určitou osobu předvést, jednak tak, že způsob předvedení, včetně zvláštní úpravy týkající se předvedení nezletilých, vojáků a osob v činné službě a příslušníků ozbrojených sborů, jakož i úprava náhrady nákladů předvedení a rozhodování o ní budou obsaženy v nových odstavcích 3 a 4, které se co do obsahu shodují s § 52 odst. 2 a 3 o. s. ř.</w:t>
      </w:r>
    </w:p>
    <w:p w14:paraId="122B183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Pokud jde o úpravu postupu soudu při nařízení předvedení, navrhuje se současně odstranit nedůvodné rozdíly mezi úpravou v soudním řádu správním a úpravou v občanském soudním řádu. Jde o rozdíly ryze formálního charakteru, např. že podle dosavadní úpravy se o předvedení rozhoduje příkazem, zatímco podle úpravy občanského soudního řádu má toto rozhodnutí formu usnesení, které se předvedenému </w:t>
      </w:r>
      <w:proofErr w:type="gramStart"/>
      <w:r w:rsidRPr="00B25E45">
        <w:rPr>
          <w:rFonts w:ascii="Times New Roman" w:hAnsi="Times New Roman"/>
          <w:sz w:val="24"/>
        </w:rPr>
        <w:t>doručí</w:t>
      </w:r>
      <w:proofErr w:type="gramEnd"/>
      <w:r w:rsidRPr="00B25E45">
        <w:rPr>
          <w:rFonts w:ascii="Times New Roman" w:hAnsi="Times New Roman"/>
          <w:sz w:val="24"/>
        </w:rPr>
        <w:t xml:space="preserve"> při předvedení. Cílem této změny je zjednodušení činnosti soudů při předvedení sjednocením postupu ve správním soudnictví a v civilním soudním řízení.</w:t>
      </w:r>
    </w:p>
    <w:p w14:paraId="1A4CCEA0" w14:textId="77777777" w:rsidR="00F6177A" w:rsidRPr="00B25E45" w:rsidRDefault="00F6177A" w:rsidP="00E41176">
      <w:pPr>
        <w:pStyle w:val="Nadpis3"/>
      </w:pPr>
      <w:r w:rsidRPr="00B25E45">
        <w:t>K bodu 35 (§ 46 odst. 1)</w:t>
      </w:r>
    </w:p>
    <w:p w14:paraId="0F9F7F09"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46 je obsažen výčet většiny důvodů vedoucích k odmítnutí návrhu ve správním soudnictví. Odmítnutí návrhu představuje jeden ze způsobů skončení soudního řízení, kdy nedochází k věcnému posouzení. Ve správním soudnictví se tento způsob užívá v případech, kdy je dána překážka bránící věcnému posouzení (překážka věci rozhodnuté apod.) nebo skutečnost, že návrh se týká věci, která spadá nikoli do správního soudnictví nýbrž do civilního soudního řízení (§ 46 odst. 2).</w:t>
      </w:r>
    </w:p>
    <w:p w14:paraId="74D92481"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Slabinou dosavadní úpravy správního soudnictví je absence efektivních nástrojů pro vypořádání se s šikanózními návrhy, tedy návrhy, které sledují zjevné zneužití práva. Jako vhodné nástroje pro vypořádání se s těmito návrhy lze považovat možnost uložit pořádkovou pokutu za takový návrh a možnost odmítnout takový návrh.</w:t>
      </w:r>
    </w:p>
    <w:p w14:paraId="495A577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Pokud jde o možnost, podle které by soud byl oprávněn uložit tomu, kdo podá šikanózní návrh, pořádkovou pokutu, pak je třeba dodat, že tento nástroj vychází z předpokladu, že hrozba peněžního postihu odradí od podání takového návrhu. Je třeba rovněž dodat, že jde o nástroj tradiční, neboť stejné oprávnění znalo již rakouské, resp. československé správní soudnictví v § 41 zákona č. 36/1876 ř. z., o zřízení správního soudu. Zbývá dodat, že tento nástroj již byl do nyní platné právní úpravy zakotven, a to novelizujícím zákonem č. 284/2021 Sb. a s účinností od 1. ledna 2024.</w:t>
      </w:r>
    </w:p>
    <w:p w14:paraId="29DA013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I druhá možnost, podle které by byl soud oprávněn šikanózní návrh odmítnout, má být nástrojem, jenž má odrazovat od podávání šikanózních návrhů. Jeho hlavním smyslem je umožnit soudu vyhnout se věcnému projednání šikanózního návrhu, a to tak, že jej soud vypořádá bez věcného vyřízení jeho odmítnutím. Na tomto místě je nutno zdůraznit, že vyřízením šikanózního návrhu bez věcného vyřízení nedojde k odepření spravedlnosti. Šikanózní návrh je totiž takový návrh, který je podán nikoli proto, aby se někdo domohl ochrany </w:t>
      </w:r>
      <w:r w:rsidRPr="00B25E45">
        <w:rPr>
          <w:rFonts w:ascii="Times New Roman" w:hAnsi="Times New Roman"/>
          <w:sz w:val="24"/>
        </w:rPr>
        <w:lastRenderedPageBreak/>
        <w:t>svých veřejných subjektivních práv, nýbrž proto, aby tím navrhovatel dosáhl jiných cílů, k nimž soudní ochrana není určena.</w:t>
      </w:r>
    </w:p>
    <w:p w14:paraId="2B6E63EB"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I tento nástroj již byl do nyní platné úpravy zakotven, a to novelizujícím zákonem č. 284/2021 Sb. a s účinností od 1. ledna 2024, avšak pouze ve vztahu k žalobě proti rozhodnutí správního orgánu. Omezení tohoto nástroje pouze na jeden žalobní typ však nemá žádné opodstatnění, neboť jako šikanózní může být použit i jiný žalobní typ nebo návrh. Proto se navrhuje zobecnění tohoto nástroje pro všechny žalobní typy a návrhy.</w:t>
      </w:r>
    </w:p>
    <w:p w14:paraId="44FBF148" w14:textId="63685895"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Další slabinou dosavadní úpravy je absence možnosti soudu efektivně a rychle se vypořádat s žalobami a návrhy, které nemají žádnou naději na úspěch, a to v žádném z žalobních, resp. návrhových typů. Podle dosavadní úpravy lze návrh, který nemá žádnou naději na úspěch, odmítnout pouze tehdy, je-li jeho bezdůvodnost zjevná (jestliže ji lze na první pohled seznat z obsahu návrhu nebo z přiložených listin). Vyjde-li však bezdůvodnost návrhu najevo až z obsahu správního spisu nebo z provedeného dokazování, pak již nejde o bezdůvodnost zjevnou a soud musí návrh věcně projednat (srov. blíže rozsudek Nejvyššího správního soudu čj. 4 As 50/2004-59 z 27. září 2005 nebo rozsudek Nejvyššího správního soudu čj. 8 As 46/2007-98 z 11. března 2008).</w:t>
      </w:r>
    </w:p>
    <w:p w14:paraId="106438D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Navrhuje se proto zmírnit právě popsané omezení dosavadní úpravy a umožnit soudům, aby mohly návrh, nemá-li žádnou naději na úspěch, odmítnout i tehdy, vyplyne-li tato skutečnost později v řízení, zejména z obsahu správního spisu nebo během dokazování. Přínosem této navrhované změny bude, že tyto návrhy budou moci soudy vyřídit efektivněji a rychleji a ušetřený časový prostor budou moci využít k vyřizování opodstatněných návrhů. Rovněž není třeba se obávat excesivního užívání tohoto důvodu v navrhované mírnější podobě. I nadále totiž bude platit, že proti usnesení o odmítnutí návrhu je přípustná kasační stížnost, ve které lze namítat nezákonnost odmítnutí návrhu.</w:t>
      </w:r>
    </w:p>
    <w:p w14:paraId="6FE64ABA"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Závěrem nutno dodat, že v rámci formulace tohoto důvodu nelze použít spojení zjevná bezdůvodnost, neboť toto spojení představuje dosavadní užší podobu tohoto důvodu, jak plyne z výše uvedené judikatury Nejvyššího správního soudu. Navrhuje se proto využít spojení zřejmě bezúspěšné uplatňování nebo bránění práva, které v procesním právu již existuje (viz § 36 odst. 3 s. ř. s. nebo § 138 o. s. ř.), je co do svého obsahu již výkladově ustáleno a obsahově je pro daný účel vhodné.</w:t>
      </w:r>
    </w:p>
    <w:p w14:paraId="70CDB69B" w14:textId="77777777" w:rsidR="00F6177A" w:rsidRPr="00B25E45" w:rsidRDefault="00F6177A" w:rsidP="00E41176">
      <w:pPr>
        <w:pStyle w:val="Nadpis3"/>
      </w:pPr>
      <w:r w:rsidRPr="00B25E45">
        <w:t>K bodům 37, 39 až 41 (§ 49 a § 51 odst. 3)</w:t>
      </w:r>
    </w:p>
    <w:p w14:paraId="1EE34E06"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49 je upraveno jednání a rozhodování soudu, proběhlo-li ve věci jednání. V § 51 je upraveno rozhodování soudu v případech, kdy jednání ve věci neproběhlo. Součástí této úpravy je i způsob vyhlašování rozsudků, který platí přiměřeně i pro usnesení.</w:t>
      </w:r>
    </w:p>
    <w:p w14:paraId="1134FD7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Dosavadní úprava obsažená v § 49 odst. 12 zná dva způsoby vyhlášení rozsudku, a to jednak ústně, jednak vyvěšení zkráceného znění rozsudku na úřední desce soudu. První způsob má své místo tehdy, proběhlo-li ve věci jednání a je-li při vyhlašování rozsudku přítomen alespoň jeden účastník nebo osoba zúčastněná na řízení nebo veřejnost. Druhého způsobu se pak užije tehdy, </w:t>
      </w:r>
      <w:r w:rsidRPr="00B25E45">
        <w:rPr>
          <w:rFonts w:ascii="Times New Roman" w:hAnsi="Times New Roman"/>
          <w:sz w:val="24"/>
        </w:rPr>
        <w:lastRenderedPageBreak/>
        <w:t>proběhlo-li ve věci jednání, avšak při vyhlašování rozsudku není kromě soudních osob přítomen nikdo.</w:t>
      </w:r>
    </w:p>
    <w:p w14:paraId="38EBB9E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Nedostatek dosavadní úpravy pak spočívá v tom, že právě uvedené způsoby vyhlašování rozsudku platí pouze pro případy, kdy se ve věci samé konalo jednání. Absentuje tedy úprava způsobu vyhlašování rozsudku v případech, kdy soud rozhoduje bez jednání ve věci samé. Tento nedostatek navíc zdůraznily i závěry Ústavního soudu, podle nichž nelze v těchto případech postupovat analogicky podle § 49 odst. 12, tj. vyhlásit rozsudek vyvěšením jeho zkráceného znění na úřední desce soudu (srov. blíže nález Ústavního soudu vydaný 18. června 2019 v právním případu vedeném pod spisovou značkou </w:t>
      </w:r>
      <w:proofErr w:type="spellStart"/>
      <w:r w:rsidRPr="00B25E45">
        <w:rPr>
          <w:rFonts w:ascii="Times New Roman" w:hAnsi="Times New Roman"/>
          <w:sz w:val="24"/>
        </w:rPr>
        <w:t>Pl</w:t>
      </w:r>
      <w:proofErr w:type="spellEnd"/>
      <w:r w:rsidRPr="00B25E45">
        <w:rPr>
          <w:rFonts w:ascii="Times New Roman" w:hAnsi="Times New Roman"/>
          <w:sz w:val="24"/>
        </w:rPr>
        <w:t>. ÚS 38/18). To může vést k tomu, že i ve věcech, ve kterých soud rozhodl bez nařízení jednání, bude nařizováno jednání jen za účelem vyhlášení rozsudku.</w:t>
      </w:r>
    </w:p>
    <w:p w14:paraId="4647DBA9"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Navrhované změny mají za cíl tento nedostatek dosavadní úpravy odstranit. Úprava rozhodování soudu bez nařízení jednání bude doplněna o možnost soudu vyhlásit rozsudek vyvěšením jeho zkráceného znění na úřední desce soudu. V souladu s výše citovaným nálezem Ústavního soudu (zejména s jeho dalšími závěry týkajícími se toho, že vyhlášení rozsudku bez odůvodnění je v rozporu s ústavou) se současně stanoví, že zkrácené znění rozsudku sestává alespoň z výroku a nosných důvodů rozsudku. Podle Ústavního soudu totiž musí být rozsudek vyhlášen včetně odůvodnění, a to přinejmenším v rozsahu uvedení jeho nosných důvodů. Nosné důvody přitom nejsou ničím novým, když jde o pojem procesnímu právu již známý (kupř. § 243f odst. 5 poslední věta o. s. ř.).</w:t>
      </w:r>
    </w:p>
    <w:p w14:paraId="4DC2CF31"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Současně bude platit, že tento způsob vyhlášení rozsudku je pouze jeden ze dvou možných, tak jako tomu je i u úpravy vyhlašování rozsudku v případě, kdy se ve věci samé konalo jednání. Tím druhým způsobem pak bude vyhlášení rozhodnutí na jednání, které bylo nařízeno pouze za účelem vyhlášení rozhodnutí.</w:t>
      </w:r>
    </w:p>
    <w:p w14:paraId="45935AC0"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S právě popsanou navrhovanou změnou souvisí i navrhované doplnění § 49 odst. 1, jehož cílem je usnadnit nařizování jednání, na kterém má dojít pouze k vyhlášení rozsudku. Nově by tak bylo možné nařídit jednání za účelem vyhlášení rozsudku bez nutnosti dodržet nejmenší zákonem předepsaný čas k přípravě. Inspirací k této změně je úprava civilního soudního řízení, která tuto zvláštní úpravu u nařizování jednání, na kterém má dojít pouze k vyhlášení rozsudku, obsahuje také (viz § 156 odst. 2 poslední věta o. s. ř.). Nutno na tomto místě zdůraznit, že absence nutnosti dodržet nejmenší zákonem předepsaný čas k přípravě by neměla představovat zásah do procesních práv účastníků řízení. Jednání, na kterém dojde pouze k vyhlášení rozsudku, nevyžaduje totiž z jejich strany žádnou předchozí přípravu; role účastníků řízení na tomto jednání bude v zásadě pasivní.</w:t>
      </w:r>
    </w:p>
    <w:p w14:paraId="410D4A5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Předpokládá se, že nařizování jednání, na kterém má dojít pouze k vyhlášení rozsudku, bude mít využití zejména tehdy, bude-li soud rozhodovat bez nařízení jednání a nebude-li současně chtít z nějakého důvodu vyhlásit rozsudek vyvěšením jeho zkráceného znění na úřední desce soudu.</w:t>
      </w:r>
    </w:p>
    <w:p w14:paraId="35E90C13"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lastRenderedPageBreak/>
        <w:t>Dále se navrhuje doplnit úpravu obsaženou v § 49 odst. 12 o možnost, aby při vyhlašování rozsudku vyvěšením jeho zkráceného znění na úřední desce soudu byly tímto způsobem uveřejněny i nosné důvody rozsudku. Inspirací k této změně byla totožná úprava civilního soudního řízení, ve které má stejnou možnost Nejvyšší soud při rozhodování o dovolání, vyhlašuje-li rozsudek vyvěšením jeho zkráceného znění na úřední desce soudu (§ 243f odst. 5 poslední věta o. s. ř.).</w:t>
      </w:r>
    </w:p>
    <w:p w14:paraId="4880F80A"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Ve svém souhrnu se navrhované změny týkají zejména těch případů, kdy soud rozhoduje bez jednání. V takovém případě bude totiž moci vyhlásit rozsudek buď ústně na jednání, přičemž při jeho nařízení bude možno využít mírnějšího režimu, když půjde o jednání, na kterém dojde pouze k vyhlášení rozsudku, nebo vyvěšením zkráceného znění rozsudku na úřední desce soudu.</w:t>
      </w:r>
    </w:p>
    <w:p w14:paraId="16B867E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 případy, kdy proběhne ve věci samé jednání, budou mít navrhované změny pouze minimální dopady, a to mírnější režim pro nařízení jednání, bude-li jednání odročeno pouze za účelem vyhlášení rozsudku, a možnost uveřejnit při vyhlášení rozsudku vyvěšením jeho zkráceného znění na úřední desce soudu i jeho nosné důvody.</w:t>
      </w:r>
    </w:p>
    <w:p w14:paraId="3B76112F" w14:textId="77777777" w:rsidR="00F6177A" w:rsidRPr="00B25E45" w:rsidRDefault="00F6177A" w:rsidP="00E41176">
      <w:pPr>
        <w:pStyle w:val="Nadpis3"/>
      </w:pPr>
      <w:r w:rsidRPr="00B25E45">
        <w:t>K bodům 42 a 67 (§ 52 a § 77)</w:t>
      </w:r>
    </w:p>
    <w:p w14:paraId="3B7E07E0"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 77 odst. 1 je obsaženo pravidlo, že soud provádí dokazování při jednání. Zařazení tohoto pravidla do zvláštní úpravy řízení o žalobě proti rozhodnutí správního orgánu však není vhodné a je odbornou právní naukou hodnoceno jako problematické. Jde totiž o pravidlo, které platí pro všechna řízení před správními soudy a které navíc v obecné úpravě řízení před správními soudy chybí. </w:t>
      </w:r>
    </w:p>
    <w:p w14:paraId="6D00E10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Navrhuje se proto toto pravidlo přesunout do obecné úpravy řízení před správními soudy tak, aby bylo vyjádřeno, že platí pro všechna řízení a nikoli jen pro řízení o žalobě proti rozhodnutí správního orgánu.</w:t>
      </w:r>
    </w:p>
    <w:p w14:paraId="55C4F240" w14:textId="77777777" w:rsidR="00F6177A" w:rsidRPr="00B25E45" w:rsidRDefault="00F6177A" w:rsidP="00E41176">
      <w:pPr>
        <w:pStyle w:val="Nadpis3"/>
      </w:pPr>
      <w:r w:rsidRPr="00B25E45">
        <w:t>K bodu 43 (§ 54 odst. 2)</w:t>
      </w:r>
    </w:p>
    <w:p w14:paraId="7F8E6A1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 54 odst. 2 jsou upraveny některé náležitosti rozsudku jakožto vyšší formy soudního rozhodnutí. Dosavadní úprava náležitostí rozsudku ve správním soudnictví se v zásadě shoduje s úpravou náležitostí rozsudku obsaženou v občanském soudním řádu. Úprava v soudním řádu správním je stručnější oproti úpravě obsažené v občanském soudním řádu. Předpokládá se, že v otázkách, které tato úprava </w:t>
      </w:r>
      <w:proofErr w:type="gramStart"/>
      <w:r w:rsidRPr="00B25E45">
        <w:rPr>
          <w:rFonts w:ascii="Times New Roman" w:hAnsi="Times New Roman"/>
          <w:sz w:val="24"/>
        </w:rPr>
        <w:t>neřeší</w:t>
      </w:r>
      <w:proofErr w:type="gramEnd"/>
      <w:r w:rsidRPr="00B25E45">
        <w:rPr>
          <w:rFonts w:ascii="Times New Roman" w:hAnsi="Times New Roman"/>
          <w:sz w:val="24"/>
        </w:rPr>
        <w:t>, se použije podrobnější a komplexní regulace obsažená v občanském soudním řádu.</w:t>
      </w:r>
    </w:p>
    <w:p w14:paraId="1588392A"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Pokud jde o náležitosti rozsudku, pak úprava obsažená v soudním řádu správním obsahuje jednu odlišnost. Stanoví, že osobní údaje se uvádějí jen v nezbytném rozsahu a je-li to třeba s ohledem na povahu projednávané věci. Tato odlišnost však nemá žádné opodstatnění a pouze zakládá nedůvodné rozdíly co do náležitostí rozsudku. V praxi totiž tato odlišnost vede kupříkladu k tomu, že v rozsudcích správních soudů nejsou uváděna data narození účastníků řízení, ač datum narození představuje spolu s adresou bydliště údaj umožňující jednoznačnou identifikaci tohoto účastníka a v rozsudcích civilních soudů data narození účastníků řízení uváděna jsou. </w:t>
      </w:r>
      <w:r w:rsidRPr="00B25E45">
        <w:rPr>
          <w:rFonts w:ascii="Times New Roman" w:hAnsi="Times New Roman"/>
          <w:sz w:val="24"/>
        </w:rPr>
        <w:lastRenderedPageBreak/>
        <w:t>Navrhuje se proto tuto odlišnost vypustit, aby co do náležitostí panovala mezi rozsudky ve správním soudnictví a rozsudky v civilním soudním řízení jednota. Mimoto může určitá standardizace a s tím spojené odstranění nedůvodných odlišností přispět i ke snazší elektronizaci justice.</w:t>
      </w:r>
    </w:p>
    <w:p w14:paraId="2605C738" w14:textId="77777777" w:rsidR="00F6177A" w:rsidRPr="00B25E45" w:rsidRDefault="00F6177A" w:rsidP="00E41176">
      <w:pPr>
        <w:pStyle w:val="Nadpis3"/>
      </w:pPr>
      <w:r w:rsidRPr="00B25E45">
        <w:t>K bodu 44 (§ 55 odst. 3)</w:t>
      </w:r>
    </w:p>
    <w:p w14:paraId="46B8635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 55 je obsažena základní úprava usnesení jakožto jedné z forem rozhodnutí ve správním soudnictví. V rámci tohoto ustanovení je navrhována jen drobná úprava technického charakteru, která souvisí s navrhovanými změnami institutu předběžného opatření, konkrétně s navrhovanými změnami majícími za cíl sjednocení procesněprávní terminologie s úpravou tohoto institutu obsaženou v občanském soudním řádu. </w:t>
      </w:r>
    </w:p>
    <w:p w14:paraId="2AC8030F" w14:textId="77777777" w:rsidR="00F6177A" w:rsidRPr="00B25E45" w:rsidRDefault="00F6177A" w:rsidP="00E41176">
      <w:pPr>
        <w:pStyle w:val="Nadpis3"/>
      </w:pPr>
      <w:r w:rsidRPr="00B25E45">
        <w:t>K bodu 45 (§ 55a)</w:t>
      </w:r>
    </w:p>
    <w:p w14:paraId="562A12F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 55a je obsažena úprava institutu odlišného stanoviska. Jde o institut, který má svůj původ a tradici v angloamerickém systému práva a jehož smysl a účel je zejména psychologický, neboť brání většině senátu přijetí takového závěru, který by mohl být ostře kritizován soudcem majícím menšinový názor v jeho připojeném odlišném stanovisku. Z tohoto pohledu tak tento institut </w:t>
      </w:r>
      <w:proofErr w:type="gramStart"/>
      <w:r w:rsidRPr="00B25E45">
        <w:rPr>
          <w:rFonts w:ascii="Times New Roman" w:hAnsi="Times New Roman"/>
          <w:sz w:val="24"/>
        </w:rPr>
        <w:t>slouží</w:t>
      </w:r>
      <w:proofErr w:type="gramEnd"/>
      <w:r w:rsidRPr="00B25E45">
        <w:rPr>
          <w:rFonts w:ascii="Times New Roman" w:hAnsi="Times New Roman"/>
          <w:sz w:val="24"/>
        </w:rPr>
        <w:t xml:space="preserve"> jako nástroj vzájemné kontroly jednotlivých soudců tvořících konkrétní senát. Argumenty obsažené v odlišném stanovisku představují také jakési alternativní řešení, které může být podkladem pro pozdější změnu právního názoru Nejvyššího správního soudu na danou otázku nebo pro podání ústavní </w:t>
      </w:r>
      <w:proofErr w:type="gramStart"/>
      <w:r w:rsidRPr="00B25E45">
        <w:rPr>
          <w:rFonts w:ascii="Times New Roman" w:hAnsi="Times New Roman"/>
          <w:sz w:val="24"/>
        </w:rPr>
        <w:t>stížnosti .</w:t>
      </w:r>
      <w:proofErr w:type="gramEnd"/>
    </w:p>
    <w:p w14:paraId="27276B1F"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Dosavadní úprava umožňuje zveřejnění odlišného stanoviska spolu s rozhodnutím ve správním soudnictví soudcům Nejvyššího správního soudu pouze tehdy, jde-li o člena senátu rozhodujícího věci volební, věci místního a krajského referenda, věci politických stran a politických hnutí nebo rozhodujícího v řízení o kompetenčních žalobách, nebo o člena rozšířeného senátu. Vzhledem k výše uvedeným výhodám odlišného stanoviska se navrhuje toto omezení odstranit a rozšířit institut odlišného stanoviska na všechny senáty Nejvyššího správního soudu.</w:t>
      </w:r>
    </w:p>
    <w:p w14:paraId="2E455DBA" w14:textId="77777777" w:rsidR="00F6177A" w:rsidRPr="00B25E45" w:rsidRDefault="00F6177A" w:rsidP="00E41176">
      <w:pPr>
        <w:pStyle w:val="Nadpis3"/>
      </w:pPr>
      <w:r w:rsidRPr="00B25E45">
        <w:t>K bodu 46 (§ 56 odst. 3)</w:t>
      </w:r>
    </w:p>
    <w:p w14:paraId="36297DC4"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56 jsou obsažena pravidla pro stanovení pořadí projednávání a rozhodování věcí. Základem přitom je obecné pravidlo obsažené v § 56 odst. 1 – soud projednává a rozhoduje věci podle pořadí, v jakém k němu došly.</w:t>
      </w:r>
    </w:p>
    <w:p w14:paraId="70CA8FD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Z tohoto pravidla však existuje několik výjimek. První výjimka stanoví, že přednostně se projedná věc, u které jsou dány závažné důvody pro její přednostní projednání a rozhodnutí. Druhá výjimka vymezuje okruh procesních návrhů, které jsou projednávány a rozhodovány přednostně. Konkrétně jde o návrhy na osvobození od soudních poplatků a návrhy na ustanovení zástupce. Třetí výjimka pak vymezuje okruh přednostně projednávaných a rozhodovaných žalob a návrhů ve věci samé.</w:t>
      </w:r>
    </w:p>
    <w:p w14:paraId="25FCD119"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Zejména posledně uvedená výjimka vymezující okruh přednostně projednávaných a rozhodovaných žalob a návrhů ve věci samé je v současnosti předmětem kritiky, a to, že okruh </w:t>
      </w:r>
      <w:r w:rsidRPr="00B25E45">
        <w:rPr>
          <w:rFonts w:ascii="Times New Roman" w:hAnsi="Times New Roman"/>
          <w:sz w:val="24"/>
        </w:rPr>
        <w:lastRenderedPageBreak/>
        <w:t>těchto žalob a návrhů ve věci samé je natolik široký, že může mít negativní vliv na délku řízení u ostatních, tj. „nepřednostních“ věcí. Zejména je kritizováno, že jako přednostní jsou brány i žaloby na ochranu před nezákonným zásahem, pokynem nebo donucením správního orgánu, jejichž předmětem není domáhání se ochrany před trvajícím zásahem, nýbrž pouhé určení nezákonnosti zásahu, který již ovšem netrvá. Stejně tak je kritizováno, že jako přednostní jsou brány žaloby ve věcech pobytu cizinců na území České republiky, jde-li o zajištění cizince, o prodloužení doby trvání zajištění cizince a jiné případy, jejichž důsledkem je omezení osobní svobody, i tehdy, pokud omezení osobní svobody již netrvá.</w:t>
      </w:r>
    </w:p>
    <w:p w14:paraId="6EEE6327"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Navrhované změny reagují na tyto výtky a dosavadní výčet přednostně projednávaných věcí redukují tak, aby výše uvedené případy již nebyly jeho součástí.</w:t>
      </w:r>
    </w:p>
    <w:p w14:paraId="4A5EBC6A" w14:textId="70890A5D"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Současně bylo přistoupeno k celkové úpravě znění § 56 odst. 3. Cílem této úpravy je jednak celkové zpřehlednění tohoto ustanovení tím, že výčet přednostně projednávaných a rozhodovaných žalob a návrhů ve věci samé bude mít nově podobu seznamu, jak je u podobných výčtových ustanovení běžné (kupř. § 9 odst. 2 o. s. ř.), jednak vyšší důraz na jednotné užívání pojmu „věc“. Nově navrhované znění vychází z obecně uznávaného chápání pojmu „věc“ jako hmotného práva nebo povinnosti, o níž bylo ve správním řízení jednáno a rozhodováno (srov. blíže rozsudek Nejvyššího správního soudu čj. 3 </w:t>
      </w:r>
      <w:proofErr w:type="spellStart"/>
      <w:r w:rsidRPr="00B25E45">
        <w:rPr>
          <w:rFonts w:ascii="Times New Roman" w:hAnsi="Times New Roman"/>
          <w:sz w:val="24"/>
        </w:rPr>
        <w:t>Ads</w:t>
      </w:r>
      <w:proofErr w:type="spellEnd"/>
      <w:r w:rsidRPr="00B25E45">
        <w:rPr>
          <w:rFonts w:ascii="Times New Roman" w:hAnsi="Times New Roman"/>
          <w:sz w:val="24"/>
        </w:rPr>
        <w:t xml:space="preserve"> 284/2016-43 z 22. února 2017). Z tohoto pojetí pak vychází výčet oborů činností veřejné správy, neboť ty jsou použity ve smyslu množiny hmotných práv nebo povinností, o nichž bylo rozhodováno na určitém úseku veřejné správy. Současně bylo přistoupeno k terminologickému sjednocení výčtu obsaženého v § 56 odst. 3 s výčty obsaženými v § 7 odst. 3, § 31 odst. 2 a § 60 odst. 2. </w:t>
      </w:r>
    </w:p>
    <w:p w14:paraId="2F6F020E" w14:textId="77777777" w:rsidR="00F6177A" w:rsidRPr="00B25E45" w:rsidRDefault="00F6177A" w:rsidP="00E41176">
      <w:pPr>
        <w:pStyle w:val="Nadpis3"/>
      </w:pPr>
      <w:r w:rsidRPr="00B25E45">
        <w:t>K bodu 47 (§ 59 odst. 2)</w:t>
      </w:r>
    </w:p>
    <w:p w14:paraId="50AE9AD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59 odst. 2 jsou upraveny náklady řízení před správním soudem, které platí stát. Součástí této úpravy je i možnost předsedy senátu uložit účastníkovi, který nebyl osvobozen od soudních poplatků, povinnost složit zálohu na náklady provedení důkazu, který navrhl. Jde o úpravu, která je inspirována obdobnou úpravou platnou pro civilní soudní řízení obsaženou v § 141 odst. 1 o. s. ř. Na rozdíl od ní ovšem úprava v § 59 odst. 2 neobsahuje, jaké důsledky nastanou v případě nesložení této zálohy.</w:t>
      </w:r>
    </w:p>
    <w:p w14:paraId="557810F0"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Tato neúplnost úpravy ohledně uložení povinnosti složit zálohu na náklady na provedení důkazu s sebou ovšem nese výkladové problémy, protože i když podle § 64 platí, že ve správním soudnictví lze přiměřeně použít ustanovení občanského soudního řádu, nestanoví-li soudní řád správní jinak, vyvstává otázka, zda úprava obsažená v § 59 odst. 2 představuje ucelenou úpravu této otázky pro správní soudnictví vylučující aplikaci občanského soudního řádu či nikoliv. Pro vyloučení těchto pochybností se proto navrhuje doplnit úpravu obsaženou v soudním řádu správním tak, aby byla natolik podrobná a komplexní jako úprava obsažená v občanském soudním řádu. Navrhuje se tedy doplit důsledky, které nastanou v případě nesložení zálohy na náklady na provedení důkazu, přičemž se navrhuje převzetí dosavadní úpravy obsažené v § 141 odst. 1 o. s. ř., tedy možnost soudu daný důkaz neprovést.</w:t>
      </w:r>
    </w:p>
    <w:p w14:paraId="7A2E9C4E" w14:textId="77777777" w:rsidR="00F6177A" w:rsidRPr="00B25E45" w:rsidRDefault="00F6177A" w:rsidP="00E41176">
      <w:pPr>
        <w:pStyle w:val="Nadpis3"/>
      </w:pPr>
      <w:r w:rsidRPr="00B25E45">
        <w:lastRenderedPageBreak/>
        <w:t>K bodům 48 a 49 (§ 60 odst. 1 a 2)</w:t>
      </w:r>
    </w:p>
    <w:p w14:paraId="692F435C"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60 je obsažena problematika náhrady nákladů řízení. Základní pravidlo pro určení toho, kdo má náklady řízení ekonomicky nést, je obsaženo v § 60 odst. 1 a praví, že náklady řízení nakonec ekonomicky nese ten účastník, který nebyl ve věci úspěšný. Vlastní povinnost k náhradě nákladů řízení s tím potom souvisí tak, že tomuto účastníkovi bude současně uloženo, aby nahradil náklady řízení, které vynaložil účastník, jenž byl ve věci úspěšný.</w:t>
      </w:r>
    </w:p>
    <w:p w14:paraId="5538175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Rozhodovací praxe soudů se v rámci dosavadní úpravy náhrady nákladů řízení postupně přiklonila k závěru, že správní orgán má jakožto účastník řízení v případě úspěchu ve věci nárok na náhradu nákladů řízení jen výjimečně. V rámci tohoto závěru byl rozhodovací praxí soudů vytvořen pojem náklady nepřevyšující náklady běžné úřední činnosti, do nichž byly zahrnuty i úkony správního orgánu v soudním řízení správním, a bylo současně dovozeno, že náhradu nákladů souvisejících s běžnou úřední činností nelze přiznat, neboť tyto náklady jsou správním orgánům hrazeny ze státního rozpočtu. Byl-li tedy správní orgán v řízení před správním soudem úspěšný ve věci, tak mu sice vzniklo právo na náhradu nákladů řízení, které vynaložil, jenže jeho náklady mu byly zároveň poníženy o náklady nepřevyšující náklady běžné úřední činnosti, a protože správnímu orgánu zpravidla jiné náklady nevznikly, nebyla mu náhrada nákladů řízení přiznána vůbec.</w:t>
      </w:r>
    </w:p>
    <w:p w14:paraId="63E3FBD5" w14:textId="6E120F74"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Tato dosavadní rozhodovací praxe je ovšem problematická, a to zejména proto, že je v rozporu se zásadou rovného postavení účastníků v řízení. Tato zásada obsažená v § 36 odst. 1 a mající svůj základ již v ústavní rovině přiznává rovné postavení všem účastníkům bez ohledu na to, jde-li o fyzickou osobu, právnickou osobu nebo stát jednající prostřednictvím své organizační složky. Současně je tato rozhodovací praxe problematická i proto, že popírá základní pravidlo ohledně toho, kdo má náklady řízení v konečném důsledku ekonomicky nést. Toto pravidlo je popřeno jeho vyprázdněním ve vztahu ke správnímu orgánu, když formálně správní orgán v případě úspěchu ve věci právo na náhradu nákladů řízení má, ale okruh nákladů, u nichž je touto rozhodovací praxí náhrada přípustná, je oproti ostatním účastníkům výrazně zúžen (ke kritice této rozhodovací praxe viz kupř. odlišné stanovisko k usnesení Nejvyššího správního soudu čj. 7 </w:t>
      </w:r>
      <w:proofErr w:type="spellStart"/>
      <w:r w:rsidRPr="00B25E45">
        <w:rPr>
          <w:rFonts w:ascii="Times New Roman" w:hAnsi="Times New Roman"/>
          <w:sz w:val="24"/>
        </w:rPr>
        <w:t>Afs</w:t>
      </w:r>
      <w:proofErr w:type="spellEnd"/>
      <w:r w:rsidRPr="00B25E45">
        <w:rPr>
          <w:rFonts w:ascii="Times New Roman" w:hAnsi="Times New Roman"/>
          <w:sz w:val="24"/>
        </w:rPr>
        <w:t xml:space="preserve"> 11/2014-47 z 31. března 2015).</w:t>
      </w:r>
    </w:p>
    <w:p w14:paraId="3C41000F"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Vzhledem k právě uvedeným problémům se navrhuje dosavadní rozhodovací praxi ve vztahu k přiznávání náhrady nákladů řízení správnímu orgánu opustit a narovnat v otázce přiznávání náhrady nákladů řízení postavení správního orgánu s postavením fyzických a právnických osob. Navrhuje se tedy, aby napříště byla správnímu orgánu přiznávána náhrada nákladů řízení, bude-li ve věci úspěšný, a aby přitom nebylo rozlišováno, jde-li o náklady nepřevyšující výši běžné úřední činnosti. Jediným kritériem pro posouzení, zda mu bude náhrada jím vynaložených nákladů řízení přiznána, bude to, zda jde o náklady, které byly vynaloženy důvodně. Jde tedy o shodné kritérium, které již nyní platí při přiznávání náhrady nákladů řízení, byl-li ve věci úspěšný účastník, který je fyzickou nebo právnickou osobou.</w:t>
      </w:r>
    </w:p>
    <w:p w14:paraId="24AC0596"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Součástí této navrhované změny je doplnění, že budou-li jako důvodně vynaložené náklady správního orgánu shledány i náklady na zastoupení (může jít typ. o situace, kdy je napadán územní plán malé obce, která sestává jen ze starosty a jednoho či dvou úředníků a nedisponuje </w:t>
      </w:r>
      <w:r w:rsidRPr="00B25E45">
        <w:rPr>
          <w:rFonts w:ascii="Times New Roman" w:hAnsi="Times New Roman"/>
          <w:sz w:val="24"/>
        </w:rPr>
        <w:lastRenderedPageBreak/>
        <w:t>vlastním odborným aparátem na tuto problematiku), bude jejich náhrada přiznána v paušální výši stanovené zvláštním právním předpisem.</w:t>
      </w:r>
    </w:p>
    <w:p w14:paraId="765EFF90"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Dále bylo přistoupeno k celkové úpravě znění § 60 odst. 2. Cílem této úpravy je terminologické sjednocení výčtu obsaženého v § 60 odst. 2 s výčty obsaženými v § 7 odst. 3, § 31 odst. 2 a § 56 odst. 3. Cílem těchto úprav je jednak zvýšit důraz na jednotné používání pojmu „věc“, jednak docílit toho, aby nevznikaly rozdíly v terminologii.</w:t>
      </w:r>
    </w:p>
    <w:p w14:paraId="357F40BB" w14:textId="77777777" w:rsidR="00F6177A" w:rsidRPr="00B25E45" w:rsidRDefault="00F6177A" w:rsidP="00E41176">
      <w:pPr>
        <w:pStyle w:val="Nadpis3"/>
      </w:pPr>
      <w:r w:rsidRPr="00B25E45">
        <w:t>K bodu 50 (§ 61 odst. 3)</w:t>
      </w:r>
    </w:p>
    <w:p w14:paraId="6DE324D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 61 je upraveno rozhodování soudu o náhradě nákladů řízení. O nákladech řízení soud rozhoduje na konci řízení. Rozhodnutí o náhradě nákladů řízení přitom může být součástí rozhodnutí, jímž se řízení </w:t>
      </w:r>
      <w:proofErr w:type="gramStart"/>
      <w:r w:rsidRPr="00B25E45">
        <w:rPr>
          <w:rFonts w:ascii="Times New Roman" w:hAnsi="Times New Roman"/>
          <w:sz w:val="24"/>
        </w:rPr>
        <w:t>končí</w:t>
      </w:r>
      <w:proofErr w:type="gramEnd"/>
      <w:r w:rsidRPr="00B25E45">
        <w:rPr>
          <w:rFonts w:ascii="Times New Roman" w:hAnsi="Times New Roman"/>
          <w:sz w:val="24"/>
        </w:rPr>
        <w:t xml:space="preserve"> (což je buď rozhodnutí ve věci samé, nebo rozhodnutí o zastavení řízení, případně rozhodnutí o odmítnutí návrhu), nebo může jít o samostatné rozhodnutí.</w:t>
      </w:r>
    </w:p>
    <w:p w14:paraId="3E0A37CF"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Nejviditelnějším nedostatkem dosavadní úpravy rozhodování soudu o náhradě nákladů řízení je absence postupu pro odstranění věcných nesprávností rozhodnutí o náhradě nákladů řízení jako kupř. opomenutí některých nákladů nebo opomenutí přiznání náhrady daně z přidané hodnoty. Tento nedostatek je dán jednak tím, že podle § 104 odst. 2 není přípustná kasační stížnost jen proti výroku o nákladech řízení, jednak tím, že věcná nesprávnost není vždy písařskou chybou nebo zjevnou nesprávností (tj. různé překlepy a chybějící slova), kterou by šlo napravit vydáním opravného usnesení. To ve svém důsledku znamená, že v případě výroku o náhradě nákladů řízení, který obsahuje takovou věcnou nesprávnost, která není současně písařskou chybou nebo jinou zjevnou nesprávností, neexistuje žádný postup, jak docílit nápravy a tuto věcnou nesprávnost odstranit, ledaže je možné úspěšně napadat rozhodnutí krajského soudu ve věci samé.</w:t>
      </w:r>
    </w:p>
    <w:p w14:paraId="290BCE0D"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Navrhuje se proto dosavadní úpravu doplnit o postup, kdy bude účastníkům řízení umožněno navrhnout soudu, aby o náhradě nákladů řízení rozhodl znovu, a to z důvodu, že nebylo rozhodnuto o všech nákladech řízení (tento důvod míří na situace, kdy dojde k opomenutí některých nákladů), nebo z důvodu, že povinnost k náhradě nákladů řízení nebo výše náhrady nákladů řízení byla stanovena nesprávně (tento důvod míří na situace, kdy náhrada nákladů řízení nebyla přiznána žádnému z účastníků, ač měla být přiznána účastníkovi, který byl úspěšný ve věci, nebo kdy byla sice přiznána správnému účastníkovi, avšak nikoli ve správné výši apod.). </w:t>
      </w:r>
    </w:p>
    <w:p w14:paraId="44EC97FF"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Právo podat tento návrh je časově omezené, a to lhůtou o délce dvou týdnů, která </w:t>
      </w:r>
      <w:proofErr w:type="gramStart"/>
      <w:r w:rsidRPr="00B25E45">
        <w:rPr>
          <w:rFonts w:ascii="Times New Roman" w:hAnsi="Times New Roman"/>
          <w:sz w:val="24"/>
        </w:rPr>
        <w:t>běží</w:t>
      </w:r>
      <w:proofErr w:type="gramEnd"/>
      <w:r w:rsidRPr="00B25E45">
        <w:rPr>
          <w:rFonts w:ascii="Times New Roman" w:hAnsi="Times New Roman"/>
          <w:sz w:val="24"/>
        </w:rPr>
        <w:t xml:space="preserve"> ode dne doručení rozhodnutí obsahujícího předmětný výrok o náhradě nákladů řízení. Délka lhůty i její počátek byly zvoleny tak, aby byly totožné s délkou lhůty k podání kasační stížnosti a jejím počátkem. Hlavní výhoda tohoto řešení je jednoduchost a předvídatelnost pro účastníka řízení, a to zejména v situaci, kdy rozhodnutí o náhradě nákladů řízení bude součástí rozhodnutí, jímž se řízení </w:t>
      </w:r>
      <w:proofErr w:type="gramStart"/>
      <w:r w:rsidRPr="00B25E45">
        <w:rPr>
          <w:rFonts w:ascii="Times New Roman" w:hAnsi="Times New Roman"/>
          <w:sz w:val="24"/>
        </w:rPr>
        <w:t>končí</w:t>
      </w:r>
      <w:proofErr w:type="gramEnd"/>
      <w:r w:rsidRPr="00B25E45">
        <w:rPr>
          <w:rFonts w:ascii="Times New Roman" w:hAnsi="Times New Roman"/>
          <w:sz w:val="24"/>
        </w:rPr>
        <w:t>, přičemž účastník zároveň nemá v úmyslu podat kasační stížnost ve věci samé.</w:t>
      </w:r>
    </w:p>
    <w:p w14:paraId="438FF23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lastRenderedPageBreak/>
        <w:t xml:space="preserve">O návrhu bude rozhodovat předseda senátu. Dojde-li přitom k závěru, že návrh je důvodný, tak původní výrok o náhradě nákladů řízení </w:t>
      </w:r>
      <w:proofErr w:type="gramStart"/>
      <w:r w:rsidRPr="00B25E45">
        <w:rPr>
          <w:rFonts w:ascii="Times New Roman" w:hAnsi="Times New Roman"/>
          <w:sz w:val="24"/>
        </w:rPr>
        <w:t>zruší</w:t>
      </w:r>
      <w:proofErr w:type="gramEnd"/>
      <w:r w:rsidRPr="00B25E45">
        <w:rPr>
          <w:rFonts w:ascii="Times New Roman" w:hAnsi="Times New Roman"/>
          <w:sz w:val="24"/>
        </w:rPr>
        <w:t xml:space="preserve"> a o náhradě nákladů řízení rozhodne znovu samostatným rozhodnutím. Dojde-li naopak k závěru, že návrh důvodný není, tak jej zamítne.</w:t>
      </w:r>
    </w:p>
    <w:p w14:paraId="044C2D5B"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Navrhovaná konstrukce, kdy je iniciativa ohledně řešení věcné nesprávnosti výroku o náhradě nákladů řízení ponechána na účastnících řízení, vychází ze zásady dispoziční, na které je soudní řízení správní postaveno, jakož i z toho, že je věcí účastníka řízení, aby se domáhal nového rozhodnutí o náhradě nákladů řízení, má-li za to, že dosavadní rozhodnutí o náhradě nákladů řízení je v jeho neprospěch.</w:t>
      </w:r>
    </w:p>
    <w:p w14:paraId="7974BBD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Pro vyloučení pochybností se současně stanoví, že navrhovaný postup umožňující nové rozhodnutí o náhradě nákladů řízení nijak nevylučuje užití úpravy sloužící k opravě písařských chyb a zjevných nesprávností formou opravného usnesení.</w:t>
      </w:r>
    </w:p>
    <w:p w14:paraId="0E56573C" w14:textId="77777777" w:rsidR="00F6177A" w:rsidRPr="00B25E45" w:rsidRDefault="00F6177A" w:rsidP="00E41176">
      <w:pPr>
        <w:pStyle w:val="Nadpis3"/>
      </w:pPr>
      <w:r w:rsidRPr="00B25E45">
        <w:t>K bodům 51 a 52 (§ 62)</w:t>
      </w:r>
    </w:p>
    <w:p w14:paraId="215D5AA9"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62 je obsažena úprava institutu uspokojení navrhovatele. Jde o speciální institut správního soudnictví, který umožňuje urovnat záležitost, která vedla k podání žaloby, resp. návrhu smírnou cestou. Svou povahou tak jde o obdobu soudního smíru coby institutu civilního soudního řízení.</w:t>
      </w:r>
    </w:p>
    <w:p w14:paraId="156BD246" w14:textId="66782AC0"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Ačkoliv se urovnání záležitosti smírnou cestou obecně považuje za preferovaný způsob, obsahuje dosavadní úprava tohoto institutu podle závěrů rozhodovací praxe určitá omezení. Jde zejména o to, že institut uspokojení navrhovatele nelze použít ve všech řízeních ve správním soudnictví. Konkrétně je užití tohoto institutu vyloučeno v řízeních o žalobě na ochranu proti nečinnosti správního orgánu, a to proto, že podle dosavadní úpravy se za uspokojení navrhovatele považuje pouze vydání </w:t>
      </w:r>
      <w:r w:rsidRPr="00B25E45">
        <w:rPr>
          <w:rFonts w:ascii="Times New Roman" w:hAnsi="Times New Roman"/>
          <w:i/>
          <w:iCs/>
          <w:sz w:val="24"/>
        </w:rPr>
        <w:t>nového</w:t>
      </w:r>
      <w:r w:rsidRPr="00B25E45">
        <w:rPr>
          <w:rFonts w:ascii="Times New Roman" w:hAnsi="Times New Roman"/>
          <w:sz w:val="24"/>
        </w:rPr>
        <w:t xml:space="preserve"> rozhodnutí nebo opatření, popřípadě provedení jiného úkonu, jímž je navrhovatel uspokojen, přičemž v řízení o žalobě na ochranu proti nečinnosti správního orgánu nejde o vydání rozhodnutí nového nýbrž rozhodnutí </w:t>
      </w:r>
      <w:r w:rsidRPr="00B25E45">
        <w:rPr>
          <w:rFonts w:ascii="Times New Roman" w:hAnsi="Times New Roman"/>
          <w:i/>
          <w:iCs/>
          <w:sz w:val="24"/>
        </w:rPr>
        <w:t>prvotního</w:t>
      </w:r>
      <w:r w:rsidRPr="00B25E45">
        <w:rPr>
          <w:rFonts w:ascii="Times New Roman" w:hAnsi="Times New Roman"/>
          <w:sz w:val="24"/>
        </w:rPr>
        <w:t xml:space="preserve"> (srov. blíže rozsudek Nejvyššího správního soudu čj. 1 </w:t>
      </w:r>
      <w:proofErr w:type="spellStart"/>
      <w:r w:rsidRPr="00B25E45">
        <w:rPr>
          <w:rFonts w:ascii="Times New Roman" w:hAnsi="Times New Roman"/>
          <w:sz w:val="24"/>
        </w:rPr>
        <w:t>Ans</w:t>
      </w:r>
      <w:proofErr w:type="spellEnd"/>
      <w:r w:rsidRPr="00B25E45">
        <w:rPr>
          <w:rFonts w:ascii="Times New Roman" w:hAnsi="Times New Roman"/>
          <w:sz w:val="24"/>
        </w:rPr>
        <w:t xml:space="preserve"> 4/2008-62 z 25. června 2008). Za omezení lze dále rovněž považovat i absenci motivace účastníků řízení k urovnání záležitosti smírnou cestou za využití institutu uspokojení navrhovatele.</w:t>
      </w:r>
    </w:p>
    <w:p w14:paraId="646E88D7"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Dalším nedostatkem dosavadní úpravy je neúplný soulad úpravy tohoto institutu s navazující úpravou obsaženou ve správním, respektive daňovém řádu, kde je upraveno, jak má správní orgán postupovat, aby došlo v rovině soudního řízení správního ke smírnému vyřešení záležitosti. Zmíněný nesoulad těchto úprav pak spočívá v tom, zda smí být v rámci uspokojení navrhovatele zasaženo i do práv nebo povinností třetích osob. Zatímco podle dosavadní úpravy obsažené v soudním řádu správním není v rámci uspokojení navrhovatele možné zasáhnout do práv nebo povinností třetích osob, tak v navazující úpravě obsažené v § 153 s. ř. se stanoví, že do práv a povinností třetích osob je možné v rámci uspokojení navrhovatele zasáhnout tehdy, pokud s tím tato dotčená osoba souhlasí.</w:t>
      </w:r>
    </w:p>
    <w:p w14:paraId="7F848FE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Navrhované změny mají za cíl odstranit výše uvedená omezení dosavadní úpravy. Zaprvé se navrhuje do § 62 odst. 1 výslovně doplnit, že uspokojit navrhovatele lze v případě nečinnosti </w:t>
      </w:r>
      <w:r w:rsidRPr="00B25E45">
        <w:rPr>
          <w:rFonts w:ascii="Times New Roman" w:hAnsi="Times New Roman"/>
          <w:sz w:val="24"/>
        </w:rPr>
        <w:lastRenderedPageBreak/>
        <w:t xml:space="preserve">správního orgánu i vydáním rozhodnutí ve věci nebo osvědčení, o které v řízení před správním orgánem jde, tedy vydáním toho </w:t>
      </w:r>
      <w:r w:rsidRPr="00B25E45">
        <w:rPr>
          <w:rFonts w:ascii="Times New Roman" w:hAnsi="Times New Roman"/>
          <w:i/>
          <w:iCs/>
          <w:sz w:val="24"/>
        </w:rPr>
        <w:t>prvotního</w:t>
      </w:r>
      <w:r w:rsidRPr="00B25E45">
        <w:rPr>
          <w:rFonts w:ascii="Times New Roman" w:hAnsi="Times New Roman"/>
          <w:sz w:val="24"/>
        </w:rPr>
        <w:t xml:space="preserve"> rozhodnutí ve věci samé nebo osvědčení.</w:t>
      </w:r>
    </w:p>
    <w:p w14:paraId="1B9144B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Současně se navrhuje dosavadní úpravu doplnit o možnost soudu poučit odpůrce o možnosti urovnat záležitost smírnou cestou za využití institutu uspokojení navrhovatele. Při tom soud může odpůrce upozornit na právní úpravu a rozhodnutí Nejvyššího správního soudu týkající se této záležitosti. Zakotvení této možnosti soudu je inspirováno úpravou soudního smíru v civilním soudním řízení, která shodně předpokládá upozornění soudu na možnost smírného vyřešení věci, včetně upozornění na platnou právní úpravu a stanoviska Nejvyššího soudu (viz § 99 odst. 1 o. s. ř.).</w:t>
      </w:r>
    </w:p>
    <w:p w14:paraId="2F0527EC"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Konečně se navrhuje výslovně uvést, že do práv a povinností třetích osob lze v rámci uspokojení navrhovatele zasáhnout tehdy, pokud s tím tyto dotčené osoby souhlasí.</w:t>
      </w:r>
    </w:p>
    <w:p w14:paraId="73D9589B" w14:textId="77777777" w:rsidR="00F6177A" w:rsidRPr="00B25E45" w:rsidRDefault="00F6177A" w:rsidP="00E41176">
      <w:pPr>
        <w:pStyle w:val="Nadpis4"/>
        <w:rPr>
          <w:i w:val="0"/>
          <w:iCs/>
        </w:rPr>
      </w:pPr>
      <w:r w:rsidRPr="00B25E45">
        <w:rPr>
          <w:i w:val="0"/>
          <w:iCs/>
        </w:rPr>
        <w:t>V A R I A N T A  1</w:t>
      </w:r>
    </w:p>
    <w:p w14:paraId="74292446" w14:textId="77777777" w:rsidR="00F6177A" w:rsidRPr="00B25E45" w:rsidRDefault="00F6177A" w:rsidP="00F6177A">
      <w:pPr>
        <w:spacing w:before="120"/>
        <w:jc w:val="both"/>
        <w:rPr>
          <w:rFonts w:ascii="Times New Roman" w:hAnsi="Times New Roman"/>
          <w:i/>
          <w:iCs/>
          <w:sz w:val="24"/>
        </w:rPr>
      </w:pPr>
      <w:r w:rsidRPr="00B25E45">
        <w:rPr>
          <w:rFonts w:ascii="Times New Roman" w:hAnsi="Times New Roman"/>
          <w:i/>
          <w:iCs/>
          <w:sz w:val="24"/>
        </w:rPr>
        <w:t>Beze změny stávající úpravy.</w:t>
      </w:r>
    </w:p>
    <w:p w14:paraId="696175E8" w14:textId="77777777" w:rsidR="00F6177A" w:rsidRPr="00B25E45" w:rsidRDefault="00F6177A" w:rsidP="00E41176">
      <w:pPr>
        <w:pStyle w:val="Nadpis4"/>
        <w:rPr>
          <w:i w:val="0"/>
          <w:iCs/>
        </w:rPr>
      </w:pPr>
      <w:r w:rsidRPr="00B25E45">
        <w:rPr>
          <w:i w:val="0"/>
          <w:iCs/>
        </w:rPr>
        <w:t>V A R I A N T A  2</w:t>
      </w:r>
    </w:p>
    <w:p w14:paraId="5AF53573" w14:textId="77777777" w:rsidR="00F6177A" w:rsidRPr="00B25E45" w:rsidRDefault="00F6177A" w:rsidP="00E41176">
      <w:pPr>
        <w:pStyle w:val="Nadpis3"/>
      </w:pPr>
      <w:r w:rsidRPr="00B25E45">
        <w:t>K bodu 53 (§ 64)</w:t>
      </w:r>
    </w:p>
    <w:p w14:paraId="0C105366"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64 je zakotvena úprava podpůrného užití občanského soudního řádu. Soudní řád správní byl od počátku koncipován nikoli jako komplexní procesní předpis upravující veškeré otázky soudního procesu ve správním soudnictví, nýbrž jako kodex kratší a stručnější s tím, že pro otázky soudním řádem správním neupravené se podpůrně použije občanský soudní řád.</w:t>
      </w:r>
    </w:p>
    <w:p w14:paraId="695C22A1"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Dosavadní úprava je postavena na přiměřeném použití ustanovení první a třetí části občanského soudního řádu. Postavení občanského soudního řádu jakožto subsidiárního právního předpisu pro řešení otázek neupravených soudním řádem správním má základ v historické zkušenosti s přezkumem rozhodnutí správních orgánů před civilními soudy, kdy se rovněž do značné míry vycházelo z postupu v klasickém civilním sporném řízení. V současnosti se nicméně ukazuje, že občanský soudní řád nepředstavuje vždy vhodnou podpůrnou úpravu a že v takových případech by bylo vhodnější řešit danou otázku spíše podle úpravy obsažené ve správním řádu, daňovém řádu nebo jiném odvětvovém předpisu.</w:t>
      </w:r>
    </w:p>
    <w:p w14:paraId="0EA96BA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Z těchto důvodů se navrhuje dosavadní úpravu obsaženou v § 64 doplnit tak, že občanský soudní řád sice zůstane primárním subsidiárním právním předpisem, nicméně nebude-li úprava obsažená v občanském soudní řádu pro danou otázku vhodná, subsidiárně se použije zákon, který upravuje postup správního orgánu ve vztahu k záležitosti, o kterou nyní v soudním řízení správním jde. Návrh se inspiruje obdobným pravidlem, podle něhož se určuje subsidiární právní předpis k rakouskému zákonu o řízení před správními soudy.</w:t>
      </w:r>
    </w:p>
    <w:p w14:paraId="1492E3F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Nově se tak vedle občanského soudního řádu podpůrně užije daňový řád (daňové věci), správní řád (záležitosti, které podléhají obecnému správnímu řízení), zákon o odpovědnosti za přestupky a řízení o nich (ve věcech přestupků) nebo stavební zákon (u stavebních věcí).</w:t>
      </w:r>
    </w:p>
    <w:p w14:paraId="5C4EF04D" w14:textId="2D63F917" w:rsidR="00F6177A" w:rsidRPr="00B25E45" w:rsidRDefault="00F6177A" w:rsidP="00E41176">
      <w:pPr>
        <w:pStyle w:val="Nadpis3"/>
      </w:pPr>
      <w:r w:rsidRPr="00B25E45">
        <w:lastRenderedPageBreak/>
        <w:t>K bodu 54 (§ 66)</w:t>
      </w:r>
    </w:p>
    <w:p w14:paraId="148A2D9D" w14:textId="77777777" w:rsidR="00E41176" w:rsidRPr="00B25E45" w:rsidRDefault="00E41176" w:rsidP="00E41176">
      <w:pPr>
        <w:pStyle w:val="Nadpis4"/>
        <w:rPr>
          <w:i w:val="0"/>
          <w:iCs/>
        </w:rPr>
      </w:pPr>
      <w:r w:rsidRPr="00B25E45">
        <w:rPr>
          <w:i w:val="0"/>
          <w:iCs/>
        </w:rPr>
        <w:t>V A R I A N T A  1</w:t>
      </w:r>
    </w:p>
    <w:p w14:paraId="5B65970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Ustanovení § 66 odst. 2 a 3 obsahuje zvláštní žalobní legitimaci k podání žaloby ve veřejném zájmu. Zákon ji svěřuje nejvyššímu státnímu zástupci a veřejnému ochránci práv. Navrhovaná změna usiluje o sjednocení jejich postavení, neboť odlišné zacházení při podání žaloby ve stávající úpravě vyvolává jen otázky a do budoucna se jeví jako nedůvodné a neudržitelné. Napříště tak bude i ombudsmanovi postačovat, aby závažný veřejný zájem toliko shledal. </w:t>
      </w:r>
    </w:p>
    <w:p w14:paraId="635FFEAC" w14:textId="77777777" w:rsidR="00F6177A" w:rsidRPr="00B25E45" w:rsidRDefault="00F6177A" w:rsidP="00E41176">
      <w:pPr>
        <w:pStyle w:val="Nadpis4"/>
        <w:rPr>
          <w:i w:val="0"/>
          <w:iCs/>
        </w:rPr>
      </w:pPr>
      <w:r w:rsidRPr="00B25E45">
        <w:rPr>
          <w:i w:val="0"/>
          <w:iCs/>
        </w:rPr>
        <w:t>V A R I A N T A  2</w:t>
      </w:r>
    </w:p>
    <w:p w14:paraId="1CE5176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Ustanovení § 66 odst. 2 a 3 obsahuje zvláštní žalobní legitimaci k podání žaloby ve veřejném zájmu. Zákon ji svěřuje nejvyššímu státnímu zástupci a veřejnému ochránci práv. Navrhovaná změna usiluje o sjednocení jejich postavení, neboť odlišné zacházení při podání žaloby ve stávající úpravě vyvolává jen otázky a do budoucna se jeví jako nedůvodné a neudržitelné. Napříště se tak bude i od nejvyššího státního zástupce požadovat, aby prokázal na podání žaloby závažný veřejný zájem. </w:t>
      </w:r>
    </w:p>
    <w:p w14:paraId="1BBED874" w14:textId="277430F1" w:rsidR="00F6177A" w:rsidRPr="00B25E45" w:rsidRDefault="00F6177A" w:rsidP="00E41176">
      <w:pPr>
        <w:pStyle w:val="Nadpis3"/>
      </w:pPr>
      <w:r w:rsidRPr="00B25E45">
        <w:t>K</w:t>
      </w:r>
      <w:r w:rsidR="00E41176" w:rsidRPr="00B25E45">
        <w:t> </w:t>
      </w:r>
      <w:r w:rsidRPr="00B25E45">
        <w:t>bod</w:t>
      </w:r>
      <w:r w:rsidR="00E41176" w:rsidRPr="00B25E45">
        <w:t xml:space="preserve">ům 55 a </w:t>
      </w:r>
      <w:r w:rsidRPr="00B25E45">
        <w:t>56 (§ 68)</w:t>
      </w:r>
    </w:p>
    <w:p w14:paraId="0382A96B"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68 je obsažen výčet případů, ve kterých je žaloba proti rozhodnutí správního orgánu nepřípustná. Nepřípustnost žaloby vede k jejímu odmítnutí.</w:t>
      </w:r>
    </w:p>
    <w:p w14:paraId="46AA2817"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rámci tohoto ustanovení se navrhují jen dvě změny převážně technického charakteru. </w:t>
      </w:r>
    </w:p>
    <w:p w14:paraId="08D0D95E" w14:textId="2B592B72"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První z nich je vypuštění důvodu nepřípustnosti uvedeného v § 68 písm. c). Jde o důvod, podle kterého je nepřípustná žaloba proti rozhodnutí správního orgánu tehdy, je-li jediným jejím důvodem tvrzená nicotnost napadeného rozhodnutí správního orgánu. Nejvyšší správní soud totiž dovodil, že tento důvod je pozůstatkem starší úpravy vycházející z odlišného nahlížení na nicotnost rozhodnutí správního orgánu. V současnosti nemůže nastat situace, kdy by žaloba proti rozhodnutí správního orgánu byla z tohoto důvodu nepřípustná, a ustanovení § 68 písm. c) je tedy obsoletní (srov. blíže usnesení Nejvyššího správního soudu čj. 7 As 100/2010-65 z 12. března 2013).</w:t>
      </w:r>
    </w:p>
    <w:p w14:paraId="4F2FAAE9"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Druhá změna se týká důvodů nepřípustnosti uvedeného v § 68 písm. f), pokud žaloba proti rozhodnutí správního orgánu sleduje zjevné zneužití práva. Jde o důvod, který byl do platné právní úpravy doplněn novelizujícím zákonem č. 284/2021 Sb. a který </w:t>
      </w:r>
      <w:proofErr w:type="gramStart"/>
      <w:r w:rsidRPr="00B25E45">
        <w:rPr>
          <w:rFonts w:ascii="Times New Roman" w:hAnsi="Times New Roman"/>
          <w:sz w:val="24"/>
        </w:rPr>
        <w:t>míří</w:t>
      </w:r>
      <w:proofErr w:type="gramEnd"/>
      <w:r w:rsidRPr="00B25E45">
        <w:rPr>
          <w:rFonts w:ascii="Times New Roman" w:hAnsi="Times New Roman"/>
          <w:sz w:val="24"/>
        </w:rPr>
        <w:t xml:space="preserve"> na tzv. šikanózní návrhy. Nevýhodou platné úpravy je, že dopadá pouze na žaloby proti rozhodnutí správního orgánu. Proto se navrhuje její zobecnění na všechny typy žalob a návrhů, s čímž je spojeno přesunutí pravidla mezi obecná ustanovení o řízení (k tomu blíže u novelizačního bodu 35).</w:t>
      </w:r>
    </w:p>
    <w:p w14:paraId="72BC9C96" w14:textId="77777777" w:rsidR="00F6177A" w:rsidRPr="00B25E45" w:rsidRDefault="00F6177A" w:rsidP="00E41176">
      <w:pPr>
        <w:pStyle w:val="Nadpis3"/>
      </w:pPr>
      <w:r w:rsidRPr="00B25E45">
        <w:t>K bodu 57 (§ 69)</w:t>
      </w:r>
    </w:p>
    <w:p w14:paraId="48D00E91" w14:textId="3123283A"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řízení o žalobě proti rozhodnutí správního orgánu je podle § 69 žalovaným správní orgán, který rozhodl v posledním stupni. Jak se z tohoto ustanovení podává, v řízení o žalobě proti správnímu rozhodnutí je žalovaný určen nikoli podle toho, koho jako žalovaného </w:t>
      </w:r>
      <w:proofErr w:type="gramStart"/>
      <w:r w:rsidRPr="00B25E45">
        <w:rPr>
          <w:rFonts w:ascii="Times New Roman" w:hAnsi="Times New Roman"/>
          <w:sz w:val="24"/>
        </w:rPr>
        <w:t>označí</w:t>
      </w:r>
      <w:proofErr w:type="gramEnd"/>
      <w:r w:rsidRPr="00B25E45">
        <w:rPr>
          <w:rFonts w:ascii="Times New Roman" w:hAnsi="Times New Roman"/>
          <w:sz w:val="24"/>
        </w:rPr>
        <w:t xml:space="preserve"> žalobce, nýbrž kogentně podle žalobou napadeného rozhodnutí. Současně je platnou právní </w:t>
      </w:r>
      <w:r w:rsidRPr="00B25E45">
        <w:rPr>
          <w:rFonts w:ascii="Times New Roman" w:hAnsi="Times New Roman"/>
          <w:sz w:val="24"/>
        </w:rPr>
        <w:lastRenderedPageBreak/>
        <w:t xml:space="preserve">úpravou pamatováno na situaci, kdy je žalobou napadáno rozhodnutí správního orgánu, který zanikl; v takové situaci je podle § 69 žalovaným správní orgán, na který přešla působnost správního orgánu, který žalobou napadené rozhodnutí vydal. Platná právní úprava ovšem nijak nepamatuje na situaci, kdy správní orgán zanikne bez přechodu jeho působnosti na jiný správní orgán. Nejvyšší správní soud dovodil, že v takovém případě probíhá řízení pouze s žalobcem a na straně žalované nikdo nevystupuje, jakož i že neexistence žalovaného není důvodem pro odmítnutí žaloby (srov. blíže rozsudek Nejvyššího správního soudu čj. 2 As 82/2006-82 z 27. června 2007). Rozhodnutí správních orgánů, které zanikly bez přechodu jejich působnosti na nový správní orgán, by podle Nejvyššího správního soudu v opačném případě byly soudně nepřezkoumatelné, což by bylo v rozporu s čl. 36 odst. 2 Listiny základních práv a svobod a představovalo by </w:t>
      </w:r>
      <w:proofErr w:type="spellStart"/>
      <w:r w:rsidRPr="00B25E45">
        <w:rPr>
          <w:rFonts w:ascii="Times New Roman" w:hAnsi="Times New Roman"/>
          <w:i/>
          <w:iCs/>
          <w:sz w:val="24"/>
        </w:rPr>
        <w:t>denegatio</w:t>
      </w:r>
      <w:proofErr w:type="spellEnd"/>
      <w:r w:rsidRPr="00B25E45">
        <w:rPr>
          <w:rFonts w:ascii="Times New Roman" w:hAnsi="Times New Roman"/>
          <w:i/>
          <w:iCs/>
          <w:sz w:val="24"/>
        </w:rPr>
        <w:t xml:space="preserve"> </w:t>
      </w:r>
      <w:proofErr w:type="spellStart"/>
      <w:r w:rsidRPr="00B25E45">
        <w:rPr>
          <w:rFonts w:ascii="Times New Roman" w:hAnsi="Times New Roman"/>
          <w:i/>
          <w:iCs/>
          <w:sz w:val="24"/>
        </w:rPr>
        <w:t>iustitiae</w:t>
      </w:r>
      <w:proofErr w:type="spellEnd"/>
      <w:r w:rsidRPr="00B25E45">
        <w:rPr>
          <w:rFonts w:ascii="Times New Roman" w:hAnsi="Times New Roman"/>
          <w:sz w:val="24"/>
        </w:rPr>
        <w:t xml:space="preserve">. </w:t>
      </w:r>
    </w:p>
    <w:p w14:paraId="70CBB60D"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Z těchto důvodů, jakož i z důvodu zvýšení přehlednosti právní úpravy ve vztahu k jejím adresátům, se navrhuje zakotvení pravidla pro řešení takové situace do zákona. Současně bude toto pravidlo rozšířeno i na ostatní řízení, u nichž to přichází v úvahu (kupř. řízení o žalobě na ochranu proti nečinnosti podle § 79 a před nezákonným zásahem dle § 83).</w:t>
      </w:r>
    </w:p>
    <w:p w14:paraId="521407B5" w14:textId="77777777" w:rsidR="00F6177A" w:rsidRPr="00B25E45" w:rsidRDefault="00F6177A" w:rsidP="00E41176">
      <w:pPr>
        <w:pStyle w:val="Nadpis3"/>
      </w:pPr>
      <w:r w:rsidRPr="00B25E45">
        <w:t>K bodům 58 a 60 (§ 71 odst. 1 a § 72 odst. 1)</w:t>
      </w:r>
    </w:p>
    <w:p w14:paraId="657895AD"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72 jsou upraveny lhůty pro podání žaloby proti rozhodnutí správního orgánu. Základní úprava je obsažena v § 72 odst. 1 a stanoví, že lhůta pro podání žaloby proti rozhodnutí správního orgánu činí dva měsíce ode dne, kdy bylo rozhodnutí žalobci oznámeno doručením jeho písemného vyhotovení nebo jiným zákonem stanoveným způsobem.</w:t>
      </w:r>
    </w:p>
    <w:p w14:paraId="5E12EF67" w14:textId="41089CB2"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Avšak vzhledem k vymezení žalobní legitimace v § 65 odst. 1 může nastat situace, kdy oprávněna podat žalobu proti rozhodnutí správního orgánu bude i osoba, která nebyla účastníkem řízení. Té ovšem toto rozhodnutí nebylo oznámeno, což znamená, že není zákonem určen počátek lhůty, ve které má tato osoba podat žalobu. Navrhuje se proto tuto legislativní mezeru odstranit doplněním, že v takovém případě počne lhůta k podání žaloby plynout okamžikem, kdy se žalobce prokazatelně seznámil se skutečností, že rozhodnutí bylo vydáno, a s jeho obsahem (srov. blíže rozsudek Nejvyššího správního soudu čj. 1 </w:t>
      </w:r>
      <w:proofErr w:type="spellStart"/>
      <w:r w:rsidRPr="00B25E45">
        <w:rPr>
          <w:rFonts w:ascii="Times New Roman" w:hAnsi="Times New Roman"/>
          <w:sz w:val="24"/>
        </w:rPr>
        <w:t>Afs</w:t>
      </w:r>
      <w:proofErr w:type="spellEnd"/>
      <w:r w:rsidRPr="00B25E45">
        <w:rPr>
          <w:rFonts w:ascii="Times New Roman" w:hAnsi="Times New Roman"/>
          <w:sz w:val="24"/>
        </w:rPr>
        <w:t xml:space="preserve"> 52/2014-38 z 25. června 2014 nebo rozsudek Nejvyššího správního soudu čj. 5 </w:t>
      </w:r>
      <w:proofErr w:type="spellStart"/>
      <w:r w:rsidRPr="00B25E45">
        <w:rPr>
          <w:rFonts w:ascii="Times New Roman" w:hAnsi="Times New Roman"/>
          <w:sz w:val="24"/>
        </w:rPr>
        <w:t>Afs</w:t>
      </w:r>
      <w:proofErr w:type="spellEnd"/>
      <w:r w:rsidRPr="00B25E45">
        <w:rPr>
          <w:rFonts w:ascii="Times New Roman" w:hAnsi="Times New Roman"/>
          <w:sz w:val="24"/>
        </w:rPr>
        <w:t xml:space="preserve"> 10/2011-94 z 17. června 2011).</w:t>
      </w:r>
    </w:p>
    <w:p w14:paraId="17772F4B" w14:textId="77777777" w:rsidR="00F6177A" w:rsidRPr="00B25E45" w:rsidRDefault="00F6177A" w:rsidP="00E41176">
      <w:pPr>
        <w:pStyle w:val="Nadpis3"/>
      </w:pPr>
      <w:r w:rsidRPr="00B25E45">
        <w:t>K bodu 59 (§ 71 odst. 2)</w:t>
      </w:r>
    </w:p>
    <w:p w14:paraId="525E00CD"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 71 jsou upraveny náležitosti žaloby proti rozhodnutí správního orgánu. V § 71 odst. 2 je potom konkrétně obsažena jedna náležitost, a to opis napadeného rozhodnutí správního orgánu jako příloha žaloby. V praxi se ovšem ukázalo, že připojení pouze opisu napadeného rozhodnutí správního orgánu není vždy dostačující. Rozhodnutí, které je žalobou napadáno, je totiž rozhodnutím správního orgánu v posledním stupni. Tomu zpravidla odpovídá i obsah tohoto rozhodnutí, které se </w:t>
      </w:r>
      <w:proofErr w:type="gramStart"/>
      <w:r w:rsidRPr="00B25E45">
        <w:rPr>
          <w:rFonts w:ascii="Times New Roman" w:hAnsi="Times New Roman"/>
          <w:sz w:val="24"/>
        </w:rPr>
        <w:t>spíše</w:t>
      </w:r>
      <w:proofErr w:type="gramEnd"/>
      <w:r w:rsidRPr="00B25E45">
        <w:rPr>
          <w:rFonts w:ascii="Times New Roman" w:hAnsi="Times New Roman"/>
          <w:sz w:val="24"/>
        </w:rPr>
        <w:t xml:space="preserve"> než na samotnou věc zaměřuje na vypořádání námitek obsažených v podaném opravném prostředku. </w:t>
      </w:r>
    </w:p>
    <w:p w14:paraId="7B5186EB"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Vzhledem k této skutečnosti se navrhuje upravit tuto náležitost tak, aby se k žalobě připojoval nejen opis napadeného rozhodnutí správního orgánu, ale i opis rozhodnutí správního orgánu </w:t>
      </w:r>
      <w:r w:rsidRPr="00B25E45">
        <w:rPr>
          <w:rFonts w:ascii="Times New Roman" w:hAnsi="Times New Roman"/>
          <w:sz w:val="24"/>
        </w:rPr>
        <w:lastRenderedPageBreak/>
        <w:t>vydaného v prvním stupni. Tím bude soudu umožněno ověřit si, jaká záležitost byla předmětem správního řízení, a podle toho si posoudit, je-li věcně a místně příslušný k projednání a rozhodnutí žaloby a jaké má být obsazení soudu (tj., zda jde o věc, která má být projednána a rozhodnuta senátem nebo specializovaným samosoudcem).</w:t>
      </w:r>
    </w:p>
    <w:p w14:paraId="01B1EC65" w14:textId="57E48F33"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 71 odst. 2 je dále obsažena úprava toho, dokdy smí žalobce rozšiřovat a omezovat rozsah žaloby i jednotlivé žalobní body. Navrhuje se její zpřesnění v souladu s ustáleným výkladem Nejvyššího správního soudu. Zatímco dosavadní úprava hovoří o tom, že po uplynutí lhůty k podání žaloby není možné žalobu rozšiřovat o další žalobní body, Nejvyšší správní soud dospěl k závěru, že toto omezení se vztahuje i na rozšíření žalobních bodů obsažených v žalobě nebo o situaci uplatnění prvního žalobního bodu (srov. blíže rozsudek Nejvyššího správního soudu čj. 8 </w:t>
      </w:r>
      <w:proofErr w:type="spellStart"/>
      <w:r w:rsidRPr="00B25E45">
        <w:rPr>
          <w:rFonts w:ascii="Times New Roman" w:hAnsi="Times New Roman"/>
          <w:sz w:val="24"/>
        </w:rPr>
        <w:t>Afs</w:t>
      </w:r>
      <w:proofErr w:type="spellEnd"/>
      <w:r w:rsidRPr="00B25E45">
        <w:rPr>
          <w:rFonts w:ascii="Times New Roman" w:hAnsi="Times New Roman"/>
          <w:sz w:val="24"/>
        </w:rPr>
        <w:t xml:space="preserve"> 91/2007-47 z 16. září 2008, rozsudek Nejvyššího správního soudu čj. 8 As 70/2011-239 z 26. srpna 2013 nebo rozsudek Nejvyššího správního soudu čj. 10 </w:t>
      </w:r>
      <w:proofErr w:type="spellStart"/>
      <w:r w:rsidRPr="00B25E45">
        <w:rPr>
          <w:rFonts w:ascii="Times New Roman" w:hAnsi="Times New Roman"/>
          <w:sz w:val="24"/>
        </w:rPr>
        <w:t>Afs</w:t>
      </w:r>
      <w:proofErr w:type="spellEnd"/>
      <w:r w:rsidRPr="00B25E45">
        <w:rPr>
          <w:rFonts w:ascii="Times New Roman" w:hAnsi="Times New Roman"/>
          <w:sz w:val="24"/>
        </w:rPr>
        <w:t xml:space="preserve"> 330/2016-36 z 31. srpna 2017). Pro zvýšení právní jistoty adresátů jednajících v důvěře v text zákona se navrhuje vtělit tyto závěry Nejvyššího správního soudu přímo do platné úpravy.</w:t>
      </w:r>
    </w:p>
    <w:p w14:paraId="21C69E7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Vedle toho se úprava koncentrace rozšiřuje i na uplatnění nových žalobních tvrzení a navržení nových důkazů, podobně jako tomu je v občanském soudním řádu.</w:t>
      </w:r>
    </w:p>
    <w:p w14:paraId="5BB9B816"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Současně se navrhuje úpravu koncentrace zmírnit a doplnit ji o výjimku, která umožní rozšiřovat rozsah žaloby a žalobních bodů, popř. nových tvrzení a důkazů, i po uplynutí k tomu stanovené lhůty, a to v případě, byl-li k tomu účastník soudem vyzván nebo nemohl-li tak dříve bez své viny učinit (typ. jde o případy, kdy se žalobce až po uplynutí zákonem stanovených lhůt dozví o existenci důkazu podporujícího jeho tvrzení). Nutno dodat, že jde o výjimku, která </w:t>
      </w:r>
      <w:proofErr w:type="gramStart"/>
      <w:r w:rsidRPr="00B25E45">
        <w:rPr>
          <w:rFonts w:ascii="Times New Roman" w:hAnsi="Times New Roman"/>
          <w:sz w:val="24"/>
        </w:rPr>
        <w:t>šetří</w:t>
      </w:r>
      <w:proofErr w:type="gramEnd"/>
      <w:r w:rsidRPr="00B25E45">
        <w:rPr>
          <w:rFonts w:ascii="Times New Roman" w:hAnsi="Times New Roman"/>
          <w:sz w:val="24"/>
        </w:rPr>
        <w:t xml:space="preserve"> právo účastníka na spravedlivý proces a kterou zná i úprava civilního sporného řízení. </w:t>
      </w:r>
    </w:p>
    <w:p w14:paraId="7ED7FCB4"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Cílem navrhovaných změn koncentrace by tak měl být stav, že žalobce musí uvést všechny důvody a jemu známé skutečnosti a důkazy ihned na počátku řízení. Následně již nebude možné další žalobní body, tvrzení či skutečnosti uplatňovat, ledaže bude naplněna výjimka, že žalobce tyto důvody nemohl bez svého zavinění uplatnit dříve nebo byl k jejich uplatnění vyzván soudem (např. z důvodu volby nesprávného žalobního typu a poučení soudu ke změně žaloby).</w:t>
      </w:r>
    </w:p>
    <w:p w14:paraId="3F0687FE" w14:textId="77777777" w:rsidR="00F6177A" w:rsidRPr="00B25E45" w:rsidRDefault="00F6177A" w:rsidP="00E41176">
      <w:pPr>
        <w:pStyle w:val="Nadpis3"/>
      </w:pPr>
      <w:r w:rsidRPr="00B25E45">
        <w:t>K bodu 61 (§ 72 odst. 2)</w:t>
      </w:r>
    </w:p>
    <w:p w14:paraId="789BE5D3"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72 jsou upraveny lhůty pro podání žaloby proti rozhodnutí správního orgánu. Základní úprava je obsažena v § 72 odst. 1 a stanoví, že lhůta pro podání žaloby proti rozhodnutí správního orgánu činí dva měsíce ode dne, kdy bylo rozhodnutí žalobci oznámeno doručením jeho písemného vyhotovení nebo jiným zákonem stanoveným způsobem. V § 72 odst. 2 je potom obsažena speciální úprava určující lhůtu pro podání této žaloby pro žalobce se zvláštní žalobní legitimací (tj. správní orgán určený zvláštním zákonem, nejvyšší státní zástupce a veřejný ochránce práv), přičemž v tomto případě činí lhůta tři roky od právní moci rozhodnutí.</w:t>
      </w:r>
    </w:p>
    <w:p w14:paraId="0FCCC59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Dosavadní úpravě je vytýkána nejednotnost lhůt pro podání jednotlivých žalob a návrhů. Srovnají-li se žaloby a návrhy v praxi nejčastěji užívané, pak lze dojít k následujícímu závěru:</w:t>
      </w:r>
    </w:p>
    <w:p w14:paraId="3DC50819" w14:textId="77777777" w:rsidR="00F6177A" w:rsidRPr="00B25E45" w:rsidRDefault="00F6177A" w:rsidP="00F6177A">
      <w:pPr>
        <w:numPr>
          <w:ilvl w:val="0"/>
          <w:numId w:val="47"/>
        </w:numPr>
        <w:spacing w:before="120"/>
        <w:jc w:val="both"/>
        <w:rPr>
          <w:rFonts w:ascii="Times New Roman" w:hAnsi="Times New Roman"/>
          <w:sz w:val="24"/>
        </w:rPr>
      </w:pPr>
      <w:r w:rsidRPr="00B25E45">
        <w:rPr>
          <w:rFonts w:ascii="Times New Roman" w:hAnsi="Times New Roman"/>
          <w:sz w:val="24"/>
        </w:rPr>
        <w:lastRenderedPageBreak/>
        <w:t xml:space="preserve">u žaloby proti rozhodnutí správního orgánu je stanovena subjektivní lhůta o délce dva měsíce, resp. pro žalobce se zvláštní legitimací objektivní lhůta o délce tři roky (§ 72 odst. 1 a 2), </w:t>
      </w:r>
    </w:p>
    <w:p w14:paraId="4AD4838B" w14:textId="77777777" w:rsidR="00F6177A" w:rsidRPr="00B25E45" w:rsidRDefault="00F6177A" w:rsidP="00F6177A">
      <w:pPr>
        <w:numPr>
          <w:ilvl w:val="0"/>
          <w:numId w:val="47"/>
        </w:numPr>
        <w:spacing w:before="120"/>
        <w:jc w:val="both"/>
        <w:rPr>
          <w:rFonts w:ascii="Times New Roman" w:hAnsi="Times New Roman"/>
          <w:sz w:val="24"/>
        </w:rPr>
      </w:pPr>
      <w:r w:rsidRPr="00B25E45">
        <w:rPr>
          <w:rFonts w:ascii="Times New Roman" w:hAnsi="Times New Roman"/>
          <w:sz w:val="24"/>
        </w:rPr>
        <w:t xml:space="preserve">u žaloby na ochranu proti nečinnosti správního orgánu je stanovena objektivní lhůta o délce jednoho roku (§ 80 odst. 1), </w:t>
      </w:r>
    </w:p>
    <w:p w14:paraId="55C74AE1" w14:textId="77777777" w:rsidR="00F6177A" w:rsidRPr="00B25E45" w:rsidRDefault="00F6177A" w:rsidP="00F6177A">
      <w:pPr>
        <w:numPr>
          <w:ilvl w:val="0"/>
          <w:numId w:val="47"/>
        </w:numPr>
        <w:spacing w:before="120"/>
        <w:jc w:val="both"/>
        <w:rPr>
          <w:rFonts w:ascii="Times New Roman" w:hAnsi="Times New Roman"/>
          <w:sz w:val="24"/>
        </w:rPr>
      </w:pPr>
      <w:r w:rsidRPr="00B25E45">
        <w:rPr>
          <w:rFonts w:ascii="Times New Roman" w:hAnsi="Times New Roman"/>
          <w:sz w:val="24"/>
        </w:rPr>
        <w:t xml:space="preserve">u žaloby na ochranu před nezákonným zásahem, pokynem nebo donucením je stanovena subjektivní lhůta o délce dva měsíce ode dne, kdy se žalobce dozvěděl o nezákonném zásahu, pokynu nebo donucení, v kombinaci s objektivní lhůtou o délce dva roky od okamžiku, kdy k zásahu, pokynu nebo donucení došlo (§ 84 odst. 1), </w:t>
      </w:r>
    </w:p>
    <w:p w14:paraId="59907C58" w14:textId="77777777" w:rsidR="00F6177A" w:rsidRPr="00B25E45" w:rsidRDefault="00F6177A" w:rsidP="00F6177A">
      <w:pPr>
        <w:numPr>
          <w:ilvl w:val="0"/>
          <w:numId w:val="47"/>
        </w:numPr>
        <w:spacing w:before="120"/>
        <w:jc w:val="both"/>
        <w:rPr>
          <w:rFonts w:ascii="Times New Roman" w:hAnsi="Times New Roman"/>
          <w:sz w:val="24"/>
        </w:rPr>
      </w:pPr>
      <w:r w:rsidRPr="00B25E45">
        <w:rPr>
          <w:rFonts w:ascii="Times New Roman" w:hAnsi="Times New Roman"/>
          <w:sz w:val="24"/>
        </w:rPr>
        <w:t>u návrhu na zrušení opatření obecné povahy nebo jeho části je stanovena objektivní lhůta jednoho roku ode dne, kdy napadené opatření obecné povahy nabylo účinnosti (§ 101b odst. 1).</w:t>
      </w:r>
    </w:p>
    <w:p w14:paraId="16FF174F"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Lze souhlasit s tím, že nejednotnost lhůt k podání žaloby může zvyšovat nároky na adresáty v tom, aby si v případě pochybností ověřovali, kolik činí lhůta pro podání konkrétní žaloby nebo návrhu. Naopak i dílčí sjednocení lhůt může přispět k předvídatelnosti práva v očích adresátů.</w:t>
      </w:r>
    </w:p>
    <w:p w14:paraId="532DF549"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Z tohoto důvodu se navrhuje provést dílčí sjednocení lhůt pro podání žaloby. Jako základ přitom byla na základě analýzy dosavadní úpravy zvolena varianta v podobě dvouměsíční subjektivní lhůty a dvouleté objektivní lhůty (tj. tak, jak je to nyní u žaloby na ochranu před nezákonným zásahem, pokynem nebo donucením správního orgánu). Jde o takovou kombinaci, která se bude snadno pamatovat (ústředním pojmem je číslice 2), a zároveň tato varianta bude vyžadovat nejméně změn, konkrétně pak zkrácení objektivní tříleté lhůty u žaloby proti rozhodnutí správního orgánu a prodloužení dosavadní jednoleté objektivní lhůty u žaloby na ochranu proti nečinnosti správního orgánu. </w:t>
      </w:r>
    </w:p>
    <w:p w14:paraId="2527C537"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Pokud jde o lhůtu k podání návrhu na zrušení opatření obecné povahy nebo jeho části, pak u ní není v současnosti sjednocení navrhováno, neboť k úpravě délky této lhůty došlo teprve nedávno, přičemž není v zájmu činit časté změny téže záležitosti.</w:t>
      </w:r>
    </w:p>
    <w:p w14:paraId="01C5A4B4" w14:textId="77777777" w:rsidR="00F6177A" w:rsidRPr="00B25E45" w:rsidRDefault="00F6177A" w:rsidP="00E41176">
      <w:pPr>
        <w:pStyle w:val="Nadpis3"/>
      </w:pPr>
      <w:r w:rsidRPr="00B25E45">
        <w:t>K bodu 62 (§ 72 odst. 3)</w:t>
      </w:r>
    </w:p>
    <w:p w14:paraId="164C3914"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Podle § 72 odst. 3 platí, že je-li podána žaloba proti rozhodnutí správního orgánu v návaznosti na zastavení civilního soudního řízení o této žalobě podle § 104b odst. 1 o. s. ř., zůstávají zachovány časové účinky žaloby podané k civilnímu soudu. Žaloba je podána dnem, kdy došla civilnímu soudu. Touto formulací ale není reflektováno, že v případě podání žaloby poštou se žaloba považuje za podanou již dnem podání k poštovní přepravě a nikoli dnem dojití soudu (§ 40 odst. 4 pro soudní řízení správní; § 57 odst. 3 o. s. ř. pro civilní soudní řízení). </w:t>
      </w:r>
    </w:p>
    <w:p w14:paraId="053663C7"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Navrhuje se proto upravit tuto fikci tak, aby odpovídala smyslu tohoto ustanovení. Žalobě tak budou přiznány tytéž účinky, jaké byly spojeny s podáním této žaloby u civilního soudu. </w:t>
      </w:r>
    </w:p>
    <w:p w14:paraId="129E738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Závěrem zbývá dodat, že vedle toho se v zájmu jednotnosti navrhuje upravit ve stejném duchu totéž pravidlo pro opačné situace obsažené v § 82 odst. 3 o. s. ř., a překonat tak závěry </w:t>
      </w:r>
      <w:r w:rsidRPr="00B25E45">
        <w:rPr>
          <w:rFonts w:ascii="Times New Roman" w:hAnsi="Times New Roman"/>
          <w:sz w:val="24"/>
        </w:rPr>
        <w:lastRenderedPageBreak/>
        <w:t xml:space="preserve">stanoviska Nejvyššího soudu vydaného 9. listopadu 2011 v právním případu vedeném pod </w:t>
      </w:r>
      <w:proofErr w:type="spellStart"/>
      <w:r w:rsidRPr="00B25E45">
        <w:rPr>
          <w:rFonts w:ascii="Times New Roman" w:hAnsi="Times New Roman"/>
          <w:sz w:val="24"/>
        </w:rPr>
        <w:t>sp</w:t>
      </w:r>
      <w:proofErr w:type="spellEnd"/>
      <w:r w:rsidRPr="00B25E45">
        <w:rPr>
          <w:rFonts w:ascii="Times New Roman" w:hAnsi="Times New Roman"/>
          <w:sz w:val="24"/>
        </w:rPr>
        <w:t xml:space="preserve">. zn. </w:t>
      </w:r>
      <w:proofErr w:type="spellStart"/>
      <w:r w:rsidRPr="00B25E45">
        <w:rPr>
          <w:rFonts w:ascii="Times New Roman" w:hAnsi="Times New Roman"/>
          <w:sz w:val="24"/>
        </w:rPr>
        <w:t>Cpjn</w:t>
      </w:r>
      <w:proofErr w:type="spellEnd"/>
      <w:r w:rsidRPr="00B25E45">
        <w:rPr>
          <w:rFonts w:ascii="Times New Roman" w:hAnsi="Times New Roman"/>
          <w:sz w:val="24"/>
        </w:rPr>
        <w:t xml:space="preserve"> 201/2011.</w:t>
      </w:r>
    </w:p>
    <w:p w14:paraId="63C3D325" w14:textId="77777777" w:rsidR="00F6177A" w:rsidRPr="00B25E45" w:rsidRDefault="00F6177A" w:rsidP="00E41176">
      <w:pPr>
        <w:pStyle w:val="Nadpis3"/>
      </w:pPr>
      <w:r w:rsidRPr="00B25E45">
        <w:t>K bodům 63 a 64 (§ 73 odst. 1 a 2)</w:t>
      </w:r>
    </w:p>
    <w:p w14:paraId="6A8813FF"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73 je upraven institut odkladného účinku žaloby. Jeho smyslem je odložit účinky žalobou napadeného rozhodnutí správního orgánu.</w:t>
      </w:r>
    </w:p>
    <w:p w14:paraId="01740A83"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Dosavadní úprava je postavena na základním pravidle, že podání žaloby proti rozhodnutí správního orgánu nemá žádný vliv na právní moc nebo vykonatelnost napadeného rozhodnutí správního orgánu. Z tohoto obecného pravidla existují dvě výjimky, a to za prvé, že žalobě je přiznán odkladný účinek zvláštním zákonem (kupř. § 61 odst. 4 zákona č. 231/2001 Sb., o provozování rozhlasového a televizního vysílání), a za druhé, že je žalobě odkladný účinek přiznán na návrh žalobce rozhodnutím soudu (§ 73 odst. 2).</w:t>
      </w:r>
    </w:p>
    <w:p w14:paraId="5BC3F424" w14:textId="04B4A956"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Jako problematické je u tohoto institutu hodnoceno, že se v mnoha ohledech překrývá s institutem předběžného opatření. Podle dosavadní judikatury totiž platí, že lze-li účinky spojené s rozhodnutím správního orgánu odvrátit přiznáním odkladného účinku žalobě, má tento institut přednost před institutem předběžného opatření (srov. blíže usnesení Nejvyššího správního soudu </w:t>
      </w:r>
      <w:r w:rsidR="00CA0BA9" w:rsidRPr="00B25E45">
        <w:rPr>
          <w:rFonts w:ascii="Times New Roman" w:hAnsi="Times New Roman"/>
          <w:sz w:val="24"/>
        </w:rPr>
        <w:t>č</w:t>
      </w:r>
      <w:r w:rsidRPr="00B25E45">
        <w:rPr>
          <w:rFonts w:ascii="Times New Roman" w:hAnsi="Times New Roman"/>
          <w:sz w:val="24"/>
        </w:rPr>
        <w:t xml:space="preserve">j. Na 112/2006-37 z 24. května 2006). Onu problematičnost lze pak spatřovat za prvé v jeho velmi širokém dopadu, kdy přiznáním odkladného účinku žalobě se pozastavují všechny možné účinky žalobou napadeného rozhodnutí správního orgánu, a za druhé v jeho působení </w:t>
      </w:r>
      <w:r w:rsidRPr="00B25E45">
        <w:rPr>
          <w:rFonts w:ascii="Times New Roman" w:hAnsi="Times New Roman"/>
          <w:i/>
          <w:iCs/>
          <w:sz w:val="24"/>
        </w:rPr>
        <w:t xml:space="preserve">pro </w:t>
      </w:r>
      <w:proofErr w:type="spellStart"/>
      <w:r w:rsidRPr="00B25E45">
        <w:rPr>
          <w:rFonts w:ascii="Times New Roman" w:hAnsi="Times New Roman"/>
          <w:i/>
          <w:iCs/>
          <w:sz w:val="24"/>
        </w:rPr>
        <w:t>futuro</w:t>
      </w:r>
      <w:proofErr w:type="spellEnd"/>
      <w:r w:rsidRPr="00B25E45">
        <w:rPr>
          <w:rFonts w:ascii="Times New Roman" w:hAnsi="Times New Roman"/>
          <w:sz w:val="24"/>
        </w:rPr>
        <w:t>, když přiznání odkladného účinku žaloby nepůsobí zpětně nýbrž až od vykonatelnosti rozhodnutí soudu o přiznání odkladného účinku žalobě (to kupř. znamená, že stalo-li se do té doby napadené rozhodnutí správního orgánu vykonatelným, bylo nutné se jím do doby přiznání odkladného účinku žalobě řídit, přičemž v té době mohlo toto rozhodnutí přivodit určité následky).</w:t>
      </w:r>
    </w:p>
    <w:p w14:paraId="0779FDE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Vzhledem k oběma právě uvedeným důvodům se navrhuje dosavadní vztah těchto institutů upravit, a to omezením použitelnosti institutu odkladného účinku žaloby ve prospěch institutu předběžného opatření. Institut předběžného opatření totiž lépe umožňuje konkretizovat, co má být dotčeno. Oproti institutu odkladného účinku žaloby, jehož přiznáním se odkládají všechny účinky napadeného rozhodnutí správního orgánu, dochází u institutu předběžného opatření k omezení šíře účinků na nezbytné minimum tak, aby nedocházelo ke zbytečným a nedůvodným zásahům do práv třetích osob.</w:t>
      </w:r>
    </w:p>
    <w:p w14:paraId="6E0DFFF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Nutno dodat, že navrhované omezení institutu odkladného účinku žaloby se bude týkat pouze odkladných účinků přiznaných žalobě na návrh rozhodnutím soudu podle obecné úpravy soudního řádu správního. Navrhuje se totiž, aby návrh na přiznání odkladného účinku šlo podat nikoli proti každému rozhodnutí správního orgánu, nýbrž pouze tehdy, pokud to výslovně umožní zvláštní zákon. Tím bude tento institut omezen skutečně pouze na případy, ve kterých je jeho ponechání žádoucí. Současně je tím dán prostor, aby zvláštní zákon podle potřeby zpřesnil, jaké účinky se přiznáním odkladného účinku odkládají.</w:t>
      </w:r>
    </w:p>
    <w:p w14:paraId="2A20EB3D"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případech, ve kterých nebude mít žaloba odkladný účinek ze zákona a ve kterých ani nebude zvláštním zákonem výslovně umožněno podání návrhu na přiznání odkladného účinku žalobě </w:t>
      </w:r>
      <w:r w:rsidRPr="00B25E45">
        <w:rPr>
          <w:rFonts w:ascii="Times New Roman" w:hAnsi="Times New Roman"/>
          <w:sz w:val="24"/>
        </w:rPr>
        <w:lastRenderedPageBreak/>
        <w:t>rozhodnutím soudu, budou mít účastníci řízení nově prostor domáhat se nařízení předběžného opatřením, kterým by byla někomu uložena zatímní povinnost něco vykonat, něčeho se zdržet nebo něco snášet. Půjde tak kupř. nařídit předběžné opatření, kterým bude jiné osobě zatímně zakázáno vykonat právo přiznané jí napadeným rozhodnutím správního orgánu (kupř. stavebníkovi bude zatímně zakázáno provést stavbu podle napadeného stavebního povolení).</w:t>
      </w:r>
    </w:p>
    <w:p w14:paraId="4BED549B" w14:textId="77777777" w:rsidR="00F6177A" w:rsidRPr="00B25E45" w:rsidRDefault="00F6177A" w:rsidP="00E41176">
      <w:pPr>
        <w:pStyle w:val="Nadpis3"/>
      </w:pPr>
      <w:r w:rsidRPr="00B25E45">
        <w:t>K bodům 65 a 66 (§ 75 odst. 1 a 2)</w:t>
      </w:r>
    </w:p>
    <w:p w14:paraId="6AD3A927"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 75 je upraveno, k jakému okamžiku a v jakém rozsahu soud přezkoumává napadené rozhodnutí správního orgánu. </w:t>
      </w:r>
    </w:p>
    <w:p w14:paraId="550D3E1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Pokud jde o stanovení okamžiku, ke kterému je napadené rozhodnutí správního orgánu soudem přezkoumáváno, potom dosavadní úprava v § 75 odst. 1 stanoví, že je to k okamžiku, který tu byl v době rozhodování správního okamžiku (jde tedy o tzv. </w:t>
      </w:r>
      <w:r w:rsidRPr="00B25E45">
        <w:rPr>
          <w:rFonts w:ascii="Times New Roman" w:hAnsi="Times New Roman"/>
          <w:i/>
          <w:iCs/>
          <w:sz w:val="24"/>
        </w:rPr>
        <w:t xml:space="preserve">ex </w:t>
      </w:r>
      <w:proofErr w:type="spellStart"/>
      <w:r w:rsidRPr="00B25E45">
        <w:rPr>
          <w:rFonts w:ascii="Times New Roman" w:hAnsi="Times New Roman"/>
          <w:i/>
          <w:iCs/>
          <w:sz w:val="24"/>
        </w:rPr>
        <w:t>tunc</w:t>
      </w:r>
      <w:proofErr w:type="spellEnd"/>
      <w:r w:rsidRPr="00B25E45">
        <w:rPr>
          <w:rFonts w:ascii="Times New Roman" w:hAnsi="Times New Roman"/>
          <w:sz w:val="24"/>
        </w:rPr>
        <w:t xml:space="preserve"> přezkum). Toto pravidlo ovšem neplatí bez výjimky, neboť do zákona č. 325/1999 Sb., o azylu byl promítnut požadavek evropského práva na zakotvení přezkumu k okamžiku rozhodování soudu (tj. tzv. </w:t>
      </w:r>
      <w:r w:rsidRPr="00B25E45">
        <w:rPr>
          <w:rFonts w:ascii="Times New Roman" w:hAnsi="Times New Roman"/>
          <w:i/>
          <w:iCs/>
          <w:sz w:val="24"/>
        </w:rPr>
        <w:t xml:space="preserve">ex </w:t>
      </w:r>
      <w:proofErr w:type="spellStart"/>
      <w:r w:rsidRPr="00B25E45">
        <w:rPr>
          <w:rFonts w:ascii="Times New Roman" w:hAnsi="Times New Roman"/>
          <w:i/>
          <w:iCs/>
          <w:sz w:val="24"/>
        </w:rPr>
        <w:t>nunc</w:t>
      </w:r>
      <w:proofErr w:type="spellEnd"/>
      <w:r w:rsidRPr="00B25E45">
        <w:rPr>
          <w:rFonts w:ascii="Times New Roman" w:hAnsi="Times New Roman"/>
          <w:sz w:val="24"/>
        </w:rPr>
        <w:t xml:space="preserve"> přezkum) ve věcech týkajících se přiznávání a odnímání statusu mezinárodní ochrany (čl. 46 odst. 3 směrnice Evropského parlamentu a Rady 2013/32/EU o společných řízeních pro přiznávání a odnímání statusu mezinárodní ochrany).</w:t>
      </w:r>
    </w:p>
    <w:p w14:paraId="7814F5F6"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Vzhledem k této skutečnosti a ve snaze zajistit soulad soudního řádu správního se zvláštními zákony se proto navrhuje doplnit toto pravidlo o dodatek, že zvláštní zákon může stanovit jinak.</w:t>
      </w:r>
    </w:p>
    <w:p w14:paraId="572CE23D"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Pokud jde o stanovení rozsahu, v jakém je napadené rozhodnutí správního orgánu soudem přezkoumáváno, potom dosavadní úprava v § 75 odst. 2 stanoví, že napadené rozhodnutí se přezkoumává v mezích žalobních bodů. K žalobní námitce soud přezkoumá i jiný úkon správního orgánu, byl-li tento úkon závazným podkladem napadeného rozhodnutí a nelze-li tento úkon napadnout samostatnou žalobou ve správním soudnictví. Dosavadní úprava však ve vztahu k přezkumu zákonnosti tohoto jiného úkonu správního orgánu, nestanoví, jaké důsledky nastanou, dospěje-li soud k závěru, že tento jiný úkon správního orgánu je nezákonný.</w:t>
      </w:r>
    </w:p>
    <w:p w14:paraId="6FF0325F"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Vzhledem k této skutečnosti se proto navrhuje doplnit dosavadní úpravu o uvedení, že dospěje-li soud k závěru, že tento jiný úkon správního orgánu je nezákonný, prohlásí jej za nezákonný. Deklarovaná nezákonnost pak povede k tomu, že jej nebude možno v dalším řízení před správním orgánem použít.</w:t>
      </w:r>
    </w:p>
    <w:p w14:paraId="6CC95C26" w14:textId="77777777" w:rsidR="00F6177A" w:rsidRPr="00B25E45" w:rsidRDefault="00F6177A" w:rsidP="00E41176">
      <w:pPr>
        <w:pStyle w:val="Nadpis3"/>
      </w:pPr>
      <w:r w:rsidRPr="00B25E45">
        <w:t>K bodu 68 (§ 78 odst. 4)</w:t>
      </w:r>
    </w:p>
    <w:p w14:paraId="03E0FE8B"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 78 je upraveno, jak soud věcně rozhodne o žalobě proti rozhodnutí správního orgánu, tj. že soud napadené rozhodnutí správního orgánu </w:t>
      </w:r>
      <w:proofErr w:type="gramStart"/>
      <w:r w:rsidRPr="00B25E45">
        <w:rPr>
          <w:rFonts w:ascii="Times New Roman" w:hAnsi="Times New Roman"/>
          <w:sz w:val="24"/>
        </w:rPr>
        <w:t>zruší</w:t>
      </w:r>
      <w:proofErr w:type="gramEnd"/>
      <w:r w:rsidRPr="00B25E45">
        <w:rPr>
          <w:rFonts w:ascii="Times New Roman" w:hAnsi="Times New Roman"/>
          <w:sz w:val="24"/>
        </w:rPr>
        <w:t xml:space="preserve">, je-li žaloba důvodná, nebo že žalobu zamítne, není-li důvodná. Ustanovení § 78 odst. 1 ve spojení s odst. 4 tak zakládá ústřední princip správního soudnictví, jehož rozhodování je založeno na kasačním principu. Obecně bylo zjištěno, že tento princip je vyhovující a nevyvolává až na výjimky (srov. dále) žádné větší obtíže. Navíc je vhodnější s ohledem na principy dělby moci, tj. aby moc soudní nepřiměřeně nezasahovala do moci výkonné. Z těchto důvodu se navrhuje princip </w:t>
      </w:r>
      <w:proofErr w:type="gramStart"/>
      <w:r w:rsidRPr="00B25E45">
        <w:rPr>
          <w:rFonts w:ascii="Times New Roman" w:hAnsi="Times New Roman"/>
          <w:sz w:val="24"/>
        </w:rPr>
        <w:t>kasace</w:t>
      </w:r>
      <w:proofErr w:type="gramEnd"/>
      <w:r w:rsidRPr="00B25E45">
        <w:rPr>
          <w:rFonts w:ascii="Times New Roman" w:hAnsi="Times New Roman"/>
          <w:sz w:val="24"/>
        </w:rPr>
        <w:t xml:space="preserve"> zachovat, avšak výjimečně připustit, aby zvláštní zákony mohly stanovit jinak. Napříště tedy bude platit, že soud </w:t>
      </w:r>
      <w:r w:rsidRPr="00B25E45">
        <w:rPr>
          <w:rFonts w:ascii="Times New Roman" w:hAnsi="Times New Roman"/>
          <w:sz w:val="24"/>
        </w:rPr>
        <w:lastRenderedPageBreak/>
        <w:t>může rozhodnutí správního orgánu pouze zrušit a věc mu vrátit k dalšímu řízení, „</w:t>
      </w:r>
      <w:r w:rsidRPr="00B25E45">
        <w:rPr>
          <w:rFonts w:ascii="Times New Roman" w:hAnsi="Times New Roman"/>
          <w:i/>
          <w:iCs/>
          <w:sz w:val="24"/>
        </w:rPr>
        <w:t>nestanoví-li zvláštní zákon jinak</w:t>
      </w:r>
      <w:r w:rsidRPr="00B25E45">
        <w:rPr>
          <w:rFonts w:ascii="Times New Roman" w:hAnsi="Times New Roman"/>
          <w:sz w:val="24"/>
        </w:rPr>
        <w:t>“.</w:t>
      </w:r>
    </w:p>
    <w:p w14:paraId="6991BACA" w14:textId="77777777" w:rsidR="00F6177A" w:rsidRPr="00B25E45" w:rsidRDefault="00F6177A" w:rsidP="00F6177A">
      <w:pPr>
        <w:spacing w:before="120"/>
        <w:jc w:val="both"/>
        <w:rPr>
          <w:rFonts w:ascii="Times New Roman" w:hAnsi="Times New Roman"/>
          <w:bCs/>
          <w:sz w:val="24"/>
        </w:rPr>
      </w:pPr>
      <w:r w:rsidRPr="00B25E45">
        <w:rPr>
          <w:rFonts w:ascii="Times New Roman" w:hAnsi="Times New Roman"/>
          <w:bCs/>
          <w:sz w:val="24"/>
        </w:rPr>
        <w:t xml:space="preserve">Tato úprava je nezbytná v kontextu rozhodnutí Soudního dvora EU C-556/17 ze dne 29. 7. 2019, ve věci </w:t>
      </w:r>
      <w:proofErr w:type="spellStart"/>
      <w:r w:rsidRPr="00B25E45">
        <w:rPr>
          <w:rFonts w:ascii="Times New Roman" w:hAnsi="Times New Roman"/>
          <w:bCs/>
          <w:sz w:val="24"/>
        </w:rPr>
        <w:t>Torubarov</w:t>
      </w:r>
      <w:proofErr w:type="spellEnd"/>
      <w:r w:rsidRPr="00B25E45">
        <w:rPr>
          <w:rFonts w:ascii="Times New Roman" w:hAnsi="Times New Roman"/>
          <w:bCs/>
          <w:sz w:val="24"/>
        </w:rPr>
        <w:t xml:space="preserve"> [bod 78 cit. rozhodnutí: „</w:t>
      </w:r>
      <w:r w:rsidRPr="00B25E45">
        <w:rPr>
          <w:rFonts w:ascii="Times New Roman" w:hAnsi="Times New Roman"/>
          <w:i/>
          <w:sz w:val="24"/>
        </w:rPr>
        <w:t xml:space="preserve">Z výše uvedeného vyplývá, že čl. 46 odst. 3 směrnice 2013/32 ve spojení s čl. 47 Listiny musí být vykládán v tom smyslu, že za takových okolností, (…) kdy soud prvního stupně po provedení úplného a ex </w:t>
      </w:r>
      <w:proofErr w:type="spellStart"/>
      <w:r w:rsidRPr="00B25E45">
        <w:rPr>
          <w:rFonts w:ascii="Times New Roman" w:hAnsi="Times New Roman"/>
          <w:i/>
          <w:sz w:val="24"/>
        </w:rPr>
        <w:t>nunc</w:t>
      </w:r>
      <w:proofErr w:type="spellEnd"/>
      <w:r w:rsidRPr="00B25E45">
        <w:rPr>
          <w:rFonts w:ascii="Times New Roman" w:hAnsi="Times New Roman"/>
          <w:i/>
          <w:sz w:val="24"/>
        </w:rPr>
        <w:t xml:space="preserve"> posouzení všech relevantních skutkových a právních okolností předložených žadatelem o mezinárodní ochranu konstatoval, že na základě kritérií stanovených ve směrnici 2011/95 musí být tomuto žadateli taková ochrana přiznána z důvodu, kterého se dovolává na podporu své žádosti, ale kdy správní nebo kvazisoudní orgán následně přijme protichůdné rozhodnutí, aniž za tímto účelem prokáže, že nastaly nové okolnosti (…), musí uvedený soud změnit toto rozhodnutí, které není v souladu s jeho předchozím rozsudkem, a nahradit jej svým vlastním rozhodnutím (…)</w:t>
      </w:r>
      <w:r w:rsidRPr="00B25E45">
        <w:rPr>
          <w:rFonts w:ascii="Times New Roman" w:hAnsi="Times New Roman"/>
          <w:sz w:val="24"/>
        </w:rPr>
        <w:t>.“</w:t>
      </w:r>
      <w:r w:rsidRPr="00B25E45">
        <w:rPr>
          <w:rFonts w:ascii="Times New Roman" w:hAnsi="Times New Roman"/>
          <w:bCs/>
          <w:sz w:val="24"/>
        </w:rPr>
        <w:t>].</w:t>
      </w:r>
    </w:p>
    <w:p w14:paraId="16B7BC3D" w14:textId="77777777" w:rsidR="00F6177A" w:rsidRPr="00B25E45" w:rsidRDefault="00F6177A" w:rsidP="00F6177A">
      <w:pPr>
        <w:spacing w:before="120"/>
        <w:jc w:val="both"/>
        <w:rPr>
          <w:rFonts w:ascii="Times New Roman" w:hAnsi="Times New Roman"/>
          <w:bCs/>
          <w:sz w:val="24"/>
        </w:rPr>
      </w:pPr>
      <w:r w:rsidRPr="00B25E45">
        <w:rPr>
          <w:rFonts w:ascii="Times New Roman" w:hAnsi="Times New Roman"/>
          <w:bCs/>
          <w:sz w:val="24"/>
        </w:rPr>
        <w:t>Obdobným způsobem by měla být řešena také otázka § 16 zákona č. 48/1997 Sb., o veřejném zdravotním pojištění.</w:t>
      </w:r>
    </w:p>
    <w:p w14:paraId="21BD365F"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Dosavadní úprava dále nijak neupravuje, k jakému okamžiku nastávají účinky soudního rozhodnutí. To vyvolává v praxi nejasnosti zejména v situaci, kdy soud žalobě vyhoví a napadené rozhodnutí správního orgánu </w:t>
      </w:r>
      <w:proofErr w:type="gramStart"/>
      <w:r w:rsidRPr="00B25E45">
        <w:rPr>
          <w:rFonts w:ascii="Times New Roman" w:hAnsi="Times New Roman"/>
          <w:sz w:val="24"/>
        </w:rPr>
        <w:t>ruší</w:t>
      </w:r>
      <w:proofErr w:type="gramEnd"/>
      <w:r w:rsidRPr="00B25E45">
        <w:rPr>
          <w:rFonts w:ascii="Times New Roman" w:hAnsi="Times New Roman"/>
          <w:sz w:val="24"/>
        </w:rPr>
        <w:t>.</w:t>
      </w:r>
    </w:p>
    <w:p w14:paraId="72DB958D"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Druhá navrhovaná změna tento nedostatek napravuje a chybějící úpravu doplňuje. Inspirací přitom je řešení této otázky v rámci úpravy účinků rozhodnutí vydaného v přezkumném řízení obsažená ve správním řádu. Ta je totiž ucelená a podrobná, když odlišuje, zda přezkoumávaným rozhodnutím bylo přiznáno právo nebo uložena povinnost. Vzhledem k tomu se proto navrhuje její úplné převzetí i do úpravy správního soudnictví.</w:t>
      </w:r>
    </w:p>
    <w:p w14:paraId="6D054785" w14:textId="77777777" w:rsidR="00F6177A" w:rsidRPr="00B25E45" w:rsidRDefault="00F6177A" w:rsidP="00E41176">
      <w:pPr>
        <w:pStyle w:val="Nadpis3"/>
      </w:pPr>
      <w:r w:rsidRPr="00B25E45">
        <w:t>K bodu 69 (§ 79 odst. 1)</w:t>
      </w:r>
    </w:p>
    <w:p w14:paraId="7E95988C" w14:textId="685B7EC4"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Odborná právní nauka a ustálená rozhodovací praxe Nejvyššího správního soudu stanovila další, v zákoně výslovně nezmíněný předpoklad legitimace k podání žaloby na ochranu proti nečinnosti správního orgánu. Podat žalobu na ochranu proti nečinnosti správního orgánu může jen ten, kdo tuto nečinnost správního orgánu nezpůsobil (srov. blíže rozsudek Nejvyššího správního soudu čj. 2 </w:t>
      </w:r>
      <w:proofErr w:type="spellStart"/>
      <w:r w:rsidRPr="00B25E45">
        <w:rPr>
          <w:rFonts w:ascii="Times New Roman" w:hAnsi="Times New Roman"/>
          <w:sz w:val="24"/>
        </w:rPr>
        <w:t>Ans</w:t>
      </w:r>
      <w:proofErr w:type="spellEnd"/>
      <w:r w:rsidRPr="00B25E45">
        <w:rPr>
          <w:rFonts w:ascii="Times New Roman" w:hAnsi="Times New Roman"/>
          <w:sz w:val="24"/>
        </w:rPr>
        <w:t> 14/2012</w:t>
      </w:r>
      <w:r w:rsidRPr="00B25E45">
        <w:rPr>
          <w:rFonts w:ascii="Times New Roman" w:hAnsi="Times New Roman"/>
          <w:sz w:val="24"/>
        </w:rPr>
        <w:noBreakHyphen/>
        <w:t xml:space="preserve">41 z 10. prosince 2012). </w:t>
      </w:r>
    </w:p>
    <w:p w14:paraId="4C0A2DF7"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zájmu zvýšení přehlednosti právní úpravy ve vztahu k jejím adresátům se navrhuje zakotvení tohoto předpokladu přímo do zákona. Soudní řád správní bude díky tomu rovněž korespondovat s § 71 odst. 4 správního řádu obsahujícím stejné pravidlo pro správní řízení.</w:t>
      </w:r>
    </w:p>
    <w:p w14:paraId="34B2C9DF" w14:textId="77777777" w:rsidR="00E41176" w:rsidRPr="00B25E45" w:rsidRDefault="00E41176" w:rsidP="00E41176">
      <w:pPr>
        <w:pStyle w:val="Nadpis3"/>
      </w:pPr>
      <w:r w:rsidRPr="00B25E45">
        <w:t>K bodu 70 (§ 79 odst. 2)</w:t>
      </w:r>
    </w:p>
    <w:p w14:paraId="3D92475B" w14:textId="77777777" w:rsidR="00F6177A" w:rsidRPr="00B25E45" w:rsidRDefault="00F6177A" w:rsidP="00E41176">
      <w:pPr>
        <w:pStyle w:val="Nadpis4"/>
        <w:rPr>
          <w:i w:val="0"/>
          <w:iCs/>
        </w:rPr>
      </w:pPr>
      <w:r w:rsidRPr="00B25E45">
        <w:rPr>
          <w:i w:val="0"/>
          <w:iCs/>
        </w:rPr>
        <w:t>V A R I A N T A  1</w:t>
      </w:r>
    </w:p>
    <w:p w14:paraId="2E75D704"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Již stávající úprava soudního řádu správního zakotvuje zvláštní žalobní legitimaci pro veřejného ochránce práv a nejvyššího státního zástupce za účelem ochrany veřejného zájmu. Oprávnění je však nyní omezeno pouze na žaloby proti rozhodnutí správního orgánu. Veřejný zájem však může být dán i v jiných případech činnosti veřejné správy, včetně nečinnosti </w:t>
      </w:r>
      <w:r w:rsidRPr="00B25E45">
        <w:rPr>
          <w:rFonts w:ascii="Times New Roman" w:hAnsi="Times New Roman"/>
          <w:sz w:val="24"/>
        </w:rPr>
        <w:lastRenderedPageBreak/>
        <w:t>správního orgánu. Z tohoto důvodu se navrhuje rozšířit oprávnění ombudsmana i nejvyššího státního zástupce rovněž na žalobu proti nečinnosti správního orgánu.</w:t>
      </w:r>
    </w:p>
    <w:p w14:paraId="79C689D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Oba subjekty budou muset shledat, že je na podání žaloby závažný veřejný zájem.</w:t>
      </w:r>
    </w:p>
    <w:p w14:paraId="50A40C8C" w14:textId="77777777" w:rsidR="00F6177A" w:rsidRPr="00B25E45" w:rsidRDefault="00F6177A" w:rsidP="00E41176">
      <w:pPr>
        <w:pStyle w:val="Nadpis4"/>
        <w:rPr>
          <w:i w:val="0"/>
          <w:iCs/>
        </w:rPr>
      </w:pPr>
      <w:r w:rsidRPr="00B25E45">
        <w:rPr>
          <w:i w:val="0"/>
          <w:iCs/>
        </w:rPr>
        <w:t>V A R I A N T A  2</w:t>
      </w:r>
    </w:p>
    <w:p w14:paraId="5F75FEF9"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Již stávající úprava soudního řádu správního zakotvuje zvláštní žalobní legitimaci pro veřejného ochránce práv a nejvyššího státního zástupce za účelem ochrany veřejného zájmu. Oprávnění je však nyní omezeno pouze na žaloby proti rozhodnutí správního orgánu. Veřejný zájem však může být dán i v jiných případech činnosti veřejné správy, včetně nečinnosti správního orgánu. Z tohoto důvodu se navrhuje rozšířit oprávnění ombudsmana i nejvyššího státního zástupce i na žalobu proti nečinnosti správního orgánu.</w:t>
      </w:r>
    </w:p>
    <w:p w14:paraId="4CC36E0C"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Oba subjekty budou muset prokázat, že je na podání žaloby závažný veřejný zájem.</w:t>
      </w:r>
    </w:p>
    <w:p w14:paraId="0061A92A" w14:textId="77777777" w:rsidR="00F6177A" w:rsidRPr="00B25E45" w:rsidRDefault="00F6177A" w:rsidP="00E41176">
      <w:pPr>
        <w:pStyle w:val="Nadpis3"/>
      </w:pPr>
      <w:r w:rsidRPr="00B25E45">
        <w:t>K bodu 71 (§ 79 odst. 4 až 6)</w:t>
      </w:r>
    </w:p>
    <w:p w14:paraId="3DA36BD4" w14:textId="6F6ED730"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Řízení o žalobě proti nečinnosti správního orgánu je v otázce vymezení žalovaného postaveno na dispoziční zásadě. To znamená, že žalovaným je v tomto řízení ten správní orgán, kterého jako žalovaného označil žalobce (§ 79 odst. 2). To plyne jak z § 79 odst. 2, tak i z usnesení rozšířeného senátu Nejvyššího správního soudu čj. Nad 224/2014-53 z 9. prosince 2014. V průběhu řízení však může nastat situace, kdy žalovaný správní orgán zanikne nebo přijde o část svých dosavadních pravomocí. Podle současné judikatury NSS by se v takovém případě mělo postupovat analogicky podle § 69 – soud sám bez součinnosti žalobce rozhodne o procesním nástupnictví na straně žalovaného (srov. blíže rozsudek Nejvyššího správního soudu čj. 4 </w:t>
      </w:r>
      <w:proofErr w:type="spellStart"/>
      <w:r w:rsidRPr="00B25E45">
        <w:rPr>
          <w:rFonts w:ascii="Times New Roman" w:hAnsi="Times New Roman"/>
          <w:sz w:val="24"/>
        </w:rPr>
        <w:t>Aps</w:t>
      </w:r>
      <w:proofErr w:type="spellEnd"/>
      <w:r w:rsidRPr="00B25E45">
        <w:rPr>
          <w:rFonts w:ascii="Times New Roman" w:hAnsi="Times New Roman"/>
          <w:sz w:val="24"/>
        </w:rPr>
        <w:t xml:space="preserve"> 3/2011-58 z 13. dubna 2011 nebo rozsudek Nejvyššího správního soudu čj. 5 </w:t>
      </w:r>
      <w:proofErr w:type="spellStart"/>
      <w:r w:rsidRPr="00B25E45">
        <w:rPr>
          <w:rFonts w:ascii="Times New Roman" w:hAnsi="Times New Roman"/>
          <w:sz w:val="24"/>
        </w:rPr>
        <w:t>Afs</w:t>
      </w:r>
      <w:proofErr w:type="spellEnd"/>
      <w:r w:rsidRPr="00B25E45">
        <w:rPr>
          <w:rFonts w:ascii="Times New Roman" w:hAnsi="Times New Roman"/>
          <w:sz w:val="24"/>
        </w:rPr>
        <w:t> 43/2014-35 z 29. května 2014). Jde ovšem o analogii nevhodnou a popírající dispoziční zásadu řízení o žalobě proti nečinnosti správního orgánu, neboť § 69 platí pro řízení o žalobě proti rozhodnutí správního orgánu, ve kterém je žalovaný správní orgán určen na základě zákona. Navrhuje se tedy převzít do soudního řádu správního úpravu obsaženou v § 107 a § 107a o. s. ř. a vztáhnout ji i na správní orgány.</w:t>
      </w:r>
    </w:p>
    <w:p w14:paraId="416C6701" w14:textId="77777777" w:rsidR="00F6177A" w:rsidRPr="00B25E45" w:rsidRDefault="00F6177A" w:rsidP="00E41176">
      <w:pPr>
        <w:pStyle w:val="Nadpis3"/>
      </w:pPr>
      <w:r w:rsidRPr="00B25E45">
        <w:t>K bodu 72 (§ 80 odst. 1)</w:t>
      </w:r>
    </w:p>
    <w:p w14:paraId="76B8620F"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80 odst. 1 je upravena lhůta pro podání žaloby na ochranu proti nečinnosti správního orgánu. Lhůta pro podání této žaloby činí jeden rok ode dne, kdy ve věci, v níž se žalobce domáhá ochrany marně, uplynula lhůta pro vydání rozhodnutí ve věci nebo osvědčení, nebo ode dne, kdy byl učiněn poslední úkon, není-li lhůta pro vydání rozhodnutí ve věci nebo osvědčení stanovena. Jak bylo zmíněno již výše, dosavadní úpravě je vytýkána nejednotnost lhůt pro podání jednotlivých žalobních typů. V zájmu posílení právní jistoty adresátů se navrhuje jejich dílčí sjednocení. U lhůty podle § 80 odst. 1 to znamená její prodloužení z dosavadního jednoho roku na dva roky.</w:t>
      </w:r>
    </w:p>
    <w:p w14:paraId="1A96CB58" w14:textId="77777777" w:rsidR="00F6177A" w:rsidRPr="00B25E45" w:rsidRDefault="00F6177A" w:rsidP="00E41176">
      <w:pPr>
        <w:pStyle w:val="Nadpis3"/>
      </w:pPr>
      <w:r w:rsidRPr="00B25E45">
        <w:t>K bodu 73 (§ 80 odst. 4)</w:t>
      </w:r>
    </w:p>
    <w:p w14:paraId="2603A60B"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80 odst. 3 jsou upraveny náležitosti žaloby na ochranu proti nečinnosti správního orgánu.</w:t>
      </w:r>
    </w:p>
    <w:p w14:paraId="7505BAE0"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lastRenderedPageBreak/>
        <w:t>Na rozdíl od úpravy žaloby proti rozhodnutí správního orgánu nebo úpravy návrhu na zrušení opatření obecné povahy nebo jeho části neobsahuje úprava žaloby na ochranu proti nečinnosti správního orgánu vymezení, do kdy smí žalobce doplňovat nové rozhodující skutečnosti a označovat nové důkazy (srov. § 71 odst. 2 věta třetí v případě žaloby proti rozhodnutí správního orgánu a § 101b odst. 2 věta druhá v případě návrhu na zrušení opatření obecné povahy nebo jeho části). Absence této úpravy bývá vysvětlována tak, že o žalobě na ochranu proti nečinnosti správního orgánu rozhoduje soud podle stavu k okamžiku rozhodování, pročež je žalobci umožněno uvádět nové rozhodující skutečnosti a označovat nové důkazy až do okamžiku rozhodnutí soudu.</w:t>
      </w:r>
    </w:p>
    <w:p w14:paraId="77DF1D21"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Právě popsaná bezbřehost dosavadní úpravy však není zcela žádoucí. Jednak proto, že žalobce by měl být schopen již v době podání žaloby prokázat nečinnost správního orgánu, proti níž brojí. Jednak proto, že žaloby na ochranu proti nečinnosti správního orgánu </w:t>
      </w:r>
      <w:proofErr w:type="gramStart"/>
      <w:r w:rsidRPr="00B25E45">
        <w:rPr>
          <w:rFonts w:ascii="Times New Roman" w:hAnsi="Times New Roman"/>
          <w:sz w:val="24"/>
        </w:rPr>
        <w:t>patří</w:t>
      </w:r>
      <w:proofErr w:type="gramEnd"/>
      <w:r w:rsidRPr="00B25E45">
        <w:rPr>
          <w:rFonts w:ascii="Times New Roman" w:hAnsi="Times New Roman"/>
          <w:sz w:val="24"/>
        </w:rPr>
        <w:t xml:space="preserve"> mezi přednostně projednávané návrhy (§ 56 odst. 3) a je na místě, aby soudu byly co nejdříve vylíčeny všechny rozhodující skutečnosti a označeny všechny důkazy. Jedině tak totiž může být žalobci poskytnuta soudní ochrana před nečinností správního orgánu skutečně rychle.</w:t>
      </w:r>
    </w:p>
    <w:p w14:paraId="456D81A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Navrhuje se proto doplnit úpravu náležitostí žaloby na ochranu proti nečinnosti správního orgánu o vymezení, do kdy smí žalobce doplňovat nové rozhodující skutečnosti a označovat nové důkazy. Jako nejvhodnější se přitom jeví převzít úpravu vztahující se v této záležitosti k žalobě proti rozhodnutí správního orgánu. Základním pravidlem tak bude, že žalobce má uvést všechny rozhodující skutečnosti a označit všechny důkazy již v žalobě. Později bude moci uvést nové rozhodující skutečnosti nebo označit nové důkazy jen ve lhůtě stanovené mu k tomu soudem nebo nemohl-li je dříve bez své viny uvést. Stejně jako u žaloby proti rozhodnutí správního orgánu je cílem této navrhované změny stav, kdy žalobce musí uvést všechny rozhodující skutečnosti a označit všechny důkazy ihned na počátku řízení, popřípadě v dodatečné lhůtě, kterou mu za tímto účelem poskytne soud. Následně nebude možné uvést nové rozhodující skutečnosti a označit nové důkazy, ledaže bude naplněna výjimka, že je žalobce nemohl bez svého zavinění uvést, resp. označit dříve.</w:t>
      </w:r>
    </w:p>
    <w:p w14:paraId="15130D6E" w14:textId="77777777" w:rsidR="00F6177A" w:rsidRPr="00B25E45" w:rsidRDefault="00F6177A" w:rsidP="00E41176">
      <w:pPr>
        <w:pStyle w:val="Nadpis3"/>
      </w:pPr>
      <w:r w:rsidRPr="00B25E45">
        <w:t>K bodu 74 (§ 80a)</w:t>
      </w:r>
    </w:p>
    <w:p w14:paraId="16F6E5D1"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Navrhuje se vyjasnit, jaké důsledky má dodatečná aktivita správního orgánu, který po podání žaloby proti nečinnosti vydá rozhodnutí nebo osvědčení, o něž v řízení jde. Již dnes zákon umožňuje žalobci za této situace vzít žalobu zpět pro pozdější chování odpůrce s odpovídajícími dopady do náhrady nákladů řízení (§ 60 odst. 3 s. ř. s. v platném znění). Je však třeba připustit, že žalobce nemusí být na prvním stupni právně zastoupen, a tedy nemusí o možnosti zpětvzetí vůbec vědět. Pokud tak neučiní, hrozí mu negativní důsledky v podobě povinnosti náhrady nákladů řízení žalovanému, neboť podle § 81 soud rozhoduje ke stavu v době svého rozhodnutí (srov. k tomu též body 25 a 26 usnesení rozšířeného senátu Nejvyššího správního soudu čj. 7 </w:t>
      </w:r>
      <w:proofErr w:type="spellStart"/>
      <w:r w:rsidRPr="00B25E45">
        <w:rPr>
          <w:rFonts w:ascii="Times New Roman" w:hAnsi="Times New Roman"/>
          <w:sz w:val="24"/>
        </w:rPr>
        <w:t>Ans</w:t>
      </w:r>
      <w:proofErr w:type="spellEnd"/>
      <w:r w:rsidRPr="00B25E45">
        <w:rPr>
          <w:rFonts w:ascii="Times New Roman" w:hAnsi="Times New Roman"/>
          <w:sz w:val="24"/>
        </w:rPr>
        <w:t xml:space="preserve"> 10/2012–46 ze dne 14. 1. 2014, kde NSS sice připustil, že by mohl být aplikován i § 60 odst. 7 s. ř. s., jeho aplikace je však na uvážení soudu a uplatní se toliko výjimečně). </w:t>
      </w:r>
    </w:p>
    <w:p w14:paraId="18DB46E3"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lastRenderedPageBreak/>
        <w:t>Jelikož to byl v prvé řadě právě žalovaný, kdo svým jednáním podání žaloby způsobil, jeví se výše uvedený následek z pohledu žalobce jako nepřiměřeně přísný. Navrhuje se proto zakotvení poučovací povinnosti soudu, který by měl za těchto okolností žalobce poučit o tom, že může vzít svoji žalobu zpět. Nejenže se tím vyhne povinnosti náhrady nákladů řízení žalovanému, ale zároveň mu díky tomu vznikne právo na náhradu jeho nákladů řízení (§ 60 odst. 3 věta druhá s. ř. s.).</w:t>
      </w:r>
    </w:p>
    <w:p w14:paraId="2F3B42A4"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Tato varianta byla vůči jiným alternativám (např. automatické zastavení řízení pro uspokojení navrhovatele) shledána jako příhodnější, neboť respektuje princip autonomie vůle a zásadu dispoziční a ponechává konečné rozhodnutí o tom, zda bude v řízení dále pokračováno, na žalobci.  </w:t>
      </w:r>
    </w:p>
    <w:p w14:paraId="0F784EB2" w14:textId="77777777" w:rsidR="00F6177A" w:rsidRPr="00B25E45" w:rsidRDefault="00F6177A" w:rsidP="00E41176">
      <w:pPr>
        <w:pStyle w:val="Nadpis3"/>
      </w:pPr>
      <w:r w:rsidRPr="00B25E45">
        <w:t>K bodům 75 a 76 (§ 82 odst. 1 až 3)</w:t>
      </w:r>
    </w:p>
    <w:p w14:paraId="156FB039"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Deklaratorní (určovací) zásahové žaloby mají ve správním soudnictví nezastupitelný význam pro svůj precedenční charakter, který je důležitý pro budoucí posuzování dalších zásahů. Do určité míry mají také charakter satisfakční a jsou důležité pro případný následný soudní spor týkající se možného odškodnění. V praxi však vyvstala potřeba výslovně oddělit deklaratorní zásahové žaloby od žalob proti trvajícímu zásahu a stanovit pro jejich uplatnění odlišné podmínky. Důvodem je především odlišnost samotné deklaratorní zásahové žaloby od ostatních žalob, odlišný účel, za jakým jsou tyto žaloby podávány, a odlišný způsob jejich projednávání.</w:t>
      </w:r>
    </w:p>
    <w:p w14:paraId="78C83EF7"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Navrhuje se tedy zachovat stávající možnost podat zásahovou žalobu na určení nezákonnosti zásahu, ale dochází k jejich výslovnému oddělení od žalob </w:t>
      </w:r>
      <w:proofErr w:type="spellStart"/>
      <w:r w:rsidRPr="00B25E45">
        <w:rPr>
          <w:rFonts w:ascii="Times New Roman" w:hAnsi="Times New Roman"/>
          <w:sz w:val="24"/>
        </w:rPr>
        <w:t>zápůrčích</w:t>
      </w:r>
      <w:proofErr w:type="spellEnd"/>
      <w:r w:rsidRPr="00B25E45">
        <w:rPr>
          <w:rFonts w:ascii="Times New Roman" w:hAnsi="Times New Roman"/>
          <w:sz w:val="24"/>
        </w:rPr>
        <w:t xml:space="preserve">. Deklaratorní žalobu bude i nadále možné podat nejen u jednorázových zásahů, nýbrž i v případě trvajících zásahů, pokud jejich důsledky již skončily. Stále však platí, že dokud zásah nebo jeho důsledky trvají, je možné podat pouze </w:t>
      </w:r>
      <w:proofErr w:type="spellStart"/>
      <w:r w:rsidRPr="00B25E45">
        <w:rPr>
          <w:rFonts w:ascii="Times New Roman" w:hAnsi="Times New Roman"/>
          <w:sz w:val="24"/>
        </w:rPr>
        <w:t>zápůrčí</w:t>
      </w:r>
      <w:proofErr w:type="spellEnd"/>
      <w:r w:rsidRPr="00B25E45">
        <w:rPr>
          <w:rFonts w:ascii="Times New Roman" w:hAnsi="Times New Roman"/>
          <w:sz w:val="24"/>
        </w:rPr>
        <w:t xml:space="preserve"> žalobu a deklaratorní zásahová žaloba je přípustná až tehdy, když zásah skončil. Dojde-li k tomu během řízení, je možné podanou žalobu proti probíhajícímu zásahu změnit na deklaratorní zásahovou žalobu (srov. navrhovaný § 86 odst. 1). Vzhledem k velmi širokému okruhu zásahů, které je možné napadnout zásahovou žalobou, se navrhuje zakotvit dílčí omezení stávající úpravy spočívající v podmínce, že rozhodnutí o nezákonnosti zásahu je pro žalobce důležité pro následnou náhradu škody nebo jinou ochranu jeho práv. </w:t>
      </w:r>
    </w:p>
    <w:p w14:paraId="352475C7"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Návrh novely je inspirován slovenskou legislativou, které stejně jako předložený návrh odděluje určovací žaloby od žalob </w:t>
      </w:r>
      <w:proofErr w:type="spellStart"/>
      <w:r w:rsidRPr="00B25E45">
        <w:rPr>
          <w:rFonts w:ascii="Times New Roman" w:hAnsi="Times New Roman"/>
          <w:sz w:val="24"/>
        </w:rPr>
        <w:t>zápůrčích</w:t>
      </w:r>
      <w:proofErr w:type="spellEnd"/>
      <w:r w:rsidRPr="00B25E45">
        <w:rPr>
          <w:rFonts w:ascii="Times New Roman" w:hAnsi="Times New Roman"/>
          <w:sz w:val="24"/>
        </w:rPr>
        <w:t xml:space="preserve"> směřujících proti trvajícím zásahům.</w:t>
      </w:r>
    </w:p>
    <w:p w14:paraId="52C72A6F" w14:textId="77777777" w:rsidR="00F6177A" w:rsidRPr="00B25E45" w:rsidRDefault="00F6177A" w:rsidP="00E41176">
      <w:pPr>
        <w:pStyle w:val="Nadpis4"/>
        <w:rPr>
          <w:i w:val="0"/>
          <w:iCs/>
        </w:rPr>
      </w:pPr>
      <w:r w:rsidRPr="00B25E45">
        <w:rPr>
          <w:i w:val="0"/>
          <w:iCs/>
        </w:rPr>
        <w:t>V A R I A N T A  1</w:t>
      </w:r>
    </w:p>
    <w:p w14:paraId="3DB3C7A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Jak již bylo nastíněno u žaloby proti nečinnosti, stávající úprava soudního řádu správního omezuje zvláštní žalobní legitimaci na ochranu veřejného zájmu toliko na žaloby proti správnímu rozhodnutí. Veřejný zájem však může být dán i tam, kde došlo k zásahu správního orgánu. Navrhuje se proto oprávnění k podání této žaloby rozšířit i do úpravy ochrany před nezákonným zásahem.</w:t>
      </w:r>
    </w:p>
    <w:p w14:paraId="3500328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Žaloba bude přípustná, pokud nejvyšší státní zástupce nebo veřejný ochránce práv na jejím podání shledají závažný veřejný zájem.</w:t>
      </w:r>
    </w:p>
    <w:p w14:paraId="639E65F6" w14:textId="77777777" w:rsidR="00F6177A" w:rsidRPr="00B25E45" w:rsidRDefault="00F6177A" w:rsidP="00E41176">
      <w:pPr>
        <w:pStyle w:val="Nadpis4"/>
        <w:rPr>
          <w:i w:val="0"/>
          <w:iCs/>
        </w:rPr>
      </w:pPr>
      <w:r w:rsidRPr="00B25E45">
        <w:rPr>
          <w:i w:val="0"/>
          <w:iCs/>
        </w:rPr>
        <w:lastRenderedPageBreak/>
        <w:t>V A R I A N T A  2</w:t>
      </w:r>
    </w:p>
    <w:p w14:paraId="4EBA8C2C"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Jak již bylo nastíněno u žaloby proti nečinnosti, stávající úprava soudního řádu správního omezuje zvláštní žalobní legitimaci na ochranu veřejného zájmu toliko na žaloby proti správnímu rozhodnutí. Veřejný zájem však může být dán i tam, kde došlo k zásahu správního orgánu. Navrhuje se proto oprávnění k podání této žaloby rozšířit i do úpravy ochrany před nezákonným zásahem.</w:t>
      </w:r>
    </w:p>
    <w:p w14:paraId="65A04CD9"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Žaloba bude přípustná, pokud nejvyšší státní zástupce nebo veřejný ochránce práv </w:t>
      </w:r>
      <w:proofErr w:type="gramStart"/>
      <w:r w:rsidRPr="00B25E45">
        <w:rPr>
          <w:rFonts w:ascii="Times New Roman" w:hAnsi="Times New Roman"/>
          <w:sz w:val="24"/>
        </w:rPr>
        <w:t>prokáží</w:t>
      </w:r>
      <w:proofErr w:type="gramEnd"/>
      <w:r w:rsidRPr="00B25E45">
        <w:rPr>
          <w:rFonts w:ascii="Times New Roman" w:hAnsi="Times New Roman"/>
          <w:sz w:val="24"/>
        </w:rPr>
        <w:t>, že na jejím podání existuje závažný veřejný zájem.</w:t>
      </w:r>
    </w:p>
    <w:p w14:paraId="51B10B01" w14:textId="77777777" w:rsidR="00F6177A" w:rsidRPr="00B25E45" w:rsidRDefault="00F6177A" w:rsidP="00E41176">
      <w:pPr>
        <w:pStyle w:val="Nadpis3"/>
      </w:pPr>
      <w:r w:rsidRPr="00B25E45">
        <w:t>K bodu 77 (§ 83)</w:t>
      </w:r>
    </w:p>
    <w:p w14:paraId="10000DF7" w14:textId="29D40029"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Žalovaným je v řízení o zásahové žalobě ten, kterého žalobce </w:t>
      </w:r>
      <w:proofErr w:type="gramStart"/>
      <w:r w:rsidRPr="00B25E45">
        <w:rPr>
          <w:rFonts w:ascii="Times New Roman" w:hAnsi="Times New Roman"/>
          <w:sz w:val="24"/>
        </w:rPr>
        <w:t>označí</w:t>
      </w:r>
      <w:proofErr w:type="gramEnd"/>
      <w:r w:rsidRPr="00B25E45">
        <w:rPr>
          <w:rFonts w:ascii="Times New Roman" w:hAnsi="Times New Roman"/>
          <w:sz w:val="24"/>
        </w:rPr>
        <w:t xml:space="preserve"> v žalobě, že zásah provedl. Stejně jako v případě žalob proti rozhodnutí a na ochranu proti nečinnosti, zákon nepamatuje na situaci, kdy správní orgán zanikne bez přechodu jeho působnosti na jiný správní orgán. NSS dovodil, že v takovém případě probíhá řízení pouze s žalobcem a na straně žalované nikdo nevystupuje, jakož i že neexistence žalovaného není důvodem pro odmítnutí žaloby (rozsudek NSS čj. 2 As 82/2006-82). Jinak by byla rozhodnutí správních orgánů, které zanikly bez přechodu jejich působnosti na nový správní orgán, soudně nepřezkoumatelná, což by bylo v rozporu s čl. 36 odst. 2 Listiny základních práv a svobod a představovalo by </w:t>
      </w:r>
      <w:proofErr w:type="spellStart"/>
      <w:r w:rsidRPr="00B25E45">
        <w:rPr>
          <w:rFonts w:ascii="Times New Roman" w:hAnsi="Times New Roman"/>
          <w:i/>
          <w:iCs/>
          <w:sz w:val="24"/>
        </w:rPr>
        <w:t>denegatio</w:t>
      </w:r>
      <w:proofErr w:type="spellEnd"/>
      <w:r w:rsidRPr="00B25E45">
        <w:rPr>
          <w:rFonts w:ascii="Times New Roman" w:hAnsi="Times New Roman"/>
          <w:i/>
          <w:iCs/>
          <w:sz w:val="24"/>
        </w:rPr>
        <w:t xml:space="preserve"> </w:t>
      </w:r>
      <w:proofErr w:type="spellStart"/>
      <w:r w:rsidRPr="00B25E45">
        <w:rPr>
          <w:rFonts w:ascii="Times New Roman" w:hAnsi="Times New Roman"/>
          <w:i/>
          <w:iCs/>
          <w:sz w:val="24"/>
        </w:rPr>
        <w:t>iustitiae</w:t>
      </w:r>
      <w:proofErr w:type="spellEnd"/>
      <w:r w:rsidRPr="00B25E45">
        <w:rPr>
          <w:rFonts w:ascii="Times New Roman" w:hAnsi="Times New Roman"/>
          <w:sz w:val="24"/>
        </w:rPr>
        <w:t>. Stejný závěr lze aplikovat i v případě zásahových žalob a v tomto směru se navrhuje doplnit § 83.</w:t>
      </w:r>
    </w:p>
    <w:p w14:paraId="6D248615" w14:textId="77777777" w:rsidR="00F6177A" w:rsidRPr="00B25E45" w:rsidRDefault="00F6177A" w:rsidP="00E41176">
      <w:pPr>
        <w:pStyle w:val="Nadpis3"/>
      </w:pPr>
      <w:r w:rsidRPr="00B25E45">
        <w:t>K bodu 78 (§ 84 odst. 4)</w:t>
      </w:r>
    </w:p>
    <w:p w14:paraId="2D38CD2A"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Ze strany praxe zaznívá požadavek na zakotvení koncentrace řízení u deklaratorních zásahových žalob, neboť v případech skončeného zásahu jsou žalobci již všechny relevantní skutečnosti a důkazy známy (na rozdíl od trvajícího zásahu, který se může v průběhu soudního řízení dále měnit). Koncentrace řízení u čistě deklaratorních zásahových žalob se navrhuje upravit po vzoru § 71 odst. 2 s. ř. s., váže se tak na lhůtu pro podání žaloby a týká se žalobních bodů, tvrzených rozhodujících skutečností i důkazů. Stejně jako v jiných případech se i zde počítá s možností koncentraci dodatečně prolomit (např. nemohl-li žalobce skutečnosti či důkazy bez své viny dříve uvést).</w:t>
      </w:r>
    </w:p>
    <w:p w14:paraId="77238FB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případě, že došlo ke změně žaloby z důvodu skončení zásahu až v průběhu soudního řízení, stanovuje se koncentrace k okamžiku podání změny žaloby (§ 86 odst. 2).</w:t>
      </w:r>
    </w:p>
    <w:p w14:paraId="2A4D0F96" w14:textId="77777777" w:rsidR="00F6177A" w:rsidRPr="00B25E45" w:rsidRDefault="00F6177A" w:rsidP="00E41176">
      <w:pPr>
        <w:pStyle w:val="Nadpis3"/>
      </w:pPr>
      <w:r w:rsidRPr="00B25E45">
        <w:t>K bodu 79 (§ 85 odst. 2)</w:t>
      </w:r>
    </w:p>
    <w:p w14:paraId="695BB8A5" w14:textId="05C6A4A4"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Až na mimořádné případy zásahů výjimečné intenzity, proti kterým je samostatná obrana nutná, je žádoucí zásahovou žalobu připustit pouze tam, kde není možné napadnout postup správního orgánu v rámci konečného rozhodnutí (viz například nález Ústavního soudu ze dne 14. 1. 2020, </w:t>
      </w:r>
      <w:proofErr w:type="spellStart"/>
      <w:r w:rsidRPr="00B25E45">
        <w:rPr>
          <w:rFonts w:ascii="Times New Roman" w:hAnsi="Times New Roman"/>
          <w:sz w:val="24"/>
        </w:rPr>
        <w:t>sp</w:t>
      </w:r>
      <w:proofErr w:type="spellEnd"/>
      <w:r w:rsidRPr="00B25E45">
        <w:rPr>
          <w:rFonts w:ascii="Times New Roman" w:hAnsi="Times New Roman"/>
          <w:sz w:val="24"/>
        </w:rPr>
        <w:t xml:space="preserve">. zn. III. ÚS 2383/19). Toto prohloubení subsidiarity zásahové žaloby vyslovila i judikatura Nejvyššího správního soudu, která uvedla, že pomocí zásahové žaloby nemá docházet k duplicitnímu přezkoumávání stejného postupu správních orgánů, nýbrž zásahová žaloba má cílit na poskytnutí ochrany v těch situacích, na které nedopadá ochrana v jiných řízeních. Dle </w:t>
      </w:r>
      <w:r w:rsidRPr="00B25E45">
        <w:rPr>
          <w:rFonts w:ascii="Times New Roman" w:hAnsi="Times New Roman"/>
          <w:sz w:val="24"/>
        </w:rPr>
        <w:lastRenderedPageBreak/>
        <w:t xml:space="preserve">judikatury Nejvyššího správního soudu nelze prostřednictvím zásahové žaloby zkoumat nezákonnost u jednotlivých procesních úkonů správního orgánu, které zpravidla směřují k vydání rozhodnutí a samy o sobě nepředstavují zásah do práv účastníka řízení [rozsudek ze dne 31. 7. 2006 čj. 8 </w:t>
      </w:r>
      <w:proofErr w:type="spellStart"/>
      <w:r w:rsidRPr="00B25E45">
        <w:rPr>
          <w:rFonts w:ascii="Times New Roman" w:hAnsi="Times New Roman"/>
          <w:sz w:val="24"/>
        </w:rPr>
        <w:t>Aps</w:t>
      </w:r>
      <w:proofErr w:type="spellEnd"/>
      <w:r w:rsidRPr="00B25E45">
        <w:rPr>
          <w:rFonts w:ascii="Times New Roman" w:hAnsi="Times New Roman"/>
          <w:sz w:val="24"/>
        </w:rPr>
        <w:t xml:space="preserve"> 2/2006-95 či usnesení rozšířeného senátu ze dne 16. 11. 2016, čj. 1 </w:t>
      </w:r>
      <w:proofErr w:type="spellStart"/>
      <w:r w:rsidRPr="00B25E45">
        <w:rPr>
          <w:rFonts w:ascii="Times New Roman" w:hAnsi="Times New Roman"/>
          <w:sz w:val="24"/>
        </w:rPr>
        <w:t>Afs</w:t>
      </w:r>
      <w:proofErr w:type="spellEnd"/>
      <w:r w:rsidRPr="00B25E45">
        <w:rPr>
          <w:rFonts w:ascii="Times New Roman" w:hAnsi="Times New Roman"/>
          <w:sz w:val="24"/>
        </w:rPr>
        <w:t xml:space="preserve"> 183/2014-55 (č. 3566/2017 Sb. NSS), bod 42 odůvodnění]. Takové procesní úkony je možno podrobit soudnímu přezkumu jen společně se správním rozhodnutím, jemuž předcházely, a to na základě žaloby proti rozhodnutí správního orgánu dle § 65 a násl. s. ř. s. </w:t>
      </w:r>
    </w:p>
    <w:p w14:paraId="7EC772E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Navrhuje se prohloubit subsidiární povahu zásahových žalob v souladu s judikaturou vrcholných soudů tak, že žaloba není přípustná, pokud je možné přezkoumat nezákonnost zásahu až v řízení o žalobě proti rozhodnutí podle § 65 a násl. s. ř. s. Zároveň se navrhuje stanovit výjimku pro případy, kdy vedle procesních úkonů správního orgánu učiněných v řízení, které se mohou účastníka dotknout jen prostřednictvím výsledného správního rozhodnutí, přicházejí v úvahu i procesní úkony, které samy o sobě představují zásah do práv účastníka řízení. Před takovými je třeba poskytnout samostatnou ochranu.</w:t>
      </w:r>
    </w:p>
    <w:p w14:paraId="448FBD0B" w14:textId="3104E232"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Je vhodné zmínit, že neuplatněním zásahové žaloby neztrácí žalobce možnost podávat stejné námitky v řízení o žalobě proti rozhodnutí, jež vzešlo z řízení, ve kterém k zásahu došlo. V žalobě proti rozhodnutí lze proto namítat nezákonnost řízení, které předcházelo vydání tohoto rozhodnutí, třebaže žalobce nenapadl nezákonnost řízení zásahovou žalobou (viz usnesení RS NSS čj. 1 </w:t>
      </w:r>
      <w:proofErr w:type="spellStart"/>
      <w:r w:rsidRPr="00B25E45">
        <w:rPr>
          <w:rFonts w:ascii="Times New Roman" w:hAnsi="Times New Roman"/>
          <w:sz w:val="24"/>
        </w:rPr>
        <w:t>Afs</w:t>
      </w:r>
      <w:proofErr w:type="spellEnd"/>
      <w:r w:rsidRPr="00B25E45">
        <w:rPr>
          <w:rFonts w:ascii="Times New Roman" w:hAnsi="Times New Roman"/>
          <w:sz w:val="24"/>
        </w:rPr>
        <w:t xml:space="preserve"> 183/2014-55).</w:t>
      </w:r>
    </w:p>
    <w:p w14:paraId="59542097" w14:textId="77777777" w:rsidR="00F6177A" w:rsidRPr="00B25E45" w:rsidRDefault="00F6177A" w:rsidP="00E41176">
      <w:pPr>
        <w:pStyle w:val="Nadpis3"/>
      </w:pPr>
      <w:r w:rsidRPr="00B25E45">
        <w:t>K bodu 80 (§ 86)</w:t>
      </w:r>
    </w:p>
    <w:p w14:paraId="0B7339A5" w14:textId="2964A23D"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souvislosti s oddělením čistě deklaratorních a </w:t>
      </w:r>
      <w:proofErr w:type="spellStart"/>
      <w:r w:rsidRPr="00B25E45">
        <w:rPr>
          <w:rFonts w:ascii="Times New Roman" w:hAnsi="Times New Roman"/>
          <w:sz w:val="24"/>
        </w:rPr>
        <w:t>zápůrčích</w:t>
      </w:r>
      <w:proofErr w:type="spellEnd"/>
      <w:r w:rsidRPr="00B25E45">
        <w:rPr>
          <w:rFonts w:ascii="Times New Roman" w:hAnsi="Times New Roman"/>
          <w:sz w:val="24"/>
        </w:rPr>
        <w:t xml:space="preserve"> zásahových žalob se nově navrhuje výslovně zakotvit právo žalobce na změnu </w:t>
      </w:r>
      <w:proofErr w:type="spellStart"/>
      <w:r w:rsidRPr="00B25E45">
        <w:rPr>
          <w:rFonts w:ascii="Times New Roman" w:hAnsi="Times New Roman"/>
          <w:sz w:val="24"/>
        </w:rPr>
        <w:t>zápůrčí</w:t>
      </w:r>
      <w:proofErr w:type="spellEnd"/>
      <w:r w:rsidRPr="00B25E45">
        <w:rPr>
          <w:rFonts w:ascii="Times New Roman" w:hAnsi="Times New Roman"/>
          <w:sz w:val="24"/>
        </w:rPr>
        <w:t xml:space="preserve"> žaloby na žalobu deklaratorní v případě, že zásah skončil v průběhu soudního řízení. Za tímto účelem dochází k úpravě § 86, který nově upravuje postup pro případy, kdy zásah správního orgánu skončil až po podání žaloby. Nejvyšší správní soud ve svém rozsudku ze dne 9. 6. 2020, čj. 1 </w:t>
      </w:r>
      <w:proofErr w:type="spellStart"/>
      <w:r w:rsidRPr="00B25E45">
        <w:rPr>
          <w:rFonts w:ascii="Times New Roman" w:hAnsi="Times New Roman"/>
          <w:sz w:val="24"/>
        </w:rPr>
        <w:t>Afs</w:t>
      </w:r>
      <w:proofErr w:type="spellEnd"/>
      <w:r w:rsidRPr="00B25E45">
        <w:rPr>
          <w:rFonts w:ascii="Times New Roman" w:hAnsi="Times New Roman"/>
          <w:sz w:val="24"/>
        </w:rPr>
        <w:t xml:space="preserve"> 22/2020-34 výslovně připustil změny žalob v průběhu řízení na zcela jiný typ z důvodu procesní ekonomie (změna žaloby na ochranu proti nečinnosti na žalobu na ochranu před nezákonným zásahem), avšak pouze na návrh žalobce, neboť soud nemůže o své vlastní vůli žalobu překvalifikovat. Ústavní soud ve svém nálezu </w:t>
      </w:r>
      <w:proofErr w:type="spellStart"/>
      <w:r w:rsidRPr="00B25E45">
        <w:rPr>
          <w:rFonts w:ascii="Times New Roman" w:hAnsi="Times New Roman"/>
          <w:sz w:val="24"/>
        </w:rPr>
        <w:t>sp</w:t>
      </w:r>
      <w:proofErr w:type="spellEnd"/>
      <w:r w:rsidRPr="00B25E45">
        <w:rPr>
          <w:rFonts w:ascii="Times New Roman" w:hAnsi="Times New Roman"/>
          <w:sz w:val="24"/>
        </w:rPr>
        <w:t xml:space="preserve">. zn. II. ÚS 2398/18 dovodil poučovací povinnost soudu za účelem zachování základních práv žalobců o tom, že soud odlišně hodnotí povahu úkonu či nečinnosti správního orgánu, které mají být soudem přezkoumány, a měl by vyzvat žalobce, aby tomu přizpůsobil obsah žaloby. </w:t>
      </w:r>
    </w:p>
    <w:p w14:paraId="5E771AEC"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případě, že žalobce podal v průběhu trvání zásahu žalobu, kterou se chtěl domáhat ochrany proti němu, a následně zásah správního orgánu skončil, navrhuje se pro žalobce výslovně upravit možnost změnit svou žalobu na určení nezákonnosti takto skončeného zásahu nebo vzít svou žalobu zpět, aby mu ve spojení s § 60 odst. 3 vznikl nárok na náhradu nákladů řízení, jelikož dojde ke zpětvzetí žaloby pro pozdější chování odpůrce. O těchto možnostech bude poučen ze strany soudu, neboť pouhé zamítnutí žaloby pro nedůvodnost se i v konstantní judikatuře Nejvyššího správního soudu jeví nepřiměřeně tvrdé vůči žalobci, který takové zamítnutí žaloby nezavinil.</w:t>
      </w:r>
    </w:p>
    <w:p w14:paraId="1A50C17A"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lastRenderedPageBreak/>
        <w:t xml:space="preserve">U čistě deklaratorních zásahových žalob vyvstala potřeba doplnit koncentraci řízení (§ 84 odst. 4), jak bylo uvedeno výše, proto se navrhuje i u změny </w:t>
      </w:r>
      <w:proofErr w:type="spellStart"/>
      <w:r w:rsidRPr="00B25E45">
        <w:rPr>
          <w:rFonts w:ascii="Times New Roman" w:hAnsi="Times New Roman"/>
          <w:sz w:val="24"/>
        </w:rPr>
        <w:t>zápůrčí</w:t>
      </w:r>
      <w:proofErr w:type="spellEnd"/>
      <w:r w:rsidRPr="00B25E45">
        <w:rPr>
          <w:rFonts w:ascii="Times New Roman" w:hAnsi="Times New Roman"/>
          <w:sz w:val="24"/>
        </w:rPr>
        <w:t xml:space="preserve"> žaloby na žalobu deklaratorní stanovit okamžik, od kterého již žalobce nemůže doplňovat svůj návrh. Tímto okamžikem je právě změna žaloby, po které již žalobce nebude moci rozšiřovat žalobu o další žalobní body, uvádět nové skutečnosti či navrhovat nové důkazy. Zároveň se i zde zakotvuje výjimka pro situace, kdy je žalobce nemohl bez své viny uvést dříve nebo byl-li k jejich doplnění vyzván soudem.</w:t>
      </w:r>
    </w:p>
    <w:p w14:paraId="271B34D2" w14:textId="77777777" w:rsidR="00F6177A" w:rsidRPr="00B25E45" w:rsidRDefault="00F6177A" w:rsidP="00E41176">
      <w:pPr>
        <w:pStyle w:val="Nadpis3"/>
      </w:pPr>
      <w:r w:rsidRPr="00B25E45">
        <w:t>K bodu 81 (název dílu 7)</w:t>
      </w:r>
    </w:p>
    <w:p w14:paraId="59C62B69"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díle 7 jsou obsažena zvláštní ustanovení týkající se řízení o zrušení opatření obecné povahy nebo jeho části.</w:t>
      </w:r>
    </w:p>
    <w:p w14:paraId="227C542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Jak patrno již z jeho názvu, předmětem tohoto řízení je zrušení opatření obecné povahy nebo jeho částí. Předpokladem toho, aby návrh na zrušení opatření obecné povahy nebo jeho částí byl úspěšný, je, že napadené opatření obecné povahy nebo jeho části platí a jsou účinné ke dni rozhodování soudu o návrhu. V praxi však mohou nastat situace, kdy napadené opatření obecné povahy zanikne dříve, než soud rozhodne o návrhu na jeho zrušení. V takovém případě bude návrh na zrušení opatření obecné povahy neúspěšný, neboť nelze zrušit opatření obecné povahy, které již zaniklo, a navrhovatel již nebude mít možnost domoci se přezkumu jeho zákonnosti. </w:t>
      </w:r>
    </w:p>
    <w:p w14:paraId="16B5436C"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Jde o obdobný problém, který může nastat u ochrany před nezákonným zásahem, a proto se navrhuje po vzoru úpravy řízení o ochraně před nezákonným zásahem zakotvit do řízení o zrušení opatření obecné povahy možnost domáhat se určení jeho nezákonnosti.</w:t>
      </w:r>
    </w:p>
    <w:p w14:paraId="42E84540"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souladu s touto změnou se současně navrhuje upravit název dílu upravujícího toto řízení tak, aby se z něj podávalo, že předmětem tohoto řízení může být nejen zrušení opatření obecné povahy nebo jeho části, ale i určení jejich nezákonnosti.</w:t>
      </w:r>
    </w:p>
    <w:p w14:paraId="63B578DF" w14:textId="77777777" w:rsidR="00F6177A" w:rsidRPr="00B25E45" w:rsidRDefault="00F6177A" w:rsidP="00E41176">
      <w:pPr>
        <w:pStyle w:val="Nadpis3"/>
      </w:pPr>
      <w:r w:rsidRPr="00B25E45">
        <w:t>K bodům 82 a 83 (§ 101a odst. 3 až 5)</w:t>
      </w:r>
    </w:p>
    <w:p w14:paraId="43EAEDEF"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Předpokladem úspěšnosti návrhu na zrušení opatření obecné povahy nebo jeho části dle platné právní úpravy je to, že napadené opatření obecné povahy nebo jeho části platí a jsou účinné ke dni rozhodování soudu o návrhu. Problém tak nastává v situaci, kdy napadené opatření obecné povahy zanikne dříve, než soud rozhodne o návrhu na jeho zrušení. Toto omezení dosavadní úpravy se navrhuje vyřešit shodně jako v řízení o ochraně před nezákonným zásahem, tedy doplněním o možnost domáhat se určení jeho nezákonnosti.</w:t>
      </w:r>
    </w:p>
    <w:p w14:paraId="26B6CB62" w14:textId="77777777" w:rsidR="00F6177A" w:rsidRPr="00B25E45" w:rsidRDefault="00F6177A" w:rsidP="00E41176">
      <w:pPr>
        <w:pStyle w:val="Nadpis4"/>
        <w:rPr>
          <w:i w:val="0"/>
          <w:iCs/>
        </w:rPr>
      </w:pPr>
      <w:r w:rsidRPr="00B25E45">
        <w:rPr>
          <w:i w:val="0"/>
          <w:iCs/>
        </w:rPr>
        <w:t>V A R I A N T A  1</w:t>
      </w:r>
    </w:p>
    <w:p w14:paraId="4DA5351C"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Dále se navrhuje umožnit podat návrh na zrušení opatření obecné povahy nebo jeho částí i ve veřejném zájmu. </w:t>
      </w:r>
    </w:p>
    <w:p w14:paraId="55F34A16"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Na rozdíl od správního rozhodnutí, které jakožto individuální akt veřejné správy zasahuje toliko do práv jednotlivce nebo adresně vymezeného okruhu osob, má opatření obecné povahy širší dopady. Co do předmětu je sice tento akt konkrétní, avšak dotýká se blíže nevymezeného </w:t>
      </w:r>
      <w:r w:rsidRPr="00B25E45">
        <w:rPr>
          <w:rFonts w:ascii="Times New Roman" w:hAnsi="Times New Roman"/>
          <w:sz w:val="24"/>
        </w:rPr>
        <w:lastRenderedPageBreak/>
        <w:t xml:space="preserve">okruhu osob a v tomto ohledu se podobá spíše obecně závazným právní předpisům. Pokud tedy soudní řád správní dnes připouští, že veřejný zájem může být dotčen správním rozhodnutím (§ 66 odst. 2 a 3 s. ř. s. v platném znění), musíme argumentací </w:t>
      </w:r>
      <w:r w:rsidRPr="00B25E45">
        <w:rPr>
          <w:rFonts w:ascii="Times New Roman" w:hAnsi="Times New Roman"/>
          <w:i/>
          <w:iCs/>
          <w:sz w:val="24"/>
        </w:rPr>
        <w:t xml:space="preserve">a </w:t>
      </w:r>
      <w:proofErr w:type="spellStart"/>
      <w:r w:rsidRPr="00B25E45">
        <w:rPr>
          <w:rFonts w:ascii="Times New Roman" w:hAnsi="Times New Roman"/>
          <w:i/>
          <w:iCs/>
          <w:sz w:val="24"/>
        </w:rPr>
        <w:t>minory</w:t>
      </w:r>
      <w:proofErr w:type="spellEnd"/>
      <w:r w:rsidRPr="00B25E45">
        <w:rPr>
          <w:rFonts w:ascii="Times New Roman" w:hAnsi="Times New Roman"/>
          <w:i/>
          <w:iCs/>
          <w:sz w:val="24"/>
        </w:rPr>
        <w:t xml:space="preserve"> ad </w:t>
      </w:r>
      <w:proofErr w:type="spellStart"/>
      <w:r w:rsidRPr="00B25E45">
        <w:rPr>
          <w:rFonts w:ascii="Times New Roman" w:hAnsi="Times New Roman"/>
          <w:i/>
          <w:iCs/>
          <w:sz w:val="24"/>
        </w:rPr>
        <w:t>maius</w:t>
      </w:r>
      <w:proofErr w:type="spellEnd"/>
      <w:r w:rsidRPr="00B25E45">
        <w:rPr>
          <w:rFonts w:ascii="Times New Roman" w:hAnsi="Times New Roman"/>
          <w:i/>
          <w:iCs/>
          <w:sz w:val="24"/>
        </w:rPr>
        <w:t xml:space="preserve"> </w:t>
      </w:r>
      <w:r w:rsidRPr="00B25E45">
        <w:rPr>
          <w:rFonts w:ascii="Times New Roman" w:hAnsi="Times New Roman"/>
          <w:sz w:val="24"/>
        </w:rPr>
        <w:t>dospět k závěru, že veřejný zájem může být již ze samotné definice opatření obecné povahy dotčen i v jeho případě. V zájmu posílení ochrany veřejného zájmu se proto navrhuje rozšířit žalobní legitimaci nejvyššího státního zástupce a veřejného ochránce práv také na řízení o zrušení opatření obecní povahy nebo jeho části, včetně nově vkládané možnosti prohlášení jeho nezákonnosti.</w:t>
      </w:r>
    </w:p>
    <w:p w14:paraId="716E22CD"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Návrh bude přípustný, pokud nejvyšší státní zástupce nebo veřejný ochránce práv na jeho podání shledají závažný veřejný zájem.</w:t>
      </w:r>
    </w:p>
    <w:p w14:paraId="293A197F" w14:textId="77777777" w:rsidR="00F6177A" w:rsidRPr="00B25E45" w:rsidRDefault="00F6177A" w:rsidP="00E41176">
      <w:pPr>
        <w:pStyle w:val="Nadpis4"/>
        <w:rPr>
          <w:i w:val="0"/>
          <w:iCs/>
        </w:rPr>
      </w:pPr>
      <w:r w:rsidRPr="00B25E45">
        <w:rPr>
          <w:i w:val="0"/>
          <w:iCs/>
        </w:rPr>
        <w:t>V A R I A N T A  2</w:t>
      </w:r>
    </w:p>
    <w:p w14:paraId="34F0DCE7"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Dále se navrhuje umožnit podat návrh na zrušení opatření obecné povahy nebo jeho částí i ve veřejném zájmu.</w:t>
      </w:r>
    </w:p>
    <w:p w14:paraId="17575380"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Na rozdíl od správního rozhodnutí, které jakožto individuální akt veřejné správy zasahuje toliko do práv jednotlivce nebo adresně vymezeného okruhu osob, má opatření obecné povahy širší dopady. Co do předmětu je sice tento akt konkrétní, avšak dotýká se blíže nevymezeného okruhu osob a v tomto ohledu se podobá spíše obecně závazným právní předpisům. Pokud tedy soudní řád správní dnes připouští, že veřejný zájem může být dotčen správním rozhodnutím (§ 66 odst. 2 a 3 s. ř. s. v platném znění), musíme argumentací </w:t>
      </w:r>
      <w:r w:rsidRPr="00B25E45">
        <w:rPr>
          <w:rFonts w:ascii="Times New Roman" w:hAnsi="Times New Roman"/>
          <w:i/>
          <w:iCs/>
          <w:sz w:val="24"/>
        </w:rPr>
        <w:t xml:space="preserve">a </w:t>
      </w:r>
      <w:proofErr w:type="spellStart"/>
      <w:r w:rsidRPr="00B25E45">
        <w:rPr>
          <w:rFonts w:ascii="Times New Roman" w:hAnsi="Times New Roman"/>
          <w:i/>
          <w:iCs/>
          <w:sz w:val="24"/>
        </w:rPr>
        <w:t>minory</w:t>
      </w:r>
      <w:proofErr w:type="spellEnd"/>
      <w:r w:rsidRPr="00B25E45">
        <w:rPr>
          <w:rFonts w:ascii="Times New Roman" w:hAnsi="Times New Roman"/>
          <w:i/>
          <w:iCs/>
          <w:sz w:val="24"/>
        </w:rPr>
        <w:t xml:space="preserve"> ad </w:t>
      </w:r>
      <w:proofErr w:type="spellStart"/>
      <w:r w:rsidRPr="00B25E45">
        <w:rPr>
          <w:rFonts w:ascii="Times New Roman" w:hAnsi="Times New Roman"/>
          <w:i/>
          <w:iCs/>
          <w:sz w:val="24"/>
        </w:rPr>
        <w:t>maius</w:t>
      </w:r>
      <w:proofErr w:type="spellEnd"/>
      <w:r w:rsidRPr="00B25E45">
        <w:rPr>
          <w:rFonts w:ascii="Times New Roman" w:hAnsi="Times New Roman"/>
          <w:i/>
          <w:iCs/>
          <w:sz w:val="24"/>
        </w:rPr>
        <w:t xml:space="preserve"> </w:t>
      </w:r>
      <w:r w:rsidRPr="00B25E45">
        <w:rPr>
          <w:rFonts w:ascii="Times New Roman" w:hAnsi="Times New Roman"/>
          <w:sz w:val="24"/>
        </w:rPr>
        <w:t>dospět k závěru, že veřejný zájem může být již ze samotné definice opatření obecné povahy dotčen i v jeho případě. V zájmu posílení ochrany veřejného zájmu se proto navrhuje rozšířit žalobní legitimaci nejvyššího státního zástupce a veřejného ochránce práv také na řízení o zrušení opatření obecní povahy nebo jeho části, včetně nově vkládané možnosti prohlášení jeho nezákonnosti.</w:t>
      </w:r>
    </w:p>
    <w:p w14:paraId="0C2B1737"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Návrh bude přípustný, pokud nejvyšší státní zástupce nebo veřejný ochránce práv </w:t>
      </w:r>
      <w:proofErr w:type="gramStart"/>
      <w:r w:rsidRPr="00B25E45">
        <w:rPr>
          <w:rFonts w:ascii="Times New Roman" w:hAnsi="Times New Roman"/>
          <w:sz w:val="24"/>
        </w:rPr>
        <w:t>prokáží</w:t>
      </w:r>
      <w:proofErr w:type="gramEnd"/>
      <w:r w:rsidRPr="00B25E45">
        <w:rPr>
          <w:rFonts w:ascii="Times New Roman" w:hAnsi="Times New Roman"/>
          <w:sz w:val="24"/>
        </w:rPr>
        <w:t>, že na jeho podání existuje závažný veřejný zájem.</w:t>
      </w:r>
    </w:p>
    <w:p w14:paraId="6C2657EB" w14:textId="77777777" w:rsidR="00F6177A" w:rsidRPr="00B25E45" w:rsidRDefault="00F6177A" w:rsidP="00E41176">
      <w:pPr>
        <w:pStyle w:val="Nadpis3"/>
      </w:pPr>
      <w:r w:rsidRPr="00B25E45">
        <w:t>K bodu 84 (§ 101b odst. 1)</w:t>
      </w:r>
    </w:p>
    <w:p w14:paraId="1607C264"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101b odst. 1 je upravena lhůta pro podání návrhu na zrušení opatření obecné povahy nebo jeho částí. Jelikož se úprava doplňuje o možnost navrhovat také určení nezákonnosti opatření obecné povahy, je nutné zakotvit lhůtu pro podání tohoto návrhu.</w:t>
      </w:r>
    </w:p>
    <w:p w14:paraId="42B93F1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Současně se navrhuje dosavadní úpravu doplnit o pravidlo pro případy, kdy již uplynula lhůta pro podání návrhu na zrušení opatření obecné povahy nebo jeho části nebo určení jejich nezákonnosti. V jiném řízení ve správním soudnictví se za dané situace umožňuje domáhat toho, že se v tomto jiném řízení opatření obecné povahy nebo jeho části nepoužijí, neboť jsou u něj dány důvody pro jeho zrušení. Pravidlo </w:t>
      </w:r>
      <w:proofErr w:type="gramStart"/>
      <w:r w:rsidRPr="00B25E45">
        <w:rPr>
          <w:rFonts w:ascii="Times New Roman" w:hAnsi="Times New Roman"/>
          <w:sz w:val="24"/>
        </w:rPr>
        <w:t>míří</w:t>
      </w:r>
      <w:proofErr w:type="gramEnd"/>
      <w:r w:rsidRPr="00B25E45">
        <w:rPr>
          <w:rFonts w:ascii="Times New Roman" w:hAnsi="Times New Roman"/>
          <w:sz w:val="24"/>
        </w:rPr>
        <w:t xml:space="preserve"> na případy, kdy na základě opatření obecné povahy, u kterého jsou dány důvody pro jeho zrušení, ale které již nelze napadnou návrhem podle soudního řádu správního, bylo vydáno nějaké rozhodnutí správního orgánu nebo byl správním orgánem proveden nějaký zásah. Žalobce se bude moci v rámci řízení o žalobě proti rozhodnutí správního orgánu, resp. v rámci řízení o žalobě na ochranu před nezákonným </w:t>
      </w:r>
      <w:r w:rsidRPr="00B25E45">
        <w:rPr>
          <w:rFonts w:ascii="Times New Roman" w:hAnsi="Times New Roman"/>
          <w:sz w:val="24"/>
        </w:rPr>
        <w:lastRenderedPageBreak/>
        <w:t>zásahem, domáhat toho, aby se při posuzování jeho žaloby k tomuto opatření obecné povahy nepřihlíželo.</w:t>
      </w:r>
    </w:p>
    <w:p w14:paraId="57B5F0C7" w14:textId="77777777" w:rsidR="00F6177A" w:rsidRPr="00B25E45" w:rsidRDefault="00F6177A" w:rsidP="00E41176">
      <w:pPr>
        <w:pStyle w:val="Nadpis3"/>
      </w:pPr>
      <w:r w:rsidRPr="00B25E45">
        <w:t>K bodu 85 (§ 101b odst. 2)</w:t>
      </w:r>
    </w:p>
    <w:p w14:paraId="79E2EE90"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101b odst. 2 jsou obsaženy jednak náležitosti návrhu na zrušení opatření obecné povahy nebo jeho částí, jednak vymezení, do kdy smí navrhovatel rozšiřovat a omezovat rozsah návrhu, jakož i do kdy smí navrhovatel rozšiřovat a omezovat jednotlivé návrhové body.</w:t>
      </w:r>
    </w:p>
    <w:p w14:paraId="11E6F636"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Dosavadní úprava je ve srovnání s tím, jak je otázka koncentrace upravena v rámci jiných řízení ve správním soudnictví, velmi přísná, a to zejména pokud jde o otázku rozšiřování návrhu o nové návrhové body, uvádění nových rozhodujících skutečností a označování nových důkazů. Nic z toho totiž není podle dosavadní úpravy možné. Úprava tak nebere ohledy ani na situace, kdy navrhovatel nějaké návrhové body, rozhodné skutečnosti nebo důkazy neuvedl, resp. neoznačil již v samotném návrhu bez své viny (kupř. proto, že mu v té době nebyly a ani nemohly být známy). </w:t>
      </w:r>
    </w:p>
    <w:p w14:paraId="64803EAC"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Navrhuje se proto dosavadní velmi přísnou úpravu koncentrace zmírnit, a to stejně, jako je navrhováno u žaloby proti rozhodnutí správního orgánu a u žaloby na ochranu proti nečinnosti správního orgánu. Základním pravidlem tak i nadále bude, že navrhovatel má uvést všechny návrhové body a rozhodující skutečnosti a označit všechny důkazy již v návrhu. Nově však bude i pro řízení o zrušení opatření obecné povahy nebo jeho části platit, že později bude moci navrhovatel uvést nové návrhové body a rozhodující skutečnosti nebo označit nové důkazy jen na výzvu soudu nebo nemohl-li je dříve bez své viny uvést. </w:t>
      </w:r>
    </w:p>
    <w:p w14:paraId="26F12A26" w14:textId="77777777" w:rsidR="00F6177A" w:rsidRPr="00B25E45" w:rsidRDefault="00F6177A" w:rsidP="00E41176">
      <w:pPr>
        <w:pStyle w:val="Nadpis3"/>
      </w:pPr>
      <w:r w:rsidRPr="00B25E45">
        <w:t>K bodu 86 (§ 101b odst. 4)</w:t>
      </w:r>
    </w:p>
    <w:p w14:paraId="0CEAA93B"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Kritizovaným nedostatkem dosavadní úpravy řízení o zrušení opatření obecné povahy nebo jeho částí je absence možnosti soudu při posuzování zákonnosti napadeného opatření obecné povahy posoudit zákonnost i závazného podkladu napadeného opatření obecné povahy, jako je tomu při zkoumání zákonnosti rozhodnutí správního orgánu v řízení o žalobě proti tomuto rozhodnutí (§ 75 odst. 2).</w:t>
      </w:r>
    </w:p>
    <w:p w14:paraId="216B037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Navrhuje se proto tento kritizovaný nedostatek napravit, a to převzetím existující úpravy platné pro řízení o žalobě proti rozhodnutí správního orgánu. Za tím účelem se navrhuje doplnit § 75 odst. 2, v němž je tato úprava pro řízení o žalobě proti rozhodnutí správního orgánu obsažena, do § 101b. odst. 4.</w:t>
      </w:r>
    </w:p>
    <w:p w14:paraId="2170CD91" w14:textId="77777777" w:rsidR="00F6177A" w:rsidRPr="00B25E45" w:rsidRDefault="00F6177A" w:rsidP="00E41176">
      <w:pPr>
        <w:pStyle w:val="Nadpis3"/>
      </w:pPr>
      <w:r w:rsidRPr="00B25E45">
        <w:t>K bodu 87 (§ 101d odst. 2)</w:t>
      </w:r>
    </w:p>
    <w:p w14:paraId="7F8AE546"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 101d odst. 2 je obsaženo, jak soud věcně rozhodne o návrhu na zrušení opatření obecné povahy nebo jeho částí. Konkrétně se v něm stanoví, že soud napadené opatření obecné povahy nebo jeho část </w:t>
      </w:r>
      <w:proofErr w:type="gramStart"/>
      <w:r w:rsidRPr="00B25E45">
        <w:rPr>
          <w:rFonts w:ascii="Times New Roman" w:hAnsi="Times New Roman"/>
          <w:sz w:val="24"/>
        </w:rPr>
        <w:t>zruší</w:t>
      </w:r>
      <w:proofErr w:type="gramEnd"/>
      <w:r w:rsidRPr="00B25E45">
        <w:rPr>
          <w:rFonts w:ascii="Times New Roman" w:hAnsi="Times New Roman"/>
          <w:sz w:val="24"/>
        </w:rPr>
        <w:t>, je-li návrh důvodný, nebo že návrh zamítne, není-li důvodný.</w:t>
      </w:r>
    </w:p>
    <w:p w14:paraId="0E8AB814"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Předkládaný návrh usiluje o doplnění nového typu přezkumu opatření obecné povahy v podobě určování jeho nezákonnosti. To s sebou nese i potřebu doplnit dosavadní úpravu rozhodování </w:t>
      </w:r>
      <w:r w:rsidRPr="00B25E45">
        <w:rPr>
          <w:rFonts w:ascii="Times New Roman" w:hAnsi="Times New Roman"/>
          <w:sz w:val="24"/>
        </w:rPr>
        <w:lastRenderedPageBreak/>
        <w:t>soudu, aby obsahovala možnost soudu určit nezákonnost napadeného opatření obecné povahy, je-li předmětem návrhu určení nezákonnosti opatření obecné povahy nebo jeho částí.</w:t>
      </w:r>
    </w:p>
    <w:p w14:paraId="7AC47E4D" w14:textId="77777777" w:rsidR="00F6177A" w:rsidRPr="00B25E45" w:rsidRDefault="00F6177A" w:rsidP="00E41176">
      <w:pPr>
        <w:pStyle w:val="Nadpis3"/>
      </w:pPr>
      <w:r w:rsidRPr="00B25E45">
        <w:t>K bodům 88 a 89 (§ 101e odst. 2 a 3)</w:t>
      </w:r>
    </w:p>
    <w:p w14:paraId="5F2E4229"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101e odst. 2 je obsažen výčet náležitostí návrhu na zrušení služebního předpisu, jakož i do kdy smí navrhovatel rozšiřovat a omezovat rozsah návrhu nebo rozšiřovat a omezovat jednotlivé návrhové body.</w:t>
      </w:r>
    </w:p>
    <w:p w14:paraId="0CAD183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Dosavadní úprava je podobně jako u opatření obecné povahy ve srovnání s tím, jak je tato záležitost upravena v rámci jiných řízení ve správním soudnictví, velmi přísná, a to zejména pokud jde o otázku rozšiřování návrhu o nové návrhové body, uvádění nových rozhodujících skutečností a označování nových důkazů. Nic z toho totiž není podle dosavadní úpravy možné. Navrhuje se proto dosavadní velmi přísnou úpravu koncentrace zmírnit, podobně jako je navrhováno u žaloby proti rozhodnutí správního orgánu, u žaloby na ochranu proti nečinnosti správního orgánu a u návrhu na zrušení opatření obecné povahy nebo jeho části. Základním pravidlem tak i nadále bude, že navrhovatel má uvést všechny návrhové body a rozhodující skutečnosti a označit všechny důkazy již v návrhu. Nově však bude i pro řízení o zrušení služebního předpisu platit, že později bude moci navrhovatel uvést nové návrhové body a rozhodující skutečnosti nebo označit nové důkazy jen ve lhůtě stanovené mu k tomu soudem nebo nemohl-li je dříve bez své viny uvést. </w:t>
      </w:r>
    </w:p>
    <w:p w14:paraId="67865FA6"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Soudní řád správní je ohledně vymezení účastníků koncipován tak, že pro každý typ řízení je vymezeno, kdo může podat žalobu (návrh na zahájení řízení), neboli, kdo je žalobcem (navrhovatel), jakož i kdo je žalovaným (odpůrce). U řízení o zrušení služebního předpisu nebo jeho části tomu tak ovšem není, když zcela chybí vymezení, kdo je pro toto řízení odpůrcem. Řešení nenabízí ani obecná ustanovení o řízení ve správním soudnictví, když v § 33 odst. 1 se pouze stanoví, že to, kdo je odpůrcem, stanoví zákon. V současnosti je tento nedostatek řešen analogickým použitím § 101a odst. 3, který vymezuje, kdo je odpůrcem v řízení o zrušení opatření obecné povahy nebo jeho části. Navrhuje se proto tento nedostatek napravit doplněním chybějící definice odpůrce v řízení o zrušení služebního předpisu do § 101e.</w:t>
      </w:r>
    </w:p>
    <w:p w14:paraId="29105E90" w14:textId="77777777" w:rsidR="00F6177A" w:rsidRPr="00B25E45" w:rsidRDefault="00F6177A" w:rsidP="00E41176">
      <w:pPr>
        <w:pStyle w:val="Nadpis3"/>
      </w:pPr>
      <w:r w:rsidRPr="00B25E45">
        <w:t>K bodu 90 (§ 101g, § 101h, § 101i, § 101j a § 101k)</w:t>
      </w:r>
    </w:p>
    <w:p w14:paraId="74088C6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Jako výrazný nedostatek dosavadní úpravy je vnímána absence soudního přezkumu vnitřních předpisů profesních komor.</w:t>
      </w:r>
    </w:p>
    <w:p w14:paraId="07005B2A" w14:textId="5DD73B21"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Profesními komorami je nutno rozumět právnické osoby, které jsou zřízené zákonem za účelem sdružování osob vykonávajících určitou profesi a jimž zákon svěřil rozhodování o právech a povinnostech fyzických a právnických osob (srov. blíže kupř. rozsudek Nejvyššího správního soudu čj. 1 As 21/2004-38 ze 4. května 2005). Podle dosavadní úpravy existuje celkem dvanáct profesních komor, a to Česká advokátní komora, Česká komora architektů, Česká komora autorizovaných inženýrů a techniků činných ve výstavbě, Česká lékárnická komora, Česká lékařská komora, Česká stomatologická komora, Exekutorská komora České republiky, Komora auditorů České republiky, Komora daňových poradců České republiky, Komora patentových zástupců České republiky, Komora veterinárních lékařů České republiky a </w:t>
      </w:r>
      <w:r w:rsidRPr="00B25E45">
        <w:rPr>
          <w:rFonts w:ascii="Times New Roman" w:hAnsi="Times New Roman"/>
          <w:sz w:val="24"/>
        </w:rPr>
        <w:lastRenderedPageBreak/>
        <w:t>Notářská komora České republiky. Kromě posledně uvedené ještě existují notářské komory na krajské úrovni, konkrétně Notářská komora pro hlavní město Prahu, Notářská komora v Brně, Notářská komora v Českých Budějovicích, Notářská komora v Hradci Králové, Notářská komora v Ostravě, Notářská komora v Plzni, Notářská komora v Praze a Notářská komora v Ústí nad Labem.</w:t>
      </w:r>
    </w:p>
    <w:p w14:paraId="33B60FD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Pokud se </w:t>
      </w:r>
      <w:proofErr w:type="gramStart"/>
      <w:r w:rsidRPr="00B25E45">
        <w:rPr>
          <w:rFonts w:ascii="Times New Roman" w:hAnsi="Times New Roman"/>
          <w:sz w:val="24"/>
        </w:rPr>
        <w:t>hovoří</w:t>
      </w:r>
      <w:proofErr w:type="gramEnd"/>
      <w:r w:rsidRPr="00B25E45">
        <w:rPr>
          <w:rFonts w:ascii="Times New Roman" w:hAnsi="Times New Roman"/>
          <w:sz w:val="24"/>
        </w:rPr>
        <w:t xml:space="preserve"> o vnitřních předpisech profesní komory, je nutno mít současně na paměti, že profesní komora je svou povahou zčásti korporace soukromého práva a zčásti korporace veřejného práva. Totéž dělení totiž platí i pro její vnitřní předpisy, tj. akty abstraktnější povahy, a další rozhodnutí, tj. rozhodnutí o individuálních právech a povinnostech. Přijme-li profesní komora vnitřní předpis nebo učiní-li rozhodnutí v rámci své soukromoprávní části, pak jde o vnitřní předpis a rozhodnutí podle soukromého práva (takovým vnitřním předpisem může být kupř. jednací řád nejvyššího orgánu profesní komory a rozhodnutím pak kupř. usnesení o zvolení nového člena statutárního nebo kontrolního orgánu). Přijme-li však profesní komora vnitřní předpis nebo učiní-li rozhodnutí v rámci své veřejnoprávní části, pak jde o vnitřní předpis a rozhodnutí podle veřejného práva (takovým vnitřním předpisem může být kupř. předpis stanovující podmínky pro umožnění výkonu dané profese a rozhodnutím pak kupř. rozhodnutí o zápisu do seznamu osob vykonávajících danou profesi). </w:t>
      </w:r>
    </w:p>
    <w:p w14:paraId="6A8A335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Toto dělení vnitřních předpisů a rozhodnutí je totiž důležité i z hlediska otázky jejich soudního přezkumu. Jde-li o vnitřní předpis nebo jiné rozhodnutí profesní komory podle soukromého práva, náleží jejich přezkum civilním soudům (zpravidla v rámci řízení ve věcech právnických osob iniciovaného návrhem na určení neplatnosti rozhodnutí orgánu právnické osoby). Jde-li však o vnitřní předpis nebo jiné rozhodnutí profesní komory podle veřejného práva, pak by jejich soudní přezkum měl náležet správním soudům, neboť se takový vnitřní předpis a jiné rozhodnutí týkají veřejných subjektivních práv fyzických a právnických osob. Pokud jde o přezkum jiných rozhodnutí profesní komory podle veřejného práva (tj. rozhodnutí o individuálních právech a povinnostech), pak jejich přezkum v rámci správního soudnictví probíhá v rámci řízení o žalobě proti rozhodnutí správního orgánu (profesní komora je podle rozhodovací praxe správních soudů považována za správní orgán). Avšak v případě přezkumu vnitřních předpisů profesní komory podle veřejného práva (tj. aktů abstraktnější povahy), úprava jejich přezkumu správními soudy absentuje. A právě tento nedostatek má za cíl napravit navrhovaná změna.</w:t>
      </w:r>
    </w:p>
    <w:p w14:paraId="52E0B66C"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 tomto místě se pro úplnost zdůrazňuje, že navrhovaná změna se dotýká a upravuje soudní přezkum pouze veřejnoprávních vnitřních předpisů profesní komory. A to proto, že správní soudy poskytují ochranu veřejným subjektivním právům fyzických a právnických osob, jak stojí v § 2, přičemž právě veřejnoprávní vnitřní předpis profesní komory je aktem, který abstraktnějším způsobem upravuje veřejná subjektivní práva a povinnosti.</w:t>
      </w:r>
    </w:p>
    <w:p w14:paraId="11C325F4"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Před vlastním popisem navrhované změny a zvoleného řešení je vhodné poznamenat, že pro přehlednost a jednodušší textaci se v rámci soudního řádu správního pro vnitřní předpis profesní komory používá označení stavovský předpis.</w:t>
      </w:r>
    </w:p>
    <w:p w14:paraId="0693B78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lastRenderedPageBreak/>
        <w:t>Vlastní řízení o zrušení stavovského předpisu nebo jeho části je z velké části inspirováno úpravou řízení o zrušení opatření obecné povahy nebo jeho části, neboť toto řízení je svou povahou navrhovanému řízení o zrušení stavovského předpisu nebo jeho části nejbližší, a z menší části dále úpravou řízení o žalobě proti rozhodnutí správního orgánu.</w:t>
      </w:r>
    </w:p>
    <w:p w14:paraId="6BF40D6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navrhovaném § 101g je upravena otázka, kdo jsou účastníky řízení o zrušení stavovského předpisu nebo jeho části. Navrhovatelem může být jednak osoba, které právo navrhnout přezkum stavovského předpisu přiznává zvláštní zákon, jednak osoba, která tvrdí, že byla stavovským předpisem přímo zkrácena na svých právech.</w:t>
      </w:r>
    </w:p>
    <w:p w14:paraId="0CB423EF" w14:textId="77777777" w:rsidR="00F6177A" w:rsidRPr="00B25E45" w:rsidRDefault="00F6177A" w:rsidP="00F6177A">
      <w:pPr>
        <w:spacing w:before="120"/>
        <w:jc w:val="both"/>
        <w:rPr>
          <w:rFonts w:ascii="Times New Roman" w:hAnsi="Times New Roman"/>
          <w:sz w:val="24"/>
        </w:rPr>
      </w:pPr>
      <w:proofErr w:type="gramStart"/>
      <w:r w:rsidRPr="00B25E45">
        <w:rPr>
          <w:rFonts w:ascii="Times New Roman" w:hAnsi="Times New Roman"/>
          <w:sz w:val="24"/>
        </w:rPr>
        <w:t>Hovoří</w:t>
      </w:r>
      <w:proofErr w:type="gramEnd"/>
      <w:r w:rsidRPr="00B25E45">
        <w:rPr>
          <w:rFonts w:ascii="Times New Roman" w:hAnsi="Times New Roman"/>
          <w:sz w:val="24"/>
        </w:rPr>
        <w:t>-li navrhovaná úprava o tom, že navrhovatelem může být osoba, které právo navrhnout přezkum stavovského předpisu přiznává zvláštní zákon, potom je nutno dodat, že v této části představuje navrhovaná úprava určitý základ pro to, aby zvláštní zákon (tj. zpravidla zákon, ve kterém je upraveno postavení a činnost konkrétní profesní komory) označil osobu, která je v rámci svých dohledových pravomocí oprávněna navrhnout zrušení stavovského předpisu. Jeví se přitom jako vhodnější, aby tato osoba byla případně konkretizována pro každou jednotlivou komoru právě v onom zvláštním zákoně a nikoli přímo v soudním řádu správním, neboť z povahy věci nepůjde o jednu a tutéž osobu pro všechny profesní komory. Ostatně u některých profesních komor již dnes zvláštní zákon vymezuje osobu, která je oprávněna domáhat se u soudu zrušení jejího vnitřního předpisu. Konkrétně jde o ministra spravedlnosti v případě vnitřního předpisu České advokátní komory (§ 50 zákona č. 85/1996 Sb.), ministra zemědělství v případě vnitřního předpisu Komory veterinárních lékařů České republiky (§ 19 zákona č. 381/1991 Sb.), předsedy Úřadu průmyslového vlastnictví v případě vnitřního předpisu Komory patentových zástupců České republiky (§ 64 odst. 3 zákona č. 417/2004 Sb.) a Radu pro veřejný dohled nad auditem v případě vnitřního předpisu Komory auditorů České republiky (§ 38 odst. 2 písm. b) zákona č. 93/2009 Sb.).</w:t>
      </w:r>
    </w:p>
    <w:p w14:paraId="75D33BBF"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Po vzoru úpravy řízení o zrušení opatření obecné povahy nebo jeho části je vymezení navrhovatele doplněno o pravidlo, že navrhnout zrušení stavovského předpisu lze v případě, kdy je navrhovatel současně oprávněn podat ve správním soudnictví žalobu nebo návrh ve věci, v níž byl stavovský předpis užit, pouze společně s takou žalobou, resp. takovým návrhem. Toto pravidlo </w:t>
      </w:r>
      <w:proofErr w:type="gramStart"/>
      <w:r w:rsidRPr="00B25E45">
        <w:rPr>
          <w:rFonts w:ascii="Times New Roman" w:hAnsi="Times New Roman"/>
          <w:sz w:val="24"/>
        </w:rPr>
        <w:t>míří</w:t>
      </w:r>
      <w:proofErr w:type="gramEnd"/>
      <w:r w:rsidRPr="00B25E45">
        <w:rPr>
          <w:rFonts w:ascii="Times New Roman" w:hAnsi="Times New Roman"/>
          <w:sz w:val="24"/>
        </w:rPr>
        <w:t xml:space="preserve"> zejména na situace, kdy profesní komora nastaví svým stavovským předpisem podmínky pro povolení výkonu dané profese takovým způsobem, že budou pro potenciální zájemce prakticky nesplnitelné, a kdy bude chtít tento stavovský předpis napadnout někdo, komu profesní komora na základě tohoto stavovského předpisu neudělila povolení pro výkon dané profese. V takovém případě totiž bude platit, že tato osoba bude moci tento stavovský předpis napadnout, napadne-li současně žalobou proti rozhodnutí správního orgánu ono rozhodnutí profesní komory, kterým mu nebyl povolen výkon dané profese.</w:t>
      </w:r>
    </w:p>
    <w:p w14:paraId="43A809D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Odpůrce, jakožto další účastník řízení o zrušení stavovského předpisu nebo jeho části, je vymezen standardním způsobem, tedy jako právnická osoba, která napadený stavovský předpis vydala.</w:t>
      </w:r>
    </w:p>
    <w:p w14:paraId="208F70AD"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navrhovaném § 101h je upravena lhůta pro podání návrhu na zrušení stavovského předpisu nebo jeho části. Navrhuje se subjektivní lhůta o délce dvou měsíců (lhůta o délce dva měsíce je </w:t>
      </w:r>
      <w:r w:rsidRPr="00B25E45">
        <w:rPr>
          <w:rFonts w:ascii="Times New Roman" w:hAnsi="Times New Roman"/>
          <w:sz w:val="24"/>
        </w:rPr>
        <w:lastRenderedPageBreak/>
        <w:t>považována za standardní subjektivní lhůtu pro podání žaloby ve správním soudnictví, viz odůvodnění navrhovaného částečného sjednocení a sblížení lhůt) a objektivní lhůta o délce jednoho roku (u této je snaha o sjednocení s úpravou lhůt pro podání návrhu na zrušení opatření obecné povahy nebo jeho části). Nutno podotknout, že tyto lhůty se nevztahují na navrhovatele, jimž je osoba, které právo navrhnout přezkum stavovského předpisu přiznává zvláštní zákon. U nich se případné omezení jejich práva lhůtou ponechává na příslušných zvláštních zákonech, jako je tomu dosud.</w:t>
      </w:r>
    </w:p>
    <w:p w14:paraId="39E26D5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Rovněž se po vzoru úpravy lhůt pro podání jiných žalob a návrhů stanoví, že zmeškání lhůty nelze prominout.</w:t>
      </w:r>
    </w:p>
    <w:p w14:paraId="3E88BFC7"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navrhovaném § 101i je obsažen výčet náležitostí návrhu na zrušení stavovského předpisu nebo jeho části. Tento výčet je obdobný výčtu náležitostí návrhu na zrušení opatření obecné povahy nebo jeho části.</w:t>
      </w:r>
    </w:p>
    <w:p w14:paraId="1F31F8BB"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Dále je v tomto navrhovaném ustanovení obsažena úprava toho, do kdy smí navrhovatel rozšiřovat a omezovat rozsah návrhu, jakož i do kdy smí navrhovatel rozšiřovat a omezovat jednotlivé návrhové body. Navrhovaná úprava vychází z dosavadní úpravy této záležitosti v řízení o žalobě proti rozhodnutí správního orgánu. Základním pravidlem tak bude, že navrhovatel má uvést všechny návrhové body a rozhodující skutečnosti a označit všechny důkazy již v návrhu. Později bude moci navrhovatel uvést nové návrhové body a rozhodující skutečnosti nebo označit nové důkazy jen ve lhůtě stanovené mu k tomu soudem nebo nemohl-li je dříve bez své viny uvést. </w:t>
      </w:r>
    </w:p>
    <w:p w14:paraId="5B1FE3B1"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navrhovaném § 101j je upraveno, jak o návrhu na zrušení stavovského předpisu nebo jeho části věcně rozhodne soud. Navrhovaná úprava je opět inspirována úpravou této záležitosti v řízení o zrušení opatření obecné povahy nebo jeho části, a tak stejně jako v řízení o zrušení opatření obecné povahy nebo jeho části připadají v zásadě dvě možnosti, jak o návrhu na zrušení stavovského předpisu nebo jeho části může soud věcně rozhodnout. Buďto dojde k závěru, že stavovský předpis nebo jeho část je v rozporu se zákonem nebo že profesní komora při jeho vydání překročila své meze anebo že stavovský předpis nebyl vydán zákonem stanoveným způsobem, načež návrhu vyhoví a napadený stavovský předpis </w:t>
      </w:r>
      <w:proofErr w:type="gramStart"/>
      <w:r w:rsidRPr="00B25E45">
        <w:rPr>
          <w:rFonts w:ascii="Times New Roman" w:hAnsi="Times New Roman"/>
          <w:sz w:val="24"/>
        </w:rPr>
        <w:t>zruší</w:t>
      </w:r>
      <w:proofErr w:type="gramEnd"/>
      <w:r w:rsidRPr="00B25E45">
        <w:rPr>
          <w:rFonts w:ascii="Times New Roman" w:hAnsi="Times New Roman"/>
          <w:sz w:val="24"/>
        </w:rPr>
        <w:t xml:space="preserve"> ke dni, který určí v rozsudku, nebo dojde k závěru, že žádná z těchto skutečností není v posuzovaném případu dána, a zamítne návrh jako nedůvodný.</w:t>
      </w:r>
    </w:p>
    <w:p w14:paraId="716EDB4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navrhovaném § 101k jsou upraveny důsledky zrušení stavovského předpisu, přičemž se opět jedná z části o převzetí úpravy z řízení o zrušení opatření obecné povahy nebo jeho části a z části o převzetí úpravy z řízení o zrušení služebního předpisu.</w:t>
      </w:r>
    </w:p>
    <w:p w14:paraId="44DE6AA3"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Prvý upravený důsledek je převážně procesního charakteru a stanoví, že soud při přezkumu rozhodnutí a jiných úkonů profesní komory, při nichž byl užit zrušený stavovský předpis, vždy přihlédne k tomu, že tento stavovský předpis byl zrušen. A to i tehdy bylo-li přezkoumávané rozhodnutí vydáno nebo jiný úkon profesní komory učiněn před tímto zrušením.</w:t>
      </w:r>
    </w:p>
    <w:p w14:paraId="23ADCC34"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Další důsledek upravený v tomto navrhovaném ustanovení je rovněž převážně procesního charakteru, přičemž jeho smyslem je poskytnout dodatečnou ochranu těm, kteří byli profesní </w:t>
      </w:r>
      <w:r w:rsidRPr="00B25E45">
        <w:rPr>
          <w:rFonts w:ascii="Times New Roman" w:hAnsi="Times New Roman"/>
          <w:sz w:val="24"/>
        </w:rPr>
        <w:lastRenderedPageBreak/>
        <w:t>komorou shledáni vinnými pro porušení povinnosti stanovené zrušeným stavovským předpisem. Pro takový případ se totiž stanoví, že zrušení tohoto stavovského předpisu představuje důvod pro obnovu řízení proběhnuvšího před orgánem profesní komory, jehož předmětem bylo posouzení skutku, v němž bylo spatřováno ono porušení povinnosti.</w:t>
      </w:r>
    </w:p>
    <w:p w14:paraId="5D7FAA53"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Konečně se v tomto ustanovení navrhuje výslovně zakotvit pravidlo, že zrušení stavovského předpisu nemá vliv na práva a povinnosti vzniklé před jeho zrušením. Jde o vyjádření ochrany práv nabytých v dobré víře.</w:t>
      </w:r>
    </w:p>
    <w:p w14:paraId="05B61E47" w14:textId="77777777" w:rsidR="00F6177A" w:rsidRPr="00B25E45" w:rsidRDefault="00F6177A" w:rsidP="00E41176">
      <w:pPr>
        <w:pStyle w:val="Nadpis3"/>
      </w:pPr>
      <w:r w:rsidRPr="00B25E45">
        <w:t>K bodům 91 až 93 (§ 103)</w:t>
      </w:r>
    </w:p>
    <w:p w14:paraId="36B44164"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důvodové zprávě k vládnímu návrhu na vydání soudního řádu správního z roku 2001 je k důvodům kasační stížnosti uvedeno následující: </w:t>
      </w:r>
      <w:r w:rsidRPr="00B25E45">
        <w:rPr>
          <w:rFonts w:ascii="Times New Roman" w:hAnsi="Times New Roman"/>
          <w:i/>
          <w:iCs/>
          <w:sz w:val="24"/>
        </w:rPr>
        <w:t>„Stížnost je připuštěna proti rozsudkům i usnesením, včetně procesních (nikoli však těm, jimiž se jen upravuje vedení řízení). Je omezena na důvody v zákoně uvedené, ty však jsou formulovány velkoryse, protože je třeba, aby Nejvyšší správní soud co nejrychleji a v co největším rozsahu vytvořil spolehlivý judikaturní základ pro rozhodovací činnost správních soudů i správních orgánů. Nelze proto do budoucna vyloučit postupné omezování stížnostních důvodů.“</w:t>
      </w:r>
    </w:p>
    <w:p w14:paraId="3C3D6AA0"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Od přijetí soudního řádu správního, tedy od roku 2003, nebyl § 103 novelizován a důvody pro podání kasační stížnosti zůstávají po 20 letech stejné. Nejvyšší správní soud za tuto dobu již vytvořil spolehlivý judikaturní základ pro rozhodovací činnost správních soudů i správních orgánů a nyní nastal čas omezit a precizovat kasační důvody tak, jak zákonodárce v době přijímání zákona zamýšlel. </w:t>
      </w:r>
    </w:p>
    <w:p w14:paraId="1B30590A" w14:textId="2819CFFE"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Nejvyšší správní soud se jako jediný z vrcholných soudů ČR (</w:t>
      </w:r>
      <w:r w:rsidR="00CA0BA9" w:rsidRPr="00B25E45">
        <w:rPr>
          <w:rFonts w:ascii="Times New Roman" w:hAnsi="Times New Roman"/>
          <w:sz w:val="24"/>
        </w:rPr>
        <w:t>ve srovnání s Nejvyšším soudem a Ústavním soudem</w:t>
      </w:r>
      <w:r w:rsidRPr="00B25E45">
        <w:rPr>
          <w:rFonts w:ascii="Times New Roman" w:hAnsi="Times New Roman"/>
          <w:sz w:val="24"/>
        </w:rPr>
        <w:t>) při přezkoumávání rozhodnutí soudů nižšího stupně zabývá nejen právními otázkami, ale i otázkami skutkovými. To však generuje velké množství nepřehledné judikatury a dochází k oslabování základní funkce Nejvyššího správního soudu, tedy sjednocovat judikaturu krajských soudů. Kasační stížnost by se měla soustředit především na hodnocení otázek právních, nikoliv na hodnocení důkazů, zvlášť v situaci, kdy NSS dokazování zásadně neprovádí.</w:t>
      </w:r>
    </w:p>
    <w:p w14:paraId="28D4911A"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Navrhuje se tedy s ohledem na výše uvedené upravit v odstavci 1 písmeno b) tak, aby stěžovatel mohl napadat pouze takové vady řízení před správním orgánem, které mohly mít důvodně vliv na zákonnost, popřípadě správnost napadeného rozhodnutí správního orgánu, a pro tuto důvodně vytýkanou vadu soud, který ve věci rozhodoval, měl napadené rozhodnutí správního orgánu zrušit. Skutečnost, že se za takovou vadu řízení považuje i nepřezkoumatelnost rozhodnutí správního orgánu pro nesrozumitelnost, zůstává beze změny. </w:t>
      </w:r>
    </w:p>
    <w:p w14:paraId="7DCF5C5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Formulace „vady, které mohly mít vliv na zákonnost“ je v judikatuře Nejvyššího správního soudu již ujasněna s odkazem na obdobné znění ve správnímu řádu (srov. rozsudek čj. 6 A 12/2001 ze dne 4. 6. 2003, č. 23/2003 Sb. NSS, nebo čj. 6 A 51/2001 ze dne 18. 3. 2004, č. 494/2005 Sb.). Nepředpokládají se tedy problémy při stanovování toho, co se takovou vadou má na mysli. Takovými vadami mohou být dle judikatury správních soudů např. vady při doručování, vady při dokazování, absence podpisu oprávněné úřední osoby na vyhotovení </w:t>
      </w:r>
      <w:r w:rsidRPr="00B25E45">
        <w:rPr>
          <w:rFonts w:ascii="Times New Roman" w:hAnsi="Times New Roman"/>
          <w:sz w:val="24"/>
        </w:rPr>
        <w:lastRenderedPageBreak/>
        <w:t xml:space="preserve">rozhodnutí, nedání možnosti účastníkovi řízení vyjádřit se před vydáním rozhodnutí ve věci k podkladům rozhodnutí, nepřibrání tlumočníka, porušení zásady nestrannosti, rozhodování místně nepříslušného správního orgánu, nevyzvání k odstranění vad podání atp., avšak je potřeba vždy přihlížet k okolnostem daného případu. </w:t>
      </w:r>
    </w:p>
    <w:p w14:paraId="1715B9B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Nejvyšší správní soud uvedl, že: „</w:t>
      </w:r>
      <w:r w:rsidRPr="00B25E45">
        <w:rPr>
          <w:rFonts w:ascii="Times New Roman" w:hAnsi="Times New Roman"/>
          <w:i/>
          <w:iCs/>
          <w:sz w:val="24"/>
        </w:rPr>
        <w:t>o vadu řízení, která by mohla mít vliv na zákonnost napadeného rozhodnutí, se nejedná, pokud lze dovodit, že by výrok rozhodnutí byl stejný i za situace, kdyby k vadě řízení vůbec nedošlo</w:t>
      </w:r>
      <w:r w:rsidRPr="00B25E45">
        <w:rPr>
          <w:rFonts w:ascii="Times New Roman" w:hAnsi="Times New Roman"/>
          <w:sz w:val="24"/>
        </w:rPr>
        <w:t>“ (viz např. rozsudky ze dne 8. 3. 2007, čj. 8 </w:t>
      </w:r>
      <w:proofErr w:type="spellStart"/>
      <w:r w:rsidRPr="00B25E45">
        <w:rPr>
          <w:rFonts w:ascii="Times New Roman" w:hAnsi="Times New Roman"/>
          <w:sz w:val="24"/>
        </w:rPr>
        <w:t>Afs</w:t>
      </w:r>
      <w:proofErr w:type="spellEnd"/>
      <w:r w:rsidRPr="00B25E45">
        <w:rPr>
          <w:rFonts w:ascii="Times New Roman" w:hAnsi="Times New Roman"/>
          <w:sz w:val="24"/>
        </w:rPr>
        <w:t xml:space="preserve"> 102/2005-65, ze dne 14. 7. 2008, čj. 8 </w:t>
      </w:r>
      <w:proofErr w:type="spellStart"/>
      <w:r w:rsidRPr="00B25E45">
        <w:rPr>
          <w:rFonts w:ascii="Times New Roman" w:hAnsi="Times New Roman"/>
          <w:sz w:val="24"/>
        </w:rPr>
        <w:t>Afs</w:t>
      </w:r>
      <w:proofErr w:type="spellEnd"/>
      <w:r w:rsidRPr="00B25E45">
        <w:rPr>
          <w:rFonts w:ascii="Times New Roman" w:hAnsi="Times New Roman"/>
          <w:sz w:val="24"/>
        </w:rPr>
        <w:t xml:space="preserve"> 70/2007-102, nebo ze dne 19. 12. 2014, čj. 8 </w:t>
      </w:r>
      <w:proofErr w:type="spellStart"/>
      <w:r w:rsidRPr="00B25E45">
        <w:rPr>
          <w:rFonts w:ascii="Times New Roman" w:hAnsi="Times New Roman"/>
          <w:sz w:val="24"/>
        </w:rPr>
        <w:t>Afs</w:t>
      </w:r>
      <w:proofErr w:type="spellEnd"/>
      <w:r w:rsidRPr="00B25E45">
        <w:rPr>
          <w:rFonts w:ascii="Times New Roman" w:hAnsi="Times New Roman"/>
          <w:sz w:val="24"/>
        </w:rPr>
        <w:t xml:space="preserve"> 78/2012-45). V této souvislosti správní soud také připomněl, že řízení vedené v prvním a druhém stupni </w:t>
      </w:r>
      <w:proofErr w:type="gramStart"/>
      <w:r w:rsidRPr="00B25E45">
        <w:rPr>
          <w:rFonts w:ascii="Times New Roman" w:hAnsi="Times New Roman"/>
          <w:sz w:val="24"/>
        </w:rPr>
        <w:t>tvoří</w:t>
      </w:r>
      <w:proofErr w:type="gramEnd"/>
      <w:r w:rsidRPr="00B25E45">
        <w:rPr>
          <w:rFonts w:ascii="Times New Roman" w:hAnsi="Times New Roman"/>
          <w:sz w:val="24"/>
        </w:rPr>
        <w:t xml:space="preserve"> jeden celek. Je-li vada řízení vedeného v prvém stupni plně zhojena v řízení odvolacím, není správní řízení jako celek stiženo vadou, která by způsobovala nezákonnost napadeného rozhodnutí (viz např. rozsudky ze dne 13. 4. 2004, čj. 2 A 10/2002-269, č. 280/2004 Sb. NSS, či ze dne 30. 11. 2010, čj. 9 As 37/2010-217). </w:t>
      </w:r>
    </w:p>
    <w:p w14:paraId="37835C8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Vzhledem k judikatuře Nejvyššího správního soudu lze očekávat, že dojde k omezení přezkoumávání skutkových otázek, a tím i k částečnému odbřemenění Nejvyššího správního soudu. Není posláním Nejvyššího správního soudu přehodnocovat správním orgánem provedené důkazy, zvlášť za situace, kdy ani sám Nejvyšší správní soud téměř nikdy dokazování neprovádí a důkazy vnímá pouze zprostředkovaně ze spisů.</w:t>
      </w:r>
    </w:p>
    <w:p w14:paraId="458285B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Pokud jde o změny týkající se dosavadního § 103 odst. 1 písm. d), pak z aplikační praxe vyplynulo, že jiné vady řízení, zmiňované v druhé větě tohoto ustanovení, mohou mít za následek nezákonnost napadeného rozhodnutí, nikoliv však jeho nepřezkoumatelnost. Ustanovení je tak vnímáno jako matoucí. Navrhuje se proto pouze vydělit druhou část věty z písmene d) do samostatného písmene e). Samotná textace důvodu se nikterak nemění.</w:t>
      </w:r>
    </w:p>
    <w:p w14:paraId="3B504D97" w14:textId="77777777" w:rsidR="00F6177A" w:rsidRPr="00B25E45" w:rsidRDefault="00F6177A" w:rsidP="00E41176">
      <w:pPr>
        <w:pStyle w:val="Nadpis3"/>
      </w:pPr>
      <w:r w:rsidRPr="00B25E45">
        <w:t>K bodu 94 (§ 104)</w:t>
      </w:r>
    </w:p>
    <w:p w14:paraId="12BD75B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Judikatura Nejvyššího správního soudu v minulosti rozvolnila chápání přípustnosti kasační stížnosti, což se projevuje ve vyšším nápadu věcí, které by z pohledu gramatického výkladu ustanovení § 102 až 104 s. ř. s. byly nepřípustné (např. kasační stížnost proti rozhodnutí o ustanovení či neustanovení zástupce nebo o neosvobození od soudního poplatku). </w:t>
      </w:r>
    </w:p>
    <w:p w14:paraId="0959E1D9"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Za účelem řešení přetíženosti správních soudů se proto navrhuje ponechat procesní rozhodnutí, která jsou stanovena demonstrativním výčtem, na odpovědnosti krajských soudů a rozšířit o tuto kategorii § 104 s. ř. s. Případné vady řízení budou ze strany Nejvyššího správního soudu přezkoumávány až v řízení o kasační stížnosti proti rozhodnutí krajského soudu ve věci samé.</w:t>
      </w:r>
    </w:p>
    <w:p w14:paraId="5839F8AE" w14:textId="77777777" w:rsidR="00F6177A" w:rsidRPr="00B25E45" w:rsidRDefault="00F6177A" w:rsidP="00E41176">
      <w:pPr>
        <w:pStyle w:val="Nadpis3"/>
      </w:pPr>
      <w:r w:rsidRPr="00B25E45">
        <w:t>K bodu 95 (§ 104a)</w:t>
      </w:r>
    </w:p>
    <w:p w14:paraId="4306038D"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Již delší dobu se vedou odborné debaty na téma případného rozšíření institutu nepřijatelnosti kasační stížnosti podle § 104a s. ř. s., který byl ve své původní verzi omezen jen na řízení ve věcech mezinárodní ochrany. Odborné debaty na uvedené téma se zhmotnily do novely soudního řádu správního přijaté pod č. 77/2021 Sb. Tato novela s účinností od 1. dubna 2021 </w:t>
      </w:r>
      <w:r w:rsidRPr="00B25E45">
        <w:rPr>
          <w:rFonts w:ascii="Times New Roman" w:hAnsi="Times New Roman"/>
          <w:sz w:val="24"/>
        </w:rPr>
        <w:lastRenderedPageBreak/>
        <w:t xml:space="preserve">rozšířila § 104a s. ř. s. na všechny věci spadající na prvním stupni do tzv. </w:t>
      </w:r>
      <w:proofErr w:type="spellStart"/>
      <w:r w:rsidRPr="00B25E45">
        <w:rPr>
          <w:rFonts w:ascii="Times New Roman" w:hAnsi="Times New Roman"/>
          <w:sz w:val="24"/>
        </w:rPr>
        <w:t>samosoudcovské</w:t>
      </w:r>
      <w:proofErr w:type="spellEnd"/>
      <w:r w:rsidRPr="00B25E45">
        <w:rPr>
          <w:rFonts w:ascii="Times New Roman" w:hAnsi="Times New Roman"/>
          <w:sz w:val="24"/>
        </w:rPr>
        <w:t xml:space="preserve"> agendy. </w:t>
      </w:r>
    </w:p>
    <w:p w14:paraId="58C317FB"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Vzhledem k tomu, že se provedená změna osvědčila v praxi a nezpůsobila žádné problémy, ani nedošlo podle navazujícího přezkumu ze strany Ústavního soudu k nepřípustnému odepření spravedlnosti nebo přístupu k soudu (srov. kapitolu 4 obecné části této důvodové zprávy), navrhuje se další rozšíření nepřijatelnosti kasační stížnosti. Novelizační bod ji zobecňuje na veškerou agendu kasačních stížností. Od tohoto dalšího rozšíření se očekává potřebné odbřemenění Nejvyššího správního soudu a urychlení řízení o kasačních stížnostech. Zároveň by změna mohla významnou měrou přispět k zajištění úlohy Nejvyššího správního soudu jako sjednocovatele rozhodování ve správním soudnictví.</w:t>
      </w:r>
    </w:p>
    <w:p w14:paraId="4F7BD744" w14:textId="77777777" w:rsidR="00F6177A" w:rsidRPr="00B25E45" w:rsidRDefault="00F6177A" w:rsidP="00E41176">
      <w:pPr>
        <w:pStyle w:val="Nadpis3"/>
      </w:pPr>
      <w:r w:rsidRPr="00B25E45">
        <w:t>K bodu 96 (§ 105)</w:t>
      </w:r>
    </w:p>
    <w:p w14:paraId="5CFE38CC"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Navrhuje se doplnit § 105 po vzoru § 35 odst. 2 s. ř. s. o možnost zastupování fyzickou osobou, která vykonává specializované právní poradenství podle zvláštních zákonů, pokud se návrh týká oboru činnosti v nich uvedených, má-li zároveň tato osoba vysokoškolské právnické vzdělání. Jedná se např. o daňové poradce, patentové zástupce, výjimečně o notáře. Tato změna umožní zastupování u Nejvyššího správního soudu osobám, které mají právnické vzdělání a dále zkušenosti v daném oboru, a mohou tak být přínosem pro efektivitu a kvalitu řízení před Nejvyšším správním soudem.</w:t>
      </w:r>
    </w:p>
    <w:p w14:paraId="1FD5D5EF" w14:textId="77777777" w:rsidR="00F6177A" w:rsidRPr="00B25E45" w:rsidRDefault="00F6177A" w:rsidP="00E41176">
      <w:pPr>
        <w:pStyle w:val="Nadpis3"/>
      </w:pPr>
      <w:r w:rsidRPr="00B25E45">
        <w:t>K bodu 97 (§ 106)</w:t>
      </w:r>
    </w:p>
    <w:p w14:paraId="697CF3E9"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Obdobně jako v řízeních před Nejvyšším a Ústavním soudem platí, že stěžovatel musí být v řízení o kasační stížnosti zastoupen advokátem (§ 105 odst. 2 s. ř. s.). Cílem uvedeného opatření je zajistit dostatečnou odbornost a kvalitu výstupů, kterými se Nejvyšší správní soud zabývá. Dále za daným opatřením stojí snaha o důsledné zajištění rovnosti před soudem pro osoby, které nemají odpovídající právnické vzdělání. Vychází se zejména z toho, že Nejvyšší správní soud posuzuje především otázky právní, což klade vyšší nároky na obsah i úroveň zasílaných podání, přičemž jen právně zastoupenému účastníkovi lze zajistit odpovídající právní pomoc. </w:t>
      </w:r>
    </w:p>
    <w:p w14:paraId="79A6136C"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Praxe se v návaznosti na aktuální úpravu, která na rozdíl od dovolání výslovně nepožaduje, aby byla kasační stížnost sepsána advokátem, nicméně vyvinula způsobem, který naplnění výše uvedených cílů brání. Pro účely povinného právního zastoupení postačuje, pokud stěžovatel </w:t>
      </w:r>
      <w:r w:rsidRPr="00B25E45">
        <w:rPr>
          <w:rFonts w:ascii="Times New Roman" w:hAnsi="Times New Roman"/>
          <w:i/>
          <w:iCs/>
          <w:sz w:val="24"/>
        </w:rPr>
        <w:t xml:space="preserve">ex post </w:t>
      </w:r>
      <w:proofErr w:type="gramStart"/>
      <w:r w:rsidRPr="00B25E45">
        <w:rPr>
          <w:rFonts w:ascii="Times New Roman" w:hAnsi="Times New Roman"/>
          <w:sz w:val="24"/>
        </w:rPr>
        <w:t>doloží</w:t>
      </w:r>
      <w:proofErr w:type="gramEnd"/>
      <w:r w:rsidRPr="00B25E45">
        <w:rPr>
          <w:rFonts w:ascii="Times New Roman" w:hAnsi="Times New Roman"/>
          <w:sz w:val="24"/>
        </w:rPr>
        <w:t xml:space="preserve"> plnou moc udělenou advokátovi, nebo je-li nezastoupenému stěžovateli, ustanoven advokát </w:t>
      </w:r>
      <w:r w:rsidRPr="00B25E45">
        <w:rPr>
          <w:rFonts w:ascii="Times New Roman" w:hAnsi="Times New Roman"/>
          <w:i/>
          <w:iCs/>
          <w:sz w:val="24"/>
        </w:rPr>
        <w:t>ex post</w:t>
      </w:r>
      <w:r w:rsidRPr="00B25E45">
        <w:rPr>
          <w:rFonts w:ascii="Times New Roman" w:hAnsi="Times New Roman"/>
          <w:sz w:val="24"/>
        </w:rPr>
        <w:t xml:space="preserve">. Již se však nevyžaduje, aby advokát podanou kasační stížnost doplnil, případně odsouhlasil. Uvedená kasační stížnost splňuje podmínky pro věcné projednání, přestože ji sepsal laik a advokát nijak jeho výstup neupravil. Nejvyšší správní soud se proto musí potýkat i s podáními, která nebyla sepsána právním zástupcem a u nichž kýžená erudice a kvalita schází. Doplácejí na to v konečném důsledku zejména stěžovatelé, jejichž naděje na úspěch v řízení o kasační stížnosti může být nekvalifikovaným podáním podstatně snížena. </w:t>
      </w:r>
    </w:p>
    <w:p w14:paraId="7344180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Ze všech těchto důvodů se navrhuje, aby pravidlo o povinném právním zastoupení v řízení o kasační stížnosti bylo rozšířeno a kasační stížnost musela být sepsána advokátem (nejde-li o </w:t>
      </w:r>
      <w:r w:rsidRPr="00B25E45">
        <w:rPr>
          <w:rFonts w:ascii="Times New Roman" w:hAnsi="Times New Roman"/>
          <w:sz w:val="24"/>
        </w:rPr>
        <w:lastRenderedPageBreak/>
        <w:t>některou z výjimek předvídanou v § 106 odst. 1 věta za středníkem s. ř. s.). Jen tímto způsobem je možné zajistit, že kasační stížnosti budou na odpovídající odborné úrovni, která bude umožňovat jejich bezproblémové projednání a garantuje všem stěžovatelům rovnou šanci na úspěch.</w:t>
      </w:r>
    </w:p>
    <w:p w14:paraId="1659F5A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Vzhledem k zařazení povinnosti sepisu kasační stížnosti do ustanovení o náležitostech podání, bude při absenci splnění této povinnosti stěžovatel soudem vyzván k nápravě podle odstavce 3. Ustanovení tak s ohledem na krátkou lhůtu k podání kasační stížnosti, ve které stěžovatel nemusí být schopen nalézt advokáta pro zastupování a sepis kasační stížnosti, umožňuje podání kasační stížnosti bez zastoupení s možností nápravy tohoto nedostatku v náhradní lhůtě podle odstavce 3. Nově však již nebude postačovat pouhé doložení plné moci </w:t>
      </w:r>
      <w:r w:rsidRPr="00B25E45">
        <w:rPr>
          <w:rFonts w:ascii="Times New Roman" w:hAnsi="Times New Roman"/>
          <w:i/>
          <w:iCs/>
          <w:sz w:val="24"/>
        </w:rPr>
        <w:t>ex post</w:t>
      </w:r>
      <w:r w:rsidRPr="00B25E45">
        <w:rPr>
          <w:rFonts w:ascii="Times New Roman" w:hAnsi="Times New Roman"/>
          <w:sz w:val="24"/>
        </w:rPr>
        <w:t xml:space="preserve"> k podané kasační stížnosti, nýbrž kasační stížnost musí podat sám advokát. </w:t>
      </w:r>
    </w:p>
    <w:p w14:paraId="14318A98" w14:textId="77777777" w:rsidR="00F6177A" w:rsidRPr="00B25E45" w:rsidRDefault="00F6177A" w:rsidP="00E41176">
      <w:pPr>
        <w:pStyle w:val="Nadpis3"/>
      </w:pPr>
      <w:r w:rsidRPr="00B25E45">
        <w:t>K bodům 98 až 100 (§ 110)</w:t>
      </w:r>
    </w:p>
    <w:p w14:paraId="4B9E9FEB"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Novela č. 303/2011 Sb. umožnila Nejvyššímu správnímu soudu, aby některé věci přímo sám rozhodl. Tato možnost je ovšem omezena pouze na tři případy vymezené v písm. a) až c) § 110 odst. 2 s. ř. s. Přitom pro účastníky řízení je z časového hlediska výhodnější, aby ve věci, je</w:t>
      </w:r>
      <w:r w:rsidRPr="00B25E45">
        <w:rPr>
          <w:rFonts w:ascii="Times New Roman" w:hAnsi="Times New Roman"/>
          <w:sz w:val="24"/>
        </w:rPr>
        <w:noBreakHyphen/>
        <w:t xml:space="preserve">li to možné, rozhodl rovnou Nejvyšší správní soud. </w:t>
      </w:r>
    </w:p>
    <w:p w14:paraId="1F69C4C7"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Navrhuje se oprávnění rozšířit novelizací § 110 odst. 2 s. ř. s. Inspirací byl § 243d odst. 1 písm. b) občanského soudního řádu: „</w:t>
      </w:r>
      <w:r w:rsidRPr="00B25E45">
        <w:rPr>
          <w:rFonts w:ascii="Times New Roman" w:hAnsi="Times New Roman"/>
          <w:i/>
          <w:iCs/>
          <w:sz w:val="24"/>
        </w:rPr>
        <w:t>Nepostupoval-li podle § 243c, dovolací soud může rozhodnutí odvolacího soudu změnit, jestliže odvolací soud rozhodl nesprávně a jestliže dosavadní výsledky řízení ukazují, že je možné o věci rozhodnout.</w:t>
      </w:r>
      <w:r w:rsidRPr="00B25E45">
        <w:rPr>
          <w:rFonts w:ascii="Times New Roman" w:hAnsi="Times New Roman"/>
          <w:sz w:val="24"/>
        </w:rPr>
        <w:t xml:space="preserve">“ Pokud by dosavadní výsledky řízení neumožňovaly o věci rozhodnout, zůstává Nejvyššímu správnímu soudu zachována možnost zrušit rozhodnutí krajského soudu a věc mu vrátit k dalšímu řízení. </w:t>
      </w:r>
    </w:p>
    <w:p w14:paraId="37AEC7E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Od uvedeného opatření si lze slibovat urychlení řízení ve správním soudnictví a zamezení zbytečnému justičnímu „ping-pongu“.</w:t>
      </w:r>
    </w:p>
    <w:p w14:paraId="4738D3CC"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Pokud jde o změny § 110 odst. 5, týkají se formy rozhodnutí Nejvyššího správního soudu. Nejvyšší správní soud rozhoduje rozsudkem i při posuzování usnesení krajského soudu (např. usnesení o odmítnutí žaloby, usnesení o zastavení řízení), přičemž rozsudek má vzhledem ke slavnostní formě komplikovanější formu zveřejnění (vyhlášení). Pro účely drobného ulehčení kancelářím Nejvyššího správního soudu se navrhuje, aby Nejvyšší správní soud činil rozhodnutí stejnou formou, jakou má napadené rozhodnutí krajského soudu, při zachování meritorní povahy rozhodnutí. Z důvodu změny formy rozhodování je potřeba změnit i nadpis ustanovení.</w:t>
      </w:r>
    </w:p>
    <w:p w14:paraId="6A2206E2"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Navrhované doplnění ustanovení o možnosti pro Nejvyšší správní soud pouze poukázat v odůvodnění svého rozhodnutí na obdobná rozhodnutí a převzít jejich část v případech, kdy již o obdobné věci rozhodoval, není věcnou změnou, nýbrž pouhým zákonným doplněním již stávající rozhodovací praxe Nejvyššího správního soudu. Od této zákonné možnosti se očekává větší využívání odkazování na již existující judikaturu Nejvyššího správního soudu a tím i urychlení řízení.</w:t>
      </w:r>
    </w:p>
    <w:p w14:paraId="366EFAC6" w14:textId="77777777" w:rsidR="00F6177A" w:rsidRPr="00B25E45" w:rsidRDefault="00F6177A" w:rsidP="00E41176">
      <w:pPr>
        <w:pStyle w:val="Nadpis3"/>
      </w:pPr>
      <w:r w:rsidRPr="00B25E45">
        <w:lastRenderedPageBreak/>
        <w:t>K bodu 101 (§ 122 odst. 2)</w:t>
      </w:r>
    </w:p>
    <w:p w14:paraId="5A973C4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122 jsou upraveny předpoklady, které jsou vyžadovány k tomu, aby mohl být soudce přeložen k Nejvyššímu správnímu soudu. Těmito předpoklady jsou souhlas s přeložením, nejméně desetiletá právní praxe a takové odborné znalosti a zkušenosti, které dávají záruku řádného výkonu funkce soudce Nejvyššího správního soudce.</w:t>
      </w:r>
    </w:p>
    <w:p w14:paraId="76F001B3"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Obdobné předpoklady jsou stanoveny i pro přeložení soudce ke krajskému soudu. Tato úprava však není stanovena přímo v soudním řádu správním, nýbrž v souladu s § 3 odst. 2 v zákoně o soudech a soudcích, coby obecném právním předpisu dopadajícím na tuto problematiku, konkrétně v jeho § 71 odst. 3. Podle této obecné úpravy jsou předpoklady pro přeložení soudce ke krajskému soudu souhlas s přeložením, nejméně osmiletá právní praxe a takové odborné znalosti a zkušenosti, které dávají záruku řádného výkonu funkce soudce krajského soudu.</w:t>
      </w:r>
    </w:p>
    <w:p w14:paraId="707E19AC"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Tato úprava předpokladů pro přeložení soudce ke krajskému soudu, zejména pak požadavek alespoň osmileté právní praxe, je však v rámci správního soudnictví předmětem kritiky. Vytýká se jí neprovázanost s úpravou předpokladů pro přidělení soudce ke krajskému soudu na správní úsek. Podle § 121 odst. 1 je totiž předpokladem pro přidělení soudce ke krajskému soudu na správní úsek (vedle souhlasu s přidělením) právní praxe v oboru ústavního, správního nebo finančního práva o délce alespoň pěti let. To ve svém důsledku znamená, že předpoklady pro přeložení soudce ke krajskému soudu jsou podle dosavadní úpravy co do požadavku na délku právní praxe přísnější než předpoklady nutné ke jmenování do funkce soudce a přidělení přímo ke krajskému soudu na správní úsek.</w:t>
      </w:r>
    </w:p>
    <w:p w14:paraId="30ABE02F"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Navrhuje se proto právě popsanou neprovázanost dosavadní úpravy a z ní plynoucí nežádoucí důsledek odstranit, a to sjednocením požadované délky právní praxe pro přeložení soudce ke krajskému soudu na správní úsek s délkou právní praxe požadované pro přidělení soudce ke krajskému soudu na správní úsek. Napříště bude nutné v obou případech prokázat praxi v délce pěti let. V tuto chvíli se toto sjednocení navrhuje pouze pro správní soudnictví, proto je řešeno doplněním úpravy přeložení soudce ke krajskému soudu na správní úsek do soudního řádu správního, coby zvláštní úpravy k obecné úpravě obsažené v zákoně o soudech a soudcích.</w:t>
      </w:r>
    </w:p>
    <w:p w14:paraId="4CC438ED" w14:textId="77777777" w:rsidR="00F6177A" w:rsidRPr="00B25E45" w:rsidRDefault="00F6177A" w:rsidP="00E41176">
      <w:pPr>
        <w:pStyle w:val="Nadpis3"/>
      </w:pPr>
      <w:r w:rsidRPr="00B25E45">
        <w:t>K bodu 102 (§ 134)</w:t>
      </w:r>
    </w:p>
    <w:p w14:paraId="1EC8AB60"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 134 je obsaženo zmocnění Ministerstva spravedlnosti k tomu, aby vyhláškou upravilo podrobnosti pro vyřizování věcí správního soudnictví krajskými soudy, organizaci práce a úkoly zaměstnanců krajských soudů při výkonu správního soudnictví.</w:t>
      </w:r>
    </w:p>
    <w:p w14:paraId="13633C19"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Navrhovaná změna souvisí s návrhem opustit dosavadní rozhodovací praxi ve vztahu k přiznávání náhrady nákladů řízení správnímu orgánu a narovnat v otázce přiznávání náhrady nákladů řízení postavení správního orgánu s postavením fyzických a právnických osob (k tomu blíže u novelizačních bodů 48 a 49). </w:t>
      </w:r>
    </w:p>
    <w:p w14:paraId="610543BA" w14:textId="47B411F9"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Součástí této navrhované změny je doplnění, že budou-li jako důvodně vynaložené náklady správního orgánu shledány i náklady na zastoupení (může jít typ. o situace, kdy je napadán územní plán malé obce, která sestává jen ze starosty a jednoho či dvou úředníků a nedisponuje vlastním odborným aparátem na tuto problematiku), budou jejich náhrada přiznána v paušální </w:t>
      </w:r>
      <w:r w:rsidRPr="00B25E45">
        <w:rPr>
          <w:rFonts w:ascii="Times New Roman" w:hAnsi="Times New Roman"/>
          <w:sz w:val="24"/>
        </w:rPr>
        <w:lastRenderedPageBreak/>
        <w:t>výši stanovené zvláštním právním předpisem. Navrhuje se přitom, aby tímto zvláštním právním předpisem byla vyhláška Ministerstva spravedlnosti, jako je tomu v případě odměny advokáta (vyhláška č. 177/1996 Sb.) nebo úpravy výše paušální náhrady účastníkovi nezastoupenému advokátem (vyhláška č. 254/2015 Sb.).</w:t>
      </w:r>
    </w:p>
    <w:p w14:paraId="62224FA7" w14:textId="79AFB0CE" w:rsidR="00E41176" w:rsidRPr="00B25E45" w:rsidRDefault="00E41176" w:rsidP="00E41176">
      <w:pPr>
        <w:pStyle w:val="Nadpis2"/>
        <w:numPr>
          <w:ilvl w:val="0"/>
          <w:numId w:val="0"/>
        </w:numPr>
        <w:jc w:val="left"/>
        <w:rPr>
          <w:b/>
          <w:bCs/>
        </w:rPr>
      </w:pPr>
      <w:r w:rsidRPr="00B25E45">
        <w:rPr>
          <w:b/>
          <w:bCs/>
        </w:rPr>
        <w:t>K čl. II (přechodná ustanovení)</w:t>
      </w:r>
    </w:p>
    <w:p w14:paraId="08BEFC6B" w14:textId="565BDC26" w:rsidR="00E41176" w:rsidRPr="00B25E45" w:rsidRDefault="00C21288" w:rsidP="00E41176">
      <w:pPr>
        <w:spacing w:before="120"/>
        <w:jc w:val="both"/>
        <w:rPr>
          <w:rFonts w:ascii="Times New Roman" w:hAnsi="Times New Roman"/>
          <w:sz w:val="24"/>
        </w:rPr>
      </w:pPr>
      <w:r w:rsidRPr="00B25E45">
        <w:rPr>
          <w:rFonts w:ascii="Times New Roman" w:hAnsi="Times New Roman"/>
          <w:sz w:val="24"/>
        </w:rPr>
        <w:t>Navrhuje se přijmout standardní procesní přechodné ustanovení. Není-li tedy stanoveno jinak, platí, že nová úprava se použije i na řízení zahájená přede dnem nabytí účinnosti navrhovaného zákona se zachováním účinků úkonů, k nimž v řízení již došlo.</w:t>
      </w:r>
    </w:p>
    <w:p w14:paraId="6155D4E6" w14:textId="6D4EAA48" w:rsidR="00C21288" w:rsidRPr="00B25E45" w:rsidRDefault="00C21288" w:rsidP="00E41176">
      <w:pPr>
        <w:spacing w:before="120"/>
        <w:jc w:val="both"/>
        <w:rPr>
          <w:rFonts w:ascii="Times New Roman" w:hAnsi="Times New Roman"/>
          <w:sz w:val="24"/>
        </w:rPr>
      </w:pPr>
      <w:r w:rsidRPr="00B25E45">
        <w:rPr>
          <w:rFonts w:ascii="Times New Roman" w:hAnsi="Times New Roman"/>
          <w:sz w:val="24"/>
        </w:rPr>
        <w:t>Předložený návrh však přináší komplexní novelizaci a některé změny se mohou dotýkat legitimního očekávání účastníků řízení do takové míry, že se trvání na jinak standardní nepravé retroaktivitě jeví jako neúnosné. Výjimečně budou proto změny platit až pro řízení zahájená teprve po nabytí účinnosti tohoto zákona (nebo v případě zkrácení délky lhůt pro podání žaloby p</w:t>
      </w:r>
      <w:r w:rsidR="00F42F8E" w:rsidRPr="00B25E45">
        <w:rPr>
          <w:rFonts w:ascii="Times New Roman" w:hAnsi="Times New Roman"/>
          <w:sz w:val="24"/>
        </w:rPr>
        <w:t>roti rozhodnutí správního orgánu pouze pro rozhodnutí, která nabyla právní moci nebo byla doručena po nabytí účinnosti tohoto zákona</w:t>
      </w:r>
      <w:r w:rsidRPr="00B25E45">
        <w:rPr>
          <w:rFonts w:ascii="Times New Roman" w:hAnsi="Times New Roman"/>
          <w:sz w:val="24"/>
        </w:rPr>
        <w:t xml:space="preserve">). Jde o případy, na které pamatují body 2 až </w:t>
      </w:r>
      <w:r w:rsidR="00F42F8E" w:rsidRPr="00B25E45">
        <w:rPr>
          <w:rFonts w:ascii="Times New Roman" w:hAnsi="Times New Roman"/>
          <w:sz w:val="24"/>
        </w:rPr>
        <w:t>5</w:t>
      </w:r>
      <w:r w:rsidRPr="00B25E45">
        <w:rPr>
          <w:rFonts w:ascii="Times New Roman" w:hAnsi="Times New Roman"/>
          <w:sz w:val="24"/>
        </w:rPr>
        <w:t xml:space="preserve"> přechodného ustanovení. Nepravá retroaktivita byla vyhodnocena jako nevhodná u:</w:t>
      </w:r>
    </w:p>
    <w:p w14:paraId="03B1711A" w14:textId="57AA641A" w:rsidR="00C21288" w:rsidRPr="00B25E45" w:rsidRDefault="00C21288" w:rsidP="00C80B22">
      <w:pPr>
        <w:pStyle w:val="Odstavecseseznamem"/>
        <w:numPr>
          <w:ilvl w:val="0"/>
          <w:numId w:val="47"/>
        </w:numPr>
        <w:spacing w:before="120" w:line="276" w:lineRule="auto"/>
        <w:ind w:left="714" w:hanging="357"/>
        <w:jc w:val="both"/>
      </w:pPr>
      <w:r w:rsidRPr="00B25E45">
        <w:t>změn v rozdělení kompetencí mezi samosoudce a senát podle § 31 odst. 2;</w:t>
      </w:r>
    </w:p>
    <w:p w14:paraId="4861ECA1" w14:textId="36FA32F9" w:rsidR="00C21288" w:rsidRPr="00B25E45" w:rsidRDefault="00C21288" w:rsidP="00C80B22">
      <w:pPr>
        <w:pStyle w:val="Odstavecseseznamem"/>
        <w:numPr>
          <w:ilvl w:val="0"/>
          <w:numId w:val="47"/>
        </w:numPr>
        <w:spacing w:before="120" w:line="276" w:lineRule="auto"/>
        <w:ind w:left="714" w:hanging="357"/>
        <w:jc w:val="both"/>
      </w:pPr>
      <w:r w:rsidRPr="00B25E45">
        <w:t xml:space="preserve">změny § 60 odst. 1, která má dopad na případnou povinnost k náhradě nákladů řízení (v době zahájení řízení žalobce či navrhovatel počítal s tím, že v případě neúspěchu mu riziko náhrady nákladů vůči žalovanému správnímu orgánu hrozí jen výjimečně); </w:t>
      </w:r>
    </w:p>
    <w:p w14:paraId="346A480D" w14:textId="71D113DF" w:rsidR="00C21288" w:rsidRPr="00B25E45" w:rsidRDefault="00C21288" w:rsidP="00C80B22">
      <w:pPr>
        <w:pStyle w:val="Odstavecseseznamem"/>
        <w:numPr>
          <w:ilvl w:val="0"/>
          <w:numId w:val="47"/>
        </w:numPr>
        <w:spacing w:before="120" w:line="276" w:lineRule="auto"/>
        <w:ind w:left="714" w:hanging="357"/>
        <w:jc w:val="both"/>
      </w:pPr>
      <w:r w:rsidRPr="00B25E45">
        <w:t>změn v otázce koncentrace řízení, tj. § 71 odst. 2, § 80 odst. 4, § 84 odst. 4, § 101b odst. 2 a § 101e odst. 2 (účastník počítal s tím, že bude mít možnost navrhovat důkazy nebo tvrdit rozhodné skutečnosti bez větších omezení);</w:t>
      </w:r>
    </w:p>
    <w:p w14:paraId="702045ED" w14:textId="4D5686B5" w:rsidR="00C21288" w:rsidRPr="00B25E45" w:rsidRDefault="00C21288" w:rsidP="00C80B22">
      <w:pPr>
        <w:pStyle w:val="Odstavecseseznamem"/>
        <w:numPr>
          <w:ilvl w:val="0"/>
          <w:numId w:val="47"/>
        </w:numPr>
        <w:spacing w:before="120" w:line="276" w:lineRule="auto"/>
        <w:ind w:left="714" w:hanging="357"/>
        <w:jc w:val="both"/>
      </w:pPr>
      <w:r w:rsidRPr="00B25E45">
        <w:t>zkrácení délky lhůty pro podání žaloby podle § 72 odst. 2 (účastník mohl legitimně předpokládat, že má pro uplatnění žalobního práva původní – delší lhůtu);</w:t>
      </w:r>
    </w:p>
    <w:p w14:paraId="2F8FE3BB" w14:textId="77157B30" w:rsidR="00C21288" w:rsidRPr="00B25E45" w:rsidRDefault="00C21288" w:rsidP="00C80B22">
      <w:pPr>
        <w:pStyle w:val="Odstavecseseznamem"/>
        <w:numPr>
          <w:ilvl w:val="0"/>
          <w:numId w:val="47"/>
        </w:numPr>
        <w:spacing w:before="120" w:line="276" w:lineRule="auto"/>
        <w:ind w:left="714" w:hanging="357"/>
        <w:jc w:val="both"/>
      </w:pPr>
      <w:r w:rsidRPr="00B25E45">
        <w:t>změna v ustanovení § 85 odst. 2, které omezuje přípustnost žaloby proti nezákonnému zásahu (účastník v době zahájení řízení vycházel z původních podmínek pro podání této žaloby);</w:t>
      </w:r>
    </w:p>
    <w:p w14:paraId="20520648" w14:textId="0E512F1C" w:rsidR="00C21288" w:rsidRPr="00B25E45" w:rsidRDefault="00C21288" w:rsidP="00C80B22">
      <w:pPr>
        <w:pStyle w:val="Odstavecseseznamem"/>
        <w:numPr>
          <w:ilvl w:val="0"/>
          <w:numId w:val="47"/>
        </w:numPr>
        <w:spacing w:before="120" w:line="276" w:lineRule="auto"/>
        <w:ind w:left="714" w:hanging="357"/>
        <w:jc w:val="both"/>
      </w:pPr>
      <w:r w:rsidRPr="00B25E45">
        <w:t>zrušení možnosti podávat návrh na přiznání odkladného účinku podle § 73 odst. 2 (pokud žalobce návrh podal před nabytím účinnosti tohoto zákona, ale dosud o něm nebylo rozhodnuto, nelze to žalobci klást k tíži);</w:t>
      </w:r>
    </w:p>
    <w:p w14:paraId="5B8902D6" w14:textId="0E9F25A9" w:rsidR="00C21288" w:rsidRPr="00B25E45" w:rsidRDefault="00C21288" w:rsidP="00C80B22">
      <w:pPr>
        <w:pStyle w:val="Odstavecseseznamem"/>
        <w:numPr>
          <w:ilvl w:val="0"/>
          <w:numId w:val="47"/>
        </w:numPr>
        <w:spacing w:before="120" w:line="276" w:lineRule="auto"/>
        <w:ind w:left="714" w:hanging="357"/>
        <w:jc w:val="both"/>
      </w:pPr>
      <w:r w:rsidRPr="00B25E45">
        <w:t>omezení přípustnosti kasační stížnosti podle § 103, 104 a § 104a (v době podání kasační stížnosti stěžovatel vycházel z původní úpravy, a pokud o jeho kasační stížnosti dosud nebylo rozhodnuto, nelze mu změnu úpravy klást k tíži).</w:t>
      </w:r>
    </w:p>
    <w:p w14:paraId="1B5565CA" w14:textId="77777777" w:rsidR="00E41176" w:rsidRPr="00B25E45" w:rsidRDefault="00E41176" w:rsidP="00E41176">
      <w:pPr>
        <w:spacing w:before="120"/>
        <w:jc w:val="both"/>
        <w:rPr>
          <w:rFonts w:ascii="Times New Roman" w:hAnsi="Times New Roman"/>
          <w:sz w:val="24"/>
        </w:rPr>
      </w:pPr>
    </w:p>
    <w:p w14:paraId="22041CB3" w14:textId="1C236A92" w:rsidR="00F6177A" w:rsidRPr="00B25E45" w:rsidRDefault="00F6177A" w:rsidP="00E41176">
      <w:pPr>
        <w:pStyle w:val="Nadpis2"/>
        <w:numPr>
          <w:ilvl w:val="0"/>
          <w:numId w:val="0"/>
        </w:numPr>
        <w:jc w:val="left"/>
        <w:rPr>
          <w:b/>
          <w:bCs/>
        </w:rPr>
      </w:pPr>
      <w:r w:rsidRPr="00B25E45">
        <w:rPr>
          <w:b/>
          <w:bCs/>
        </w:rPr>
        <w:lastRenderedPageBreak/>
        <w:t>ČÁST DRUHÁ – změna občanského soudního řádu</w:t>
      </w:r>
    </w:p>
    <w:p w14:paraId="15BC1E03" w14:textId="769F49F3" w:rsidR="00E41176" w:rsidRPr="00B25E45" w:rsidRDefault="00E41176" w:rsidP="00E41176">
      <w:pPr>
        <w:pStyle w:val="Nadpis2"/>
        <w:numPr>
          <w:ilvl w:val="0"/>
          <w:numId w:val="0"/>
        </w:numPr>
        <w:jc w:val="left"/>
        <w:rPr>
          <w:b/>
          <w:bCs/>
        </w:rPr>
      </w:pPr>
      <w:r w:rsidRPr="00B25E45">
        <w:rPr>
          <w:b/>
          <w:bCs/>
        </w:rPr>
        <w:t>K čl. III</w:t>
      </w:r>
    </w:p>
    <w:p w14:paraId="12CDC89C" w14:textId="77777777" w:rsidR="00F6177A" w:rsidRPr="00B25E45" w:rsidRDefault="00F6177A" w:rsidP="00E41176">
      <w:pPr>
        <w:pStyle w:val="Nadpis3"/>
      </w:pPr>
      <w:r w:rsidRPr="00B25E45">
        <w:t>K bodu 1 (§ 42)</w:t>
      </w:r>
    </w:p>
    <w:p w14:paraId="7B95CA61"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V souvislosti s úpravami soudního řádu správního a dalším akcentem na podporu elektronické komunikace účastníků řízení směrem k soudu se navrhuje provést též dílčí změny v § 42 o. s. ř. Cílem této změny je sjednotit postup při podávání účastnických písemností v soudním řízení správním a civilním.</w:t>
      </w:r>
    </w:p>
    <w:p w14:paraId="3C81F6E8"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Nově se i v řízení před civilními soudy podání v listinné a elektronické podobě definitivně staví naroveň. Dnešní úprava občanského soudního řádu totiž přistupuje k podáním ve věci samé učiněným elektronicky diskriminačně, neboť vada podání spočívající v nedostatcích kvalifikovaného podpisu nevede k výzvě k odstranění vad, jako je tomu u listinného podání. Místo toho se k takovému vadnému podání vůbec nepřihlíží. Uvedený důsledek má však pro dotčené osoby fatální důsledky a činí v praxi problémy. Například v situacích, kdy osoba činí podání z datové schrány, ale z datové schránky jiné osoby (např. koncipient z datové schránky advokáta apod.), nebo když je podání opatřeno uznávaným podpisem, který však již pozbyl své platnosti. V minulosti v těchto situacích vznikaly výkladové nejasnosti, které nejvíce dopadaly na účastníky řízení. Blíže k tomu srov. také rozhodnutí Nejvyššího soudu ze dne 26. 3. 2014, </w:t>
      </w:r>
      <w:proofErr w:type="spellStart"/>
      <w:r w:rsidRPr="00B25E45">
        <w:rPr>
          <w:rFonts w:ascii="Times New Roman" w:hAnsi="Times New Roman"/>
          <w:sz w:val="24"/>
        </w:rPr>
        <w:t>sp</w:t>
      </w:r>
      <w:proofErr w:type="spellEnd"/>
      <w:r w:rsidRPr="00B25E45">
        <w:rPr>
          <w:rFonts w:ascii="Times New Roman" w:hAnsi="Times New Roman"/>
          <w:sz w:val="24"/>
        </w:rPr>
        <w:t>. zn. 33 </w:t>
      </w:r>
      <w:proofErr w:type="spellStart"/>
      <w:r w:rsidRPr="00B25E45">
        <w:rPr>
          <w:rFonts w:ascii="Times New Roman" w:hAnsi="Times New Roman"/>
          <w:sz w:val="24"/>
        </w:rPr>
        <w:t>Cdo</w:t>
      </w:r>
      <w:proofErr w:type="spellEnd"/>
      <w:r w:rsidRPr="00B25E45">
        <w:rPr>
          <w:rFonts w:ascii="Times New Roman" w:hAnsi="Times New Roman"/>
          <w:sz w:val="24"/>
        </w:rPr>
        <w:t xml:space="preserve"> 2743/2013. </w:t>
      </w:r>
    </w:p>
    <w:p w14:paraId="60E9EBEF"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Uvedená „diskriminace“ elektronických podání zároveň odporuje nařízení </w:t>
      </w:r>
      <w:proofErr w:type="spellStart"/>
      <w:r w:rsidRPr="00B25E45">
        <w:rPr>
          <w:rFonts w:ascii="Times New Roman" w:hAnsi="Times New Roman"/>
          <w:sz w:val="24"/>
        </w:rPr>
        <w:t>eIDAS</w:t>
      </w:r>
      <w:proofErr w:type="spellEnd"/>
      <w:r w:rsidRPr="00B25E45">
        <w:rPr>
          <w:rFonts w:ascii="Times New Roman" w:hAnsi="Times New Roman"/>
          <w:sz w:val="24"/>
        </w:rPr>
        <w:t xml:space="preserve">, které naopak předpokládá, že se s oběma podobami podání – listinnou i elektronickou – musí nakládat stejně. </w:t>
      </w:r>
    </w:p>
    <w:p w14:paraId="090D1EDF"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Z tohoto důvodu se nově navrhuje vypuštění postupu předvídaného dnešním § 42 odst. 2 a 3 o. s. ř. Do odstavce druhého se přitom přesouvá část z dnešního § 42 odst. 4 a namísto stávajícího postupu se do odstavce 4 přidává dodatek, že je-li činěno podání ve věci samé v elektronické podobě, musí být náležitost podpisu splněna některým ze způsobů, se kterým zvláštní právní předpisy spojují účinky vlastnoručního podpisu. Jedná se o datovou schránku podle zákona o elektronických úkonech a autorizované konverzi dokumentů a dále o kvalifikovaný podpis podle zákona o službách vytvářejících důvěru pro elektronické transakce. Pokud bude podání ve věci samé učiněno jiným způsobem, tj. zejména emailem, s neplatným podpisem, z cizí datové schrány apod., nebude se k němu nepřihlížet, jako je tomu dnes, ale bude se postupovat stejně jako u nepodepsané listiny – soud účastníka vyzve k opravě podle § 43. Jiná podání činěná elektronicky budou moci být zásadně činěna jakoukoliv cestou, ledaže předseda senátu </w:t>
      </w:r>
      <w:proofErr w:type="gramStart"/>
      <w:r w:rsidRPr="00B25E45">
        <w:rPr>
          <w:rFonts w:ascii="Times New Roman" w:hAnsi="Times New Roman"/>
          <w:sz w:val="24"/>
        </w:rPr>
        <w:t>určí</w:t>
      </w:r>
      <w:proofErr w:type="gramEnd"/>
      <w:r w:rsidRPr="00B25E45">
        <w:rPr>
          <w:rFonts w:ascii="Times New Roman" w:hAnsi="Times New Roman"/>
          <w:sz w:val="24"/>
        </w:rPr>
        <w:t xml:space="preserve"> jinak (např. má pochybnosti o tom, zda účastník něco zaslal ze svého emailu).</w:t>
      </w:r>
    </w:p>
    <w:p w14:paraId="57660BD4"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Z důvodu postupné elektronizace justice se zároveň navrhuje po vzoru § 80a odst. 1 insolvenčního zákona zobecnit povinnost pro elektronickou komunikaci se soudem (odst. 3). Tato povinnost bude rozšířena též na obecná soudní řízení a bude platit pro osoby, jimž se ze zákona povinně zřizuje datová schránka a mají-li osoby tuto schránku zpřístupněnou. Ustanovení </w:t>
      </w:r>
      <w:proofErr w:type="gramStart"/>
      <w:r w:rsidRPr="00B25E45">
        <w:rPr>
          <w:rFonts w:ascii="Times New Roman" w:hAnsi="Times New Roman"/>
          <w:sz w:val="24"/>
        </w:rPr>
        <w:t>míří</w:t>
      </w:r>
      <w:proofErr w:type="gramEnd"/>
      <w:r w:rsidRPr="00B25E45">
        <w:rPr>
          <w:rFonts w:ascii="Times New Roman" w:hAnsi="Times New Roman"/>
          <w:sz w:val="24"/>
        </w:rPr>
        <w:t xml:space="preserve"> zejména na § 4 a 5 zákona č. 300/2008 Sb., o elektronických úkonech a autorizované konverzi dokumentů. Povinnost činit podání elektronicky je obecná, přičemž se </w:t>
      </w:r>
      <w:r w:rsidRPr="00B25E45">
        <w:rPr>
          <w:rFonts w:ascii="Times New Roman" w:hAnsi="Times New Roman"/>
          <w:sz w:val="24"/>
        </w:rPr>
        <w:lastRenderedPageBreak/>
        <w:t>neomezuje jen na datovou schránku, ale na jakýkoliv elektronický způsob prostřednictvím veřejné datové sítě. Povinnost platí i pro přílohy. Pokud jde pak o podání ve věci samé, uplatní se shodně s odstavcem 4 věta druhá povinnost činit podání buď datovou schránkou, nebo s opatřeným kvalifikovaným podpisem. Chyba v podobě podání podle § 42 odst. 3 bude vést k výzvě k opravě vad.</w:t>
      </w:r>
    </w:p>
    <w:p w14:paraId="00E0B46A"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Povinnost v odstavci 3 opět není bezvýjimečná a umožňuje držiteli datové schránky v odůvodněných případech činit podání a popřípadě také přílohy (jedno, druhé anebo obojí) i nadále v listinné podobě. Může jít například o situaci, kdy je zapotřebí soudu doručit originál listiny. Naproti tomu nedostatečná kapacita datových schránek by neměla být důvodem pro takový postup, neboť je možné učinit podání/přílohy vícero datovými zprávami.</w:t>
      </w:r>
    </w:p>
    <w:p w14:paraId="4775E54E"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Konečně se navrhuje vypustit ustanovení o možnosti učinit podání telefaxem, neboť tato forma podání se již v praxi nevyužívá.</w:t>
      </w:r>
    </w:p>
    <w:p w14:paraId="10EAADEB"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Změny lze shrnout následovně:</w:t>
      </w:r>
    </w:p>
    <w:p w14:paraId="161EC161" w14:textId="77777777" w:rsidR="00F6177A" w:rsidRPr="00B25E45" w:rsidRDefault="00F6177A" w:rsidP="00F6177A">
      <w:pPr>
        <w:numPr>
          <w:ilvl w:val="0"/>
          <w:numId w:val="48"/>
        </w:numPr>
        <w:spacing w:before="120"/>
        <w:jc w:val="both"/>
        <w:rPr>
          <w:rFonts w:ascii="Times New Roman" w:hAnsi="Times New Roman"/>
          <w:sz w:val="24"/>
          <w:u w:val="single"/>
        </w:rPr>
      </w:pPr>
      <w:r w:rsidRPr="00B25E45">
        <w:rPr>
          <w:rFonts w:ascii="Times New Roman" w:hAnsi="Times New Roman"/>
          <w:sz w:val="24"/>
          <w:u w:val="single"/>
        </w:rPr>
        <w:t>Účastník/zástupce, který nemá datovou schránku zřízenou i bez žádosti</w:t>
      </w:r>
    </w:p>
    <w:p w14:paraId="34ED51C6" w14:textId="77777777" w:rsidR="00F6177A" w:rsidRPr="00B25E45" w:rsidRDefault="00F6177A" w:rsidP="00F6177A">
      <w:pPr>
        <w:numPr>
          <w:ilvl w:val="0"/>
          <w:numId w:val="49"/>
        </w:numPr>
        <w:spacing w:before="120"/>
        <w:jc w:val="both"/>
        <w:rPr>
          <w:rFonts w:ascii="Times New Roman" w:hAnsi="Times New Roman"/>
          <w:sz w:val="24"/>
        </w:rPr>
      </w:pPr>
      <w:r w:rsidRPr="00B25E45">
        <w:rPr>
          <w:rFonts w:ascii="Times New Roman" w:hAnsi="Times New Roman"/>
          <w:i/>
          <w:sz w:val="24"/>
        </w:rPr>
        <w:t>Podání</w:t>
      </w:r>
      <w:r w:rsidRPr="00B25E45">
        <w:rPr>
          <w:rFonts w:ascii="Times New Roman" w:hAnsi="Times New Roman"/>
          <w:sz w:val="24"/>
        </w:rPr>
        <w:t xml:space="preserve"> může obecně činit (42 odst. 1):</w:t>
      </w:r>
    </w:p>
    <w:p w14:paraId="0F66E0DD" w14:textId="77777777" w:rsidR="00F6177A" w:rsidRPr="00B25E45" w:rsidRDefault="00F6177A" w:rsidP="00F6177A">
      <w:pPr>
        <w:numPr>
          <w:ilvl w:val="1"/>
          <w:numId w:val="49"/>
        </w:numPr>
        <w:spacing w:before="120"/>
        <w:jc w:val="both"/>
        <w:rPr>
          <w:rFonts w:ascii="Times New Roman" w:hAnsi="Times New Roman"/>
          <w:sz w:val="24"/>
        </w:rPr>
      </w:pPr>
      <w:r w:rsidRPr="00B25E45">
        <w:rPr>
          <w:rFonts w:ascii="Times New Roman" w:hAnsi="Times New Roman"/>
          <w:sz w:val="24"/>
        </w:rPr>
        <w:t>V listinné podobě</w:t>
      </w:r>
    </w:p>
    <w:p w14:paraId="78CD4025" w14:textId="77777777" w:rsidR="00F6177A" w:rsidRPr="00B25E45" w:rsidRDefault="00F6177A" w:rsidP="00F6177A">
      <w:pPr>
        <w:numPr>
          <w:ilvl w:val="1"/>
          <w:numId w:val="49"/>
        </w:numPr>
        <w:spacing w:before="120"/>
        <w:jc w:val="both"/>
        <w:rPr>
          <w:rFonts w:ascii="Times New Roman" w:hAnsi="Times New Roman"/>
          <w:sz w:val="24"/>
        </w:rPr>
      </w:pPr>
      <w:r w:rsidRPr="00B25E45">
        <w:rPr>
          <w:rFonts w:ascii="Times New Roman" w:hAnsi="Times New Roman"/>
          <w:sz w:val="24"/>
        </w:rPr>
        <w:t xml:space="preserve">V elektronické podobě prostřednictvím veřejné datové sítě (tj. „prostý email“, DS, email s uznávaným podpisem, </w:t>
      </w:r>
      <w:proofErr w:type="spellStart"/>
      <w:r w:rsidRPr="00B25E45">
        <w:rPr>
          <w:rFonts w:ascii="Times New Roman" w:hAnsi="Times New Roman"/>
          <w:sz w:val="24"/>
        </w:rPr>
        <w:t>epodatelna</w:t>
      </w:r>
      <w:proofErr w:type="spellEnd"/>
      <w:r w:rsidRPr="00B25E45">
        <w:rPr>
          <w:rFonts w:ascii="Times New Roman" w:hAnsi="Times New Roman"/>
          <w:sz w:val="24"/>
        </w:rPr>
        <w:t xml:space="preserve"> apod.).</w:t>
      </w:r>
    </w:p>
    <w:p w14:paraId="7522BEAE" w14:textId="77777777" w:rsidR="00F6177A" w:rsidRPr="00B25E45" w:rsidRDefault="00F6177A" w:rsidP="00F6177A">
      <w:pPr>
        <w:numPr>
          <w:ilvl w:val="0"/>
          <w:numId w:val="49"/>
        </w:numPr>
        <w:spacing w:before="120"/>
        <w:jc w:val="both"/>
        <w:rPr>
          <w:rFonts w:ascii="Times New Roman" w:hAnsi="Times New Roman"/>
          <w:sz w:val="24"/>
        </w:rPr>
      </w:pPr>
      <w:r w:rsidRPr="00B25E45">
        <w:rPr>
          <w:rFonts w:ascii="Times New Roman" w:hAnsi="Times New Roman"/>
          <w:i/>
          <w:sz w:val="24"/>
        </w:rPr>
        <w:t xml:space="preserve">Přílohy </w:t>
      </w:r>
      <w:r w:rsidRPr="00B25E45">
        <w:rPr>
          <w:rFonts w:ascii="Times New Roman" w:hAnsi="Times New Roman"/>
          <w:sz w:val="24"/>
        </w:rPr>
        <w:t>může činit v listinné nebo elektronické podobě.</w:t>
      </w:r>
    </w:p>
    <w:p w14:paraId="50FA0123" w14:textId="77777777" w:rsidR="00F6177A" w:rsidRPr="00B25E45" w:rsidRDefault="00F6177A" w:rsidP="00F6177A">
      <w:pPr>
        <w:numPr>
          <w:ilvl w:val="0"/>
          <w:numId w:val="49"/>
        </w:numPr>
        <w:spacing w:before="120"/>
        <w:jc w:val="both"/>
        <w:rPr>
          <w:rFonts w:ascii="Times New Roman" w:hAnsi="Times New Roman"/>
          <w:sz w:val="24"/>
        </w:rPr>
      </w:pPr>
      <w:r w:rsidRPr="00B25E45">
        <w:rPr>
          <w:rFonts w:ascii="Times New Roman" w:hAnsi="Times New Roman"/>
          <w:sz w:val="24"/>
        </w:rPr>
        <w:t xml:space="preserve">Pokud činí </w:t>
      </w:r>
      <w:r w:rsidRPr="00B25E45">
        <w:rPr>
          <w:rFonts w:ascii="Times New Roman" w:hAnsi="Times New Roman"/>
          <w:i/>
          <w:sz w:val="24"/>
        </w:rPr>
        <w:t>podání ve věci samé</w:t>
      </w:r>
      <w:r w:rsidRPr="00B25E45">
        <w:rPr>
          <w:rFonts w:ascii="Times New Roman" w:hAnsi="Times New Roman"/>
          <w:sz w:val="24"/>
        </w:rPr>
        <w:t xml:space="preserve"> elektronicky, musí jej autentizovat způsobem, se kterým právní předpis spojuje účinky vlastnoručního podpisu. To neplatí pro ostatní podání, ledaže předseda senátu </w:t>
      </w:r>
      <w:proofErr w:type="gramStart"/>
      <w:r w:rsidRPr="00B25E45">
        <w:rPr>
          <w:rFonts w:ascii="Times New Roman" w:hAnsi="Times New Roman"/>
          <w:sz w:val="24"/>
        </w:rPr>
        <w:t>určí</w:t>
      </w:r>
      <w:proofErr w:type="gramEnd"/>
      <w:r w:rsidRPr="00B25E45">
        <w:rPr>
          <w:rFonts w:ascii="Times New Roman" w:hAnsi="Times New Roman"/>
          <w:sz w:val="24"/>
        </w:rPr>
        <w:t xml:space="preserve"> jinak (§ 42 odst. 4 věta druhá).</w:t>
      </w:r>
    </w:p>
    <w:p w14:paraId="220A7329" w14:textId="77777777" w:rsidR="00F6177A" w:rsidRPr="00B25E45" w:rsidRDefault="00F6177A" w:rsidP="00F6177A">
      <w:pPr>
        <w:numPr>
          <w:ilvl w:val="0"/>
          <w:numId w:val="48"/>
        </w:numPr>
        <w:spacing w:before="120"/>
        <w:jc w:val="both"/>
        <w:rPr>
          <w:rFonts w:ascii="Times New Roman" w:hAnsi="Times New Roman"/>
          <w:sz w:val="24"/>
          <w:u w:val="single"/>
        </w:rPr>
      </w:pPr>
      <w:r w:rsidRPr="00B25E45">
        <w:rPr>
          <w:rFonts w:ascii="Times New Roman" w:hAnsi="Times New Roman"/>
          <w:sz w:val="24"/>
          <w:u w:val="single"/>
        </w:rPr>
        <w:t>Účastník/zástupce „profesionál“, kterému se zřizuje DS i bez žádosti</w:t>
      </w:r>
    </w:p>
    <w:p w14:paraId="05F09E66" w14:textId="77777777" w:rsidR="00F6177A" w:rsidRPr="00B25E45" w:rsidRDefault="00F6177A" w:rsidP="00F6177A">
      <w:pPr>
        <w:numPr>
          <w:ilvl w:val="0"/>
          <w:numId w:val="49"/>
        </w:numPr>
        <w:spacing w:before="120"/>
        <w:jc w:val="both"/>
        <w:rPr>
          <w:rFonts w:ascii="Times New Roman" w:hAnsi="Times New Roman"/>
          <w:sz w:val="24"/>
        </w:rPr>
      </w:pPr>
      <w:r w:rsidRPr="00B25E45">
        <w:rPr>
          <w:rFonts w:ascii="Times New Roman" w:hAnsi="Times New Roman"/>
          <w:i/>
          <w:sz w:val="24"/>
        </w:rPr>
        <w:t xml:space="preserve">Podání i přílohy </w:t>
      </w:r>
      <w:r w:rsidRPr="00B25E45">
        <w:rPr>
          <w:rFonts w:ascii="Times New Roman" w:hAnsi="Times New Roman"/>
          <w:sz w:val="24"/>
        </w:rPr>
        <w:t>činí profesionál vždy v elektronické podobě, ledaže okolnosti odůvodňují listinnou podobu (§ 42 odst. 3).</w:t>
      </w:r>
    </w:p>
    <w:p w14:paraId="7AF972DD" w14:textId="77777777" w:rsidR="00F6177A" w:rsidRPr="00B25E45" w:rsidRDefault="00F6177A" w:rsidP="00F6177A">
      <w:pPr>
        <w:numPr>
          <w:ilvl w:val="0"/>
          <w:numId w:val="49"/>
        </w:numPr>
        <w:spacing w:before="120"/>
        <w:jc w:val="both"/>
        <w:rPr>
          <w:rFonts w:ascii="Times New Roman" w:hAnsi="Times New Roman"/>
          <w:sz w:val="24"/>
        </w:rPr>
      </w:pPr>
      <w:r w:rsidRPr="00B25E45">
        <w:rPr>
          <w:rFonts w:ascii="Times New Roman" w:hAnsi="Times New Roman"/>
          <w:i/>
          <w:sz w:val="24"/>
        </w:rPr>
        <w:t xml:space="preserve">Podání ve věci samé </w:t>
      </w:r>
      <w:r w:rsidRPr="00B25E45">
        <w:rPr>
          <w:rFonts w:ascii="Times New Roman" w:hAnsi="Times New Roman"/>
          <w:sz w:val="24"/>
        </w:rPr>
        <w:t>činí profesionál vždy v elektronické podobě autorizované způsobem, se kterým jiné předpisy spojují účinky vlastnoručního podpisu. Soud může rozhodnout, že to platí i pro jiná podání (§ 42 odst. 4 věta druhá).</w:t>
      </w:r>
    </w:p>
    <w:p w14:paraId="4EB870E2" w14:textId="77777777" w:rsidR="00F6177A" w:rsidRPr="00B25E45" w:rsidRDefault="00F6177A" w:rsidP="00E41176">
      <w:pPr>
        <w:pStyle w:val="Nadpis3"/>
      </w:pPr>
      <w:r w:rsidRPr="00B25E45">
        <w:t>K bodu 2 (§ 43)</w:t>
      </w:r>
    </w:p>
    <w:p w14:paraId="14CF7DD3"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V ustanovení § 43 se navrhuje doplnit povinnost vyzvat k doplnění nebo opravě podání, nebylo-li učiněno elektronicky, ač má osoba povinnost komunikovat se soudem elektronicky (viz k tomu změnu navrhovanou v § 42 odst. 3). </w:t>
      </w:r>
    </w:p>
    <w:p w14:paraId="771AB475"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Pokud jde o povinnost podle § 42 odst. 4 věty druhé, tj. že se u podání ve věci samé, je-li činěno elektronicky, vyžaduje kvalifikovaná autentizace a </w:t>
      </w:r>
      <w:proofErr w:type="gramStart"/>
      <w:r w:rsidRPr="00B25E45">
        <w:rPr>
          <w:rFonts w:ascii="Times New Roman" w:hAnsi="Times New Roman"/>
          <w:sz w:val="24"/>
        </w:rPr>
        <w:t>nestačí</w:t>
      </w:r>
      <w:proofErr w:type="gramEnd"/>
      <w:r w:rsidRPr="00B25E45">
        <w:rPr>
          <w:rFonts w:ascii="Times New Roman" w:hAnsi="Times New Roman"/>
          <w:sz w:val="24"/>
        </w:rPr>
        <w:t xml:space="preserve"> „prostý podpis v emailu“ – tato vada spadá do § 43 již na základě stávající dikce § 43 věty první, neboť návrh § 42 odst. 4 věty druhé jen rozvádí povinnou náležitost podpisu. Není-li tedy takové elektronické podání učiněno </w:t>
      </w:r>
      <w:r w:rsidRPr="00B25E45">
        <w:rPr>
          <w:rFonts w:ascii="Times New Roman" w:hAnsi="Times New Roman"/>
          <w:sz w:val="24"/>
        </w:rPr>
        <w:lastRenderedPageBreak/>
        <w:t>kvalifikované některým ze způsobů, s nímž jiné předpisy spojují účinky vlastnoručního podpisu, jako by nebylo podepsáno; náležitost podpisu u takového podání tedy chybí. Proto i v tomto případě musí soud vyzvat k doplnění/opravě vad, obdobně jako by vyzval u listiny, která by nebyla podepsána.</w:t>
      </w:r>
    </w:p>
    <w:p w14:paraId="5689DE2B" w14:textId="77777777" w:rsidR="00F6177A" w:rsidRPr="00B25E45" w:rsidRDefault="00F6177A" w:rsidP="00E41176">
      <w:pPr>
        <w:pStyle w:val="Nadpis3"/>
      </w:pPr>
      <w:r w:rsidRPr="00B25E45">
        <w:t>K bodu 3 (§ 51)</w:t>
      </w:r>
    </w:p>
    <w:p w14:paraId="021D0698" w14:textId="77777777" w:rsidR="00F6177A" w:rsidRPr="00B25E45" w:rsidRDefault="00F6177A" w:rsidP="00F6177A">
      <w:pPr>
        <w:spacing w:before="120"/>
        <w:jc w:val="both"/>
        <w:rPr>
          <w:rFonts w:ascii="Times New Roman" w:hAnsi="Times New Roman"/>
          <w:bCs/>
          <w:sz w:val="24"/>
        </w:rPr>
      </w:pPr>
      <w:r w:rsidRPr="00B25E45">
        <w:rPr>
          <w:rFonts w:ascii="Times New Roman" w:hAnsi="Times New Roman"/>
          <w:bCs/>
          <w:sz w:val="24"/>
        </w:rPr>
        <w:t>Změna reaguje na vypuštění telefaxu z § 42 o. s. ř. Tento způsob komunikace se dnes již v praxi nevyužívá.</w:t>
      </w:r>
    </w:p>
    <w:p w14:paraId="2E92A912" w14:textId="77777777" w:rsidR="00F6177A" w:rsidRPr="00B25E45" w:rsidRDefault="00F6177A" w:rsidP="00E41176">
      <w:pPr>
        <w:pStyle w:val="Nadpis3"/>
      </w:pPr>
      <w:r w:rsidRPr="00B25E45">
        <w:t>K bodu 4 (§ 82 odst. 3)</w:t>
      </w:r>
    </w:p>
    <w:p w14:paraId="4B6CE5B1"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Podobně jako u § 72 odst. 3 s. ř. s. se navrhuje specifikovat pravidlo o zachování lhůty pro podání žaloby, která byla původně nesprávně adresována správnímu soudu, a překonat tak závěry stanoviska Nejvyššího soudu vydaného 9. listopadu 2011 v právním případu vedeném pod </w:t>
      </w:r>
      <w:proofErr w:type="spellStart"/>
      <w:r w:rsidRPr="00B25E45">
        <w:rPr>
          <w:rFonts w:ascii="Times New Roman" w:hAnsi="Times New Roman"/>
          <w:sz w:val="24"/>
        </w:rPr>
        <w:t>sp</w:t>
      </w:r>
      <w:proofErr w:type="spellEnd"/>
      <w:r w:rsidRPr="00B25E45">
        <w:rPr>
          <w:rFonts w:ascii="Times New Roman" w:hAnsi="Times New Roman"/>
          <w:sz w:val="24"/>
        </w:rPr>
        <w:t xml:space="preserve">. zn. </w:t>
      </w:r>
      <w:proofErr w:type="spellStart"/>
      <w:r w:rsidRPr="00B25E45">
        <w:rPr>
          <w:rFonts w:ascii="Times New Roman" w:hAnsi="Times New Roman"/>
          <w:sz w:val="24"/>
        </w:rPr>
        <w:t>Cpjn</w:t>
      </w:r>
      <w:proofErr w:type="spellEnd"/>
      <w:r w:rsidRPr="00B25E45">
        <w:rPr>
          <w:rFonts w:ascii="Times New Roman" w:hAnsi="Times New Roman"/>
          <w:sz w:val="24"/>
        </w:rPr>
        <w:t xml:space="preserve"> 201/2011. Napříště by se mělo zachování lhůt vztahovat nikoliv k okamžiku dojití žaloby k soudu, ale jejímu odevzdání k poštovní přepravě.</w:t>
      </w:r>
    </w:p>
    <w:p w14:paraId="2BB49317" w14:textId="77777777" w:rsidR="00F6177A" w:rsidRPr="00B25E45" w:rsidRDefault="00F6177A" w:rsidP="00E41176">
      <w:pPr>
        <w:pStyle w:val="Nadpis3"/>
      </w:pPr>
      <w:r w:rsidRPr="00B25E45">
        <w:t>K bodu 5 (§ 244)</w:t>
      </w:r>
    </w:p>
    <w:p w14:paraId="497BA063"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Navrhuje se lépe vymezit pravomoc správních a civilních soudů, pokud jde o přezkum činnosti veřejné správy, s cílem zabránit dalším potenciálním kompetenčním sporům řešeným podle zákona č. 131/2002 Sb., o rozhodování některých kompetenčních sporů.</w:t>
      </w:r>
    </w:p>
    <w:p w14:paraId="26C4D74C"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Již od počátku účinnosti soudního řádu správního se příliš nepochybovalo o tom, že dichotomie přezkumu aktů veřejné správy se týká toliko rozhodnutí ve věci samé – tj. rozhoduje-li správní orgán svým rozhodnutím ve věcech soukromého práva, spadá přezkum těchto rozhodnutí do řízení podle části páté občanského soudního řádu, a naopak rozhodnutí vydaná ve věcech veřejnoprávních náleží do pravomoci soudů správních. Judikatura správních soudů i kompetenčního senátu setrvale potvrzuje, že do kompetence civilních soudů naopak nespadají případy, kdy ve správním řízení o věcech soukromého práva je řešena otázka nezákonného zásahu, nečinnosti správního orgánu nebo nicotnosti rozhodnutí správního orgánu (viz např. rozhodnutí Nejvyššího správního soudu ze dne 26. 2. 2004, čj. 1 </w:t>
      </w:r>
      <w:proofErr w:type="spellStart"/>
      <w:r w:rsidRPr="00B25E45">
        <w:rPr>
          <w:rFonts w:ascii="Times New Roman" w:hAnsi="Times New Roman"/>
          <w:sz w:val="24"/>
        </w:rPr>
        <w:t>Ans</w:t>
      </w:r>
      <w:proofErr w:type="spellEnd"/>
      <w:r w:rsidRPr="00B25E45">
        <w:rPr>
          <w:rFonts w:ascii="Times New Roman" w:hAnsi="Times New Roman"/>
          <w:sz w:val="24"/>
        </w:rPr>
        <w:t xml:space="preserve"> 1/2003-48, rozsudek ze dne 14. 7. 2004, čj. 5 As 31/2003-49, či usnesení zvláštního senátu ze dne 31. 1. 2007, čj. </w:t>
      </w:r>
      <w:proofErr w:type="spellStart"/>
      <w:r w:rsidRPr="00B25E45">
        <w:rPr>
          <w:rFonts w:ascii="Times New Roman" w:hAnsi="Times New Roman"/>
          <w:sz w:val="24"/>
        </w:rPr>
        <w:t>Konf</w:t>
      </w:r>
      <w:proofErr w:type="spellEnd"/>
      <w:r w:rsidRPr="00B25E45">
        <w:rPr>
          <w:rFonts w:ascii="Times New Roman" w:hAnsi="Times New Roman"/>
          <w:sz w:val="24"/>
        </w:rPr>
        <w:t xml:space="preserve"> 30/2006-5). Je tomu tak proto, že tyto věci nejsou v souladu s § 7 odst. 2 o. s. ř. svěřeny civilním soudům, a ochranu proto poskytují správní soudy (srov. k tomu též rozsudek Nejvyššího správního soudu 9 As 329/2016-42 ze dne 4. 5. 2017: „</w:t>
      </w:r>
      <w:r w:rsidRPr="00B25E45">
        <w:rPr>
          <w:rFonts w:ascii="Times New Roman" w:hAnsi="Times New Roman"/>
          <w:i/>
          <w:iCs/>
          <w:sz w:val="24"/>
        </w:rPr>
        <w:t>Soudy ve správním soudnictví poskytují ochranu také takovým zásahům do práv a povinností prováděných veřejnou správou, která se týkají soukromoprávních věcí, ale jimž se dotčené osoby nemohou bránit v občanském soudním řízení.</w:t>
      </w:r>
      <w:r w:rsidRPr="00B25E45">
        <w:rPr>
          <w:rFonts w:ascii="Times New Roman" w:hAnsi="Times New Roman"/>
          <w:sz w:val="24"/>
        </w:rPr>
        <w:t>“).</w:t>
      </w:r>
    </w:p>
    <w:p w14:paraId="68845693" w14:textId="10956CFF"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Pokud jde o hranici mezi správním a civilním soudnictvím, je zřejmé, že teorie i judikatura mají ve sporech o nečinnost, zásah či nicotnost správního rozhodnutí jasno. Nicméně pro adresáty právních norem, kteří nemají takový přehled o rozhodovací praxi Nejvyššího správního soudu a zvláštního senátu, nemusí být vždy jednoduché určit, zda je k jejich návrhu příslušný obecný civilní soud podle části páté občanského soudního řádu nebo správní justice. Ač se tedy nejedná </w:t>
      </w:r>
      <w:r w:rsidRPr="00B25E45">
        <w:rPr>
          <w:rFonts w:ascii="Times New Roman" w:hAnsi="Times New Roman"/>
          <w:sz w:val="24"/>
        </w:rPr>
        <w:lastRenderedPageBreak/>
        <w:t>o věcnou změnu, sleduje úprava jasnější vymezení pravomoci mezi správními a civilními soudy přímo v textu zákona s cílem odstranit jakékoliv případné pochybnosti a omezit množství nedůvodných kompetenčních sporů.</w:t>
      </w:r>
    </w:p>
    <w:p w14:paraId="250A51FA" w14:textId="60170DC7" w:rsidR="00E41176" w:rsidRPr="00B25E45" w:rsidRDefault="00E41176" w:rsidP="00E41176">
      <w:pPr>
        <w:pStyle w:val="Nadpis2"/>
        <w:numPr>
          <w:ilvl w:val="0"/>
          <w:numId w:val="0"/>
        </w:numPr>
        <w:jc w:val="left"/>
        <w:rPr>
          <w:b/>
          <w:bCs/>
        </w:rPr>
      </w:pPr>
      <w:r w:rsidRPr="00B25E45">
        <w:rPr>
          <w:b/>
          <w:bCs/>
        </w:rPr>
        <w:t>K čl. IV (přechodné ustanovení)</w:t>
      </w:r>
    </w:p>
    <w:p w14:paraId="3D8DF2DC" w14:textId="6ACEC5FC" w:rsidR="00C21288" w:rsidRPr="00B25E45" w:rsidRDefault="00C21288" w:rsidP="00C21288">
      <w:pPr>
        <w:spacing w:before="120"/>
        <w:jc w:val="both"/>
        <w:rPr>
          <w:rFonts w:ascii="Times New Roman" w:hAnsi="Times New Roman"/>
          <w:sz w:val="24"/>
        </w:rPr>
      </w:pPr>
      <w:r w:rsidRPr="00B25E45">
        <w:rPr>
          <w:rFonts w:ascii="Times New Roman" w:hAnsi="Times New Roman"/>
          <w:sz w:val="24"/>
        </w:rPr>
        <w:t>U změn v občanském soudním řádu se počítá se standardním přechodným ustanovením založeným na tom, že novela se použije i na dříve zahájená řízení se zachováním účinků úkonů, k nimž v těchto řízeních již došlo.</w:t>
      </w:r>
    </w:p>
    <w:p w14:paraId="6F786B0C" w14:textId="4B8161B3" w:rsidR="00E41176" w:rsidRPr="00B25E45" w:rsidRDefault="00E41176" w:rsidP="00E41176"/>
    <w:p w14:paraId="37FA28AF" w14:textId="739F4C1F" w:rsidR="00F6177A" w:rsidRPr="00B25E45" w:rsidRDefault="00F6177A" w:rsidP="00E41176">
      <w:pPr>
        <w:pStyle w:val="Nadpis2"/>
        <w:numPr>
          <w:ilvl w:val="0"/>
          <w:numId w:val="0"/>
        </w:numPr>
        <w:jc w:val="left"/>
        <w:rPr>
          <w:b/>
          <w:bCs/>
        </w:rPr>
      </w:pPr>
      <w:r w:rsidRPr="00B25E45">
        <w:rPr>
          <w:b/>
          <w:bCs/>
        </w:rPr>
        <w:t>ČÁST TŘETÍ – změna zákona o veřejném zdravotním pojištění</w:t>
      </w:r>
    </w:p>
    <w:p w14:paraId="41382F7B" w14:textId="42EC38BD" w:rsidR="00E41176" w:rsidRPr="00B25E45" w:rsidRDefault="00E41176" w:rsidP="00E41176">
      <w:pPr>
        <w:pStyle w:val="Nadpis2"/>
        <w:numPr>
          <w:ilvl w:val="0"/>
          <w:numId w:val="0"/>
        </w:numPr>
        <w:jc w:val="left"/>
        <w:rPr>
          <w:b/>
          <w:bCs/>
        </w:rPr>
      </w:pPr>
      <w:r w:rsidRPr="00B25E45">
        <w:rPr>
          <w:b/>
          <w:bCs/>
        </w:rPr>
        <w:t>K čl. V</w:t>
      </w:r>
    </w:p>
    <w:p w14:paraId="12F78EE7" w14:textId="77777777" w:rsidR="00F6177A" w:rsidRPr="00B25E45" w:rsidRDefault="00F6177A" w:rsidP="00C80B22">
      <w:pPr>
        <w:pStyle w:val="Nadpis3"/>
      </w:pPr>
      <w:r w:rsidRPr="00B25E45">
        <w:t>K bodu 1 (§ 21)</w:t>
      </w:r>
    </w:p>
    <w:p w14:paraId="3E31F8C7"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Správní soudnictví je tradičně založeno na tom, že soudy rozhodnutí správních orgánu </w:t>
      </w:r>
      <w:proofErr w:type="gramStart"/>
      <w:r w:rsidRPr="00B25E45">
        <w:rPr>
          <w:rFonts w:ascii="Times New Roman" w:hAnsi="Times New Roman"/>
          <w:sz w:val="24"/>
        </w:rPr>
        <w:t>ruší</w:t>
      </w:r>
      <w:proofErr w:type="gramEnd"/>
      <w:r w:rsidRPr="00B25E45">
        <w:rPr>
          <w:rFonts w:ascii="Times New Roman" w:hAnsi="Times New Roman"/>
          <w:sz w:val="24"/>
        </w:rPr>
        <w:t xml:space="preserve"> a vrací věc žalovanému k dalšímu řízení (tzv. kasační princip). Tento postup vyplývá z dnešní úpravy § 78 odst. 1 ve spojení s odst. 4 s. ř. s. Jak již bylo uvedeno v obecné části důvodové zprávy a u § 78 s. ř. s., z dosavadních zkušeností správních soudů nevyplynula potřeba nějaké radikální změny, jelikož kasační rozhodování správních soudů se v naprosté většině případů osvědčilo. Ukazuje se nicméně, že ve výjimečných případech může být kasační princip překážkou při poskytování efektivní a účinné ochrany veřejným subjektivním právům. </w:t>
      </w:r>
    </w:p>
    <w:p w14:paraId="1E21C15D" w14:textId="77777777" w:rsidR="00F6177A" w:rsidRPr="00B25E45" w:rsidRDefault="00F6177A" w:rsidP="00F6177A">
      <w:pPr>
        <w:spacing w:before="120"/>
        <w:jc w:val="both"/>
        <w:rPr>
          <w:rFonts w:ascii="Times New Roman" w:hAnsi="Times New Roman"/>
          <w:bCs/>
          <w:sz w:val="24"/>
        </w:rPr>
      </w:pPr>
      <w:r w:rsidRPr="00B25E45">
        <w:rPr>
          <w:rFonts w:ascii="Times New Roman" w:hAnsi="Times New Roman"/>
          <w:sz w:val="24"/>
        </w:rPr>
        <w:t xml:space="preserve">Mezi tyto specifické, a zvláště citlivé oblasti </w:t>
      </w:r>
      <w:proofErr w:type="gramStart"/>
      <w:r w:rsidRPr="00B25E45">
        <w:rPr>
          <w:rFonts w:ascii="Times New Roman" w:hAnsi="Times New Roman"/>
          <w:sz w:val="24"/>
        </w:rPr>
        <w:t>patří</w:t>
      </w:r>
      <w:proofErr w:type="gramEnd"/>
      <w:r w:rsidRPr="00B25E45">
        <w:rPr>
          <w:rFonts w:ascii="Times New Roman" w:hAnsi="Times New Roman"/>
          <w:sz w:val="24"/>
        </w:rPr>
        <w:t xml:space="preserve"> i posuzování mimořádné úhrady z veřejného zdravotního pojištění podle § 16 zákona o veřejném zdravotním pojištění. V těchto případech existuje často imanentní zájem na rychlém vyřízení věci. Pokud totiž žalobce trpí závažným onemocněním, včasné podání odpovídající medikace má zpravidla zásadní vliv na to, jestli získá naději na uzdravení nebo alespoň prodloužení jeho života. Za těchto okolností, kdy se „hraje o čas“, kasační princip selhává. Oddaluje totiž věcné rozhodnutí o tom, zda bude pacientovi mimořádná úhrada přiznána, a v konečném důsledku tedy okamžik, kdy může být pacientovi poskytnuta adekvátní léčba. </w:t>
      </w:r>
      <w:r w:rsidRPr="00B25E45">
        <w:rPr>
          <w:rFonts w:ascii="Times New Roman" w:hAnsi="Times New Roman"/>
          <w:bCs/>
          <w:sz w:val="24"/>
        </w:rPr>
        <w:t xml:space="preserve">V případech rozhodování o mimořádné úhradě z veřejného zdravotního pojištění je proto rychlost a efektivita rozhodnutí zcela zásadní a případná výměna rozhodnutí mezi správním soudem a správním orgánem (riziko tzv. „ping-pongu“) může mít pro pacienta fatální důsledky. </w:t>
      </w:r>
    </w:p>
    <w:p w14:paraId="1003C2D0" w14:textId="77777777" w:rsidR="00F6177A" w:rsidRPr="00B25E45" w:rsidRDefault="00F6177A" w:rsidP="00F6177A">
      <w:pPr>
        <w:spacing w:before="120"/>
        <w:jc w:val="both"/>
        <w:rPr>
          <w:rFonts w:ascii="Times New Roman" w:hAnsi="Times New Roman"/>
          <w:bCs/>
          <w:sz w:val="24"/>
        </w:rPr>
      </w:pPr>
      <w:r w:rsidRPr="00B25E45">
        <w:rPr>
          <w:rFonts w:ascii="Times New Roman" w:hAnsi="Times New Roman"/>
          <w:bCs/>
          <w:sz w:val="24"/>
        </w:rPr>
        <w:t>Z výše uvedených okolností se navrhuje v návaznosti na změny v § 78 s. ř. s. upravit i § 21 zákona o veřejném zdravotním pojištění a umožnit správnímu soudu výjimečně o nároku na mimořádnou úhradu dle § 16 cit. zákona přímo rozhodnout (tzv. apelační princip).  Úvaha soudu by se měla řídit tím, zda je tu nebezpečí z prodlení a opožděné zahájení léčby by mohlo pro pacienta přinést nenávratné zdravotní komplikace nebo dokonce vést k jeho předčasné smrti. Podmínkou pro rozhodnutí ve věci samé je dále také to, aby soud mohl o věci sám rozhodnout (tj. zejména měl všechny důkazy, které prokazují nárok pojištěnce na úhradu dle § 16 zák. o v. z. p.); srov. k tomu obdobně též § 110 odst. 2 s. ř. s.</w:t>
      </w:r>
    </w:p>
    <w:p w14:paraId="140F08C4"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lastRenderedPageBreak/>
        <w:t>Pokud se soud přikloní k rozhodnutí ve věci samé, nahradí tím rozhodnutí příslušného správního orgánu, čímž odpadá potřeba aplikace § 78 odst. 4 s. ř. s. Soud tedy rozhodnutí správnímu orgánu nevrací k dalšímu řízení a celá věc je rozsudkem soudu definitivně vyřešena. Úprava se zde inspiruje v postupu civilních soudů podle části páté občanského soudního řádu.</w:t>
      </w:r>
    </w:p>
    <w:p w14:paraId="4E3656A1" w14:textId="2E77282F" w:rsidR="00E41176" w:rsidRPr="00B25E45" w:rsidRDefault="00E41176" w:rsidP="00E41176">
      <w:pPr>
        <w:pStyle w:val="Nadpis2"/>
        <w:numPr>
          <w:ilvl w:val="0"/>
          <w:numId w:val="0"/>
        </w:numPr>
        <w:jc w:val="left"/>
        <w:rPr>
          <w:b/>
          <w:bCs/>
        </w:rPr>
      </w:pPr>
      <w:r w:rsidRPr="00B25E45">
        <w:rPr>
          <w:b/>
          <w:bCs/>
        </w:rPr>
        <w:t>K čl. VI (přechodné ustanovení)</w:t>
      </w:r>
    </w:p>
    <w:p w14:paraId="2C4D5E14" w14:textId="7817BE0E" w:rsidR="00E41176" w:rsidRPr="00B25E45" w:rsidRDefault="00C21288" w:rsidP="00C21288">
      <w:pPr>
        <w:spacing w:before="120"/>
        <w:jc w:val="both"/>
        <w:rPr>
          <w:rFonts w:ascii="Times New Roman" w:hAnsi="Times New Roman"/>
          <w:sz w:val="24"/>
        </w:rPr>
      </w:pPr>
      <w:r w:rsidRPr="00B25E45">
        <w:rPr>
          <w:rFonts w:ascii="Times New Roman" w:hAnsi="Times New Roman"/>
          <w:sz w:val="24"/>
        </w:rPr>
        <w:t xml:space="preserve">Navrhuje se zavést standardní přechodné ustanovení </w:t>
      </w:r>
      <w:r w:rsidR="00C80B22" w:rsidRPr="00B25E45">
        <w:rPr>
          <w:rFonts w:ascii="Times New Roman" w:hAnsi="Times New Roman"/>
          <w:sz w:val="24"/>
        </w:rPr>
        <w:t>vycházející z</w:t>
      </w:r>
      <w:r w:rsidRPr="00B25E45">
        <w:rPr>
          <w:rFonts w:ascii="Times New Roman" w:hAnsi="Times New Roman"/>
          <w:sz w:val="24"/>
        </w:rPr>
        <w:t xml:space="preserve"> nepravé retroaktivit</w:t>
      </w:r>
      <w:r w:rsidR="00C80B22" w:rsidRPr="00B25E45">
        <w:rPr>
          <w:rFonts w:ascii="Times New Roman" w:hAnsi="Times New Roman"/>
          <w:sz w:val="24"/>
        </w:rPr>
        <w:t>y</w:t>
      </w:r>
      <w:r w:rsidRPr="00B25E45">
        <w:rPr>
          <w:rFonts w:ascii="Times New Roman" w:hAnsi="Times New Roman"/>
          <w:sz w:val="24"/>
        </w:rPr>
        <w:t>.</w:t>
      </w:r>
    </w:p>
    <w:p w14:paraId="0F84BC80" w14:textId="77777777" w:rsidR="00C21288" w:rsidRPr="00B25E45" w:rsidRDefault="00C21288" w:rsidP="00C21288">
      <w:pPr>
        <w:spacing w:before="120"/>
        <w:jc w:val="both"/>
        <w:rPr>
          <w:rFonts w:ascii="Times New Roman" w:hAnsi="Times New Roman"/>
          <w:sz w:val="24"/>
        </w:rPr>
      </w:pPr>
    </w:p>
    <w:p w14:paraId="08FEB4D1" w14:textId="53E61DC5" w:rsidR="00F6177A" w:rsidRPr="00B25E45" w:rsidRDefault="00F6177A" w:rsidP="00E41176">
      <w:pPr>
        <w:pStyle w:val="Nadpis2"/>
        <w:numPr>
          <w:ilvl w:val="0"/>
          <w:numId w:val="0"/>
        </w:numPr>
        <w:jc w:val="left"/>
        <w:rPr>
          <w:b/>
          <w:bCs/>
        </w:rPr>
      </w:pPr>
      <w:r w:rsidRPr="00B25E45">
        <w:rPr>
          <w:b/>
          <w:bCs/>
        </w:rPr>
        <w:t>ČÁST ČTVRTÁ – změna zákona o azylu</w:t>
      </w:r>
    </w:p>
    <w:p w14:paraId="2A23AA48" w14:textId="60B4C03D" w:rsidR="00E41176" w:rsidRPr="00B25E45" w:rsidRDefault="00E41176" w:rsidP="00E41176">
      <w:pPr>
        <w:pStyle w:val="Nadpis2"/>
        <w:numPr>
          <w:ilvl w:val="0"/>
          <w:numId w:val="0"/>
        </w:numPr>
        <w:jc w:val="left"/>
        <w:rPr>
          <w:b/>
          <w:bCs/>
        </w:rPr>
      </w:pPr>
      <w:r w:rsidRPr="00B25E45">
        <w:rPr>
          <w:b/>
          <w:bCs/>
        </w:rPr>
        <w:t>K čl. VII</w:t>
      </w:r>
    </w:p>
    <w:p w14:paraId="2E6B73BE" w14:textId="77777777" w:rsidR="00F6177A" w:rsidRPr="00B25E45" w:rsidRDefault="00F6177A" w:rsidP="00C80B22">
      <w:pPr>
        <w:pStyle w:val="Nadpis3"/>
      </w:pPr>
      <w:r w:rsidRPr="00B25E45">
        <w:t>K bodu 1 (§ 32)</w:t>
      </w:r>
    </w:p>
    <w:p w14:paraId="6B44143E" w14:textId="593FEB71"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Úprava reaguje na zrušení návrhového odkladného účinku v § 73 odst. 1 s. ř. s., kdy možnost navrhovat jeho přiznání zůstává zachována jen tehdy, pokud s ním počítají zvláštní zákony – zde zákon o azylu. Jde o legislativně-technické promítnutí této změny.</w:t>
      </w:r>
    </w:p>
    <w:p w14:paraId="0438317C" w14:textId="6255797A" w:rsidR="00E41176" w:rsidRPr="00B25E45" w:rsidRDefault="00E41176" w:rsidP="00E41176">
      <w:pPr>
        <w:pStyle w:val="Nadpis2"/>
        <w:numPr>
          <w:ilvl w:val="0"/>
          <w:numId w:val="0"/>
        </w:numPr>
        <w:jc w:val="left"/>
        <w:rPr>
          <w:b/>
          <w:bCs/>
        </w:rPr>
      </w:pPr>
      <w:r w:rsidRPr="00B25E45">
        <w:rPr>
          <w:b/>
          <w:bCs/>
        </w:rPr>
        <w:t>K čl. VIII (přechodné ustanovení)</w:t>
      </w:r>
    </w:p>
    <w:p w14:paraId="1E654FB1" w14:textId="50D35C64" w:rsidR="00C21288" w:rsidRPr="00B25E45" w:rsidRDefault="00C21288" w:rsidP="00C21288">
      <w:pPr>
        <w:spacing w:before="120"/>
        <w:jc w:val="both"/>
        <w:rPr>
          <w:rFonts w:ascii="Times New Roman" w:hAnsi="Times New Roman"/>
          <w:sz w:val="24"/>
        </w:rPr>
      </w:pPr>
      <w:r w:rsidRPr="00B25E45">
        <w:rPr>
          <w:rFonts w:ascii="Times New Roman" w:hAnsi="Times New Roman"/>
          <w:sz w:val="24"/>
        </w:rPr>
        <w:t>Podobně jako v jiných případech obsahuje novela azylového zákona standardní přechodné ustanovení založené na nepravé retroaktivitě.</w:t>
      </w:r>
    </w:p>
    <w:p w14:paraId="04222F24" w14:textId="77777777" w:rsidR="00E41176" w:rsidRPr="00B25E45" w:rsidRDefault="00E41176" w:rsidP="00E41176"/>
    <w:p w14:paraId="2DC96EA8" w14:textId="3BD344FF" w:rsidR="00F6177A" w:rsidRPr="00B25E45" w:rsidRDefault="00F6177A" w:rsidP="00E41176">
      <w:pPr>
        <w:pStyle w:val="Nadpis2"/>
        <w:numPr>
          <w:ilvl w:val="0"/>
          <w:numId w:val="0"/>
        </w:numPr>
        <w:jc w:val="left"/>
        <w:rPr>
          <w:b/>
          <w:bCs/>
        </w:rPr>
      </w:pPr>
      <w:r w:rsidRPr="00B25E45">
        <w:rPr>
          <w:b/>
          <w:bCs/>
        </w:rPr>
        <w:t>ČÁST PÁTÁ – změna správního řádu</w:t>
      </w:r>
    </w:p>
    <w:p w14:paraId="3F84E977" w14:textId="45693E37" w:rsidR="00E41176" w:rsidRPr="00B25E45" w:rsidRDefault="00E41176" w:rsidP="00E41176">
      <w:pPr>
        <w:pStyle w:val="Nadpis2"/>
        <w:numPr>
          <w:ilvl w:val="0"/>
          <w:numId w:val="0"/>
        </w:numPr>
        <w:jc w:val="left"/>
        <w:rPr>
          <w:b/>
          <w:bCs/>
        </w:rPr>
      </w:pPr>
      <w:r w:rsidRPr="00B25E45">
        <w:rPr>
          <w:b/>
          <w:bCs/>
        </w:rPr>
        <w:t>K čl. IX</w:t>
      </w:r>
    </w:p>
    <w:p w14:paraId="23A6FEAC" w14:textId="77777777" w:rsidR="00F6177A" w:rsidRPr="00B25E45" w:rsidRDefault="00F6177A" w:rsidP="00C80B22">
      <w:pPr>
        <w:pStyle w:val="Nadpis3"/>
      </w:pPr>
      <w:r w:rsidRPr="00B25E45">
        <w:t xml:space="preserve">K bodu 1 a 2 (§ 64 a </w:t>
      </w:r>
      <w:proofErr w:type="gramStart"/>
      <w:r w:rsidRPr="00B25E45">
        <w:t>75a</w:t>
      </w:r>
      <w:proofErr w:type="gramEnd"/>
      <w:r w:rsidRPr="00B25E45">
        <w:t>)</w:t>
      </w:r>
    </w:p>
    <w:p w14:paraId="5884C594"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Navrhuje se definitivně vyřešit problematiku tzv. obživlých rozhodnutí správního orgánu, k nimž dochází v situacích, kdy krajský soud rozhodnutí pravomocně </w:t>
      </w:r>
      <w:proofErr w:type="gramStart"/>
      <w:r w:rsidRPr="00B25E45">
        <w:rPr>
          <w:rFonts w:ascii="Times New Roman" w:hAnsi="Times New Roman"/>
          <w:sz w:val="24"/>
        </w:rPr>
        <w:t>zruší</w:t>
      </w:r>
      <w:proofErr w:type="gramEnd"/>
      <w:r w:rsidRPr="00B25E45">
        <w:rPr>
          <w:rFonts w:ascii="Times New Roman" w:hAnsi="Times New Roman"/>
          <w:sz w:val="24"/>
        </w:rPr>
        <w:t xml:space="preserve"> a věc vrátí správnímu orgánu k dalšímu řízení.  Následně správní orgán znovu rozhodne, ale rozsudek krajského soudu je později zrušen Nejvyšším správním soudem, čímž dojde k obživnutí původního rozhodnutí správního orgánu zrušeného krajským soudem.</w:t>
      </w:r>
    </w:p>
    <w:p w14:paraId="789CA856"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Navrhuje se po vzoru daňového řádu a zákona o odpovědnosti za přestupky a řízení o nich zakotvit kombinaci dvou variant, přičemž postup bude na uvážení daného správního orgánu, který by měl vzít v potaz okolnosti daného případu, zejména zdali věc snese či nesnese odkladu:</w:t>
      </w:r>
    </w:p>
    <w:p w14:paraId="2CF2E8D3" w14:textId="77777777"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a) pokud věc snese odkladu, získá nově správní orgán možnost správní řízení z důvodu podané kasační stížnosti přerušit a vyčkat na verdikt Nejvyššího správního soudu;</w:t>
      </w:r>
    </w:p>
    <w:p w14:paraId="7DDAAA9C" w14:textId="5227EC40" w:rsidR="00F6177A" w:rsidRPr="00B25E45" w:rsidRDefault="00F6177A" w:rsidP="00F6177A">
      <w:pPr>
        <w:spacing w:before="120"/>
        <w:jc w:val="both"/>
        <w:rPr>
          <w:rFonts w:ascii="Times New Roman" w:hAnsi="Times New Roman"/>
          <w:sz w:val="24"/>
        </w:rPr>
      </w:pPr>
      <w:r w:rsidRPr="00B25E45">
        <w:rPr>
          <w:rFonts w:ascii="Times New Roman" w:hAnsi="Times New Roman"/>
          <w:sz w:val="24"/>
        </w:rPr>
        <w:t xml:space="preserve">b) zpravidla tam, kde věc nesnese odkladu, může správní orgán po vrácení věci ze strany krajského soudu v řízení pokračovat a znovu rozhodnout; v případě dodatečného zrušení rozhodnutí krajského soudu se zavádí doplňkové pravidlo do § 75a správního řádu – přednost bude mít nový výsledek řízení ve správním soudnictví, tj. v rozsahu nového rozhodnutí správního soudu pozbývá rozhodnutí správního orgánu vydané na základě zrušeného </w:t>
      </w:r>
      <w:r w:rsidRPr="00B25E45">
        <w:rPr>
          <w:rFonts w:ascii="Times New Roman" w:hAnsi="Times New Roman"/>
          <w:sz w:val="24"/>
        </w:rPr>
        <w:lastRenderedPageBreak/>
        <w:t>rozhodnutí krajského soudu účinků, a plně se prosadí původní „obživnuté“ rozhodnutí správního orgánu.</w:t>
      </w:r>
    </w:p>
    <w:p w14:paraId="5435CCAD" w14:textId="3A45D35A" w:rsidR="00E41176" w:rsidRPr="00B25E45" w:rsidRDefault="00E41176" w:rsidP="00E41176">
      <w:pPr>
        <w:pStyle w:val="Nadpis2"/>
        <w:numPr>
          <w:ilvl w:val="0"/>
          <w:numId w:val="0"/>
        </w:numPr>
        <w:jc w:val="left"/>
        <w:rPr>
          <w:b/>
          <w:bCs/>
        </w:rPr>
      </w:pPr>
      <w:r w:rsidRPr="00B25E45">
        <w:rPr>
          <w:b/>
          <w:bCs/>
        </w:rPr>
        <w:t>K čl. X (přechodné ustanovení)</w:t>
      </w:r>
    </w:p>
    <w:p w14:paraId="578C3E6B" w14:textId="5AF7A1AD" w:rsidR="00C21288" w:rsidRPr="00B25E45" w:rsidRDefault="00C80B22" w:rsidP="00C21288">
      <w:pPr>
        <w:spacing w:before="120"/>
        <w:jc w:val="both"/>
        <w:rPr>
          <w:rFonts w:ascii="Times New Roman" w:hAnsi="Times New Roman"/>
          <w:sz w:val="24"/>
        </w:rPr>
      </w:pPr>
      <w:r w:rsidRPr="00B25E45">
        <w:rPr>
          <w:rFonts w:ascii="Times New Roman" w:hAnsi="Times New Roman"/>
          <w:sz w:val="24"/>
        </w:rPr>
        <w:t>N</w:t>
      </w:r>
      <w:r w:rsidR="00C21288" w:rsidRPr="00B25E45">
        <w:rPr>
          <w:rFonts w:ascii="Times New Roman" w:hAnsi="Times New Roman"/>
          <w:sz w:val="24"/>
        </w:rPr>
        <w:t>avrhuje</w:t>
      </w:r>
      <w:r w:rsidRPr="00B25E45">
        <w:rPr>
          <w:rFonts w:ascii="Times New Roman" w:hAnsi="Times New Roman"/>
          <w:sz w:val="24"/>
        </w:rPr>
        <w:t xml:space="preserve"> se</w:t>
      </w:r>
      <w:r w:rsidR="00C21288" w:rsidRPr="00B25E45">
        <w:rPr>
          <w:rFonts w:ascii="Times New Roman" w:hAnsi="Times New Roman"/>
          <w:sz w:val="24"/>
        </w:rPr>
        <w:t xml:space="preserve"> obvyklé pravidlo </w:t>
      </w:r>
      <w:proofErr w:type="spellStart"/>
      <w:r w:rsidR="00C21288" w:rsidRPr="00B25E45">
        <w:rPr>
          <w:rFonts w:ascii="Times New Roman" w:hAnsi="Times New Roman"/>
          <w:sz w:val="24"/>
        </w:rPr>
        <w:t>intertemporality</w:t>
      </w:r>
      <w:proofErr w:type="spellEnd"/>
      <w:r w:rsidR="00C21288" w:rsidRPr="00B25E45">
        <w:rPr>
          <w:rFonts w:ascii="Times New Roman" w:hAnsi="Times New Roman"/>
          <w:sz w:val="24"/>
        </w:rPr>
        <w:t xml:space="preserve"> </w:t>
      </w:r>
      <w:r w:rsidRPr="00B25E45">
        <w:rPr>
          <w:rFonts w:ascii="Times New Roman" w:hAnsi="Times New Roman"/>
          <w:sz w:val="24"/>
        </w:rPr>
        <w:t>vycházející z</w:t>
      </w:r>
      <w:r w:rsidR="00C21288" w:rsidRPr="00B25E45">
        <w:rPr>
          <w:rFonts w:ascii="Times New Roman" w:hAnsi="Times New Roman"/>
          <w:sz w:val="24"/>
        </w:rPr>
        <w:t xml:space="preserve"> </w:t>
      </w:r>
      <w:r w:rsidRPr="00B25E45">
        <w:rPr>
          <w:rFonts w:ascii="Times New Roman" w:hAnsi="Times New Roman"/>
          <w:sz w:val="24"/>
        </w:rPr>
        <w:t>principu</w:t>
      </w:r>
      <w:r w:rsidR="00C21288" w:rsidRPr="00B25E45">
        <w:rPr>
          <w:rFonts w:ascii="Times New Roman" w:hAnsi="Times New Roman"/>
          <w:sz w:val="24"/>
        </w:rPr>
        <w:t xml:space="preserve">, že nová úprava se prosadí i </w:t>
      </w:r>
      <w:r w:rsidRPr="00B25E45">
        <w:rPr>
          <w:rFonts w:ascii="Times New Roman" w:hAnsi="Times New Roman"/>
          <w:sz w:val="24"/>
        </w:rPr>
        <w:t>v řízeních zahájených přede dnem nabytí účinnosti tohoto zákona.</w:t>
      </w:r>
    </w:p>
    <w:p w14:paraId="11E2E72A" w14:textId="77777777" w:rsidR="00E41176" w:rsidRPr="00B25E45" w:rsidRDefault="00E41176" w:rsidP="00C80B22"/>
    <w:p w14:paraId="48D01935" w14:textId="18766A90" w:rsidR="00F6177A" w:rsidRPr="00B25E45" w:rsidRDefault="00F6177A" w:rsidP="00E41176">
      <w:pPr>
        <w:pStyle w:val="Nadpis2"/>
        <w:numPr>
          <w:ilvl w:val="0"/>
          <w:numId w:val="0"/>
        </w:numPr>
        <w:jc w:val="left"/>
        <w:rPr>
          <w:b/>
          <w:bCs/>
        </w:rPr>
      </w:pPr>
      <w:r w:rsidRPr="00B25E45">
        <w:rPr>
          <w:b/>
          <w:bCs/>
        </w:rPr>
        <w:t>ČÁST ŠESTÁ – změna zákona o vyšších soudních úřednících</w:t>
      </w:r>
    </w:p>
    <w:p w14:paraId="7CD0DAD4" w14:textId="154B6087" w:rsidR="00E41176" w:rsidRPr="00B25E45" w:rsidRDefault="00E41176" w:rsidP="00E41176">
      <w:pPr>
        <w:pStyle w:val="Nadpis2"/>
        <w:numPr>
          <w:ilvl w:val="0"/>
          <w:numId w:val="0"/>
        </w:numPr>
        <w:jc w:val="left"/>
        <w:rPr>
          <w:b/>
          <w:bCs/>
        </w:rPr>
      </w:pPr>
      <w:r w:rsidRPr="00B25E45">
        <w:rPr>
          <w:b/>
          <w:bCs/>
        </w:rPr>
        <w:t>K čl. XI</w:t>
      </w:r>
    </w:p>
    <w:p w14:paraId="07C2DD82" w14:textId="47E42C79" w:rsidR="00C80B22" w:rsidRPr="00B25E45" w:rsidRDefault="00C80B22" w:rsidP="00C80B22">
      <w:pPr>
        <w:pStyle w:val="Nadpis3"/>
      </w:pPr>
      <w:r w:rsidRPr="00B25E45">
        <w:t>K bodu 1</w:t>
      </w:r>
    </w:p>
    <w:p w14:paraId="338B9452" w14:textId="56180C1B" w:rsidR="00C80B22" w:rsidRPr="00B25E45" w:rsidRDefault="00C80B22" w:rsidP="00C80B22">
      <w:pPr>
        <w:spacing w:before="120"/>
        <w:jc w:val="both"/>
        <w:rPr>
          <w:rFonts w:ascii="Times New Roman" w:hAnsi="Times New Roman"/>
          <w:sz w:val="24"/>
        </w:rPr>
      </w:pPr>
      <w:r w:rsidRPr="00B25E45">
        <w:rPr>
          <w:rFonts w:ascii="Times New Roman" w:hAnsi="Times New Roman"/>
          <w:sz w:val="24"/>
        </w:rPr>
        <w:t xml:space="preserve">Jde o legislativně-technickou změnu navazující na úpravy v soudním řádu správním, pokud jde o posílení pravomocí členů senátu. </w:t>
      </w:r>
    </w:p>
    <w:p w14:paraId="40FE63BA" w14:textId="3625555B" w:rsidR="00C80B22" w:rsidRPr="00B25E45" w:rsidRDefault="00C80B22" w:rsidP="00C80B22">
      <w:pPr>
        <w:pStyle w:val="Nadpis3"/>
      </w:pPr>
      <w:r w:rsidRPr="00B25E45">
        <w:t>K bodu 2</w:t>
      </w:r>
    </w:p>
    <w:p w14:paraId="3B42A8CE" w14:textId="60930BB0" w:rsidR="00C80B22" w:rsidRPr="00B25E45" w:rsidRDefault="00C80B22" w:rsidP="00C80B22">
      <w:pPr>
        <w:spacing w:before="120"/>
        <w:jc w:val="both"/>
        <w:rPr>
          <w:rFonts w:ascii="Times New Roman" w:hAnsi="Times New Roman"/>
          <w:sz w:val="24"/>
        </w:rPr>
      </w:pPr>
      <w:r w:rsidRPr="00B25E45">
        <w:rPr>
          <w:rFonts w:ascii="Times New Roman" w:hAnsi="Times New Roman"/>
          <w:sz w:val="24"/>
        </w:rPr>
        <w:t xml:space="preserve">Navrhovaná úprava § 9 zákona o vyšších soudních úřednících souvisí se snahou o posílení postavení asistentů a vyšších soudních úředníků v řízení před správními soudy. V souladu s nálezem Ústavního soudu </w:t>
      </w:r>
      <w:proofErr w:type="spellStart"/>
      <w:r w:rsidRPr="00B25E45">
        <w:rPr>
          <w:rFonts w:ascii="Times New Roman" w:hAnsi="Times New Roman"/>
          <w:sz w:val="24"/>
        </w:rPr>
        <w:t>sp</w:t>
      </w:r>
      <w:proofErr w:type="spellEnd"/>
      <w:r w:rsidRPr="00B25E45">
        <w:rPr>
          <w:rFonts w:ascii="Times New Roman" w:hAnsi="Times New Roman"/>
          <w:sz w:val="24"/>
        </w:rPr>
        <w:t xml:space="preserve">. zn. </w:t>
      </w:r>
      <w:proofErr w:type="spellStart"/>
      <w:r w:rsidRPr="00B25E45">
        <w:rPr>
          <w:rFonts w:ascii="Times New Roman" w:hAnsi="Times New Roman"/>
          <w:sz w:val="24"/>
        </w:rPr>
        <w:t>Pl</w:t>
      </w:r>
      <w:proofErr w:type="spellEnd"/>
      <w:r w:rsidRPr="00B25E45">
        <w:rPr>
          <w:rFonts w:ascii="Times New Roman" w:hAnsi="Times New Roman"/>
          <w:sz w:val="24"/>
        </w:rPr>
        <w:t xml:space="preserve">. ÚS 32/18 je možné a ústavně konformní, aby určitá jednodušší rozhodnutí činily i jiné osoby než soudce. Podmínkou je, že daná záležitost není ústavním pořádkem svěřena přímo soudci a zároveň existuje možnost nechat takto vydané rozhodnutí soudcem přezkoumat. K tomu, aby mohla být i druhá z podmínek ve správním soudnictví náležitě splněna, je však nutné upravit dikci § 9 z. v. s. </w:t>
      </w:r>
      <w:proofErr w:type="spellStart"/>
      <w:r w:rsidRPr="00B25E45">
        <w:rPr>
          <w:rFonts w:ascii="Times New Roman" w:hAnsi="Times New Roman"/>
          <w:sz w:val="24"/>
        </w:rPr>
        <w:t>ú.</w:t>
      </w:r>
      <w:proofErr w:type="spellEnd"/>
      <w:r w:rsidRPr="00B25E45">
        <w:rPr>
          <w:rFonts w:ascii="Times New Roman" w:hAnsi="Times New Roman"/>
          <w:sz w:val="24"/>
        </w:rPr>
        <w:t xml:space="preserve"> Jeho stávající znění totiž nedostatečně reflektuje specifika řízení před správními soudy, kdy proti rozhodnutí soudu prvního stupně není k dispozici odvolání, ale kasační stížnost. Navrhuje se proto uvedený nedostatek § 9 odstranit.</w:t>
      </w:r>
    </w:p>
    <w:p w14:paraId="2E351B42" w14:textId="0126DFDE" w:rsidR="00E41176" w:rsidRPr="00B25E45" w:rsidRDefault="00E41176" w:rsidP="00E41176">
      <w:pPr>
        <w:pStyle w:val="Nadpis2"/>
        <w:numPr>
          <w:ilvl w:val="0"/>
          <w:numId w:val="0"/>
        </w:numPr>
        <w:jc w:val="left"/>
        <w:rPr>
          <w:b/>
          <w:bCs/>
        </w:rPr>
      </w:pPr>
      <w:r w:rsidRPr="00B25E45">
        <w:rPr>
          <w:b/>
          <w:bCs/>
        </w:rPr>
        <w:t>K čl. XII (přechodné ustanovení)</w:t>
      </w:r>
    </w:p>
    <w:p w14:paraId="0DB59EE6" w14:textId="37E9AE14" w:rsidR="00C80B22" w:rsidRPr="00B25E45" w:rsidRDefault="00C80B22" w:rsidP="00C80B22">
      <w:pPr>
        <w:spacing w:before="120"/>
        <w:jc w:val="both"/>
        <w:rPr>
          <w:rFonts w:ascii="Times New Roman" w:hAnsi="Times New Roman"/>
          <w:sz w:val="24"/>
        </w:rPr>
      </w:pPr>
      <w:r w:rsidRPr="00B25E45">
        <w:rPr>
          <w:rFonts w:ascii="Times New Roman" w:hAnsi="Times New Roman"/>
          <w:sz w:val="24"/>
        </w:rPr>
        <w:t>Počítá se s  přechodným ustanovením obvyklým pro procesní právo.</w:t>
      </w:r>
    </w:p>
    <w:p w14:paraId="3744AC68" w14:textId="77777777" w:rsidR="00C80B22" w:rsidRPr="00B25E45" w:rsidRDefault="00C80B22" w:rsidP="00C80B22">
      <w:pPr>
        <w:spacing w:before="120"/>
        <w:jc w:val="both"/>
        <w:rPr>
          <w:rFonts w:ascii="Times New Roman" w:hAnsi="Times New Roman"/>
          <w:sz w:val="24"/>
        </w:rPr>
      </w:pPr>
    </w:p>
    <w:p w14:paraId="7263EDE1" w14:textId="4B66EE03" w:rsidR="00F6177A" w:rsidRPr="00B25E45" w:rsidRDefault="00F6177A" w:rsidP="00F6177A">
      <w:pPr>
        <w:spacing w:before="120"/>
        <w:jc w:val="both"/>
        <w:rPr>
          <w:rFonts w:ascii="Times New Roman" w:hAnsi="Times New Roman"/>
          <w:b/>
          <w:sz w:val="24"/>
        </w:rPr>
      </w:pPr>
      <w:r w:rsidRPr="00B25E45">
        <w:rPr>
          <w:rFonts w:ascii="Times New Roman" w:hAnsi="Times New Roman"/>
          <w:b/>
          <w:sz w:val="24"/>
        </w:rPr>
        <w:t>ČÁST SEDMÁ – Účinnost</w:t>
      </w:r>
    </w:p>
    <w:p w14:paraId="46C5C2EE" w14:textId="2A56D430" w:rsidR="00E41176" w:rsidRPr="00B25E45" w:rsidRDefault="00E41176" w:rsidP="00E41176">
      <w:pPr>
        <w:pStyle w:val="Nadpis2"/>
        <w:numPr>
          <w:ilvl w:val="0"/>
          <w:numId w:val="0"/>
        </w:numPr>
        <w:jc w:val="left"/>
        <w:rPr>
          <w:b/>
          <w:bCs/>
        </w:rPr>
      </w:pPr>
      <w:r w:rsidRPr="00B25E45">
        <w:rPr>
          <w:b/>
          <w:bCs/>
        </w:rPr>
        <w:t>K čl. XIII</w:t>
      </w:r>
    </w:p>
    <w:p w14:paraId="7EA9B297" w14:textId="18DFB21C" w:rsidR="00F6177A" w:rsidRPr="00F6177A" w:rsidRDefault="00F6177A" w:rsidP="00F6177A">
      <w:pPr>
        <w:spacing w:before="120"/>
        <w:jc w:val="both"/>
        <w:rPr>
          <w:rFonts w:ascii="Times New Roman" w:hAnsi="Times New Roman"/>
          <w:sz w:val="24"/>
        </w:rPr>
      </w:pPr>
      <w:r w:rsidRPr="00B25E45">
        <w:rPr>
          <w:rFonts w:ascii="Times New Roman" w:hAnsi="Times New Roman"/>
          <w:sz w:val="24"/>
        </w:rPr>
        <w:t>V souladu s Plánem legislativních prací vlády pro rok 2023 se navrhuje stanovit účinnost na 1.</w:t>
      </w:r>
      <w:r w:rsidR="00C80B22" w:rsidRPr="00B25E45">
        <w:rPr>
          <w:rFonts w:ascii="Times New Roman" w:hAnsi="Times New Roman"/>
          <w:sz w:val="24"/>
        </w:rPr>
        <w:t> </w:t>
      </w:r>
      <w:r w:rsidRPr="00B25E45">
        <w:rPr>
          <w:rFonts w:ascii="Times New Roman" w:hAnsi="Times New Roman"/>
          <w:sz w:val="24"/>
        </w:rPr>
        <w:t>ledna 2025.</w:t>
      </w:r>
    </w:p>
    <w:p w14:paraId="4F3553C0" w14:textId="77777777" w:rsidR="00F6177A" w:rsidRPr="00F6177A" w:rsidRDefault="00F6177A" w:rsidP="00F6177A">
      <w:pPr>
        <w:spacing w:before="120"/>
        <w:jc w:val="both"/>
        <w:rPr>
          <w:rFonts w:ascii="Times New Roman" w:hAnsi="Times New Roman"/>
          <w:sz w:val="24"/>
        </w:rPr>
      </w:pPr>
    </w:p>
    <w:p w14:paraId="1A4C6F6C" w14:textId="77777777" w:rsidR="007E7047" w:rsidRPr="008974C4" w:rsidRDefault="007E7047" w:rsidP="00F6177A">
      <w:pPr>
        <w:spacing w:before="120"/>
        <w:jc w:val="both"/>
        <w:rPr>
          <w:rFonts w:ascii="Times New Roman" w:hAnsi="Times New Roman"/>
          <w:sz w:val="24"/>
        </w:rPr>
      </w:pPr>
    </w:p>
    <w:sectPr w:rsidR="007E7047" w:rsidRPr="008974C4" w:rsidSect="00B17452">
      <w:footerReference w:type="default" r:id="rId10"/>
      <w:pgSz w:w="11906" w:h="16838"/>
      <w:pgMar w:top="1417" w:right="1417" w:bottom="1417" w:left="1417"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7A650" w14:textId="77777777" w:rsidR="009F7F49" w:rsidRDefault="009F7F49" w:rsidP="000149E3">
      <w:pPr>
        <w:spacing w:after="0" w:line="240" w:lineRule="auto"/>
      </w:pPr>
      <w:r>
        <w:separator/>
      </w:r>
    </w:p>
  </w:endnote>
  <w:endnote w:type="continuationSeparator" w:id="0">
    <w:p w14:paraId="452F7827" w14:textId="77777777" w:rsidR="009F7F49" w:rsidRDefault="009F7F49" w:rsidP="000149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31482" w14:textId="77777777" w:rsidR="00C26D87" w:rsidRDefault="000A1AE4" w:rsidP="00B80BD2">
    <w:pPr>
      <w:pStyle w:val="Zpat"/>
      <w:spacing w:before="240"/>
      <w:jc w:val="center"/>
    </w:pPr>
    <w:r w:rsidRPr="007265A2">
      <w:rPr>
        <w:rFonts w:ascii="Times New Roman" w:hAnsi="Times New Roman"/>
      </w:rPr>
      <w:fldChar w:fldCharType="begin"/>
    </w:r>
    <w:r w:rsidRPr="007265A2">
      <w:rPr>
        <w:rFonts w:ascii="Times New Roman" w:hAnsi="Times New Roman"/>
      </w:rPr>
      <w:instrText>PAGE   \* MERGEFORMAT</w:instrText>
    </w:r>
    <w:r w:rsidRPr="007265A2">
      <w:rPr>
        <w:rFonts w:ascii="Times New Roman" w:hAnsi="Times New Roman"/>
      </w:rPr>
      <w:fldChar w:fldCharType="separate"/>
    </w:r>
    <w:r>
      <w:rPr>
        <w:rFonts w:ascii="Times New Roman" w:hAnsi="Times New Roman"/>
        <w:noProof/>
      </w:rPr>
      <w:t>42</w:t>
    </w:r>
    <w:r w:rsidRPr="007265A2">
      <w:rPr>
        <w:rFonts w:ascii="Times New Roman" w:hAnsi="Times New Roman"/>
      </w:rPr>
      <w:fldChar w:fldCharType="end"/>
    </w:r>
  </w:p>
  <w:p w14:paraId="0986977F" w14:textId="77777777" w:rsidR="00C26D87" w:rsidRDefault="00A6621E" w:rsidP="00860DC8"/>
  <w:p w14:paraId="0B6E9591" w14:textId="77777777" w:rsidR="00C26D87" w:rsidRDefault="00A6621E" w:rsidP="003508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27C4A" w14:textId="77777777" w:rsidR="009F7F49" w:rsidRDefault="009F7F49" w:rsidP="000149E3">
      <w:pPr>
        <w:spacing w:after="0" w:line="240" w:lineRule="auto"/>
      </w:pPr>
      <w:r>
        <w:separator/>
      </w:r>
    </w:p>
  </w:footnote>
  <w:footnote w:type="continuationSeparator" w:id="0">
    <w:p w14:paraId="71B21F27" w14:textId="77777777" w:rsidR="009F7F49" w:rsidRDefault="009F7F49" w:rsidP="000149E3">
      <w:pPr>
        <w:spacing w:after="0" w:line="240" w:lineRule="auto"/>
      </w:pPr>
      <w:r>
        <w:continuationSeparator/>
      </w:r>
    </w:p>
  </w:footnote>
  <w:footnote w:id="1">
    <w:p w14:paraId="3F59A2E3" w14:textId="072F240C" w:rsidR="00D22A28" w:rsidRPr="00B25E45" w:rsidRDefault="00D22A28" w:rsidP="00931A3F">
      <w:pPr>
        <w:jc w:val="both"/>
        <w:rPr>
          <w:rFonts w:ascii="Times New Roman" w:hAnsi="Times New Roman"/>
          <w:sz w:val="20"/>
          <w:szCs w:val="20"/>
          <w:lang w:eastAsia="cs-CZ"/>
        </w:rPr>
      </w:pPr>
      <w:r w:rsidRPr="00B25E45">
        <w:rPr>
          <w:rStyle w:val="Znakapoznpodarou"/>
          <w:rFonts w:ascii="Times New Roman" w:hAnsi="Times New Roman"/>
          <w:sz w:val="20"/>
          <w:szCs w:val="20"/>
        </w:rPr>
        <w:footnoteRef/>
      </w:r>
      <w:r w:rsidRPr="00B25E45">
        <w:rPr>
          <w:rFonts w:ascii="Times New Roman" w:hAnsi="Times New Roman"/>
          <w:sz w:val="20"/>
          <w:szCs w:val="20"/>
        </w:rPr>
        <w:t xml:space="preserve"> Zpráva o právním státu 2020 Stav právního státu v Evropské unii - </w:t>
      </w:r>
      <w:r w:rsidRPr="00B25E45">
        <w:rPr>
          <w:rFonts w:ascii="Times New Roman" w:hAnsi="Times New Roman"/>
          <w:sz w:val="20"/>
          <w:szCs w:val="20"/>
          <w:lang w:eastAsia="cs-CZ"/>
        </w:rPr>
        <w:t>Kapitola o stavu právního státu v Česku (</w:t>
      </w:r>
      <w:hyperlink r:id="rId1" w:history="1">
        <w:r w:rsidRPr="00B25E45">
          <w:rPr>
            <w:rStyle w:val="Hypertextovodkaz"/>
            <w:rFonts w:ascii="Times New Roman" w:hAnsi="Times New Roman"/>
            <w:color w:val="auto"/>
            <w:sz w:val="20"/>
            <w:szCs w:val="20"/>
            <w:lang w:eastAsia="cs-CZ"/>
          </w:rPr>
          <w:t>https://eur-lex.europa.eu/legal-content/CS/TXT/?uri=CELEX:52020SC0302</w:t>
        </w:r>
      </w:hyperlink>
      <w:r w:rsidRPr="00B25E45">
        <w:rPr>
          <w:rFonts w:ascii="Times New Roman" w:hAnsi="Times New Roman"/>
          <w:sz w:val="20"/>
          <w:szCs w:val="20"/>
          <w:lang w:eastAsia="cs-CZ"/>
        </w:rPr>
        <w:t>) nebo táž zpráva z roku 2021 (https://eur-lex.europa.eu/legal-content/CS/TXT/?uri=CELEX%3A52021SC0705).</w:t>
      </w:r>
    </w:p>
  </w:footnote>
  <w:footnote w:id="2">
    <w:p w14:paraId="6B6947F5" w14:textId="42DA0B44" w:rsidR="0055370B" w:rsidRPr="00B25E45" w:rsidRDefault="0055370B" w:rsidP="00931A3F">
      <w:pPr>
        <w:pStyle w:val="Textpoznpodarou"/>
        <w:ind w:firstLine="0"/>
        <w:rPr>
          <w:rFonts w:ascii="Times New Roman" w:hAnsi="Times New Roman"/>
        </w:rPr>
      </w:pPr>
      <w:r w:rsidRPr="00B25E45">
        <w:rPr>
          <w:rStyle w:val="Znakapoznpodarou"/>
          <w:rFonts w:ascii="Times New Roman" w:hAnsi="Times New Roman"/>
        </w:rPr>
        <w:footnoteRef/>
      </w:r>
      <w:r w:rsidRPr="00B25E45">
        <w:rPr>
          <w:rFonts w:ascii="Times New Roman" w:hAnsi="Times New Roman"/>
        </w:rPr>
        <w:t xml:space="preserve"> České soudnictví 2021: Výroční statistická zpráva z roku 2021 (dostupná zde: </w:t>
      </w:r>
      <w:hyperlink r:id="rId2" w:history="1">
        <w:r w:rsidRPr="00B25E45">
          <w:rPr>
            <w:rStyle w:val="Hypertextovodkaz"/>
            <w:rFonts w:ascii="Times New Roman" w:hAnsi="Times New Roman"/>
            <w:color w:val="auto"/>
          </w:rPr>
          <w:t>https://justice.cz/web/msp/statisticke-udaje-z-oblasti-justice</w:t>
        </w:r>
      </w:hyperlink>
      <w:r w:rsidRPr="00B25E45">
        <w:rPr>
          <w:rFonts w:ascii="Times New Roman" w:hAnsi="Times New Roman"/>
        </w:rPr>
        <w:t xml:space="preserve">). </w:t>
      </w:r>
    </w:p>
  </w:footnote>
  <w:footnote w:id="3">
    <w:p w14:paraId="1B77BA9C" w14:textId="28124E6B" w:rsidR="00AA63F5" w:rsidRPr="00B25E45" w:rsidRDefault="00AA63F5" w:rsidP="00931A3F">
      <w:pPr>
        <w:pStyle w:val="Textpoznpodarou"/>
        <w:ind w:firstLine="0"/>
        <w:rPr>
          <w:rFonts w:ascii="Times New Roman" w:hAnsi="Times New Roman"/>
        </w:rPr>
      </w:pPr>
      <w:r w:rsidRPr="00B25E45">
        <w:rPr>
          <w:rStyle w:val="Znakapoznpodarou"/>
          <w:rFonts w:ascii="Times New Roman" w:hAnsi="Times New Roman"/>
        </w:rPr>
        <w:footnoteRef/>
      </w:r>
      <w:r w:rsidRPr="00B25E45">
        <w:rPr>
          <w:rFonts w:ascii="Times New Roman" w:hAnsi="Times New Roman"/>
        </w:rPr>
        <w:t xml:space="preserve"> https://eur-lex.europa.eu/legal-content/CS/TXT/?uri=CELEX:52020SC0302</w:t>
      </w:r>
    </w:p>
  </w:footnote>
  <w:footnote w:id="4">
    <w:p w14:paraId="42A406ED" w14:textId="08D23C15" w:rsidR="006D1E79" w:rsidRPr="00B25E45" w:rsidRDefault="006D1E79" w:rsidP="00931A3F">
      <w:pPr>
        <w:pStyle w:val="Textpoznpodarou"/>
        <w:ind w:firstLine="0"/>
        <w:rPr>
          <w:rFonts w:ascii="Times New Roman" w:hAnsi="Times New Roman"/>
        </w:rPr>
      </w:pPr>
      <w:r w:rsidRPr="00B25E45">
        <w:rPr>
          <w:rStyle w:val="Znakapoznpodarou"/>
          <w:rFonts w:ascii="Times New Roman" w:hAnsi="Times New Roman"/>
        </w:rPr>
        <w:footnoteRef/>
      </w:r>
      <w:r w:rsidRPr="00B25E45">
        <w:rPr>
          <w:rFonts w:ascii="Times New Roman" w:hAnsi="Times New Roman"/>
        </w:rPr>
        <w:t xml:space="preserve"> </w:t>
      </w:r>
      <w:r w:rsidR="00995A95" w:rsidRPr="00B25E45">
        <w:rPr>
          <w:rFonts w:ascii="Times New Roman" w:hAnsi="Times New Roman"/>
        </w:rPr>
        <w:t>Srov. rozhovor s tehdejším předsedou Nejvyššího správního soudu JUDr. Michalem Mazancem (</w:t>
      </w:r>
      <w:hyperlink r:id="rId3" w:history="1">
        <w:r w:rsidR="00995A95" w:rsidRPr="00B25E45">
          <w:rPr>
            <w:rStyle w:val="Hypertextovodkaz"/>
            <w:rFonts w:ascii="Times New Roman" w:hAnsi="Times New Roman"/>
            <w:color w:val="auto"/>
          </w:rPr>
          <w:t>https://video.aktualne.cz/dvtv/zakony-na-vsechno-letosni-sbirka-ma-4-800-stran-resi-se-marg/r~bc2da624039911e998daac1f6b220ee8/</w:t>
        </w:r>
      </w:hyperlink>
      <w:r w:rsidR="00995A95" w:rsidRPr="00B25E45">
        <w:rPr>
          <w:rFonts w:ascii="Times New Roman" w:hAnsi="Times New Roman"/>
        </w:rPr>
        <w:t>) nebo např. https://www.ceska-justice.cz/2023/07/muz-podal-ctyri-sta-zalob-na-ceske-soudce-soud-zvolil-mimoradny-postup/</w:t>
      </w:r>
    </w:p>
  </w:footnote>
  <w:footnote w:id="5">
    <w:p w14:paraId="6D8681B7" w14:textId="5B2925FA" w:rsidR="00457BF6" w:rsidRPr="00B25E45" w:rsidRDefault="00457BF6" w:rsidP="00931A3F">
      <w:pPr>
        <w:pStyle w:val="Textpoznpodarou"/>
        <w:ind w:firstLine="0"/>
        <w:rPr>
          <w:rFonts w:ascii="Times New Roman" w:hAnsi="Times New Roman"/>
        </w:rPr>
      </w:pPr>
      <w:r w:rsidRPr="00B25E45">
        <w:rPr>
          <w:rStyle w:val="Znakapoznpodarou"/>
          <w:rFonts w:ascii="Times New Roman" w:hAnsi="Times New Roman"/>
        </w:rPr>
        <w:footnoteRef/>
      </w:r>
      <w:r w:rsidRPr="00B25E45">
        <w:rPr>
          <w:rFonts w:ascii="Times New Roman" w:hAnsi="Times New Roman"/>
        </w:rPr>
        <w:t xml:space="preserve"> Informace jsou čerpány ze statistických údajů uveřejňovaných na webu Nejvyššího správního soudu (https://www.nssoud.cz/rozhodovaci-cinnost/statistiky).</w:t>
      </w:r>
    </w:p>
  </w:footnote>
  <w:footnote w:id="6">
    <w:p w14:paraId="3729C154" w14:textId="07132303" w:rsidR="00457BF6" w:rsidRPr="00B25E45" w:rsidRDefault="00457BF6" w:rsidP="00931A3F">
      <w:pPr>
        <w:pStyle w:val="Textpoznpodarou"/>
        <w:ind w:firstLine="0"/>
        <w:rPr>
          <w:rFonts w:ascii="Times New Roman" w:hAnsi="Times New Roman"/>
        </w:rPr>
      </w:pPr>
      <w:r w:rsidRPr="00B25E45">
        <w:rPr>
          <w:rStyle w:val="Znakapoznpodarou"/>
          <w:rFonts w:ascii="Times New Roman" w:hAnsi="Times New Roman"/>
        </w:rPr>
        <w:footnoteRef/>
      </w:r>
      <w:r w:rsidRPr="00B25E45">
        <w:rPr>
          <w:rFonts w:ascii="Times New Roman" w:hAnsi="Times New Roman"/>
        </w:rPr>
        <w:t xml:space="preserve"> Tuto praxi Nejvyšší správní soud aplikoval i dříve navzdory původnímu § 104a odst. 3 s. ř. s. ve znění účinném do 31. března 2021. Srov. k tomu např. Kühn in KÜHN, Zdeněk a KOCOUREK, Tomáš. Soudní řád správní: komentář. Praha: Wolters Kluwer, 2019, § 104a, m. č. 15.</w:t>
      </w:r>
    </w:p>
  </w:footnote>
  <w:footnote w:id="7">
    <w:p w14:paraId="17E24149" w14:textId="77777777" w:rsidR="006940BE" w:rsidRPr="00B25E45" w:rsidRDefault="006940BE" w:rsidP="00931A3F">
      <w:pPr>
        <w:pStyle w:val="Textpoznpodarou"/>
        <w:ind w:firstLine="0"/>
        <w:rPr>
          <w:rFonts w:ascii="Times New Roman" w:hAnsi="Times New Roman"/>
        </w:rPr>
      </w:pPr>
      <w:r w:rsidRPr="00B25E45">
        <w:rPr>
          <w:rStyle w:val="Znakapoznpodarou"/>
          <w:rFonts w:ascii="Times New Roman" w:hAnsi="Times New Roman"/>
        </w:rPr>
        <w:footnoteRef/>
      </w:r>
      <w:r w:rsidRPr="00B25E45">
        <w:rPr>
          <w:rFonts w:ascii="Times New Roman" w:hAnsi="Times New Roman"/>
        </w:rPr>
        <w:t xml:space="preserve"> „</w:t>
      </w:r>
      <w:r w:rsidRPr="00B25E45">
        <w:rPr>
          <w:rFonts w:ascii="Times New Roman" w:hAnsi="Times New Roman"/>
          <w:i/>
          <w:iCs/>
        </w:rPr>
        <w:t>Nonetheless, the limitations applied must not restrict the access left to the individual in such a way or to such an extent that the very essence of the right is impaired. Furthermore, a limitation will not be compatible with Article 6 § 1 if it does not pursue a legitimate aim and if there is not a reasonable relationship of proportionality between the means employed and the aim sought to be achieved.</w:t>
      </w:r>
      <w:r w:rsidRPr="00B25E45">
        <w:rPr>
          <w:rFonts w:ascii="Times New Roman" w:hAnsi="Times New Roman"/>
        </w:rPr>
        <w:t>“</w:t>
      </w:r>
    </w:p>
  </w:footnote>
  <w:footnote w:id="8">
    <w:p w14:paraId="5DEF3D66" w14:textId="0B0D3DF5" w:rsidR="006940BE" w:rsidRPr="00B25E45" w:rsidRDefault="006940BE" w:rsidP="00931A3F">
      <w:pPr>
        <w:pStyle w:val="Textpoznpodarou"/>
        <w:ind w:firstLine="0"/>
        <w:rPr>
          <w:rFonts w:ascii="Times New Roman" w:hAnsi="Times New Roman"/>
        </w:rPr>
      </w:pPr>
      <w:r w:rsidRPr="00B25E45">
        <w:rPr>
          <w:rStyle w:val="Znakapoznpodarou"/>
          <w:rFonts w:ascii="Times New Roman" w:hAnsi="Times New Roman"/>
        </w:rPr>
        <w:footnoteRef/>
      </w:r>
      <w:r w:rsidRPr="00B25E45">
        <w:rPr>
          <w:rFonts w:ascii="Times New Roman" w:hAnsi="Times New Roman"/>
        </w:rPr>
        <w:t xml:space="preserve"> Srov. rozhovor s tehdejším předsedou Nejvyššího správního soudu JUDr. Michalem Mazancem (</w:t>
      </w:r>
      <w:hyperlink r:id="rId4" w:history="1">
        <w:r w:rsidRPr="00B25E45">
          <w:rPr>
            <w:rStyle w:val="Hypertextovodkaz"/>
            <w:rFonts w:ascii="Times New Roman" w:hAnsi="Times New Roman"/>
            <w:color w:val="auto"/>
          </w:rPr>
          <w:t>https://video.aktualne.cz/dvtv/zakony-na-vsechno-letosni-sbirka-ma-4-800-stran-resi-se-marg/r~bc2da624039911e998daac1f6b220ee8/</w:t>
        </w:r>
      </w:hyperlink>
      <w:r w:rsidRPr="00B25E45">
        <w:rPr>
          <w:rFonts w:ascii="Times New Roman" w:hAnsi="Times New Roman"/>
        </w:rPr>
        <w:t>) nebo např. https://www.ceska-justice.cz/2023/07/muz-podal-ctyri-sta-zalob-na-ceske-soudce-soud-zvolil-mimoradny-postup/.</w:t>
      </w:r>
    </w:p>
  </w:footnote>
  <w:footnote w:id="9">
    <w:p w14:paraId="3E134E84" w14:textId="6243B84F" w:rsidR="006940BE" w:rsidRPr="00B25E45" w:rsidRDefault="006940BE" w:rsidP="00931A3F">
      <w:pPr>
        <w:pStyle w:val="Textpoznpodarou"/>
        <w:ind w:firstLine="0"/>
        <w:rPr>
          <w:rFonts w:ascii="Times New Roman" w:hAnsi="Times New Roman"/>
        </w:rPr>
      </w:pPr>
      <w:r w:rsidRPr="00B25E45">
        <w:rPr>
          <w:rStyle w:val="Znakapoznpodarou"/>
          <w:rFonts w:ascii="Times New Roman" w:hAnsi="Times New Roman"/>
        </w:rPr>
        <w:footnoteRef/>
      </w:r>
      <w:r w:rsidRPr="00B25E45">
        <w:rPr>
          <w:rFonts w:ascii="Times New Roman" w:hAnsi="Times New Roman"/>
        </w:rPr>
        <w:t xml:space="preserve"> Kritika ve </w:t>
      </w:r>
      <w:r w:rsidR="00931A3F" w:rsidRPr="00B25E45">
        <w:rPr>
          <w:rFonts w:ascii="Times New Roman" w:hAnsi="Times New Roman"/>
        </w:rPr>
        <w:t xml:space="preserve">Zprávě o právním státu 2020 Stav právního státu v Evropské </w:t>
      </w:r>
      <w:r w:rsidR="00931A3F" w:rsidRPr="00B25E45">
        <w:rPr>
          <w:rFonts w:ascii="Times New Roman" w:hAnsi="Times New Roman"/>
        </w:rPr>
        <w:t>unii - Kapitola o stavu právního státu v Česku (https://eur-lex.europa.eu/legal-content/CS/TXT/?uri=CELEX:52020SC0302) nebo v obdobné zprávě z roku 2021 (https://eur-lex.europa.eu/legal-content/CS/TXT/?uri=CELEX%3A52021SC0705)</w:t>
      </w:r>
      <w:r w:rsidRPr="00B25E45">
        <w:rPr>
          <w:rFonts w:ascii="Times New Roman" w:hAnsi="Times New Roman"/>
        </w:rPr>
        <w:t>.</w:t>
      </w:r>
    </w:p>
  </w:footnote>
  <w:footnote w:id="10">
    <w:p w14:paraId="64680148" w14:textId="421D20DE" w:rsidR="006940BE" w:rsidRPr="00B25E45" w:rsidRDefault="006940BE" w:rsidP="00931A3F">
      <w:pPr>
        <w:pStyle w:val="Textpoznpodarou"/>
        <w:ind w:firstLine="0"/>
        <w:rPr>
          <w:rFonts w:ascii="Times New Roman" w:hAnsi="Times New Roman"/>
        </w:rPr>
      </w:pPr>
      <w:r w:rsidRPr="00B25E45">
        <w:rPr>
          <w:rStyle w:val="Znakapoznpodarou"/>
          <w:rFonts w:ascii="Times New Roman" w:hAnsi="Times New Roman"/>
        </w:rPr>
        <w:footnoteRef/>
      </w:r>
      <w:r w:rsidRPr="00B25E45">
        <w:rPr>
          <w:rFonts w:ascii="Times New Roman" w:hAnsi="Times New Roman"/>
        </w:rPr>
        <w:t xml:space="preserve"> Statistiky nápadu na NSS dostupné na stránkách Nejvyššího správního soudu (</w:t>
      </w:r>
      <w:hyperlink r:id="rId5" w:history="1">
        <w:r w:rsidRPr="00B25E45">
          <w:rPr>
            <w:rStyle w:val="Hypertextovodkaz"/>
            <w:rFonts w:ascii="Times New Roman" w:hAnsi="Times New Roman"/>
            <w:color w:val="auto"/>
          </w:rPr>
          <w:t>https://www.nssoud.cz/rozhodovaci-cinnost/statistiky</w:t>
        </w:r>
      </w:hyperlink>
      <w:r w:rsidRPr="00B25E45">
        <w:rPr>
          <w:rFonts w:ascii="Times New Roman" w:hAnsi="Times New Roman"/>
        </w:rPr>
        <w:t xml:space="preserve">. </w:t>
      </w:r>
    </w:p>
  </w:footnote>
  <w:footnote w:id="11">
    <w:p w14:paraId="222A64A4" w14:textId="05F09FB2" w:rsidR="00867174" w:rsidRPr="00B25E45" w:rsidRDefault="00867174" w:rsidP="00931A3F">
      <w:pPr>
        <w:spacing w:after="160" w:line="259" w:lineRule="auto"/>
        <w:contextualSpacing/>
        <w:jc w:val="both"/>
        <w:rPr>
          <w:rFonts w:ascii="Times New Roman" w:hAnsi="Times New Roman"/>
          <w:sz w:val="20"/>
          <w:szCs w:val="20"/>
        </w:rPr>
      </w:pPr>
      <w:r w:rsidRPr="00B25E45">
        <w:rPr>
          <w:rStyle w:val="Znakapoznpodarou"/>
          <w:rFonts w:ascii="Times New Roman" w:hAnsi="Times New Roman"/>
          <w:sz w:val="20"/>
          <w:szCs w:val="20"/>
        </w:rPr>
        <w:footnoteRef/>
      </w:r>
      <w:r w:rsidRPr="00B25E45">
        <w:rPr>
          <w:rFonts w:ascii="Times New Roman" w:hAnsi="Times New Roman"/>
          <w:sz w:val="20"/>
          <w:szCs w:val="20"/>
        </w:rPr>
        <w:t xml:space="preserve"> Paradoxní situace se naplno projevila právě v případě ústavní stížnosti Vodárenské akciové společnosti, a. s., která dle Ústavního soudu nejprve podala ústavní návrh příliš brzy (před rozhodnutím Nejvyššího soudu o dovolání). Následně podala stěžovatelka po rozhodnutí Nejvyššího soudu ústavní stížnost podruhé, což bylo podle názoru Ústavního soudu naopak příliš (dovolání bylo shledáno jako nepřípustné a ústavní stížnost měla být tedy dle Ústavního soudu podána hned po rozhodnutí odvolacího soudu).</w:t>
      </w:r>
    </w:p>
    <w:p w14:paraId="145F86EA" w14:textId="4F63A1F2" w:rsidR="00867174" w:rsidRPr="00B25E45" w:rsidRDefault="00867174" w:rsidP="00931A3F">
      <w:pPr>
        <w:pStyle w:val="Textpoznpodarou"/>
        <w:ind w:firstLine="0"/>
        <w:rPr>
          <w:rFonts w:ascii="Times New Roman" w:hAnsi="Times New Roman"/>
        </w:rPr>
      </w:pPr>
    </w:p>
  </w:footnote>
  <w:footnote w:id="12">
    <w:p w14:paraId="36E87E4B" w14:textId="6E2053C6" w:rsidR="00DB333A" w:rsidRPr="00B25E45" w:rsidRDefault="00DB333A" w:rsidP="00DB333A">
      <w:pPr>
        <w:pStyle w:val="Textpoznpodarou"/>
        <w:ind w:firstLine="0"/>
        <w:rPr>
          <w:rFonts w:ascii="Times New Roman" w:hAnsi="Times New Roman"/>
        </w:rPr>
      </w:pPr>
      <w:r w:rsidRPr="00B25E45">
        <w:rPr>
          <w:rStyle w:val="Znakapoznpodarou"/>
          <w:rFonts w:ascii="Times New Roman" w:hAnsi="Times New Roman"/>
        </w:rPr>
        <w:footnoteRef/>
      </w:r>
      <w:r w:rsidRPr="00B25E45">
        <w:rPr>
          <w:rFonts w:ascii="Times New Roman" w:hAnsi="Times New Roman"/>
        </w:rPr>
        <w:t xml:space="preserve"> Dle Zpráv o činnosti státního zastupitelství za příslušné roky 2017-2022; srov. např. https://verejnazaloba.cz/nsz/cinnost-nejvyssiho-statniho-zastupitelstvi/zpravy-o-cinnosti/zprava-o-cinnosti-za-rok-2021/.</w:t>
      </w:r>
    </w:p>
  </w:footnote>
  <w:footnote w:id="13">
    <w:p w14:paraId="5F968A4E" w14:textId="3F926F6F" w:rsidR="00D875F9" w:rsidRPr="00B25E45" w:rsidRDefault="00D875F9" w:rsidP="00931A3F">
      <w:pPr>
        <w:pStyle w:val="Textpoznpodarou"/>
        <w:ind w:firstLine="0"/>
        <w:rPr>
          <w:rFonts w:ascii="Times New Roman" w:hAnsi="Times New Roman"/>
        </w:rPr>
      </w:pPr>
      <w:r w:rsidRPr="00B25E45">
        <w:rPr>
          <w:rStyle w:val="Znakapoznpodarou"/>
          <w:rFonts w:ascii="Times New Roman" w:hAnsi="Times New Roman"/>
        </w:rPr>
        <w:footnoteRef/>
      </w:r>
      <w:r w:rsidRPr="00B25E45">
        <w:rPr>
          <w:rFonts w:ascii="Times New Roman" w:hAnsi="Times New Roman"/>
        </w:rPr>
        <w:t xml:space="preserve"> Sp. zn. 11/2012/SZD (</w:t>
      </w:r>
      <w:hyperlink r:id="rId6" w:history="1">
        <w:r w:rsidRPr="00B25E45">
          <w:rPr>
            <w:rStyle w:val="Hypertextovodkaz"/>
            <w:rFonts w:ascii="Times New Roman" w:hAnsi="Times New Roman"/>
            <w:color w:val="auto"/>
          </w:rPr>
          <w:t>https://eso.ochrance.cz/Nalezene/Edit/1668</w:t>
        </w:r>
      </w:hyperlink>
      <w:r w:rsidRPr="00B25E45">
        <w:rPr>
          <w:rFonts w:ascii="Times New Roman" w:hAnsi="Times New Roman"/>
        </w:rPr>
        <w:t>), 40/2017/SZD (</w:t>
      </w:r>
      <w:hyperlink r:id="rId7" w:history="1">
        <w:r w:rsidRPr="00B25E45">
          <w:rPr>
            <w:rStyle w:val="Hypertextovodkaz"/>
            <w:rFonts w:ascii="Times New Roman" w:hAnsi="Times New Roman"/>
            <w:color w:val="auto"/>
          </w:rPr>
          <w:t>https://eso.ochrance.cz/Nalezene/Edit/7952</w:t>
        </w:r>
      </w:hyperlink>
      <w:r w:rsidRPr="00B25E45">
        <w:rPr>
          <w:rFonts w:ascii="Times New Roman" w:hAnsi="Times New Roman"/>
        </w:rPr>
        <w:t>), 5/2020/SZD (</w:t>
      </w:r>
      <w:hyperlink r:id="rId8" w:history="1">
        <w:r w:rsidRPr="00B25E45">
          <w:rPr>
            <w:rStyle w:val="Hypertextovodkaz"/>
            <w:rFonts w:ascii="Times New Roman" w:hAnsi="Times New Roman"/>
            <w:color w:val="auto"/>
          </w:rPr>
          <w:t>https://eso.ochrance.cz/Nalezene/Edit/7814</w:t>
        </w:r>
      </w:hyperlink>
      <w:r w:rsidRPr="00B25E45">
        <w:rPr>
          <w:rFonts w:ascii="Times New Roman" w:hAnsi="Times New Roman"/>
        </w:rPr>
        <w:t>).</w:t>
      </w:r>
    </w:p>
  </w:footnote>
  <w:footnote w:id="14">
    <w:p w14:paraId="4BED422C" w14:textId="7C787BFD" w:rsidR="003B2FEF" w:rsidRPr="00B25E45" w:rsidRDefault="003B2FEF" w:rsidP="00931A3F">
      <w:pPr>
        <w:pStyle w:val="Textpoznpodarou"/>
        <w:ind w:firstLine="0"/>
        <w:rPr>
          <w:rFonts w:ascii="Times New Roman" w:hAnsi="Times New Roman"/>
        </w:rPr>
      </w:pPr>
      <w:r w:rsidRPr="00B25E45">
        <w:rPr>
          <w:rStyle w:val="Znakapoznpodarou"/>
          <w:rFonts w:ascii="Times New Roman" w:hAnsi="Times New Roman"/>
        </w:rPr>
        <w:footnoteRef/>
      </w:r>
      <w:r w:rsidRPr="00B25E45">
        <w:rPr>
          <w:rFonts w:ascii="Times New Roman" w:hAnsi="Times New Roman"/>
        </w:rPr>
        <w:t xml:space="preserve"> Jak shrnuje analýza vyřizování věcí ve správním soudnictví v letech 2008 až 2022 v materiálu Ministerstva spravedlnosti České soudnictví 2022: Výroční statistická zpráva, graf 72 na str. 118 – dostupné na https://justice.cz/web/msp/statisticke-udaje-z-oblasti-justice.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D1403"/>
    <w:multiLevelType w:val="multilevel"/>
    <w:tmpl w:val="EA48905E"/>
    <w:styleLink w:val="List11"/>
    <w:lvl w:ilvl="0">
      <w:start w:val="5"/>
      <w:numFmt w:val="decimal"/>
      <w:lvlText w:val="(%1)"/>
      <w:lvlJc w:val="left"/>
      <w:pPr>
        <w:tabs>
          <w:tab w:val="num" w:pos="851"/>
        </w:tabs>
        <w:ind w:left="851" w:hanging="851"/>
      </w:pPr>
      <w:rPr>
        <w:position w:val="0"/>
      </w:rPr>
    </w:lvl>
    <w:lvl w:ilvl="1">
      <w:start w:val="1"/>
      <w:numFmt w:val="lowerLetter"/>
      <w:lvlText w:val="%2)"/>
      <w:lvlJc w:val="left"/>
      <w:pPr>
        <w:tabs>
          <w:tab w:val="num" w:pos="425"/>
        </w:tabs>
        <w:ind w:left="425" w:hanging="425"/>
      </w:pPr>
      <w:rPr>
        <w:position w:val="0"/>
      </w:rPr>
    </w:lvl>
    <w:lvl w:ilvl="2">
      <w:start w:val="1"/>
      <w:numFmt w:val="decimal"/>
      <w:lvlText w:val="%3."/>
      <w:lvlJc w:val="left"/>
      <w:pPr>
        <w:tabs>
          <w:tab w:val="num" w:pos="850"/>
        </w:tabs>
        <w:ind w:left="850" w:hanging="425"/>
      </w:pPr>
      <w:rPr>
        <w:position w:val="0"/>
      </w:rPr>
    </w:lvl>
    <w:lvl w:ilvl="3">
      <w:start w:val="1"/>
      <w:numFmt w:val="decimal"/>
      <w:lvlText w:val="(%4)"/>
      <w:lvlJc w:val="left"/>
      <w:pPr>
        <w:tabs>
          <w:tab w:val="num" w:pos="1440"/>
        </w:tabs>
        <w:ind w:left="1440" w:hanging="360"/>
      </w:pPr>
      <w:rPr>
        <w:position w:val="0"/>
      </w:rPr>
    </w:lvl>
    <w:lvl w:ilvl="4">
      <w:start w:val="1"/>
      <w:numFmt w:val="lowerLetter"/>
      <w:lvlText w:val="(%5)"/>
      <w:lvlJc w:val="left"/>
      <w:pPr>
        <w:tabs>
          <w:tab w:val="num" w:pos="1800"/>
        </w:tabs>
        <w:ind w:left="1800" w:hanging="360"/>
      </w:pPr>
      <w:rPr>
        <w:position w:val="0"/>
      </w:rPr>
    </w:lvl>
    <w:lvl w:ilvl="5">
      <w:start w:val="1"/>
      <w:numFmt w:val="lowerRoman"/>
      <w:lvlText w:val="(%6)"/>
      <w:lvlJc w:val="left"/>
      <w:pPr>
        <w:tabs>
          <w:tab w:val="num" w:pos="2160"/>
        </w:tabs>
        <w:ind w:left="2160" w:hanging="360"/>
      </w:pPr>
      <w:rPr>
        <w:position w:val="0"/>
      </w:rPr>
    </w:lvl>
    <w:lvl w:ilvl="6">
      <w:start w:val="1"/>
      <w:numFmt w:val="decimal"/>
      <w:lvlText w:val="%7."/>
      <w:lvlJc w:val="left"/>
      <w:pPr>
        <w:tabs>
          <w:tab w:val="num" w:pos="2520"/>
        </w:tabs>
        <w:ind w:left="2520" w:hanging="360"/>
      </w:pPr>
      <w:rPr>
        <w:position w:val="0"/>
      </w:rPr>
    </w:lvl>
    <w:lvl w:ilvl="7">
      <w:start w:val="1"/>
      <w:numFmt w:val="lowerLetter"/>
      <w:lvlText w:val="%8."/>
      <w:lvlJc w:val="left"/>
      <w:pPr>
        <w:tabs>
          <w:tab w:val="num" w:pos="2880"/>
        </w:tabs>
        <w:ind w:left="2880" w:hanging="360"/>
      </w:pPr>
      <w:rPr>
        <w:position w:val="0"/>
      </w:rPr>
    </w:lvl>
    <w:lvl w:ilvl="8">
      <w:start w:val="1"/>
      <w:numFmt w:val="lowerRoman"/>
      <w:lvlText w:val="%9."/>
      <w:lvlJc w:val="left"/>
      <w:pPr>
        <w:tabs>
          <w:tab w:val="num" w:pos="3240"/>
        </w:tabs>
        <w:ind w:left="3240" w:hanging="360"/>
      </w:pPr>
      <w:rPr>
        <w:position w:val="0"/>
      </w:rPr>
    </w:lvl>
  </w:abstractNum>
  <w:abstractNum w:abstractNumId="1" w15:restartNumberingAfterBreak="0">
    <w:nsid w:val="06DF59A1"/>
    <w:multiLevelType w:val="singleLevel"/>
    <w:tmpl w:val="385A5C40"/>
    <w:lvl w:ilvl="0">
      <w:start w:val="1"/>
      <w:numFmt w:val="lowerLetter"/>
      <w:pStyle w:val="slopodpsmenem"/>
      <w:lvlText w:val="%1)"/>
      <w:lvlJc w:val="left"/>
      <w:pPr>
        <w:tabs>
          <w:tab w:val="num" w:pos="425"/>
        </w:tabs>
        <w:ind w:left="425" w:hanging="425"/>
      </w:pPr>
    </w:lvl>
  </w:abstractNum>
  <w:abstractNum w:abstractNumId="2" w15:restartNumberingAfterBreak="0">
    <w:nsid w:val="09757CED"/>
    <w:multiLevelType w:val="multilevel"/>
    <w:tmpl w:val="AFB64B80"/>
    <w:styleLink w:val="List12"/>
    <w:lvl w:ilvl="0">
      <w:start w:val="1"/>
      <w:numFmt w:val="lowerLetter"/>
      <w:lvlText w:val="%1)"/>
      <w:lvlJc w:val="left"/>
      <w:pPr>
        <w:tabs>
          <w:tab w:val="num" w:pos="709"/>
        </w:tabs>
        <w:ind w:left="709" w:hanging="349"/>
      </w:pPr>
      <w:rPr>
        <w:position w:val="0"/>
        <w:sz w:val="24"/>
        <w:szCs w:val="24"/>
      </w:rPr>
    </w:lvl>
    <w:lvl w:ilvl="1">
      <w:start w:val="1"/>
      <w:numFmt w:val="lowerLetter"/>
      <w:lvlText w:val="%2."/>
      <w:lvlJc w:val="left"/>
      <w:pPr>
        <w:tabs>
          <w:tab w:val="num" w:pos="1440"/>
        </w:tabs>
        <w:ind w:left="1440" w:hanging="360"/>
      </w:pPr>
      <w:rPr>
        <w:position w:val="0"/>
        <w:sz w:val="24"/>
        <w:szCs w:val="24"/>
      </w:rPr>
    </w:lvl>
    <w:lvl w:ilvl="2">
      <w:start w:val="1"/>
      <w:numFmt w:val="lowerRoman"/>
      <w:lvlText w:val="%3."/>
      <w:lvlJc w:val="left"/>
      <w:pPr>
        <w:tabs>
          <w:tab w:val="num" w:pos="2160"/>
        </w:tabs>
        <w:ind w:left="2160" w:hanging="296"/>
      </w:pPr>
      <w:rPr>
        <w:position w:val="0"/>
        <w:sz w:val="24"/>
        <w:szCs w:val="24"/>
      </w:rPr>
    </w:lvl>
    <w:lvl w:ilvl="3">
      <w:start w:val="1"/>
      <w:numFmt w:val="decimal"/>
      <w:lvlText w:val="%4."/>
      <w:lvlJc w:val="left"/>
      <w:pPr>
        <w:tabs>
          <w:tab w:val="num" w:pos="2880"/>
        </w:tabs>
        <w:ind w:left="2880" w:hanging="360"/>
      </w:pPr>
      <w:rPr>
        <w:position w:val="0"/>
        <w:sz w:val="24"/>
        <w:szCs w:val="24"/>
      </w:rPr>
    </w:lvl>
    <w:lvl w:ilvl="4">
      <w:start w:val="1"/>
      <w:numFmt w:val="lowerLetter"/>
      <w:lvlText w:val="%5."/>
      <w:lvlJc w:val="left"/>
      <w:pPr>
        <w:tabs>
          <w:tab w:val="num" w:pos="3600"/>
        </w:tabs>
        <w:ind w:left="3600" w:hanging="360"/>
      </w:pPr>
      <w:rPr>
        <w:position w:val="0"/>
        <w:sz w:val="24"/>
        <w:szCs w:val="24"/>
      </w:rPr>
    </w:lvl>
    <w:lvl w:ilvl="5">
      <w:start w:val="1"/>
      <w:numFmt w:val="lowerRoman"/>
      <w:lvlText w:val="%6."/>
      <w:lvlJc w:val="left"/>
      <w:pPr>
        <w:tabs>
          <w:tab w:val="num" w:pos="4320"/>
        </w:tabs>
        <w:ind w:left="4320" w:hanging="296"/>
      </w:pPr>
      <w:rPr>
        <w:position w:val="0"/>
        <w:sz w:val="24"/>
        <w:szCs w:val="24"/>
      </w:rPr>
    </w:lvl>
    <w:lvl w:ilvl="6">
      <w:start w:val="1"/>
      <w:numFmt w:val="decimal"/>
      <w:lvlText w:val="%7."/>
      <w:lvlJc w:val="left"/>
      <w:pPr>
        <w:tabs>
          <w:tab w:val="num" w:pos="5040"/>
        </w:tabs>
        <w:ind w:left="5040" w:hanging="360"/>
      </w:pPr>
      <w:rPr>
        <w:position w:val="0"/>
        <w:sz w:val="24"/>
        <w:szCs w:val="24"/>
      </w:rPr>
    </w:lvl>
    <w:lvl w:ilvl="7">
      <w:start w:val="1"/>
      <w:numFmt w:val="lowerLetter"/>
      <w:lvlText w:val="%8."/>
      <w:lvlJc w:val="left"/>
      <w:pPr>
        <w:tabs>
          <w:tab w:val="num" w:pos="5760"/>
        </w:tabs>
        <w:ind w:left="5760" w:hanging="360"/>
      </w:pPr>
      <w:rPr>
        <w:position w:val="0"/>
        <w:sz w:val="24"/>
        <w:szCs w:val="24"/>
      </w:rPr>
    </w:lvl>
    <w:lvl w:ilvl="8">
      <w:start w:val="1"/>
      <w:numFmt w:val="lowerRoman"/>
      <w:lvlText w:val="%9."/>
      <w:lvlJc w:val="left"/>
      <w:pPr>
        <w:tabs>
          <w:tab w:val="num" w:pos="6480"/>
        </w:tabs>
        <w:ind w:left="6480" w:hanging="296"/>
      </w:pPr>
      <w:rPr>
        <w:position w:val="0"/>
        <w:sz w:val="24"/>
        <w:szCs w:val="24"/>
      </w:rPr>
    </w:lvl>
  </w:abstractNum>
  <w:abstractNum w:abstractNumId="3" w15:restartNumberingAfterBreak="0">
    <w:nsid w:val="0A8A08C5"/>
    <w:multiLevelType w:val="hybridMultilevel"/>
    <w:tmpl w:val="A6F6A7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9371BD0"/>
    <w:multiLevelType w:val="singleLevel"/>
    <w:tmpl w:val="A920D918"/>
    <w:lvl w:ilvl="0">
      <w:start w:val="1"/>
      <w:numFmt w:val="decimal"/>
      <w:pStyle w:val="Novelizanbod"/>
      <w:lvlText w:val="%1."/>
      <w:lvlJc w:val="left"/>
      <w:pPr>
        <w:tabs>
          <w:tab w:val="num" w:pos="567"/>
        </w:tabs>
        <w:ind w:left="567" w:hanging="567"/>
      </w:pPr>
      <w:rPr>
        <w:b/>
        <w:i w:val="0"/>
      </w:rPr>
    </w:lvl>
  </w:abstractNum>
  <w:abstractNum w:abstractNumId="5" w15:restartNumberingAfterBreak="0">
    <w:nsid w:val="195D439A"/>
    <w:multiLevelType w:val="multilevel"/>
    <w:tmpl w:val="4350D4A0"/>
    <w:lvl w:ilvl="0">
      <w:start w:val="1"/>
      <w:numFmt w:val="decimal"/>
      <w:pStyle w:val="Nadpis2"/>
      <w:lvlText w:val="%1."/>
      <w:lvlJc w:val="left"/>
      <w:pPr>
        <w:ind w:left="720" w:hanging="360"/>
      </w:p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6" w15:restartNumberingAfterBreak="0">
    <w:nsid w:val="1DCB2153"/>
    <w:multiLevelType w:val="hybridMultilevel"/>
    <w:tmpl w:val="842642D8"/>
    <w:lvl w:ilvl="0" w:tplc="09BCF184">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0326832"/>
    <w:multiLevelType w:val="multilevel"/>
    <w:tmpl w:val="0C904EA6"/>
    <w:styleLink w:val="List9"/>
    <w:lvl w:ilvl="0">
      <w:start w:val="1"/>
      <w:numFmt w:val="lowerLetter"/>
      <w:lvlText w:val="%1)"/>
      <w:lvlJc w:val="left"/>
      <w:pPr>
        <w:ind w:left="0" w:firstLine="0"/>
      </w:pPr>
      <w:rPr>
        <w:position w:val="0"/>
      </w:rPr>
    </w:lvl>
    <w:lvl w:ilvl="1">
      <w:start w:val="1"/>
      <w:numFmt w:val="lowerLetter"/>
      <w:lvlText w:val="%2."/>
      <w:lvlJc w:val="left"/>
      <w:pPr>
        <w:ind w:left="0" w:firstLine="0"/>
      </w:pPr>
      <w:rPr>
        <w:position w:val="0"/>
      </w:rPr>
    </w:lvl>
    <w:lvl w:ilvl="2">
      <w:start w:val="1"/>
      <w:numFmt w:val="lowerRoman"/>
      <w:lvlText w:val="%3."/>
      <w:lvlJc w:val="left"/>
      <w:pPr>
        <w:ind w:left="0" w:firstLine="0"/>
      </w:pPr>
      <w:rPr>
        <w:position w:val="0"/>
      </w:rPr>
    </w:lvl>
    <w:lvl w:ilvl="3">
      <w:start w:val="1"/>
      <w:numFmt w:val="decimal"/>
      <w:lvlText w:val="%4."/>
      <w:lvlJc w:val="left"/>
      <w:pPr>
        <w:ind w:left="0" w:firstLine="0"/>
      </w:pPr>
      <w:rPr>
        <w:position w:val="0"/>
      </w:rPr>
    </w:lvl>
    <w:lvl w:ilvl="4">
      <w:start w:val="1"/>
      <w:numFmt w:val="lowerLetter"/>
      <w:lvlText w:val="%5."/>
      <w:lvlJc w:val="left"/>
      <w:pPr>
        <w:ind w:left="0" w:firstLine="0"/>
      </w:pPr>
      <w:rPr>
        <w:position w:val="0"/>
      </w:rPr>
    </w:lvl>
    <w:lvl w:ilvl="5">
      <w:start w:val="1"/>
      <w:numFmt w:val="lowerRoman"/>
      <w:lvlText w:val="%6."/>
      <w:lvlJc w:val="left"/>
      <w:pPr>
        <w:ind w:left="0" w:firstLine="0"/>
      </w:pPr>
      <w:rPr>
        <w:position w:val="0"/>
      </w:rPr>
    </w:lvl>
    <w:lvl w:ilvl="6">
      <w:start w:val="1"/>
      <w:numFmt w:val="decimal"/>
      <w:lvlText w:val="%7."/>
      <w:lvlJc w:val="left"/>
      <w:pPr>
        <w:ind w:left="0" w:firstLine="0"/>
      </w:pPr>
      <w:rPr>
        <w:position w:val="0"/>
      </w:rPr>
    </w:lvl>
    <w:lvl w:ilvl="7">
      <w:start w:val="1"/>
      <w:numFmt w:val="lowerLetter"/>
      <w:lvlText w:val="%8."/>
      <w:lvlJc w:val="left"/>
      <w:pPr>
        <w:ind w:left="0" w:firstLine="0"/>
      </w:pPr>
      <w:rPr>
        <w:position w:val="0"/>
      </w:rPr>
    </w:lvl>
    <w:lvl w:ilvl="8">
      <w:start w:val="1"/>
      <w:numFmt w:val="lowerRoman"/>
      <w:lvlText w:val="%9."/>
      <w:lvlJc w:val="left"/>
      <w:pPr>
        <w:ind w:left="0" w:firstLine="0"/>
      </w:pPr>
      <w:rPr>
        <w:position w:val="0"/>
      </w:rPr>
    </w:lvl>
  </w:abstractNum>
  <w:abstractNum w:abstractNumId="8" w15:restartNumberingAfterBreak="0">
    <w:nsid w:val="20DD00B3"/>
    <w:multiLevelType w:val="multilevel"/>
    <w:tmpl w:val="278A3A5E"/>
    <w:styleLink w:val="Importovanstyl1"/>
    <w:lvl w:ilvl="0">
      <w:start w:val="1"/>
      <w:numFmt w:val="decimal"/>
      <w:lvlText w:val="(%1)"/>
      <w:lvlJc w:val="left"/>
      <w:pPr>
        <w:ind w:left="0" w:firstLine="0"/>
      </w:pPr>
      <w:rPr>
        <w:position w:val="0"/>
      </w:rPr>
    </w:lvl>
    <w:lvl w:ilvl="1">
      <w:start w:val="1"/>
      <w:numFmt w:val="lowerLetter"/>
      <w:lvlText w:val="%2)"/>
      <w:lvlJc w:val="left"/>
      <w:pPr>
        <w:ind w:left="0" w:firstLine="0"/>
      </w:pPr>
      <w:rPr>
        <w:position w:val="0"/>
      </w:rPr>
    </w:lvl>
    <w:lvl w:ilvl="2">
      <w:start w:val="1"/>
      <w:numFmt w:val="decimal"/>
      <w:lvlText w:val="%3."/>
      <w:lvlJc w:val="left"/>
      <w:pPr>
        <w:ind w:left="0" w:firstLine="0"/>
      </w:pPr>
      <w:rPr>
        <w:position w:val="0"/>
      </w:rPr>
    </w:lvl>
    <w:lvl w:ilvl="3">
      <w:start w:val="1"/>
      <w:numFmt w:val="decimal"/>
      <w:lvlText w:val="(%4)"/>
      <w:lvlJc w:val="left"/>
      <w:pPr>
        <w:ind w:left="0" w:firstLine="0"/>
      </w:pPr>
      <w:rPr>
        <w:position w:val="0"/>
      </w:rPr>
    </w:lvl>
    <w:lvl w:ilvl="4">
      <w:start w:val="1"/>
      <w:numFmt w:val="lowerLetter"/>
      <w:lvlText w:val="(%5)"/>
      <w:lvlJc w:val="left"/>
      <w:pPr>
        <w:ind w:left="0" w:firstLine="0"/>
      </w:pPr>
      <w:rPr>
        <w:position w:val="0"/>
      </w:rPr>
    </w:lvl>
    <w:lvl w:ilvl="5">
      <w:start w:val="1"/>
      <w:numFmt w:val="lowerRoman"/>
      <w:lvlText w:val="(%6)"/>
      <w:lvlJc w:val="left"/>
      <w:pPr>
        <w:ind w:left="0" w:firstLine="0"/>
      </w:pPr>
      <w:rPr>
        <w:position w:val="0"/>
      </w:rPr>
    </w:lvl>
    <w:lvl w:ilvl="6">
      <w:start w:val="1"/>
      <w:numFmt w:val="decimal"/>
      <w:lvlText w:val="%7."/>
      <w:lvlJc w:val="left"/>
      <w:pPr>
        <w:ind w:left="0" w:firstLine="0"/>
      </w:pPr>
      <w:rPr>
        <w:position w:val="0"/>
      </w:rPr>
    </w:lvl>
    <w:lvl w:ilvl="7">
      <w:start w:val="1"/>
      <w:numFmt w:val="lowerLetter"/>
      <w:lvlText w:val="%8."/>
      <w:lvlJc w:val="left"/>
      <w:pPr>
        <w:ind w:left="0" w:firstLine="0"/>
      </w:pPr>
      <w:rPr>
        <w:position w:val="0"/>
      </w:rPr>
    </w:lvl>
    <w:lvl w:ilvl="8">
      <w:start w:val="1"/>
      <w:numFmt w:val="lowerRoman"/>
      <w:lvlText w:val="%9."/>
      <w:lvlJc w:val="left"/>
      <w:pPr>
        <w:ind w:left="0" w:firstLine="0"/>
      </w:pPr>
      <w:rPr>
        <w:position w:val="0"/>
      </w:rPr>
    </w:lvl>
  </w:abstractNum>
  <w:abstractNum w:abstractNumId="9" w15:restartNumberingAfterBreak="0">
    <w:nsid w:val="221B3161"/>
    <w:multiLevelType w:val="multilevel"/>
    <w:tmpl w:val="04C08382"/>
    <w:styleLink w:val="List13"/>
    <w:lvl w:ilvl="0">
      <w:start w:val="1"/>
      <w:numFmt w:val="lowerLetter"/>
      <w:lvlText w:val="%1)"/>
      <w:lvlJc w:val="left"/>
      <w:pPr>
        <w:tabs>
          <w:tab w:val="num" w:pos="720"/>
        </w:tabs>
        <w:ind w:left="720" w:hanging="360"/>
      </w:pPr>
      <w:rPr>
        <w:position w:val="0"/>
        <w:sz w:val="24"/>
        <w:szCs w:val="24"/>
      </w:rPr>
    </w:lvl>
    <w:lvl w:ilvl="1">
      <w:start w:val="1"/>
      <w:numFmt w:val="lowerLetter"/>
      <w:lvlText w:val="%2."/>
      <w:lvlJc w:val="left"/>
      <w:pPr>
        <w:tabs>
          <w:tab w:val="num" w:pos="1440"/>
        </w:tabs>
        <w:ind w:left="1440" w:hanging="360"/>
      </w:pPr>
      <w:rPr>
        <w:position w:val="0"/>
        <w:sz w:val="24"/>
        <w:szCs w:val="24"/>
      </w:rPr>
    </w:lvl>
    <w:lvl w:ilvl="2">
      <w:start w:val="1"/>
      <w:numFmt w:val="lowerRoman"/>
      <w:lvlText w:val="%3."/>
      <w:lvlJc w:val="left"/>
      <w:pPr>
        <w:tabs>
          <w:tab w:val="num" w:pos="2160"/>
        </w:tabs>
        <w:ind w:left="2160" w:hanging="296"/>
      </w:pPr>
      <w:rPr>
        <w:position w:val="0"/>
        <w:sz w:val="24"/>
        <w:szCs w:val="24"/>
      </w:rPr>
    </w:lvl>
    <w:lvl w:ilvl="3">
      <w:start w:val="1"/>
      <w:numFmt w:val="decimal"/>
      <w:lvlText w:val="%4."/>
      <w:lvlJc w:val="left"/>
      <w:pPr>
        <w:tabs>
          <w:tab w:val="num" w:pos="2880"/>
        </w:tabs>
        <w:ind w:left="2880" w:hanging="360"/>
      </w:pPr>
      <w:rPr>
        <w:position w:val="0"/>
        <w:sz w:val="24"/>
        <w:szCs w:val="24"/>
      </w:rPr>
    </w:lvl>
    <w:lvl w:ilvl="4">
      <w:start w:val="1"/>
      <w:numFmt w:val="lowerLetter"/>
      <w:lvlText w:val="%5."/>
      <w:lvlJc w:val="left"/>
      <w:pPr>
        <w:tabs>
          <w:tab w:val="num" w:pos="3600"/>
        </w:tabs>
        <w:ind w:left="3600" w:hanging="360"/>
      </w:pPr>
      <w:rPr>
        <w:position w:val="0"/>
        <w:sz w:val="24"/>
        <w:szCs w:val="24"/>
      </w:rPr>
    </w:lvl>
    <w:lvl w:ilvl="5">
      <w:start w:val="1"/>
      <w:numFmt w:val="lowerRoman"/>
      <w:lvlText w:val="%6."/>
      <w:lvlJc w:val="left"/>
      <w:pPr>
        <w:tabs>
          <w:tab w:val="num" w:pos="4320"/>
        </w:tabs>
        <w:ind w:left="4320" w:hanging="296"/>
      </w:pPr>
      <w:rPr>
        <w:position w:val="0"/>
        <w:sz w:val="24"/>
        <w:szCs w:val="24"/>
      </w:rPr>
    </w:lvl>
    <w:lvl w:ilvl="6">
      <w:start w:val="1"/>
      <w:numFmt w:val="decimal"/>
      <w:lvlText w:val="%7."/>
      <w:lvlJc w:val="left"/>
      <w:pPr>
        <w:tabs>
          <w:tab w:val="num" w:pos="5040"/>
        </w:tabs>
        <w:ind w:left="5040" w:hanging="360"/>
      </w:pPr>
      <w:rPr>
        <w:position w:val="0"/>
        <w:sz w:val="24"/>
        <w:szCs w:val="24"/>
      </w:rPr>
    </w:lvl>
    <w:lvl w:ilvl="7">
      <w:start w:val="1"/>
      <w:numFmt w:val="lowerLetter"/>
      <w:lvlText w:val="%8."/>
      <w:lvlJc w:val="left"/>
      <w:pPr>
        <w:tabs>
          <w:tab w:val="num" w:pos="5760"/>
        </w:tabs>
        <w:ind w:left="5760" w:hanging="360"/>
      </w:pPr>
      <w:rPr>
        <w:position w:val="0"/>
        <w:sz w:val="24"/>
        <w:szCs w:val="24"/>
      </w:rPr>
    </w:lvl>
    <w:lvl w:ilvl="8">
      <w:start w:val="1"/>
      <w:numFmt w:val="lowerRoman"/>
      <w:lvlText w:val="%9."/>
      <w:lvlJc w:val="left"/>
      <w:pPr>
        <w:tabs>
          <w:tab w:val="num" w:pos="6480"/>
        </w:tabs>
        <w:ind w:left="6480" w:hanging="296"/>
      </w:pPr>
      <w:rPr>
        <w:position w:val="0"/>
        <w:sz w:val="24"/>
        <w:szCs w:val="24"/>
      </w:rPr>
    </w:lvl>
  </w:abstractNum>
  <w:abstractNum w:abstractNumId="10" w15:restartNumberingAfterBreak="0">
    <w:nsid w:val="287B3F5B"/>
    <w:multiLevelType w:val="hybridMultilevel"/>
    <w:tmpl w:val="1B9EE22C"/>
    <w:lvl w:ilvl="0" w:tplc="46941E6E">
      <w:start w:val="1"/>
      <w:numFmt w:val="decimal"/>
      <w:pStyle w:val="Citt"/>
      <w:lvlText w:val="(%1)"/>
      <w:lvlJc w:val="left"/>
      <w:pPr>
        <w:ind w:left="502" w:hanging="360"/>
      </w:pPr>
      <w:rPr>
        <w:strike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2AE376C3"/>
    <w:multiLevelType w:val="multilevel"/>
    <w:tmpl w:val="BB067B6A"/>
    <w:styleLink w:val="List10"/>
    <w:lvl w:ilvl="0">
      <w:start w:val="1"/>
      <w:numFmt w:val="decimal"/>
      <w:lvlText w:val="(%1)"/>
      <w:lvlJc w:val="left"/>
      <w:pPr>
        <w:tabs>
          <w:tab w:val="num" w:pos="568"/>
        </w:tabs>
        <w:ind w:left="568" w:firstLine="0"/>
      </w:pPr>
      <w:rPr>
        <w:position w:val="0"/>
        <w:sz w:val="24"/>
        <w:szCs w:val="24"/>
      </w:rPr>
    </w:lvl>
    <w:lvl w:ilvl="1">
      <w:start w:val="1"/>
      <w:numFmt w:val="lowerLetter"/>
      <w:lvlText w:val="%2)"/>
      <w:lvlJc w:val="left"/>
      <w:pPr>
        <w:tabs>
          <w:tab w:val="num" w:pos="709"/>
        </w:tabs>
        <w:ind w:left="709" w:hanging="425"/>
      </w:pPr>
      <w:rPr>
        <w:position w:val="0"/>
        <w:sz w:val="24"/>
        <w:szCs w:val="24"/>
      </w:rPr>
    </w:lvl>
    <w:lvl w:ilvl="2">
      <w:start w:val="1"/>
      <w:numFmt w:val="decimal"/>
      <w:lvlText w:val="%3."/>
      <w:lvlJc w:val="left"/>
      <w:pPr>
        <w:tabs>
          <w:tab w:val="num" w:pos="850"/>
        </w:tabs>
        <w:ind w:left="850" w:hanging="425"/>
      </w:pPr>
      <w:rPr>
        <w:position w:val="0"/>
        <w:sz w:val="24"/>
        <w:szCs w:val="24"/>
      </w:rPr>
    </w:lvl>
    <w:lvl w:ilvl="3">
      <w:start w:val="1"/>
      <w:numFmt w:val="decimal"/>
      <w:lvlText w:val="(%4)"/>
      <w:lvlJc w:val="left"/>
      <w:pPr>
        <w:tabs>
          <w:tab w:val="num" w:pos="1440"/>
        </w:tabs>
        <w:ind w:left="1440" w:hanging="360"/>
      </w:pPr>
      <w:rPr>
        <w:position w:val="0"/>
        <w:sz w:val="24"/>
        <w:szCs w:val="24"/>
      </w:rPr>
    </w:lvl>
    <w:lvl w:ilvl="4">
      <w:start w:val="1"/>
      <w:numFmt w:val="lowerLetter"/>
      <w:lvlText w:val="(%5)"/>
      <w:lvlJc w:val="left"/>
      <w:pPr>
        <w:tabs>
          <w:tab w:val="num" w:pos="1800"/>
        </w:tabs>
        <w:ind w:left="1800" w:hanging="360"/>
      </w:pPr>
      <w:rPr>
        <w:position w:val="0"/>
        <w:sz w:val="24"/>
        <w:szCs w:val="24"/>
      </w:rPr>
    </w:lvl>
    <w:lvl w:ilvl="5">
      <w:start w:val="1"/>
      <w:numFmt w:val="lowerRoman"/>
      <w:lvlText w:val="(%6)"/>
      <w:lvlJc w:val="left"/>
      <w:pPr>
        <w:tabs>
          <w:tab w:val="num" w:pos="2160"/>
        </w:tabs>
        <w:ind w:left="2160" w:hanging="360"/>
      </w:pPr>
      <w:rPr>
        <w:position w:val="0"/>
        <w:sz w:val="24"/>
        <w:szCs w:val="24"/>
      </w:rPr>
    </w:lvl>
    <w:lvl w:ilvl="6">
      <w:start w:val="1"/>
      <w:numFmt w:val="decimal"/>
      <w:lvlText w:val="%7."/>
      <w:lvlJc w:val="left"/>
      <w:pPr>
        <w:tabs>
          <w:tab w:val="num" w:pos="2520"/>
        </w:tabs>
        <w:ind w:left="2520" w:hanging="360"/>
      </w:pPr>
      <w:rPr>
        <w:position w:val="0"/>
        <w:sz w:val="24"/>
        <w:szCs w:val="24"/>
      </w:rPr>
    </w:lvl>
    <w:lvl w:ilvl="7">
      <w:start w:val="1"/>
      <w:numFmt w:val="lowerLetter"/>
      <w:lvlText w:val="%8."/>
      <w:lvlJc w:val="left"/>
      <w:pPr>
        <w:tabs>
          <w:tab w:val="num" w:pos="2880"/>
        </w:tabs>
        <w:ind w:left="2880" w:hanging="360"/>
      </w:pPr>
      <w:rPr>
        <w:position w:val="0"/>
        <w:sz w:val="24"/>
        <w:szCs w:val="24"/>
      </w:rPr>
    </w:lvl>
    <w:lvl w:ilvl="8">
      <w:start w:val="1"/>
      <w:numFmt w:val="lowerRoman"/>
      <w:lvlText w:val="%9."/>
      <w:lvlJc w:val="left"/>
      <w:pPr>
        <w:tabs>
          <w:tab w:val="num" w:pos="3240"/>
        </w:tabs>
        <w:ind w:left="3240" w:hanging="360"/>
      </w:pPr>
      <w:rPr>
        <w:position w:val="0"/>
        <w:sz w:val="24"/>
        <w:szCs w:val="24"/>
      </w:rPr>
    </w:lvl>
  </w:abstractNum>
  <w:abstractNum w:abstractNumId="12" w15:restartNumberingAfterBreak="0">
    <w:nsid w:val="2BBC7C2B"/>
    <w:multiLevelType w:val="multilevel"/>
    <w:tmpl w:val="B4827566"/>
    <w:styleLink w:val="List0"/>
    <w:lvl w:ilvl="0">
      <w:start w:val="1"/>
      <w:numFmt w:val="decimal"/>
      <w:lvlText w:val="(%1)"/>
      <w:lvlJc w:val="left"/>
      <w:pPr>
        <w:ind w:left="0" w:firstLine="0"/>
      </w:pPr>
      <w:rPr>
        <w:position w:val="0"/>
      </w:rPr>
    </w:lvl>
    <w:lvl w:ilvl="1">
      <w:start w:val="1"/>
      <w:numFmt w:val="lowerLetter"/>
      <w:lvlText w:val="%2)"/>
      <w:lvlJc w:val="left"/>
      <w:pPr>
        <w:ind w:left="0" w:firstLine="0"/>
      </w:pPr>
      <w:rPr>
        <w:position w:val="0"/>
      </w:rPr>
    </w:lvl>
    <w:lvl w:ilvl="2">
      <w:start w:val="1"/>
      <w:numFmt w:val="decimal"/>
      <w:lvlText w:val="%3."/>
      <w:lvlJc w:val="left"/>
      <w:pPr>
        <w:ind w:left="0" w:firstLine="0"/>
      </w:pPr>
      <w:rPr>
        <w:position w:val="0"/>
      </w:rPr>
    </w:lvl>
    <w:lvl w:ilvl="3">
      <w:start w:val="1"/>
      <w:numFmt w:val="decimal"/>
      <w:lvlText w:val="(%4)"/>
      <w:lvlJc w:val="left"/>
      <w:pPr>
        <w:ind w:left="0" w:firstLine="0"/>
      </w:pPr>
      <w:rPr>
        <w:position w:val="0"/>
      </w:rPr>
    </w:lvl>
    <w:lvl w:ilvl="4">
      <w:start w:val="1"/>
      <w:numFmt w:val="lowerLetter"/>
      <w:lvlText w:val="(%5)"/>
      <w:lvlJc w:val="left"/>
      <w:pPr>
        <w:ind w:left="0" w:firstLine="0"/>
      </w:pPr>
      <w:rPr>
        <w:position w:val="0"/>
      </w:rPr>
    </w:lvl>
    <w:lvl w:ilvl="5">
      <w:start w:val="1"/>
      <w:numFmt w:val="lowerRoman"/>
      <w:lvlText w:val="(%6)"/>
      <w:lvlJc w:val="left"/>
      <w:pPr>
        <w:ind w:left="0" w:firstLine="0"/>
      </w:pPr>
      <w:rPr>
        <w:position w:val="0"/>
      </w:rPr>
    </w:lvl>
    <w:lvl w:ilvl="6">
      <w:start w:val="1"/>
      <w:numFmt w:val="decimal"/>
      <w:lvlText w:val="%7."/>
      <w:lvlJc w:val="left"/>
      <w:pPr>
        <w:ind w:left="0" w:firstLine="0"/>
      </w:pPr>
      <w:rPr>
        <w:position w:val="0"/>
      </w:rPr>
    </w:lvl>
    <w:lvl w:ilvl="7">
      <w:start w:val="1"/>
      <w:numFmt w:val="lowerLetter"/>
      <w:lvlText w:val="%8."/>
      <w:lvlJc w:val="left"/>
      <w:pPr>
        <w:ind w:left="0" w:firstLine="0"/>
      </w:pPr>
      <w:rPr>
        <w:position w:val="0"/>
      </w:rPr>
    </w:lvl>
    <w:lvl w:ilvl="8">
      <w:start w:val="1"/>
      <w:numFmt w:val="lowerRoman"/>
      <w:lvlText w:val="%9."/>
      <w:lvlJc w:val="left"/>
      <w:pPr>
        <w:ind w:left="0" w:firstLine="0"/>
      </w:pPr>
      <w:rPr>
        <w:position w:val="0"/>
      </w:rPr>
    </w:lvl>
  </w:abstractNum>
  <w:abstractNum w:abstractNumId="13" w15:restartNumberingAfterBreak="0">
    <w:nsid w:val="2DF976BA"/>
    <w:multiLevelType w:val="hybridMultilevel"/>
    <w:tmpl w:val="7414A182"/>
    <w:lvl w:ilvl="0" w:tplc="040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FBA29CF"/>
    <w:multiLevelType w:val="multilevel"/>
    <w:tmpl w:val="6EA408C8"/>
    <w:styleLink w:val="List22"/>
    <w:lvl w:ilvl="0">
      <w:start w:val="1"/>
      <w:numFmt w:val="decimal"/>
      <w:lvlText w:val="%1."/>
      <w:lvlJc w:val="left"/>
      <w:pPr>
        <w:tabs>
          <w:tab w:val="num" w:pos="1004"/>
        </w:tabs>
        <w:ind w:left="1004" w:hanging="360"/>
      </w:pPr>
      <w:rPr>
        <w:position w:val="0"/>
        <w:sz w:val="24"/>
        <w:szCs w:val="24"/>
      </w:rPr>
    </w:lvl>
    <w:lvl w:ilvl="1">
      <w:start w:val="1"/>
      <w:numFmt w:val="lowerLetter"/>
      <w:lvlText w:val="%2."/>
      <w:lvlJc w:val="left"/>
      <w:pPr>
        <w:tabs>
          <w:tab w:val="num" w:pos="1724"/>
        </w:tabs>
        <w:ind w:left="1724" w:hanging="360"/>
      </w:pPr>
      <w:rPr>
        <w:position w:val="0"/>
        <w:sz w:val="24"/>
        <w:szCs w:val="24"/>
      </w:rPr>
    </w:lvl>
    <w:lvl w:ilvl="2">
      <w:start w:val="1"/>
      <w:numFmt w:val="lowerRoman"/>
      <w:lvlText w:val="%3."/>
      <w:lvlJc w:val="left"/>
      <w:pPr>
        <w:tabs>
          <w:tab w:val="num" w:pos="2444"/>
        </w:tabs>
        <w:ind w:left="2444" w:hanging="296"/>
      </w:pPr>
      <w:rPr>
        <w:position w:val="0"/>
        <w:sz w:val="24"/>
        <w:szCs w:val="24"/>
      </w:rPr>
    </w:lvl>
    <w:lvl w:ilvl="3">
      <w:start w:val="1"/>
      <w:numFmt w:val="decimal"/>
      <w:lvlText w:val="%4."/>
      <w:lvlJc w:val="left"/>
      <w:pPr>
        <w:tabs>
          <w:tab w:val="num" w:pos="3164"/>
        </w:tabs>
        <w:ind w:left="3164" w:hanging="360"/>
      </w:pPr>
      <w:rPr>
        <w:position w:val="0"/>
        <w:sz w:val="24"/>
        <w:szCs w:val="24"/>
      </w:rPr>
    </w:lvl>
    <w:lvl w:ilvl="4">
      <w:start w:val="1"/>
      <w:numFmt w:val="lowerLetter"/>
      <w:lvlText w:val="%5."/>
      <w:lvlJc w:val="left"/>
      <w:pPr>
        <w:tabs>
          <w:tab w:val="num" w:pos="3884"/>
        </w:tabs>
        <w:ind w:left="3884" w:hanging="360"/>
      </w:pPr>
      <w:rPr>
        <w:position w:val="0"/>
        <w:sz w:val="24"/>
        <w:szCs w:val="24"/>
      </w:rPr>
    </w:lvl>
    <w:lvl w:ilvl="5">
      <w:start w:val="1"/>
      <w:numFmt w:val="lowerRoman"/>
      <w:lvlText w:val="%6."/>
      <w:lvlJc w:val="left"/>
      <w:pPr>
        <w:tabs>
          <w:tab w:val="num" w:pos="4604"/>
        </w:tabs>
        <w:ind w:left="4604" w:hanging="296"/>
      </w:pPr>
      <w:rPr>
        <w:position w:val="0"/>
        <w:sz w:val="24"/>
        <w:szCs w:val="24"/>
      </w:rPr>
    </w:lvl>
    <w:lvl w:ilvl="6">
      <w:start w:val="1"/>
      <w:numFmt w:val="decimal"/>
      <w:lvlText w:val="%7."/>
      <w:lvlJc w:val="left"/>
      <w:pPr>
        <w:tabs>
          <w:tab w:val="num" w:pos="5324"/>
        </w:tabs>
        <w:ind w:left="5324" w:hanging="360"/>
      </w:pPr>
      <w:rPr>
        <w:position w:val="0"/>
        <w:sz w:val="24"/>
        <w:szCs w:val="24"/>
      </w:rPr>
    </w:lvl>
    <w:lvl w:ilvl="7">
      <w:start w:val="1"/>
      <w:numFmt w:val="lowerLetter"/>
      <w:lvlText w:val="%8."/>
      <w:lvlJc w:val="left"/>
      <w:pPr>
        <w:tabs>
          <w:tab w:val="num" w:pos="6044"/>
        </w:tabs>
        <w:ind w:left="6044" w:hanging="360"/>
      </w:pPr>
      <w:rPr>
        <w:position w:val="0"/>
        <w:sz w:val="24"/>
        <w:szCs w:val="24"/>
      </w:rPr>
    </w:lvl>
    <w:lvl w:ilvl="8">
      <w:start w:val="1"/>
      <w:numFmt w:val="lowerRoman"/>
      <w:lvlText w:val="%9."/>
      <w:lvlJc w:val="left"/>
      <w:pPr>
        <w:tabs>
          <w:tab w:val="num" w:pos="6764"/>
        </w:tabs>
        <w:ind w:left="6764" w:hanging="296"/>
      </w:pPr>
      <w:rPr>
        <w:position w:val="0"/>
        <w:sz w:val="24"/>
        <w:szCs w:val="24"/>
      </w:rPr>
    </w:lvl>
  </w:abstractNum>
  <w:abstractNum w:abstractNumId="15" w15:restartNumberingAfterBreak="0">
    <w:nsid w:val="330211ED"/>
    <w:multiLevelType w:val="hybridMultilevel"/>
    <w:tmpl w:val="7220C3F6"/>
    <w:lvl w:ilvl="0" w:tplc="5AB41380">
      <w:start w:val="1"/>
      <w:numFmt w:val="bullet"/>
      <w:lvlText w:val="-"/>
      <w:lvlJc w:val="left"/>
      <w:pPr>
        <w:ind w:left="720" w:hanging="360"/>
      </w:pPr>
      <w:rPr>
        <w:rFonts w:ascii="Times New Roman" w:eastAsia="Calibri"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6" w15:restartNumberingAfterBreak="0">
    <w:nsid w:val="358F7D0B"/>
    <w:multiLevelType w:val="singleLevel"/>
    <w:tmpl w:val="15A0EFFC"/>
    <w:lvl w:ilvl="0">
      <w:start w:val="1"/>
      <w:numFmt w:val="decimal"/>
      <w:pStyle w:val="Oznaenpozmn"/>
      <w:lvlText w:val="%1."/>
      <w:lvlJc w:val="left"/>
      <w:pPr>
        <w:tabs>
          <w:tab w:val="num" w:pos="851"/>
        </w:tabs>
        <w:ind w:left="851" w:hanging="851"/>
      </w:pPr>
    </w:lvl>
  </w:abstractNum>
  <w:abstractNum w:abstractNumId="17" w15:restartNumberingAfterBreak="0">
    <w:nsid w:val="35AF4AB6"/>
    <w:multiLevelType w:val="multilevel"/>
    <w:tmpl w:val="B3821D9E"/>
    <w:styleLink w:val="List1"/>
    <w:lvl w:ilvl="0">
      <w:start w:val="1"/>
      <w:numFmt w:val="decimal"/>
      <w:lvlText w:val="(%1)"/>
      <w:lvlJc w:val="left"/>
      <w:pPr>
        <w:tabs>
          <w:tab w:val="num" w:pos="283"/>
        </w:tabs>
        <w:ind w:left="283" w:hanging="283"/>
      </w:pPr>
      <w:rPr>
        <w:position w:val="0"/>
        <w:sz w:val="24"/>
        <w:szCs w:val="24"/>
      </w:rPr>
    </w:lvl>
    <w:lvl w:ilvl="1">
      <w:start w:val="1"/>
      <w:numFmt w:val="lowerLetter"/>
      <w:lvlText w:val="%2)"/>
      <w:lvlJc w:val="left"/>
      <w:pPr>
        <w:tabs>
          <w:tab w:val="num" w:pos="425"/>
        </w:tabs>
        <w:ind w:left="993" w:hanging="425"/>
      </w:pPr>
      <w:rPr>
        <w:position w:val="0"/>
        <w:sz w:val="24"/>
        <w:szCs w:val="24"/>
      </w:rPr>
    </w:lvl>
    <w:lvl w:ilvl="2">
      <w:start w:val="1"/>
      <w:numFmt w:val="decimal"/>
      <w:lvlText w:val="%3."/>
      <w:lvlJc w:val="left"/>
      <w:pPr>
        <w:tabs>
          <w:tab w:val="num" w:pos="850"/>
        </w:tabs>
        <w:ind w:left="1418" w:hanging="425"/>
      </w:pPr>
      <w:rPr>
        <w:position w:val="0"/>
        <w:sz w:val="24"/>
        <w:szCs w:val="24"/>
      </w:rPr>
    </w:lvl>
    <w:lvl w:ilvl="3">
      <w:start w:val="1"/>
      <w:numFmt w:val="decimal"/>
      <w:lvlText w:val="(%4)"/>
      <w:lvlJc w:val="left"/>
      <w:pPr>
        <w:tabs>
          <w:tab w:val="num" w:pos="1440"/>
        </w:tabs>
        <w:ind w:left="2008" w:hanging="360"/>
      </w:pPr>
      <w:rPr>
        <w:position w:val="0"/>
        <w:sz w:val="24"/>
        <w:szCs w:val="24"/>
      </w:rPr>
    </w:lvl>
    <w:lvl w:ilvl="4">
      <w:start w:val="1"/>
      <w:numFmt w:val="lowerLetter"/>
      <w:lvlText w:val="(%5)"/>
      <w:lvlJc w:val="left"/>
      <w:pPr>
        <w:tabs>
          <w:tab w:val="num" w:pos="1800"/>
        </w:tabs>
        <w:ind w:left="1800" w:hanging="360"/>
      </w:pPr>
      <w:rPr>
        <w:position w:val="0"/>
        <w:sz w:val="24"/>
        <w:szCs w:val="24"/>
      </w:rPr>
    </w:lvl>
    <w:lvl w:ilvl="5">
      <w:start w:val="1"/>
      <w:numFmt w:val="lowerRoman"/>
      <w:lvlText w:val="(%6)"/>
      <w:lvlJc w:val="left"/>
      <w:pPr>
        <w:tabs>
          <w:tab w:val="num" w:pos="2160"/>
        </w:tabs>
        <w:ind w:left="2160" w:hanging="360"/>
      </w:pPr>
      <w:rPr>
        <w:position w:val="0"/>
        <w:sz w:val="24"/>
        <w:szCs w:val="24"/>
      </w:rPr>
    </w:lvl>
    <w:lvl w:ilvl="6">
      <w:start w:val="1"/>
      <w:numFmt w:val="decimal"/>
      <w:lvlText w:val="%7."/>
      <w:lvlJc w:val="left"/>
      <w:pPr>
        <w:tabs>
          <w:tab w:val="num" w:pos="2520"/>
        </w:tabs>
        <w:ind w:left="2520" w:hanging="360"/>
      </w:pPr>
      <w:rPr>
        <w:position w:val="0"/>
        <w:sz w:val="24"/>
        <w:szCs w:val="24"/>
      </w:rPr>
    </w:lvl>
    <w:lvl w:ilvl="7">
      <w:start w:val="1"/>
      <w:numFmt w:val="lowerLetter"/>
      <w:lvlText w:val="%8."/>
      <w:lvlJc w:val="left"/>
      <w:pPr>
        <w:tabs>
          <w:tab w:val="num" w:pos="2880"/>
        </w:tabs>
        <w:ind w:left="3448" w:hanging="360"/>
      </w:pPr>
      <w:rPr>
        <w:position w:val="0"/>
        <w:sz w:val="24"/>
        <w:szCs w:val="24"/>
      </w:rPr>
    </w:lvl>
    <w:lvl w:ilvl="8">
      <w:start w:val="1"/>
      <w:numFmt w:val="lowerRoman"/>
      <w:lvlText w:val="%9."/>
      <w:lvlJc w:val="left"/>
      <w:pPr>
        <w:tabs>
          <w:tab w:val="num" w:pos="3240"/>
        </w:tabs>
        <w:ind w:left="3808" w:hanging="360"/>
      </w:pPr>
      <w:rPr>
        <w:position w:val="0"/>
        <w:sz w:val="24"/>
        <w:szCs w:val="24"/>
      </w:rPr>
    </w:lvl>
  </w:abstractNum>
  <w:abstractNum w:abstractNumId="18" w15:restartNumberingAfterBreak="0">
    <w:nsid w:val="39745176"/>
    <w:multiLevelType w:val="multilevel"/>
    <w:tmpl w:val="B554DD2C"/>
    <w:styleLink w:val="List19"/>
    <w:lvl w:ilvl="0">
      <w:start w:val="1"/>
      <w:numFmt w:val="lowerLetter"/>
      <w:lvlText w:val="%1)"/>
      <w:lvlJc w:val="left"/>
      <w:pPr>
        <w:tabs>
          <w:tab w:val="num" w:pos="709"/>
        </w:tabs>
        <w:ind w:left="709" w:hanging="360"/>
      </w:pPr>
      <w:rPr>
        <w:position w:val="0"/>
        <w:sz w:val="24"/>
        <w:szCs w:val="24"/>
      </w:rPr>
    </w:lvl>
    <w:lvl w:ilvl="1">
      <w:start w:val="1"/>
      <w:numFmt w:val="lowerLetter"/>
      <w:lvlText w:val="%2."/>
      <w:lvlJc w:val="left"/>
      <w:pPr>
        <w:tabs>
          <w:tab w:val="num" w:pos="1440"/>
        </w:tabs>
        <w:ind w:left="1440" w:hanging="360"/>
      </w:pPr>
      <w:rPr>
        <w:position w:val="0"/>
        <w:sz w:val="24"/>
        <w:szCs w:val="24"/>
      </w:rPr>
    </w:lvl>
    <w:lvl w:ilvl="2">
      <w:start w:val="1"/>
      <w:numFmt w:val="lowerRoman"/>
      <w:lvlText w:val="%3."/>
      <w:lvlJc w:val="left"/>
      <w:pPr>
        <w:tabs>
          <w:tab w:val="num" w:pos="2160"/>
        </w:tabs>
        <w:ind w:left="2160" w:hanging="296"/>
      </w:pPr>
      <w:rPr>
        <w:position w:val="0"/>
        <w:sz w:val="24"/>
        <w:szCs w:val="24"/>
      </w:rPr>
    </w:lvl>
    <w:lvl w:ilvl="3">
      <w:start w:val="1"/>
      <w:numFmt w:val="decimal"/>
      <w:lvlText w:val="%4."/>
      <w:lvlJc w:val="left"/>
      <w:pPr>
        <w:tabs>
          <w:tab w:val="num" w:pos="2880"/>
        </w:tabs>
        <w:ind w:left="2880" w:hanging="360"/>
      </w:pPr>
      <w:rPr>
        <w:position w:val="0"/>
        <w:sz w:val="24"/>
        <w:szCs w:val="24"/>
      </w:rPr>
    </w:lvl>
    <w:lvl w:ilvl="4">
      <w:start w:val="1"/>
      <w:numFmt w:val="lowerLetter"/>
      <w:lvlText w:val="%5."/>
      <w:lvlJc w:val="left"/>
      <w:pPr>
        <w:tabs>
          <w:tab w:val="num" w:pos="3600"/>
        </w:tabs>
        <w:ind w:left="3600" w:hanging="360"/>
      </w:pPr>
      <w:rPr>
        <w:position w:val="0"/>
        <w:sz w:val="24"/>
        <w:szCs w:val="24"/>
      </w:rPr>
    </w:lvl>
    <w:lvl w:ilvl="5">
      <w:start w:val="1"/>
      <w:numFmt w:val="lowerRoman"/>
      <w:lvlText w:val="%6."/>
      <w:lvlJc w:val="left"/>
      <w:pPr>
        <w:tabs>
          <w:tab w:val="num" w:pos="4320"/>
        </w:tabs>
        <w:ind w:left="4320" w:hanging="296"/>
      </w:pPr>
      <w:rPr>
        <w:position w:val="0"/>
        <w:sz w:val="24"/>
        <w:szCs w:val="24"/>
      </w:rPr>
    </w:lvl>
    <w:lvl w:ilvl="6">
      <w:start w:val="1"/>
      <w:numFmt w:val="decimal"/>
      <w:lvlText w:val="%7."/>
      <w:lvlJc w:val="left"/>
      <w:pPr>
        <w:tabs>
          <w:tab w:val="num" w:pos="5040"/>
        </w:tabs>
        <w:ind w:left="5040" w:hanging="360"/>
      </w:pPr>
      <w:rPr>
        <w:position w:val="0"/>
        <w:sz w:val="24"/>
        <w:szCs w:val="24"/>
      </w:rPr>
    </w:lvl>
    <w:lvl w:ilvl="7">
      <w:start w:val="1"/>
      <w:numFmt w:val="lowerLetter"/>
      <w:lvlText w:val="%8."/>
      <w:lvlJc w:val="left"/>
      <w:pPr>
        <w:tabs>
          <w:tab w:val="num" w:pos="5760"/>
        </w:tabs>
        <w:ind w:left="5760" w:hanging="360"/>
      </w:pPr>
      <w:rPr>
        <w:position w:val="0"/>
        <w:sz w:val="24"/>
        <w:szCs w:val="24"/>
      </w:rPr>
    </w:lvl>
    <w:lvl w:ilvl="8">
      <w:start w:val="1"/>
      <w:numFmt w:val="lowerRoman"/>
      <w:lvlText w:val="%9."/>
      <w:lvlJc w:val="left"/>
      <w:pPr>
        <w:tabs>
          <w:tab w:val="num" w:pos="6480"/>
        </w:tabs>
        <w:ind w:left="6480" w:hanging="296"/>
      </w:pPr>
      <w:rPr>
        <w:position w:val="0"/>
        <w:sz w:val="24"/>
        <w:szCs w:val="24"/>
      </w:rPr>
    </w:lvl>
  </w:abstractNum>
  <w:abstractNum w:abstractNumId="19" w15:restartNumberingAfterBreak="0">
    <w:nsid w:val="3AA22AD8"/>
    <w:multiLevelType w:val="multilevel"/>
    <w:tmpl w:val="C9543C10"/>
    <w:styleLink w:val="Seznam51"/>
    <w:lvl w:ilvl="0">
      <w:start w:val="10"/>
      <w:numFmt w:val="lowerLetter"/>
      <w:lvlText w:val="%1)"/>
      <w:lvlJc w:val="left"/>
      <w:pPr>
        <w:tabs>
          <w:tab w:val="num" w:pos="1139"/>
        </w:tabs>
        <w:ind w:left="1139" w:hanging="357"/>
      </w:pPr>
      <w:rPr>
        <w:color w:val="000000"/>
        <w:position w:val="0"/>
        <w:sz w:val="24"/>
        <w:szCs w:val="24"/>
        <w:u w:color="000000"/>
        <w:shd w:val="clear" w:color="auto" w:fill="FFFFFF"/>
      </w:rPr>
    </w:lvl>
    <w:lvl w:ilvl="1">
      <w:start w:val="1"/>
      <w:numFmt w:val="lowerLetter"/>
      <w:lvlText w:val="%2."/>
      <w:lvlJc w:val="left"/>
      <w:pPr>
        <w:tabs>
          <w:tab w:val="num" w:pos="1865"/>
        </w:tabs>
        <w:ind w:left="1865" w:hanging="360"/>
      </w:pPr>
      <w:rPr>
        <w:color w:val="000000"/>
        <w:position w:val="0"/>
        <w:sz w:val="24"/>
        <w:szCs w:val="24"/>
        <w:u w:color="000000"/>
        <w:shd w:val="clear" w:color="auto" w:fill="FFFFFF"/>
      </w:rPr>
    </w:lvl>
    <w:lvl w:ilvl="2">
      <w:start w:val="1"/>
      <w:numFmt w:val="lowerRoman"/>
      <w:lvlText w:val="%3."/>
      <w:lvlJc w:val="left"/>
      <w:pPr>
        <w:tabs>
          <w:tab w:val="num" w:pos="2585"/>
        </w:tabs>
        <w:ind w:left="2585" w:hanging="296"/>
      </w:pPr>
      <w:rPr>
        <w:color w:val="000000"/>
        <w:position w:val="0"/>
        <w:sz w:val="24"/>
        <w:szCs w:val="24"/>
        <w:u w:color="000000"/>
        <w:shd w:val="clear" w:color="auto" w:fill="FFFFFF"/>
      </w:rPr>
    </w:lvl>
    <w:lvl w:ilvl="3">
      <w:start w:val="1"/>
      <w:numFmt w:val="decimal"/>
      <w:lvlText w:val="%4."/>
      <w:lvlJc w:val="left"/>
      <w:pPr>
        <w:tabs>
          <w:tab w:val="num" w:pos="3305"/>
        </w:tabs>
        <w:ind w:left="3305" w:hanging="360"/>
      </w:pPr>
      <w:rPr>
        <w:color w:val="000000"/>
        <w:position w:val="0"/>
        <w:sz w:val="24"/>
        <w:szCs w:val="24"/>
        <w:u w:color="000000"/>
        <w:shd w:val="clear" w:color="auto" w:fill="FFFFFF"/>
      </w:rPr>
    </w:lvl>
    <w:lvl w:ilvl="4">
      <w:start w:val="1"/>
      <w:numFmt w:val="lowerLetter"/>
      <w:lvlText w:val="%5."/>
      <w:lvlJc w:val="left"/>
      <w:pPr>
        <w:tabs>
          <w:tab w:val="num" w:pos="4025"/>
        </w:tabs>
        <w:ind w:left="4025" w:hanging="360"/>
      </w:pPr>
      <w:rPr>
        <w:color w:val="000000"/>
        <w:position w:val="0"/>
        <w:sz w:val="24"/>
        <w:szCs w:val="24"/>
        <w:u w:color="000000"/>
        <w:shd w:val="clear" w:color="auto" w:fill="FFFFFF"/>
      </w:rPr>
    </w:lvl>
    <w:lvl w:ilvl="5">
      <w:start w:val="1"/>
      <w:numFmt w:val="lowerRoman"/>
      <w:lvlText w:val="%6."/>
      <w:lvlJc w:val="left"/>
      <w:pPr>
        <w:tabs>
          <w:tab w:val="num" w:pos="4745"/>
        </w:tabs>
        <w:ind w:left="4745" w:hanging="296"/>
      </w:pPr>
      <w:rPr>
        <w:color w:val="000000"/>
        <w:position w:val="0"/>
        <w:sz w:val="24"/>
        <w:szCs w:val="24"/>
        <w:u w:color="000000"/>
        <w:shd w:val="clear" w:color="auto" w:fill="FFFFFF"/>
      </w:rPr>
    </w:lvl>
    <w:lvl w:ilvl="6">
      <w:start w:val="1"/>
      <w:numFmt w:val="decimal"/>
      <w:lvlText w:val="%7."/>
      <w:lvlJc w:val="left"/>
      <w:pPr>
        <w:tabs>
          <w:tab w:val="num" w:pos="5465"/>
        </w:tabs>
        <w:ind w:left="5465" w:hanging="360"/>
      </w:pPr>
      <w:rPr>
        <w:color w:val="000000"/>
        <w:position w:val="0"/>
        <w:sz w:val="24"/>
        <w:szCs w:val="24"/>
        <w:u w:color="000000"/>
        <w:shd w:val="clear" w:color="auto" w:fill="FFFFFF"/>
      </w:rPr>
    </w:lvl>
    <w:lvl w:ilvl="7">
      <w:start w:val="1"/>
      <w:numFmt w:val="lowerLetter"/>
      <w:lvlText w:val="%8."/>
      <w:lvlJc w:val="left"/>
      <w:pPr>
        <w:tabs>
          <w:tab w:val="num" w:pos="6185"/>
        </w:tabs>
        <w:ind w:left="6185" w:hanging="360"/>
      </w:pPr>
      <w:rPr>
        <w:color w:val="000000"/>
        <w:position w:val="0"/>
        <w:sz w:val="24"/>
        <w:szCs w:val="24"/>
        <w:u w:color="000000"/>
        <w:shd w:val="clear" w:color="auto" w:fill="FFFFFF"/>
      </w:rPr>
    </w:lvl>
    <w:lvl w:ilvl="8">
      <w:start w:val="1"/>
      <w:numFmt w:val="lowerRoman"/>
      <w:lvlText w:val="%9."/>
      <w:lvlJc w:val="left"/>
      <w:pPr>
        <w:tabs>
          <w:tab w:val="num" w:pos="6905"/>
        </w:tabs>
        <w:ind w:left="6905" w:hanging="296"/>
      </w:pPr>
      <w:rPr>
        <w:color w:val="000000"/>
        <w:position w:val="0"/>
        <w:sz w:val="24"/>
        <w:szCs w:val="24"/>
        <w:u w:color="000000"/>
        <w:shd w:val="clear" w:color="auto" w:fill="FFFFFF"/>
      </w:rPr>
    </w:lvl>
  </w:abstractNum>
  <w:abstractNum w:abstractNumId="20" w15:restartNumberingAfterBreak="0">
    <w:nsid w:val="3BB83D5C"/>
    <w:multiLevelType w:val="multilevel"/>
    <w:tmpl w:val="83A27E42"/>
    <w:styleLink w:val="List18"/>
    <w:lvl w:ilvl="0">
      <w:start w:val="1"/>
      <w:numFmt w:val="lowerLetter"/>
      <w:lvlText w:val="%1)"/>
      <w:lvlJc w:val="left"/>
      <w:pPr>
        <w:tabs>
          <w:tab w:val="num" w:pos="720"/>
        </w:tabs>
        <w:ind w:left="720" w:hanging="360"/>
      </w:pPr>
      <w:rPr>
        <w:position w:val="0"/>
        <w:sz w:val="24"/>
        <w:szCs w:val="24"/>
      </w:rPr>
    </w:lvl>
    <w:lvl w:ilvl="1">
      <w:start w:val="1"/>
      <w:numFmt w:val="lowerLetter"/>
      <w:lvlText w:val="%2."/>
      <w:lvlJc w:val="left"/>
      <w:pPr>
        <w:tabs>
          <w:tab w:val="num" w:pos="1440"/>
        </w:tabs>
        <w:ind w:left="1440" w:hanging="360"/>
      </w:pPr>
      <w:rPr>
        <w:position w:val="0"/>
        <w:sz w:val="24"/>
        <w:szCs w:val="24"/>
      </w:rPr>
    </w:lvl>
    <w:lvl w:ilvl="2">
      <w:start w:val="1"/>
      <w:numFmt w:val="lowerRoman"/>
      <w:lvlText w:val="%3."/>
      <w:lvlJc w:val="left"/>
      <w:pPr>
        <w:tabs>
          <w:tab w:val="num" w:pos="2160"/>
        </w:tabs>
        <w:ind w:left="2160" w:hanging="296"/>
      </w:pPr>
      <w:rPr>
        <w:position w:val="0"/>
        <w:sz w:val="24"/>
        <w:szCs w:val="24"/>
      </w:rPr>
    </w:lvl>
    <w:lvl w:ilvl="3">
      <w:start w:val="1"/>
      <w:numFmt w:val="decimal"/>
      <w:lvlText w:val="%4."/>
      <w:lvlJc w:val="left"/>
      <w:pPr>
        <w:tabs>
          <w:tab w:val="num" w:pos="2880"/>
        </w:tabs>
        <w:ind w:left="2880" w:hanging="360"/>
      </w:pPr>
      <w:rPr>
        <w:position w:val="0"/>
        <w:sz w:val="24"/>
        <w:szCs w:val="24"/>
      </w:rPr>
    </w:lvl>
    <w:lvl w:ilvl="4">
      <w:start w:val="1"/>
      <w:numFmt w:val="lowerLetter"/>
      <w:lvlText w:val="%5."/>
      <w:lvlJc w:val="left"/>
      <w:pPr>
        <w:tabs>
          <w:tab w:val="num" w:pos="3600"/>
        </w:tabs>
        <w:ind w:left="3600" w:hanging="360"/>
      </w:pPr>
      <w:rPr>
        <w:position w:val="0"/>
        <w:sz w:val="24"/>
        <w:szCs w:val="24"/>
      </w:rPr>
    </w:lvl>
    <w:lvl w:ilvl="5">
      <w:start w:val="1"/>
      <w:numFmt w:val="lowerRoman"/>
      <w:lvlText w:val="%6."/>
      <w:lvlJc w:val="left"/>
      <w:pPr>
        <w:tabs>
          <w:tab w:val="num" w:pos="4320"/>
        </w:tabs>
        <w:ind w:left="4320" w:hanging="296"/>
      </w:pPr>
      <w:rPr>
        <w:position w:val="0"/>
        <w:sz w:val="24"/>
        <w:szCs w:val="24"/>
      </w:rPr>
    </w:lvl>
    <w:lvl w:ilvl="6">
      <w:start w:val="1"/>
      <w:numFmt w:val="decimal"/>
      <w:lvlText w:val="%7."/>
      <w:lvlJc w:val="left"/>
      <w:pPr>
        <w:tabs>
          <w:tab w:val="num" w:pos="5040"/>
        </w:tabs>
        <w:ind w:left="5040" w:hanging="360"/>
      </w:pPr>
      <w:rPr>
        <w:position w:val="0"/>
        <w:sz w:val="24"/>
        <w:szCs w:val="24"/>
      </w:rPr>
    </w:lvl>
    <w:lvl w:ilvl="7">
      <w:start w:val="1"/>
      <w:numFmt w:val="lowerLetter"/>
      <w:lvlText w:val="%8."/>
      <w:lvlJc w:val="left"/>
      <w:pPr>
        <w:tabs>
          <w:tab w:val="num" w:pos="5760"/>
        </w:tabs>
        <w:ind w:left="5760" w:hanging="360"/>
      </w:pPr>
      <w:rPr>
        <w:position w:val="0"/>
        <w:sz w:val="24"/>
        <w:szCs w:val="24"/>
      </w:rPr>
    </w:lvl>
    <w:lvl w:ilvl="8">
      <w:start w:val="1"/>
      <w:numFmt w:val="lowerRoman"/>
      <w:lvlText w:val="%9."/>
      <w:lvlJc w:val="left"/>
      <w:pPr>
        <w:tabs>
          <w:tab w:val="num" w:pos="6480"/>
        </w:tabs>
        <w:ind w:left="6480" w:hanging="296"/>
      </w:pPr>
      <w:rPr>
        <w:position w:val="0"/>
        <w:sz w:val="24"/>
        <w:szCs w:val="24"/>
      </w:rPr>
    </w:lvl>
  </w:abstractNum>
  <w:abstractNum w:abstractNumId="21" w15:restartNumberingAfterBreak="0">
    <w:nsid w:val="410345BD"/>
    <w:multiLevelType w:val="multilevel"/>
    <w:tmpl w:val="2DE63DE8"/>
    <w:styleLink w:val="List14"/>
    <w:lvl w:ilvl="0">
      <w:start w:val="2"/>
      <w:numFmt w:val="lowerLetter"/>
      <w:lvlText w:val="%1)"/>
      <w:lvlJc w:val="left"/>
      <w:pPr>
        <w:tabs>
          <w:tab w:val="num" w:pos="709"/>
        </w:tabs>
        <w:ind w:left="709" w:hanging="349"/>
      </w:pPr>
      <w:rPr>
        <w:position w:val="0"/>
        <w:sz w:val="24"/>
        <w:szCs w:val="24"/>
      </w:rPr>
    </w:lvl>
    <w:lvl w:ilvl="1">
      <w:start w:val="1"/>
      <w:numFmt w:val="lowerLetter"/>
      <w:lvlText w:val="%2."/>
      <w:lvlJc w:val="left"/>
      <w:pPr>
        <w:tabs>
          <w:tab w:val="num" w:pos="1440"/>
        </w:tabs>
        <w:ind w:left="1440" w:hanging="360"/>
      </w:pPr>
      <w:rPr>
        <w:position w:val="0"/>
        <w:sz w:val="24"/>
        <w:szCs w:val="24"/>
      </w:rPr>
    </w:lvl>
    <w:lvl w:ilvl="2">
      <w:start w:val="1"/>
      <w:numFmt w:val="lowerRoman"/>
      <w:lvlText w:val="%3."/>
      <w:lvlJc w:val="left"/>
      <w:pPr>
        <w:tabs>
          <w:tab w:val="num" w:pos="2160"/>
        </w:tabs>
        <w:ind w:left="2160" w:hanging="296"/>
      </w:pPr>
      <w:rPr>
        <w:position w:val="0"/>
        <w:sz w:val="24"/>
        <w:szCs w:val="24"/>
      </w:rPr>
    </w:lvl>
    <w:lvl w:ilvl="3">
      <w:start w:val="1"/>
      <w:numFmt w:val="decimal"/>
      <w:lvlText w:val="%4."/>
      <w:lvlJc w:val="left"/>
      <w:pPr>
        <w:tabs>
          <w:tab w:val="num" w:pos="2880"/>
        </w:tabs>
        <w:ind w:left="2880" w:hanging="360"/>
      </w:pPr>
      <w:rPr>
        <w:position w:val="0"/>
        <w:sz w:val="24"/>
        <w:szCs w:val="24"/>
      </w:rPr>
    </w:lvl>
    <w:lvl w:ilvl="4">
      <w:start w:val="1"/>
      <w:numFmt w:val="lowerLetter"/>
      <w:lvlText w:val="%5."/>
      <w:lvlJc w:val="left"/>
      <w:pPr>
        <w:tabs>
          <w:tab w:val="num" w:pos="3600"/>
        </w:tabs>
        <w:ind w:left="3600" w:hanging="360"/>
      </w:pPr>
      <w:rPr>
        <w:position w:val="0"/>
        <w:sz w:val="24"/>
        <w:szCs w:val="24"/>
      </w:rPr>
    </w:lvl>
    <w:lvl w:ilvl="5">
      <w:start w:val="1"/>
      <w:numFmt w:val="lowerRoman"/>
      <w:lvlText w:val="%6."/>
      <w:lvlJc w:val="left"/>
      <w:pPr>
        <w:tabs>
          <w:tab w:val="num" w:pos="4320"/>
        </w:tabs>
        <w:ind w:left="4320" w:hanging="296"/>
      </w:pPr>
      <w:rPr>
        <w:position w:val="0"/>
        <w:sz w:val="24"/>
        <w:szCs w:val="24"/>
      </w:rPr>
    </w:lvl>
    <w:lvl w:ilvl="6">
      <w:start w:val="1"/>
      <w:numFmt w:val="decimal"/>
      <w:lvlText w:val="%7."/>
      <w:lvlJc w:val="left"/>
      <w:pPr>
        <w:tabs>
          <w:tab w:val="num" w:pos="5040"/>
        </w:tabs>
        <w:ind w:left="5040" w:hanging="360"/>
      </w:pPr>
      <w:rPr>
        <w:position w:val="0"/>
        <w:sz w:val="24"/>
        <w:szCs w:val="24"/>
      </w:rPr>
    </w:lvl>
    <w:lvl w:ilvl="7">
      <w:start w:val="1"/>
      <w:numFmt w:val="lowerLetter"/>
      <w:lvlText w:val="%8."/>
      <w:lvlJc w:val="left"/>
      <w:pPr>
        <w:tabs>
          <w:tab w:val="num" w:pos="5760"/>
        </w:tabs>
        <w:ind w:left="5760" w:hanging="360"/>
      </w:pPr>
      <w:rPr>
        <w:position w:val="0"/>
        <w:sz w:val="24"/>
        <w:szCs w:val="24"/>
      </w:rPr>
    </w:lvl>
    <w:lvl w:ilvl="8">
      <w:start w:val="1"/>
      <w:numFmt w:val="lowerRoman"/>
      <w:lvlText w:val="%9."/>
      <w:lvlJc w:val="left"/>
      <w:pPr>
        <w:tabs>
          <w:tab w:val="num" w:pos="6480"/>
        </w:tabs>
        <w:ind w:left="6480" w:hanging="296"/>
      </w:pPr>
      <w:rPr>
        <w:position w:val="0"/>
        <w:sz w:val="24"/>
        <w:szCs w:val="24"/>
      </w:rPr>
    </w:lvl>
  </w:abstractNum>
  <w:abstractNum w:abstractNumId="22" w15:restartNumberingAfterBreak="0">
    <w:nsid w:val="41663543"/>
    <w:multiLevelType w:val="singleLevel"/>
    <w:tmpl w:val="A40CF924"/>
    <w:lvl w:ilvl="0">
      <w:start w:val="1"/>
      <w:numFmt w:val="decimal"/>
      <w:pStyle w:val="Textpozmn"/>
      <w:lvlText w:val="%1."/>
      <w:lvlJc w:val="left"/>
      <w:pPr>
        <w:tabs>
          <w:tab w:val="num" w:pos="850"/>
        </w:tabs>
        <w:ind w:left="850" w:hanging="425"/>
      </w:pPr>
    </w:lvl>
  </w:abstractNum>
  <w:abstractNum w:abstractNumId="23" w15:restartNumberingAfterBreak="0">
    <w:nsid w:val="41F923DB"/>
    <w:multiLevelType w:val="hybridMultilevel"/>
    <w:tmpl w:val="9AA2A236"/>
    <w:lvl w:ilvl="0" w:tplc="0405000B">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68341D7"/>
    <w:multiLevelType w:val="hybridMultilevel"/>
    <w:tmpl w:val="F94A30CE"/>
    <w:lvl w:ilvl="0" w:tplc="9ABA717C">
      <w:start w:val="1"/>
      <w:numFmt w:val="decimal"/>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70A1B5A"/>
    <w:multiLevelType w:val="multilevel"/>
    <w:tmpl w:val="54081CC4"/>
    <w:styleLink w:val="Seznam41"/>
    <w:lvl w:ilvl="0">
      <w:start w:val="1"/>
      <w:numFmt w:val="lowerLetter"/>
      <w:lvlText w:val="%1)"/>
      <w:lvlJc w:val="left"/>
      <w:pPr>
        <w:tabs>
          <w:tab w:val="num" w:pos="1495"/>
        </w:tabs>
        <w:ind w:left="1495" w:hanging="360"/>
      </w:pPr>
      <w:rPr>
        <w:position w:val="0"/>
        <w:sz w:val="24"/>
        <w:szCs w:val="24"/>
      </w:rPr>
    </w:lvl>
    <w:lvl w:ilvl="1">
      <w:start w:val="1"/>
      <w:numFmt w:val="lowerLetter"/>
      <w:lvlText w:val="%2."/>
      <w:lvlJc w:val="left"/>
      <w:pPr>
        <w:tabs>
          <w:tab w:val="num" w:pos="2215"/>
        </w:tabs>
        <w:ind w:left="2215" w:hanging="360"/>
      </w:pPr>
      <w:rPr>
        <w:position w:val="0"/>
        <w:sz w:val="24"/>
        <w:szCs w:val="24"/>
      </w:rPr>
    </w:lvl>
    <w:lvl w:ilvl="2">
      <w:start w:val="1"/>
      <w:numFmt w:val="lowerRoman"/>
      <w:lvlText w:val="%3."/>
      <w:lvlJc w:val="left"/>
      <w:pPr>
        <w:tabs>
          <w:tab w:val="num" w:pos="2935"/>
        </w:tabs>
        <w:ind w:left="2935" w:hanging="296"/>
      </w:pPr>
      <w:rPr>
        <w:position w:val="0"/>
        <w:sz w:val="24"/>
        <w:szCs w:val="24"/>
      </w:rPr>
    </w:lvl>
    <w:lvl w:ilvl="3">
      <w:start w:val="1"/>
      <w:numFmt w:val="decimal"/>
      <w:lvlText w:val="%4."/>
      <w:lvlJc w:val="left"/>
      <w:pPr>
        <w:tabs>
          <w:tab w:val="num" w:pos="3655"/>
        </w:tabs>
        <w:ind w:left="3655" w:hanging="360"/>
      </w:pPr>
      <w:rPr>
        <w:position w:val="0"/>
        <w:sz w:val="24"/>
        <w:szCs w:val="24"/>
      </w:rPr>
    </w:lvl>
    <w:lvl w:ilvl="4">
      <w:start w:val="1"/>
      <w:numFmt w:val="lowerLetter"/>
      <w:lvlText w:val="%5."/>
      <w:lvlJc w:val="left"/>
      <w:pPr>
        <w:tabs>
          <w:tab w:val="num" w:pos="4375"/>
        </w:tabs>
        <w:ind w:left="4375" w:hanging="360"/>
      </w:pPr>
      <w:rPr>
        <w:position w:val="0"/>
        <w:sz w:val="24"/>
        <w:szCs w:val="24"/>
      </w:rPr>
    </w:lvl>
    <w:lvl w:ilvl="5">
      <w:start w:val="1"/>
      <w:numFmt w:val="lowerRoman"/>
      <w:lvlText w:val="%6."/>
      <w:lvlJc w:val="left"/>
      <w:pPr>
        <w:tabs>
          <w:tab w:val="num" w:pos="5095"/>
        </w:tabs>
        <w:ind w:left="5095" w:hanging="296"/>
      </w:pPr>
      <w:rPr>
        <w:position w:val="0"/>
        <w:sz w:val="24"/>
        <w:szCs w:val="24"/>
      </w:rPr>
    </w:lvl>
    <w:lvl w:ilvl="6">
      <w:start w:val="1"/>
      <w:numFmt w:val="decimal"/>
      <w:lvlText w:val="%7."/>
      <w:lvlJc w:val="left"/>
      <w:pPr>
        <w:tabs>
          <w:tab w:val="num" w:pos="5815"/>
        </w:tabs>
        <w:ind w:left="5815" w:hanging="360"/>
      </w:pPr>
      <w:rPr>
        <w:position w:val="0"/>
        <w:sz w:val="24"/>
        <w:szCs w:val="24"/>
      </w:rPr>
    </w:lvl>
    <w:lvl w:ilvl="7">
      <w:start w:val="1"/>
      <w:numFmt w:val="lowerLetter"/>
      <w:lvlText w:val="%8."/>
      <w:lvlJc w:val="left"/>
      <w:pPr>
        <w:tabs>
          <w:tab w:val="num" w:pos="6535"/>
        </w:tabs>
        <w:ind w:left="6535" w:hanging="360"/>
      </w:pPr>
      <w:rPr>
        <w:position w:val="0"/>
        <w:sz w:val="24"/>
        <w:szCs w:val="24"/>
      </w:rPr>
    </w:lvl>
    <w:lvl w:ilvl="8">
      <w:start w:val="1"/>
      <w:numFmt w:val="lowerRoman"/>
      <w:lvlText w:val="%9."/>
      <w:lvlJc w:val="left"/>
      <w:pPr>
        <w:tabs>
          <w:tab w:val="num" w:pos="7255"/>
        </w:tabs>
        <w:ind w:left="7255" w:hanging="296"/>
      </w:pPr>
      <w:rPr>
        <w:position w:val="0"/>
        <w:sz w:val="24"/>
        <w:szCs w:val="24"/>
      </w:rPr>
    </w:lvl>
  </w:abstractNum>
  <w:abstractNum w:abstractNumId="26" w15:restartNumberingAfterBreak="0">
    <w:nsid w:val="480D4D50"/>
    <w:multiLevelType w:val="multilevel"/>
    <w:tmpl w:val="72A456AA"/>
    <w:styleLink w:val="List15"/>
    <w:lvl w:ilvl="0">
      <w:start w:val="1"/>
      <w:numFmt w:val="lowerLetter"/>
      <w:lvlText w:val="%1)"/>
      <w:lvlJc w:val="left"/>
      <w:pPr>
        <w:tabs>
          <w:tab w:val="num" w:pos="709"/>
        </w:tabs>
        <w:ind w:left="709" w:hanging="349"/>
      </w:pPr>
      <w:rPr>
        <w:position w:val="0"/>
        <w:sz w:val="24"/>
        <w:szCs w:val="24"/>
      </w:rPr>
    </w:lvl>
    <w:lvl w:ilvl="1">
      <w:start w:val="1"/>
      <w:numFmt w:val="lowerLetter"/>
      <w:lvlText w:val="%2."/>
      <w:lvlJc w:val="left"/>
      <w:pPr>
        <w:tabs>
          <w:tab w:val="num" w:pos="1440"/>
        </w:tabs>
        <w:ind w:left="1440" w:hanging="360"/>
      </w:pPr>
      <w:rPr>
        <w:position w:val="0"/>
        <w:sz w:val="24"/>
        <w:szCs w:val="24"/>
      </w:rPr>
    </w:lvl>
    <w:lvl w:ilvl="2">
      <w:start w:val="1"/>
      <w:numFmt w:val="lowerRoman"/>
      <w:lvlText w:val="%3."/>
      <w:lvlJc w:val="left"/>
      <w:pPr>
        <w:tabs>
          <w:tab w:val="num" w:pos="2160"/>
        </w:tabs>
        <w:ind w:left="2160" w:hanging="296"/>
      </w:pPr>
      <w:rPr>
        <w:position w:val="0"/>
        <w:sz w:val="24"/>
        <w:szCs w:val="24"/>
      </w:rPr>
    </w:lvl>
    <w:lvl w:ilvl="3">
      <w:start w:val="1"/>
      <w:numFmt w:val="decimal"/>
      <w:lvlText w:val="%4."/>
      <w:lvlJc w:val="left"/>
      <w:pPr>
        <w:tabs>
          <w:tab w:val="num" w:pos="2880"/>
        </w:tabs>
        <w:ind w:left="2880" w:hanging="360"/>
      </w:pPr>
      <w:rPr>
        <w:position w:val="0"/>
        <w:sz w:val="24"/>
        <w:szCs w:val="24"/>
      </w:rPr>
    </w:lvl>
    <w:lvl w:ilvl="4">
      <w:start w:val="1"/>
      <w:numFmt w:val="lowerLetter"/>
      <w:lvlText w:val="%5."/>
      <w:lvlJc w:val="left"/>
      <w:pPr>
        <w:tabs>
          <w:tab w:val="num" w:pos="3600"/>
        </w:tabs>
        <w:ind w:left="3600" w:hanging="360"/>
      </w:pPr>
      <w:rPr>
        <w:position w:val="0"/>
        <w:sz w:val="24"/>
        <w:szCs w:val="24"/>
      </w:rPr>
    </w:lvl>
    <w:lvl w:ilvl="5">
      <w:start w:val="1"/>
      <w:numFmt w:val="lowerRoman"/>
      <w:lvlText w:val="%6."/>
      <w:lvlJc w:val="left"/>
      <w:pPr>
        <w:tabs>
          <w:tab w:val="num" w:pos="4320"/>
        </w:tabs>
        <w:ind w:left="4320" w:hanging="296"/>
      </w:pPr>
      <w:rPr>
        <w:position w:val="0"/>
        <w:sz w:val="24"/>
        <w:szCs w:val="24"/>
      </w:rPr>
    </w:lvl>
    <w:lvl w:ilvl="6">
      <w:start w:val="1"/>
      <w:numFmt w:val="decimal"/>
      <w:lvlText w:val="%7."/>
      <w:lvlJc w:val="left"/>
      <w:pPr>
        <w:tabs>
          <w:tab w:val="num" w:pos="5040"/>
        </w:tabs>
        <w:ind w:left="5040" w:hanging="360"/>
      </w:pPr>
      <w:rPr>
        <w:position w:val="0"/>
        <w:sz w:val="24"/>
        <w:szCs w:val="24"/>
      </w:rPr>
    </w:lvl>
    <w:lvl w:ilvl="7">
      <w:start w:val="1"/>
      <w:numFmt w:val="lowerLetter"/>
      <w:lvlText w:val="%8."/>
      <w:lvlJc w:val="left"/>
      <w:pPr>
        <w:tabs>
          <w:tab w:val="num" w:pos="5760"/>
        </w:tabs>
        <w:ind w:left="5760" w:hanging="360"/>
      </w:pPr>
      <w:rPr>
        <w:position w:val="0"/>
        <w:sz w:val="24"/>
        <w:szCs w:val="24"/>
      </w:rPr>
    </w:lvl>
    <w:lvl w:ilvl="8">
      <w:start w:val="1"/>
      <w:numFmt w:val="lowerRoman"/>
      <w:lvlText w:val="%9."/>
      <w:lvlJc w:val="left"/>
      <w:pPr>
        <w:tabs>
          <w:tab w:val="num" w:pos="6480"/>
        </w:tabs>
        <w:ind w:left="6480" w:hanging="296"/>
      </w:pPr>
      <w:rPr>
        <w:position w:val="0"/>
        <w:sz w:val="24"/>
        <w:szCs w:val="24"/>
      </w:rPr>
    </w:lvl>
  </w:abstractNum>
  <w:abstractNum w:abstractNumId="27" w15:restartNumberingAfterBreak="0">
    <w:nsid w:val="49603E76"/>
    <w:multiLevelType w:val="multilevel"/>
    <w:tmpl w:val="D6F4E2F8"/>
    <w:styleLink w:val="List21"/>
    <w:lvl w:ilvl="0">
      <w:start w:val="1"/>
      <w:numFmt w:val="decimal"/>
      <w:lvlText w:val="(%1)"/>
      <w:lvlJc w:val="left"/>
      <w:pPr>
        <w:ind w:left="0" w:firstLine="0"/>
      </w:pPr>
      <w:rPr>
        <w:position w:val="0"/>
      </w:rPr>
    </w:lvl>
    <w:lvl w:ilvl="1">
      <w:start w:val="1"/>
      <w:numFmt w:val="lowerLetter"/>
      <w:lvlText w:val="%2)"/>
      <w:lvlJc w:val="left"/>
      <w:pPr>
        <w:ind w:left="0" w:firstLine="0"/>
      </w:pPr>
      <w:rPr>
        <w:position w:val="0"/>
      </w:rPr>
    </w:lvl>
    <w:lvl w:ilvl="2">
      <w:start w:val="1"/>
      <w:numFmt w:val="decimal"/>
      <w:lvlText w:val="%3."/>
      <w:lvlJc w:val="left"/>
      <w:pPr>
        <w:ind w:left="0" w:firstLine="0"/>
      </w:pPr>
      <w:rPr>
        <w:position w:val="0"/>
      </w:rPr>
    </w:lvl>
    <w:lvl w:ilvl="3">
      <w:start w:val="1"/>
      <w:numFmt w:val="decimal"/>
      <w:lvlText w:val="(%4)"/>
      <w:lvlJc w:val="left"/>
      <w:pPr>
        <w:ind w:left="0" w:firstLine="0"/>
      </w:pPr>
      <w:rPr>
        <w:position w:val="0"/>
      </w:rPr>
    </w:lvl>
    <w:lvl w:ilvl="4">
      <w:start w:val="1"/>
      <w:numFmt w:val="lowerLetter"/>
      <w:lvlText w:val="(%5)"/>
      <w:lvlJc w:val="left"/>
      <w:pPr>
        <w:ind w:left="0" w:firstLine="0"/>
      </w:pPr>
      <w:rPr>
        <w:position w:val="0"/>
      </w:rPr>
    </w:lvl>
    <w:lvl w:ilvl="5">
      <w:start w:val="1"/>
      <w:numFmt w:val="lowerRoman"/>
      <w:lvlText w:val="(%6)"/>
      <w:lvlJc w:val="left"/>
      <w:pPr>
        <w:ind w:left="0" w:firstLine="0"/>
      </w:pPr>
      <w:rPr>
        <w:position w:val="0"/>
      </w:rPr>
    </w:lvl>
    <w:lvl w:ilvl="6">
      <w:start w:val="1"/>
      <w:numFmt w:val="decimal"/>
      <w:lvlText w:val="%7."/>
      <w:lvlJc w:val="left"/>
      <w:pPr>
        <w:ind w:left="0" w:firstLine="0"/>
      </w:pPr>
      <w:rPr>
        <w:position w:val="0"/>
      </w:rPr>
    </w:lvl>
    <w:lvl w:ilvl="7">
      <w:start w:val="1"/>
      <w:numFmt w:val="lowerLetter"/>
      <w:lvlText w:val="%8."/>
      <w:lvlJc w:val="left"/>
      <w:pPr>
        <w:ind w:left="0" w:firstLine="0"/>
      </w:pPr>
      <w:rPr>
        <w:position w:val="0"/>
      </w:rPr>
    </w:lvl>
    <w:lvl w:ilvl="8">
      <w:start w:val="1"/>
      <w:numFmt w:val="lowerRoman"/>
      <w:lvlText w:val="%9."/>
      <w:lvlJc w:val="left"/>
      <w:pPr>
        <w:ind w:left="0" w:firstLine="0"/>
      </w:pPr>
      <w:rPr>
        <w:position w:val="0"/>
      </w:rPr>
    </w:lvl>
  </w:abstractNum>
  <w:abstractNum w:abstractNumId="28" w15:restartNumberingAfterBreak="0">
    <w:nsid w:val="4AD05194"/>
    <w:multiLevelType w:val="multilevel"/>
    <w:tmpl w:val="DC727F68"/>
    <w:styleLink w:val="List16"/>
    <w:lvl w:ilvl="0">
      <w:start w:val="1"/>
      <w:numFmt w:val="lowerLetter"/>
      <w:lvlText w:val="%1)"/>
      <w:lvlJc w:val="left"/>
      <w:pPr>
        <w:tabs>
          <w:tab w:val="num" w:pos="709"/>
        </w:tabs>
        <w:ind w:left="709" w:hanging="349"/>
      </w:pPr>
      <w:rPr>
        <w:position w:val="0"/>
        <w:sz w:val="24"/>
        <w:szCs w:val="24"/>
      </w:rPr>
    </w:lvl>
    <w:lvl w:ilvl="1">
      <w:start w:val="1"/>
      <w:numFmt w:val="lowerLetter"/>
      <w:lvlText w:val="%2."/>
      <w:lvlJc w:val="left"/>
      <w:pPr>
        <w:tabs>
          <w:tab w:val="num" w:pos="1440"/>
        </w:tabs>
        <w:ind w:left="1440" w:hanging="360"/>
      </w:pPr>
      <w:rPr>
        <w:position w:val="0"/>
        <w:sz w:val="24"/>
        <w:szCs w:val="24"/>
      </w:rPr>
    </w:lvl>
    <w:lvl w:ilvl="2">
      <w:start w:val="1"/>
      <w:numFmt w:val="lowerRoman"/>
      <w:lvlText w:val="%3."/>
      <w:lvlJc w:val="left"/>
      <w:pPr>
        <w:tabs>
          <w:tab w:val="num" w:pos="2160"/>
        </w:tabs>
        <w:ind w:left="2160" w:hanging="296"/>
      </w:pPr>
      <w:rPr>
        <w:position w:val="0"/>
        <w:sz w:val="24"/>
        <w:szCs w:val="24"/>
      </w:rPr>
    </w:lvl>
    <w:lvl w:ilvl="3">
      <w:start w:val="1"/>
      <w:numFmt w:val="decimal"/>
      <w:lvlText w:val="%4."/>
      <w:lvlJc w:val="left"/>
      <w:pPr>
        <w:tabs>
          <w:tab w:val="num" w:pos="2880"/>
        </w:tabs>
        <w:ind w:left="2880" w:hanging="360"/>
      </w:pPr>
      <w:rPr>
        <w:position w:val="0"/>
        <w:sz w:val="24"/>
        <w:szCs w:val="24"/>
      </w:rPr>
    </w:lvl>
    <w:lvl w:ilvl="4">
      <w:start w:val="1"/>
      <w:numFmt w:val="lowerLetter"/>
      <w:lvlText w:val="%5."/>
      <w:lvlJc w:val="left"/>
      <w:pPr>
        <w:tabs>
          <w:tab w:val="num" w:pos="3600"/>
        </w:tabs>
        <w:ind w:left="3600" w:hanging="360"/>
      </w:pPr>
      <w:rPr>
        <w:position w:val="0"/>
        <w:sz w:val="24"/>
        <w:szCs w:val="24"/>
      </w:rPr>
    </w:lvl>
    <w:lvl w:ilvl="5">
      <w:start w:val="1"/>
      <w:numFmt w:val="lowerRoman"/>
      <w:lvlText w:val="%6."/>
      <w:lvlJc w:val="left"/>
      <w:pPr>
        <w:tabs>
          <w:tab w:val="num" w:pos="4320"/>
        </w:tabs>
        <w:ind w:left="4320" w:hanging="296"/>
      </w:pPr>
      <w:rPr>
        <w:position w:val="0"/>
        <w:sz w:val="24"/>
        <w:szCs w:val="24"/>
      </w:rPr>
    </w:lvl>
    <w:lvl w:ilvl="6">
      <w:start w:val="1"/>
      <w:numFmt w:val="decimal"/>
      <w:lvlText w:val="%7."/>
      <w:lvlJc w:val="left"/>
      <w:pPr>
        <w:tabs>
          <w:tab w:val="num" w:pos="5040"/>
        </w:tabs>
        <w:ind w:left="5040" w:hanging="360"/>
      </w:pPr>
      <w:rPr>
        <w:position w:val="0"/>
        <w:sz w:val="24"/>
        <w:szCs w:val="24"/>
      </w:rPr>
    </w:lvl>
    <w:lvl w:ilvl="7">
      <w:start w:val="1"/>
      <w:numFmt w:val="lowerLetter"/>
      <w:lvlText w:val="%8."/>
      <w:lvlJc w:val="left"/>
      <w:pPr>
        <w:tabs>
          <w:tab w:val="num" w:pos="5760"/>
        </w:tabs>
        <w:ind w:left="5760" w:hanging="360"/>
      </w:pPr>
      <w:rPr>
        <w:position w:val="0"/>
        <w:sz w:val="24"/>
        <w:szCs w:val="24"/>
      </w:rPr>
    </w:lvl>
    <w:lvl w:ilvl="8">
      <w:start w:val="1"/>
      <w:numFmt w:val="lowerRoman"/>
      <w:lvlText w:val="%9."/>
      <w:lvlJc w:val="left"/>
      <w:pPr>
        <w:tabs>
          <w:tab w:val="num" w:pos="6480"/>
        </w:tabs>
        <w:ind w:left="6480" w:hanging="296"/>
      </w:pPr>
      <w:rPr>
        <w:position w:val="0"/>
        <w:sz w:val="24"/>
        <w:szCs w:val="24"/>
      </w:rPr>
    </w:lvl>
  </w:abstractNum>
  <w:abstractNum w:abstractNumId="29" w15:restartNumberingAfterBreak="0">
    <w:nsid w:val="4D1E3C43"/>
    <w:multiLevelType w:val="multilevel"/>
    <w:tmpl w:val="3EAEF90C"/>
    <w:styleLink w:val="List8"/>
    <w:lvl w:ilvl="0">
      <w:start w:val="1"/>
      <w:numFmt w:val="lowerLetter"/>
      <w:lvlText w:val="%1)"/>
      <w:lvlJc w:val="left"/>
      <w:pPr>
        <w:tabs>
          <w:tab w:val="num" w:pos="1145"/>
        </w:tabs>
        <w:ind w:left="1145" w:hanging="360"/>
      </w:pPr>
      <w:rPr>
        <w:position w:val="0"/>
        <w:sz w:val="24"/>
        <w:szCs w:val="24"/>
      </w:rPr>
    </w:lvl>
    <w:lvl w:ilvl="1">
      <w:start w:val="1"/>
      <w:numFmt w:val="lowerLetter"/>
      <w:lvlText w:val="%2."/>
      <w:lvlJc w:val="left"/>
      <w:pPr>
        <w:tabs>
          <w:tab w:val="num" w:pos="1865"/>
        </w:tabs>
        <w:ind w:left="1865" w:hanging="360"/>
      </w:pPr>
      <w:rPr>
        <w:position w:val="0"/>
        <w:sz w:val="24"/>
        <w:szCs w:val="24"/>
      </w:rPr>
    </w:lvl>
    <w:lvl w:ilvl="2">
      <w:start w:val="1"/>
      <w:numFmt w:val="lowerRoman"/>
      <w:lvlText w:val="%3."/>
      <w:lvlJc w:val="left"/>
      <w:pPr>
        <w:tabs>
          <w:tab w:val="num" w:pos="2585"/>
        </w:tabs>
        <w:ind w:left="2585" w:hanging="296"/>
      </w:pPr>
      <w:rPr>
        <w:position w:val="0"/>
        <w:sz w:val="24"/>
        <w:szCs w:val="24"/>
      </w:rPr>
    </w:lvl>
    <w:lvl w:ilvl="3">
      <w:start w:val="1"/>
      <w:numFmt w:val="decimal"/>
      <w:lvlText w:val="%4."/>
      <w:lvlJc w:val="left"/>
      <w:pPr>
        <w:tabs>
          <w:tab w:val="num" w:pos="3305"/>
        </w:tabs>
        <w:ind w:left="3305" w:hanging="360"/>
      </w:pPr>
      <w:rPr>
        <w:position w:val="0"/>
        <w:sz w:val="24"/>
        <w:szCs w:val="24"/>
      </w:rPr>
    </w:lvl>
    <w:lvl w:ilvl="4">
      <w:start w:val="1"/>
      <w:numFmt w:val="lowerLetter"/>
      <w:lvlText w:val="%5."/>
      <w:lvlJc w:val="left"/>
      <w:pPr>
        <w:tabs>
          <w:tab w:val="num" w:pos="4025"/>
        </w:tabs>
        <w:ind w:left="4025" w:hanging="360"/>
      </w:pPr>
      <w:rPr>
        <w:position w:val="0"/>
        <w:sz w:val="24"/>
        <w:szCs w:val="24"/>
      </w:rPr>
    </w:lvl>
    <w:lvl w:ilvl="5">
      <w:start w:val="1"/>
      <w:numFmt w:val="lowerRoman"/>
      <w:lvlText w:val="%6."/>
      <w:lvlJc w:val="left"/>
      <w:pPr>
        <w:tabs>
          <w:tab w:val="num" w:pos="4745"/>
        </w:tabs>
        <w:ind w:left="4745" w:hanging="296"/>
      </w:pPr>
      <w:rPr>
        <w:position w:val="0"/>
        <w:sz w:val="24"/>
        <w:szCs w:val="24"/>
      </w:rPr>
    </w:lvl>
    <w:lvl w:ilvl="6">
      <w:start w:val="1"/>
      <w:numFmt w:val="decimal"/>
      <w:lvlText w:val="%7."/>
      <w:lvlJc w:val="left"/>
      <w:pPr>
        <w:tabs>
          <w:tab w:val="num" w:pos="5465"/>
        </w:tabs>
        <w:ind w:left="5465" w:hanging="360"/>
      </w:pPr>
      <w:rPr>
        <w:position w:val="0"/>
        <w:sz w:val="24"/>
        <w:szCs w:val="24"/>
      </w:rPr>
    </w:lvl>
    <w:lvl w:ilvl="7">
      <w:start w:val="1"/>
      <w:numFmt w:val="lowerLetter"/>
      <w:lvlText w:val="%8."/>
      <w:lvlJc w:val="left"/>
      <w:pPr>
        <w:tabs>
          <w:tab w:val="num" w:pos="6185"/>
        </w:tabs>
        <w:ind w:left="6185" w:hanging="360"/>
      </w:pPr>
      <w:rPr>
        <w:position w:val="0"/>
        <w:sz w:val="24"/>
        <w:szCs w:val="24"/>
      </w:rPr>
    </w:lvl>
    <w:lvl w:ilvl="8">
      <w:start w:val="1"/>
      <w:numFmt w:val="lowerRoman"/>
      <w:lvlText w:val="%9."/>
      <w:lvlJc w:val="left"/>
      <w:pPr>
        <w:tabs>
          <w:tab w:val="num" w:pos="6905"/>
        </w:tabs>
        <w:ind w:left="6905" w:hanging="296"/>
      </w:pPr>
      <w:rPr>
        <w:position w:val="0"/>
        <w:sz w:val="24"/>
        <w:szCs w:val="24"/>
      </w:rPr>
    </w:lvl>
  </w:abstractNum>
  <w:abstractNum w:abstractNumId="30" w15:restartNumberingAfterBreak="0">
    <w:nsid w:val="4D8525E3"/>
    <w:multiLevelType w:val="multilevel"/>
    <w:tmpl w:val="5FA6EE14"/>
    <w:styleLink w:val="Seznam21"/>
    <w:lvl w:ilvl="0">
      <w:start w:val="1"/>
      <w:numFmt w:val="decimal"/>
      <w:lvlText w:val="(%1)"/>
      <w:lvlJc w:val="left"/>
      <w:pPr>
        <w:ind w:left="0" w:firstLine="0"/>
      </w:pPr>
      <w:rPr>
        <w:position w:val="0"/>
      </w:rPr>
    </w:lvl>
    <w:lvl w:ilvl="1">
      <w:start w:val="1"/>
      <w:numFmt w:val="lowerLetter"/>
      <w:lvlText w:val="%2)"/>
      <w:lvlJc w:val="left"/>
      <w:pPr>
        <w:ind w:left="0" w:firstLine="0"/>
      </w:pPr>
      <w:rPr>
        <w:position w:val="0"/>
      </w:rPr>
    </w:lvl>
    <w:lvl w:ilvl="2">
      <w:start w:val="1"/>
      <w:numFmt w:val="decimal"/>
      <w:lvlText w:val="%3."/>
      <w:lvlJc w:val="left"/>
      <w:pPr>
        <w:ind w:left="0" w:firstLine="0"/>
      </w:pPr>
      <w:rPr>
        <w:position w:val="0"/>
      </w:rPr>
    </w:lvl>
    <w:lvl w:ilvl="3">
      <w:start w:val="1"/>
      <w:numFmt w:val="decimal"/>
      <w:lvlText w:val="(%4)"/>
      <w:lvlJc w:val="left"/>
      <w:pPr>
        <w:ind w:left="0" w:firstLine="0"/>
      </w:pPr>
      <w:rPr>
        <w:position w:val="0"/>
      </w:rPr>
    </w:lvl>
    <w:lvl w:ilvl="4">
      <w:start w:val="1"/>
      <w:numFmt w:val="lowerLetter"/>
      <w:lvlText w:val="(%5)"/>
      <w:lvlJc w:val="left"/>
      <w:pPr>
        <w:ind w:left="0" w:firstLine="0"/>
      </w:pPr>
      <w:rPr>
        <w:position w:val="0"/>
      </w:rPr>
    </w:lvl>
    <w:lvl w:ilvl="5">
      <w:start w:val="1"/>
      <w:numFmt w:val="lowerRoman"/>
      <w:lvlText w:val="(%6)"/>
      <w:lvlJc w:val="left"/>
      <w:pPr>
        <w:ind w:left="0" w:firstLine="0"/>
      </w:pPr>
      <w:rPr>
        <w:position w:val="0"/>
      </w:rPr>
    </w:lvl>
    <w:lvl w:ilvl="6">
      <w:start w:val="1"/>
      <w:numFmt w:val="decimal"/>
      <w:lvlText w:val="%7."/>
      <w:lvlJc w:val="left"/>
      <w:pPr>
        <w:ind w:left="0" w:firstLine="0"/>
      </w:pPr>
      <w:rPr>
        <w:position w:val="0"/>
      </w:rPr>
    </w:lvl>
    <w:lvl w:ilvl="7">
      <w:start w:val="1"/>
      <w:numFmt w:val="lowerLetter"/>
      <w:lvlText w:val="%8."/>
      <w:lvlJc w:val="left"/>
      <w:pPr>
        <w:ind w:left="0" w:firstLine="0"/>
      </w:pPr>
      <w:rPr>
        <w:position w:val="0"/>
      </w:rPr>
    </w:lvl>
    <w:lvl w:ilvl="8">
      <w:start w:val="1"/>
      <w:numFmt w:val="lowerRoman"/>
      <w:lvlText w:val="%9."/>
      <w:lvlJc w:val="left"/>
      <w:pPr>
        <w:ind w:left="0" w:firstLine="0"/>
      </w:pPr>
      <w:rPr>
        <w:position w:val="0"/>
      </w:rPr>
    </w:lvl>
  </w:abstractNum>
  <w:abstractNum w:abstractNumId="31" w15:restartNumberingAfterBreak="0">
    <w:nsid w:val="4FAD698B"/>
    <w:multiLevelType w:val="singleLevel"/>
    <w:tmpl w:val="CDD04226"/>
    <w:lvl w:ilvl="0">
      <w:start w:val="1"/>
      <w:numFmt w:val="decimal"/>
      <w:pStyle w:val="Novelizanbodvpozmn"/>
      <w:lvlText w:val="%1."/>
      <w:lvlJc w:val="right"/>
      <w:pPr>
        <w:tabs>
          <w:tab w:val="num" w:pos="425"/>
        </w:tabs>
        <w:ind w:left="425" w:hanging="425"/>
      </w:pPr>
    </w:lvl>
  </w:abstractNum>
  <w:abstractNum w:abstractNumId="32" w15:restartNumberingAfterBreak="0">
    <w:nsid w:val="52706545"/>
    <w:multiLevelType w:val="hybridMultilevel"/>
    <w:tmpl w:val="CF42BB86"/>
    <w:lvl w:ilvl="0" w:tplc="A10255B0">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536D4DDC"/>
    <w:multiLevelType w:val="multilevel"/>
    <w:tmpl w:val="513AA4CE"/>
    <w:styleLink w:val="List7"/>
    <w:lvl w:ilvl="0">
      <w:start w:val="1"/>
      <w:numFmt w:val="lowerLetter"/>
      <w:lvlText w:val="%1)"/>
      <w:lvlJc w:val="left"/>
      <w:pPr>
        <w:tabs>
          <w:tab w:val="num" w:pos="1145"/>
        </w:tabs>
        <w:ind w:left="1145" w:hanging="360"/>
      </w:pPr>
      <w:rPr>
        <w:position w:val="0"/>
        <w:sz w:val="24"/>
        <w:szCs w:val="24"/>
      </w:rPr>
    </w:lvl>
    <w:lvl w:ilvl="1">
      <w:start w:val="1"/>
      <w:numFmt w:val="lowerLetter"/>
      <w:lvlText w:val="%2."/>
      <w:lvlJc w:val="left"/>
      <w:pPr>
        <w:tabs>
          <w:tab w:val="num" w:pos="1865"/>
        </w:tabs>
        <w:ind w:left="1865" w:hanging="360"/>
      </w:pPr>
      <w:rPr>
        <w:position w:val="0"/>
        <w:sz w:val="24"/>
        <w:szCs w:val="24"/>
      </w:rPr>
    </w:lvl>
    <w:lvl w:ilvl="2">
      <w:start w:val="1"/>
      <w:numFmt w:val="lowerRoman"/>
      <w:lvlText w:val="%3."/>
      <w:lvlJc w:val="left"/>
      <w:pPr>
        <w:tabs>
          <w:tab w:val="num" w:pos="2585"/>
        </w:tabs>
        <w:ind w:left="2585" w:hanging="296"/>
      </w:pPr>
      <w:rPr>
        <w:position w:val="0"/>
        <w:sz w:val="24"/>
        <w:szCs w:val="24"/>
      </w:rPr>
    </w:lvl>
    <w:lvl w:ilvl="3">
      <w:start w:val="1"/>
      <w:numFmt w:val="decimal"/>
      <w:lvlText w:val="%4."/>
      <w:lvlJc w:val="left"/>
      <w:pPr>
        <w:tabs>
          <w:tab w:val="num" w:pos="3305"/>
        </w:tabs>
        <w:ind w:left="3305" w:hanging="360"/>
      </w:pPr>
      <w:rPr>
        <w:position w:val="0"/>
        <w:sz w:val="24"/>
        <w:szCs w:val="24"/>
      </w:rPr>
    </w:lvl>
    <w:lvl w:ilvl="4">
      <w:start w:val="1"/>
      <w:numFmt w:val="lowerLetter"/>
      <w:lvlText w:val="%5."/>
      <w:lvlJc w:val="left"/>
      <w:pPr>
        <w:tabs>
          <w:tab w:val="num" w:pos="4025"/>
        </w:tabs>
        <w:ind w:left="4025" w:hanging="360"/>
      </w:pPr>
      <w:rPr>
        <w:position w:val="0"/>
        <w:sz w:val="24"/>
        <w:szCs w:val="24"/>
      </w:rPr>
    </w:lvl>
    <w:lvl w:ilvl="5">
      <w:start w:val="1"/>
      <w:numFmt w:val="lowerRoman"/>
      <w:lvlText w:val="%6."/>
      <w:lvlJc w:val="left"/>
      <w:pPr>
        <w:tabs>
          <w:tab w:val="num" w:pos="4745"/>
        </w:tabs>
        <w:ind w:left="4745" w:hanging="296"/>
      </w:pPr>
      <w:rPr>
        <w:position w:val="0"/>
        <w:sz w:val="24"/>
        <w:szCs w:val="24"/>
      </w:rPr>
    </w:lvl>
    <w:lvl w:ilvl="6">
      <w:start w:val="1"/>
      <w:numFmt w:val="decimal"/>
      <w:lvlText w:val="%7."/>
      <w:lvlJc w:val="left"/>
      <w:pPr>
        <w:tabs>
          <w:tab w:val="num" w:pos="5465"/>
        </w:tabs>
        <w:ind w:left="5465" w:hanging="360"/>
      </w:pPr>
      <w:rPr>
        <w:position w:val="0"/>
        <w:sz w:val="24"/>
        <w:szCs w:val="24"/>
      </w:rPr>
    </w:lvl>
    <w:lvl w:ilvl="7">
      <w:start w:val="1"/>
      <w:numFmt w:val="lowerLetter"/>
      <w:lvlText w:val="%8."/>
      <w:lvlJc w:val="left"/>
      <w:pPr>
        <w:tabs>
          <w:tab w:val="num" w:pos="6185"/>
        </w:tabs>
        <w:ind w:left="6185" w:hanging="360"/>
      </w:pPr>
      <w:rPr>
        <w:position w:val="0"/>
        <w:sz w:val="24"/>
        <w:szCs w:val="24"/>
      </w:rPr>
    </w:lvl>
    <w:lvl w:ilvl="8">
      <w:start w:val="1"/>
      <w:numFmt w:val="lowerRoman"/>
      <w:lvlText w:val="%9."/>
      <w:lvlJc w:val="left"/>
      <w:pPr>
        <w:tabs>
          <w:tab w:val="num" w:pos="6905"/>
        </w:tabs>
        <w:ind w:left="6905" w:hanging="296"/>
      </w:pPr>
      <w:rPr>
        <w:position w:val="0"/>
        <w:sz w:val="24"/>
        <w:szCs w:val="24"/>
      </w:rPr>
    </w:lvl>
  </w:abstractNum>
  <w:abstractNum w:abstractNumId="34" w15:restartNumberingAfterBreak="0">
    <w:nsid w:val="54910A9D"/>
    <w:multiLevelType w:val="hybridMultilevel"/>
    <w:tmpl w:val="D25CD474"/>
    <w:lvl w:ilvl="0" w:tplc="49768CE0">
      <w:start w:val="1"/>
      <w:numFmt w:val="bullet"/>
      <w:lvlText w:val=""/>
      <w:lvlJc w:val="left"/>
      <w:pPr>
        <w:ind w:left="720" w:hanging="360"/>
      </w:pPr>
      <w:rPr>
        <w:rFonts w:ascii="Wingdings" w:eastAsia="Calibri" w:hAnsi="Wingdings"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5965343C"/>
    <w:multiLevelType w:val="multilevel"/>
    <w:tmpl w:val="44FE45F2"/>
    <w:styleLink w:val="Importovanstyl6"/>
    <w:lvl w:ilvl="0">
      <w:start w:val="6"/>
      <w:numFmt w:val="lowerLetter"/>
      <w:lvlText w:val="%1."/>
      <w:lvlJc w:val="left"/>
      <w:pPr>
        <w:tabs>
          <w:tab w:val="num" w:pos="1407"/>
        </w:tabs>
        <w:ind w:left="1407" w:hanging="615"/>
      </w:pPr>
      <w:rPr>
        <w:b/>
        <w:bCs/>
        <w:i/>
        <w:iCs/>
        <w:position w:val="0"/>
        <w:sz w:val="24"/>
        <w:szCs w:val="24"/>
        <w:u w:val="single"/>
      </w:rPr>
    </w:lvl>
    <w:lvl w:ilvl="1">
      <w:start w:val="1"/>
      <w:numFmt w:val="lowerLetter"/>
      <w:lvlText w:val="%2."/>
      <w:lvlJc w:val="left"/>
      <w:pPr>
        <w:tabs>
          <w:tab w:val="num" w:pos="1872"/>
        </w:tabs>
        <w:ind w:left="1872" w:hanging="360"/>
      </w:pPr>
      <w:rPr>
        <w:b/>
        <w:bCs/>
        <w:i/>
        <w:iCs/>
        <w:position w:val="0"/>
        <w:sz w:val="24"/>
        <w:szCs w:val="24"/>
        <w:u w:val="single"/>
      </w:rPr>
    </w:lvl>
    <w:lvl w:ilvl="2">
      <w:start w:val="1"/>
      <w:numFmt w:val="lowerRoman"/>
      <w:lvlText w:val="%3."/>
      <w:lvlJc w:val="left"/>
      <w:pPr>
        <w:tabs>
          <w:tab w:val="num" w:pos="2592"/>
        </w:tabs>
        <w:ind w:left="2592" w:hanging="296"/>
      </w:pPr>
      <w:rPr>
        <w:b/>
        <w:bCs/>
        <w:i/>
        <w:iCs/>
        <w:position w:val="0"/>
        <w:sz w:val="24"/>
        <w:szCs w:val="24"/>
        <w:u w:val="single"/>
      </w:rPr>
    </w:lvl>
    <w:lvl w:ilvl="3">
      <w:start w:val="1"/>
      <w:numFmt w:val="decimal"/>
      <w:lvlText w:val="%4."/>
      <w:lvlJc w:val="left"/>
      <w:pPr>
        <w:tabs>
          <w:tab w:val="num" w:pos="3312"/>
        </w:tabs>
        <w:ind w:left="3312" w:hanging="360"/>
      </w:pPr>
      <w:rPr>
        <w:b/>
        <w:bCs/>
        <w:i/>
        <w:iCs/>
        <w:position w:val="0"/>
        <w:sz w:val="24"/>
        <w:szCs w:val="24"/>
        <w:u w:val="single"/>
      </w:rPr>
    </w:lvl>
    <w:lvl w:ilvl="4">
      <w:start w:val="1"/>
      <w:numFmt w:val="lowerLetter"/>
      <w:lvlText w:val="%5."/>
      <w:lvlJc w:val="left"/>
      <w:pPr>
        <w:tabs>
          <w:tab w:val="num" w:pos="4032"/>
        </w:tabs>
        <w:ind w:left="4032" w:hanging="360"/>
      </w:pPr>
      <w:rPr>
        <w:b/>
        <w:bCs/>
        <w:i/>
        <w:iCs/>
        <w:position w:val="0"/>
        <w:sz w:val="24"/>
        <w:szCs w:val="24"/>
        <w:u w:val="single"/>
      </w:rPr>
    </w:lvl>
    <w:lvl w:ilvl="5">
      <w:start w:val="1"/>
      <w:numFmt w:val="lowerRoman"/>
      <w:lvlText w:val="%6."/>
      <w:lvlJc w:val="left"/>
      <w:pPr>
        <w:tabs>
          <w:tab w:val="num" w:pos="4752"/>
        </w:tabs>
        <w:ind w:left="4752" w:hanging="296"/>
      </w:pPr>
      <w:rPr>
        <w:b/>
        <w:bCs/>
        <w:i/>
        <w:iCs/>
        <w:position w:val="0"/>
        <w:sz w:val="24"/>
        <w:szCs w:val="24"/>
        <w:u w:val="single"/>
      </w:rPr>
    </w:lvl>
    <w:lvl w:ilvl="6">
      <w:start w:val="1"/>
      <w:numFmt w:val="decimal"/>
      <w:lvlText w:val="%7."/>
      <w:lvlJc w:val="left"/>
      <w:pPr>
        <w:tabs>
          <w:tab w:val="num" w:pos="5472"/>
        </w:tabs>
        <w:ind w:left="5472" w:hanging="360"/>
      </w:pPr>
      <w:rPr>
        <w:b/>
        <w:bCs/>
        <w:i/>
        <w:iCs/>
        <w:position w:val="0"/>
        <w:sz w:val="24"/>
        <w:szCs w:val="24"/>
        <w:u w:val="single"/>
      </w:rPr>
    </w:lvl>
    <w:lvl w:ilvl="7">
      <w:start w:val="1"/>
      <w:numFmt w:val="lowerLetter"/>
      <w:lvlText w:val="%8."/>
      <w:lvlJc w:val="left"/>
      <w:pPr>
        <w:tabs>
          <w:tab w:val="num" w:pos="6192"/>
        </w:tabs>
        <w:ind w:left="6192" w:hanging="360"/>
      </w:pPr>
      <w:rPr>
        <w:b/>
        <w:bCs/>
        <w:i/>
        <w:iCs/>
        <w:position w:val="0"/>
        <w:sz w:val="24"/>
        <w:szCs w:val="24"/>
        <w:u w:val="single"/>
      </w:rPr>
    </w:lvl>
    <w:lvl w:ilvl="8">
      <w:start w:val="1"/>
      <w:numFmt w:val="lowerRoman"/>
      <w:lvlText w:val="%9."/>
      <w:lvlJc w:val="left"/>
      <w:pPr>
        <w:tabs>
          <w:tab w:val="num" w:pos="6912"/>
        </w:tabs>
        <w:ind w:left="6912" w:hanging="296"/>
      </w:pPr>
      <w:rPr>
        <w:b/>
        <w:bCs/>
        <w:i/>
        <w:iCs/>
        <w:position w:val="0"/>
        <w:sz w:val="24"/>
        <w:szCs w:val="24"/>
        <w:u w:val="single"/>
      </w:rPr>
    </w:lvl>
  </w:abstractNum>
  <w:abstractNum w:abstractNumId="36" w15:restartNumberingAfterBreak="0">
    <w:nsid w:val="5E995171"/>
    <w:multiLevelType w:val="multilevel"/>
    <w:tmpl w:val="4C8E6C3E"/>
    <w:styleLink w:val="Seznam31"/>
    <w:lvl w:ilvl="0">
      <w:start w:val="1"/>
      <w:numFmt w:val="decimal"/>
      <w:lvlText w:val="(%1)"/>
      <w:lvlJc w:val="left"/>
      <w:pPr>
        <w:ind w:left="0" w:firstLine="0"/>
      </w:pPr>
      <w:rPr>
        <w:rFonts w:ascii="Times New Roman" w:eastAsia="Arial Unicode MS" w:hAnsi="Times New Roman" w:cs="Times New Roman"/>
        <w:position w:val="0"/>
      </w:rPr>
    </w:lvl>
    <w:lvl w:ilvl="1">
      <w:start w:val="1"/>
      <w:numFmt w:val="lowerLetter"/>
      <w:lvlText w:val="%2)"/>
      <w:lvlJc w:val="left"/>
      <w:pPr>
        <w:ind w:left="0" w:firstLine="0"/>
      </w:pPr>
      <w:rPr>
        <w:position w:val="0"/>
      </w:rPr>
    </w:lvl>
    <w:lvl w:ilvl="2">
      <w:start w:val="1"/>
      <w:numFmt w:val="decimal"/>
      <w:lvlText w:val="%3."/>
      <w:lvlJc w:val="left"/>
      <w:pPr>
        <w:ind w:left="0" w:firstLine="0"/>
      </w:pPr>
      <w:rPr>
        <w:position w:val="0"/>
      </w:rPr>
    </w:lvl>
    <w:lvl w:ilvl="3">
      <w:start w:val="1"/>
      <w:numFmt w:val="decimal"/>
      <w:lvlText w:val="(%4)"/>
      <w:lvlJc w:val="left"/>
      <w:pPr>
        <w:ind w:left="0" w:firstLine="0"/>
      </w:pPr>
      <w:rPr>
        <w:position w:val="0"/>
      </w:rPr>
    </w:lvl>
    <w:lvl w:ilvl="4">
      <w:start w:val="1"/>
      <w:numFmt w:val="lowerLetter"/>
      <w:lvlText w:val="(%5)"/>
      <w:lvlJc w:val="left"/>
      <w:pPr>
        <w:ind w:left="0" w:firstLine="0"/>
      </w:pPr>
      <w:rPr>
        <w:position w:val="0"/>
      </w:rPr>
    </w:lvl>
    <w:lvl w:ilvl="5">
      <w:start w:val="1"/>
      <w:numFmt w:val="lowerRoman"/>
      <w:lvlText w:val="(%6)"/>
      <w:lvlJc w:val="left"/>
      <w:pPr>
        <w:ind w:left="0" w:firstLine="0"/>
      </w:pPr>
      <w:rPr>
        <w:position w:val="0"/>
      </w:rPr>
    </w:lvl>
    <w:lvl w:ilvl="6">
      <w:start w:val="1"/>
      <w:numFmt w:val="decimal"/>
      <w:lvlText w:val="%7."/>
      <w:lvlJc w:val="left"/>
      <w:pPr>
        <w:ind w:left="0" w:firstLine="0"/>
      </w:pPr>
      <w:rPr>
        <w:position w:val="0"/>
      </w:rPr>
    </w:lvl>
    <w:lvl w:ilvl="7">
      <w:start w:val="1"/>
      <w:numFmt w:val="lowerLetter"/>
      <w:lvlText w:val="%8."/>
      <w:lvlJc w:val="left"/>
      <w:pPr>
        <w:ind w:left="0" w:firstLine="0"/>
      </w:pPr>
      <w:rPr>
        <w:position w:val="0"/>
      </w:rPr>
    </w:lvl>
    <w:lvl w:ilvl="8">
      <w:start w:val="1"/>
      <w:numFmt w:val="lowerRoman"/>
      <w:lvlText w:val="%9."/>
      <w:lvlJc w:val="left"/>
      <w:pPr>
        <w:ind w:left="0" w:firstLine="0"/>
      </w:pPr>
      <w:rPr>
        <w:position w:val="0"/>
      </w:rPr>
    </w:lvl>
  </w:abstractNum>
  <w:abstractNum w:abstractNumId="37" w15:restartNumberingAfterBreak="0">
    <w:nsid w:val="62F40433"/>
    <w:multiLevelType w:val="hybridMultilevel"/>
    <w:tmpl w:val="5CB631E8"/>
    <w:lvl w:ilvl="0" w:tplc="CA00F590">
      <w:start w:val="2"/>
      <w:numFmt w:val="bullet"/>
      <w:pStyle w:val="za1"/>
      <w:lvlText w:val="-"/>
      <w:lvlJc w:val="left"/>
      <w:pPr>
        <w:ind w:left="1429" w:hanging="360"/>
      </w:pPr>
      <w:rPr>
        <w:rFonts w:ascii="Times New Roman" w:eastAsia="Calibri" w:hAnsi="Times New Roman" w:cs="Times New Roman" w:hint="default"/>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start w:val="1"/>
      <w:numFmt w:val="bullet"/>
      <w:lvlText w:val=""/>
      <w:lvlJc w:val="left"/>
      <w:pPr>
        <w:ind w:left="3589" w:hanging="360"/>
      </w:pPr>
      <w:rPr>
        <w:rFonts w:ascii="Symbol" w:hAnsi="Symbol" w:hint="default"/>
      </w:rPr>
    </w:lvl>
    <w:lvl w:ilvl="4" w:tplc="04050003">
      <w:start w:val="1"/>
      <w:numFmt w:val="bullet"/>
      <w:lvlText w:val="o"/>
      <w:lvlJc w:val="left"/>
      <w:pPr>
        <w:ind w:left="4309" w:hanging="360"/>
      </w:pPr>
      <w:rPr>
        <w:rFonts w:ascii="Courier New" w:hAnsi="Courier New" w:cs="Courier New" w:hint="default"/>
      </w:rPr>
    </w:lvl>
    <w:lvl w:ilvl="5" w:tplc="04050005">
      <w:start w:val="1"/>
      <w:numFmt w:val="bullet"/>
      <w:lvlText w:val=""/>
      <w:lvlJc w:val="left"/>
      <w:pPr>
        <w:ind w:left="5029" w:hanging="360"/>
      </w:pPr>
      <w:rPr>
        <w:rFonts w:ascii="Wingdings" w:hAnsi="Wingdings" w:hint="default"/>
      </w:rPr>
    </w:lvl>
    <w:lvl w:ilvl="6" w:tplc="04050001">
      <w:start w:val="1"/>
      <w:numFmt w:val="bullet"/>
      <w:lvlText w:val=""/>
      <w:lvlJc w:val="left"/>
      <w:pPr>
        <w:ind w:left="5749" w:hanging="360"/>
      </w:pPr>
      <w:rPr>
        <w:rFonts w:ascii="Symbol" w:hAnsi="Symbol" w:hint="default"/>
      </w:rPr>
    </w:lvl>
    <w:lvl w:ilvl="7" w:tplc="04050003">
      <w:start w:val="1"/>
      <w:numFmt w:val="bullet"/>
      <w:lvlText w:val="o"/>
      <w:lvlJc w:val="left"/>
      <w:pPr>
        <w:ind w:left="6469" w:hanging="360"/>
      </w:pPr>
      <w:rPr>
        <w:rFonts w:ascii="Courier New" w:hAnsi="Courier New" w:cs="Courier New" w:hint="default"/>
      </w:rPr>
    </w:lvl>
    <w:lvl w:ilvl="8" w:tplc="04050005">
      <w:start w:val="1"/>
      <w:numFmt w:val="bullet"/>
      <w:lvlText w:val=""/>
      <w:lvlJc w:val="left"/>
      <w:pPr>
        <w:ind w:left="7189" w:hanging="360"/>
      </w:pPr>
      <w:rPr>
        <w:rFonts w:ascii="Wingdings" w:hAnsi="Wingdings" w:hint="default"/>
      </w:rPr>
    </w:lvl>
  </w:abstractNum>
  <w:abstractNum w:abstractNumId="38" w15:restartNumberingAfterBreak="0">
    <w:nsid w:val="63A91C14"/>
    <w:multiLevelType w:val="multilevel"/>
    <w:tmpl w:val="DBB8CFDC"/>
    <w:styleLink w:val="List6"/>
    <w:lvl w:ilvl="0">
      <w:start w:val="2"/>
      <w:numFmt w:val="decimal"/>
      <w:lvlText w:val="(%1)"/>
      <w:lvlJc w:val="left"/>
      <w:pPr>
        <w:ind w:left="0" w:firstLine="0"/>
      </w:pPr>
      <w:rPr>
        <w:position w:val="0"/>
      </w:rPr>
    </w:lvl>
    <w:lvl w:ilvl="1">
      <w:start w:val="1"/>
      <w:numFmt w:val="lowerLetter"/>
      <w:lvlText w:val="%2)"/>
      <w:lvlJc w:val="left"/>
      <w:pPr>
        <w:ind w:left="0" w:firstLine="0"/>
      </w:pPr>
      <w:rPr>
        <w:position w:val="0"/>
      </w:rPr>
    </w:lvl>
    <w:lvl w:ilvl="2">
      <w:start w:val="1"/>
      <w:numFmt w:val="decimal"/>
      <w:lvlText w:val="%3."/>
      <w:lvlJc w:val="left"/>
      <w:pPr>
        <w:ind w:left="0" w:firstLine="0"/>
      </w:pPr>
      <w:rPr>
        <w:position w:val="0"/>
      </w:rPr>
    </w:lvl>
    <w:lvl w:ilvl="3">
      <w:start w:val="1"/>
      <w:numFmt w:val="decimal"/>
      <w:lvlText w:val="(%4)"/>
      <w:lvlJc w:val="left"/>
      <w:pPr>
        <w:ind w:left="0" w:firstLine="0"/>
      </w:pPr>
      <w:rPr>
        <w:position w:val="0"/>
      </w:rPr>
    </w:lvl>
    <w:lvl w:ilvl="4">
      <w:start w:val="1"/>
      <w:numFmt w:val="lowerLetter"/>
      <w:lvlText w:val="(%5)"/>
      <w:lvlJc w:val="left"/>
      <w:pPr>
        <w:ind w:left="0" w:firstLine="0"/>
      </w:pPr>
      <w:rPr>
        <w:position w:val="0"/>
      </w:rPr>
    </w:lvl>
    <w:lvl w:ilvl="5">
      <w:start w:val="1"/>
      <w:numFmt w:val="lowerRoman"/>
      <w:lvlText w:val="(%6)"/>
      <w:lvlJc w:val="left"/>
      <w:pPr>
        <w:ind w:left="0" w:firstLine="0"/>
      </w:pPr>
      <w:rPr>
        <w:position w:val="0"/>
      </w:rPr>
    </w:lvl>
    <w:lvl w:ilvl="6">
      <w:start w:val="1"/>
      <w:numFmt w:val="decimal"/>
      <w:lvlText w:val="%7."/>
      <w:lvlJc w:val="left"/>
      <w:pPr>
        <w:ind w:left="0" w:firstLine="0"/>
      </w:pPr>
      <w:rPr>
        <w:position w:val="0"/>
      </w:rPr>
    </w:lvl>
    <w:lvl w:ilvl="7">
      <w:start w:val="1"/>
      <w:numFmt w:val="lowerLetter"/>
      <w:lvlText w:val="%8."/>
      <w:lvlJc w:val="left"/>
      <w:pPr>
        <w:ind w:left="0" w:firstLine="0"/>
      </w:pPr>
      <w:rPr>
        <w:position w:val="0"/>
      </w:rPr>
    </w:lvl>
    <w:lvl w:ilvl="8">
      <w:start w:val="1"/>
      <w:numFmt w:val="lowerRoman"/>
      <w:lvlText w:val="%9."/>
      <w:lvlJc w:val="left"/>
      <w:pPr>
        <w:ind w:left="0" w:firstLine="0"/>
      </w:pPr>
      <w:rPr>
        <w:position w:val="0"/>
      </w:rPr>
    </w:lvl>
  </w:abstractNum>
  <w:abstractNum w:abstractNumId="39" w15:restartNumberingAfterBreak="0">
    <w:nsid w:val="676C5C62"/>
    <w:multiLevelType w:val="hybridMultilevel"/>
    <w:tmpl w:val="C1F8026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0"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1" w15:restartNumberingAfterBreak="0">
    <w:nsid w:val="6BB84715"/>
    <w:multiLevelType w:val="multilevel"/>
    <w:tmpl w:val="816A3CAE"/>
    <w:styleLink w:val="List17"/>
    <w:lvl w:ilvl="0">
      <w:start w:val="3"/>
      <w:numFmt w:val="lowerLetter"/>
      <w:lvlText w:val="%1)"/>
      <w:lvlJc w:val="left"/>
      <w:pPr>
        <w:tabs>
          <w:tab w:val="num" w:pos="720"/>
        </w:tabs>
        <w:ind w:left="720" w:hanging="360"/>
      </w:pPr>
      <w:rPr>
        <w:position w:val="0"/>
        <w:sz w:val="24"/>
        <w:szCs w:val="24"/>
      </w:rPr>
    </w:lvl>
    <w:lvl w:ilvl="1">
      <w:start w:val="1"/>
      <w:numFmt w:val="lowerLetter"/>
      <w:lvlText w:val="%2."/>
      <w:lvlJc w:val="left"/>
      <w:pPr>
        <w:tabs>
          <w:tab w:val="num" w:pos="1440"/>
        </w:tabs>
        <w:ind w:left="1440" w:hanging="360"/>
      </w:pPr>
      <w:rPr>
        <w:position w:val="0"/>
        <w:sz w:val="24"/>
        <w:szCs w:val="24"/>
      </w:rPr>
    </w:lvl>
    <w:lvl w:ilvl="2">
      <w:start w:val="1"/>
      <w:numFmt w:val="lowerRoman"/>
      <w:lvlText w:val="%3."/>
      <w:lvlJc w:val="left"/>
      <w:pPr>
        <w:tabs>
          <w:tab w:val="num" w:pos="2160"/>
        </w:tabs>
        <w:ind w:left="2160" w:hanging="296"/>
      </w:pPr>
      <w:rPr>
        <w:position w:val="0"/>
        <w:sz w:val="24"/>
        <w:szCs w:val="24"/>
      </w:rPr>
    </w:lvl>
    <w:lvl w:ilvl="3">
      <w:start w:val="1"/>
      <w:numFmt w:val="decimal"/>
      <w:lvlText w:val="%4."/>
      <w:lvlJc w:val="left"/>
      <w:pPr>
        <w:tabs>
          <w:tab w:val="num" w:pos="2880"/>
        </w:tabs>
        <w:ind w:left="2880" w:hanging="360"/>
      </w:pPr>
      <w:rPr>
        <w:position w:val="0"/>
        <w:sz w:val="24"/>
        <w:szCs w:val="24"/>
      </w:rPr>
    </w:lvl>
    <w:lvl w:ilvl="4">
      <w:start w:val="1"/>
      <w:numFmt w:val="lowerLetter"/>
      <w:lvlText w:val="%5."/>
      <w:lvlJc w:val="left"/>
      <w:pPr>
        <w:tabs>
          <w:tab w:val="num" w:pos="3600"/>
        </w:tabs>
        <w:ind w:left="3600" w:hanging="360"/>
      </w:pPr>
      <w:rPr>
        <w:position w:val="0"/>
        <w:sz w:val="24"/>
        <w:szCs w:val="24"/>
      </w:rPr>
    </w:lvl>
    <w:lvl w:ilvl="5">
      <w:start w:val="1"/>
      <w:numFmt w:val="lowerRoman"/>
      <w:lvlText w:val="%6."/>
      <w:lvlJc w:val="left"/>
      <w:pPr>
        <w:tabs>
          <w:tab w:val="num" w:pos="4320"/>
        </w:tabs>
        <w:ind w:left="4320" w:hanging="296"/>
      </w:pPr>
      <w:rPr>
        <w:position w:val="0"/>
        <w:sz w:val="24"/>
        <w:szCs w:val="24"/>
      </w:rPr>
    </w:lvl>
    <w:lvl w:ilvl="6">
      <w:start w:val="1"/>
      <w:numFmt w:val="decimal"/>
      <w:lvlText w:val="%7."/>
      <w:lvlJc w:val="left"/>
      <w:pPr>
        <w:tabs>
          <w:tab w:val="num" w:pos="5040"/>
        </w:tabs>
        <w:ind w:left="5040" w:hanging="360"/>
      </w:pPr>
      <w:rPr>
        <w:position w:val="0"/>
        <w:sz w:val="24"/>
        <w:szCs w:val="24"/>
      </w:rPr>
    </w:lvl>
    <w:lvl w:ilvl="7">
      <w:start w:val="1"/>
      <w:numFmt w:val="lowerLetter"/>
      <w:lvlText w:val="%8."/>
      <w:lvlJc w:val="left"/>
      <w:pPr>
        <w:tabs>
          <w:tab w:val="num" w:pos="5760"/>
        </w:tabs>
        <w:ind w:left="5760" w:hanging="360"/>
      </w:pPr>
      <w:rPr>
        <w:position w:val="0"/>
        <w:sz w:val="24"/>
        <w:szCs w:val="24"/>
      </w:rPr>
    </w:lvl>
    <w:lvl w:ilvl="8">
      <w:start w:val="1"/>
      <w:numFmt w:val="lowerRoman"/>
      <w:lvlText w:val="%9."/>
      <w:lvlJc w:val="left"/>
      <w:pPr>
        <w:tabs>
          <w:tab w:val="num" w:pos="6480"/>
        </w:tabs>
        <w:ind w:left="6480" w:hanging="296"/>
      </w:pPr>
      <w:rPr>
        <w:position w:val="0"/>
        <w:sz w:val="24"/>
        <w:szCs w:val="24"/>
      </w:rPr>
    </w:lvl>
  </w:abstractNum>
  <w:abstractNum w:abstractNumId="42" w15:restartNumberingAfterBreak="0">
    <w:nsid w:val="6D873467"/>
    <w:multiLevelType w:val="multilevel"/>
    <w:tmpl w:val="2BB41216"/>
    <w:styleLink w:val="List23"/>
    <w:lvl w:ilvl="0">
      <w:start w:val="1"/>
      <w:numFmt w:val="decimal"/>
      <w:lvlText w:val="%1."/>
      <w:lvlJc w:val="left"/>
      <w:pPr>
        <w:tabs>
          <w:tab w:val="num" w:pos="720"/>
        </w:tabs>
        <w:ind w:left="720" w:hanging="360"/>
      </w:pPr>
      <w:rPr>
        <w:position w:val="0"/>
        <w:sz w:val="24"/>
        <w:szCs w:val="24"/>
      </w:rPr>
    </w:lvl>
    <w:lvl w:ilvl="1">
      <w:start w:val="1"/>
      <w:numFmt w:val="lowerLetter"/>
      <w:lvlText w:val="%2."/>
      <w:lvlJc w:val="left"/>
      <w:pPr>
        <w:tabs>
          <w:tab w:val="num" w:pos="1440"/>
        </w:tabs>
        <w:ind w:left="1440" w:hanging="360"/>
      </w:pPr>
      <w:rPr>
        <w:position w:val="0"/>
        <w:sz w:val="24"/>
        <w:szCs w:val="24"/>
      </w:rPr>
    </w:lvl>
    <w:lvl w:ilvl="2">
      <w:start w:val="1"/>
      <w:numFmt w:val="lowerRoman"/>
      <w:lvlText w:val="%3."/>
      <w:lvlJc w:val="left"/>
      <w:pPr>
        <w:tabs>
          <w:tab w:val="num" w:pos="2160"/>
        </w:tabs>
        <w:ind w:left="2160" w:hanging="296"/>
      </w:pPr>
      <w:rPr>
        <w:position w:val="0"/>
        <w:sz w:val="24"/>
        <w:szCs w:val="24"/>
      </w:rPr>
    </w:lvl>
    <w:lvl w:ilvl="3">
      <w:start w:val="1"/>
      <w:numFmt w:val="decimal"/>
      <w:lvlText w:val="%4."/>
      <w:lvlJc w:val="left"/>
      <w:pPr>
        <w:tabs>
          <w:tab w:val="num" w:pos="2880"/>
        </w:tabs>
        <w:ind w:left="2880" w:hanging="360"/>
      </w:pPr>
      <w:rPr>
        <w:position w:val="0"/>
        <w:sz w:val="24"/>
        <w:szCs w:val="24"/>
      </w:rPr>
    </w:lvl>
    <w:lvl w:ilvl="4">
      <w:start w:val="1"/>
      <w:numFmt w:val="lowerLetter"/>
      <w:lvlText w:val="%5."/>
      <w:lvlJc w:val="left"/>
      <w:pPr>
        <w:tabs>
          <w:tab w:val="num" w:pos="3600"/>
        </w:tabs>
        <w:ind w:left="3600" w:hanging="360"/>
      </w:pPr>
      <w:rPr>
        <w:position w:val="0"/>
        <w:sz w:val="24"/>
        <w:szCs w:val="24"/>
      </w:rPr>
    </w:lvl>
    <w:lvl w:ilvl="5">
      <w:start w:val="1"/>
      <w:numFmt w:val="lowerRoman"/>
      <w:lvlText w:val="%6."/>
      <w:lvlJc w:val="left"/>
      <w:pPr>
        <w:tabs>
          <w:tab w:val="num" w:pos="4320"/>
        </w:tabs>
        <w:ind w:left="4320" w:hanging="296"/>
      </w:pPr>
      <w:rPr>
        <w:position w:val="0"/>
        <w:sz w:val="24"/>
        <w:szCs w:val="24"/>
      </w:rPr>
    </w:lvl>
    <w:lvl w:ilvl="6">
      <w:start w:val="1"/>
      <w:numFmt w:val="decimal"/>
      <w:lvlText w:val="%7."/>
      <w:lvlJc w:val="left"/>
      <w:pPr>
        <w:tabs>
          <w:tab w:val="num" w:pos="5040"/>
        </w:tabs>
        <w:ind w:left="5040" w:hanging="360"/>
      </w:pPr>
      <w:rPr>
        <w:position w:val="0"/>
        <w:sz w:val="24"/>
        <w:szCs w:val="24"/>
      </w:rPr>
    </w:lvl>
    <w:lvl w:ilvl="7">
      <w:start w:val="1"/>
      <w:numFmt w:val="lowerLetter"/>
      <w:lvlText w:val="%8."/>
      <w:lvlJc w:val="left"/>
      <w:pPr>
        <w:tabs>
          <w:tab w:val="num" w:pos="5760"/>
        </w:tabs>
        <w:ind w:left="5760" w:hanging="360"/>
      </w:pPr>
      <w:rPr>
        <w:position w:val="0"/>
        <w:sz w:val="24"/>
        <w:szCs w:val="24"/>
      </w:rPr>
    </w:lvl>
    <w:lvl w:ilvl="8">
      <w:start w:val="1"/>
      <w:numFmt w:val="lowerRoman"/>
      <w:lvlText w:val="%9."/>
      <w:lvlJc w:val="left"/>
      <w:pPr>
        <w:tabs>
          <w:tab w:val="num" w:pos="6480"/>
        </w:tabs>
        <w:ind w:left="6480" w:hanging="296"/>
      </w:pPr>
      <w:rPr>
        <w:position w:val="0"/>
        <w:sz w:val="24"/>
        <w:szCs w:val="24"/>
      </w:rPr>
    </w:lvl>
  </w:abstractNum>
  <w:abstractNum w:abstractNumId="43" w15:restartNumberingAfterBreak="0">
    <w:nsid w:val="6F0D16C3"/>
    <w:multiLevelType w:val="hybridMultilevel"/>
    <w:tmpl w:val="D3F4F6AC"/>
    <w:lvl w:ilvl="0" w:tplc="0DAC0630">
      <w:start w:val="1"/>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11034A5"/>
    <w:multiLevelType w:val="multilevel"/>
    <w:tmpl w:val="9E6E55EE"/>
    <w:styleLink w:val="List20"/>
    <w:lvl w:ilvl="0">
      <w:start w:val="1"/>
      <w:numFmt w:val="decimal"/>
      <w:lvlText w:val="(%1)"/>
      <w:lvlJc w:val="left"/>
      <w:pPr>
        <w:tabs>
          <w:tab w:val="num" w:pos="708"/>
        </w:tabs>
        <w:ind w:left="708" w:hanging="708"/>
      </w:pPr>
      <w:rPr>
        <w:position w:val="0"/>
        <w:sz w:val="24"/>
        <w:szCs w:val="24"/>
      </w:rPr>
    </w:lvl>
    <w:lvl w:ilvl="1">
      <w:start w:val="1"/>
      <w:numFmt w:val="lowerLetter"/>
      <w:lvlText w:val="%2)"/>
      <w:lvlJc w:val="left"/>
      <w:pPr>
        <w:tabs>
          <w:tab w:val="num" w:pos="425"/>
        </w:tabs>
        <w:ind w:left="425" w:hanging="425"/>
      </w:pPr>
      <w:rPr>
        <w:position w:val="0"/>
        <w:sz w:val="24"/>
        <w:szCs w:val="24"/>
      </w:rPr>
    </w:lvl>
    <w:lvl w:ilvl="2">
      <w:start w:val="1"/>
      <w:numFmt w:val="decimal"/>
      <w:lvlText w:val="%3."/>
      <w:lvlJc w:val="left"/>
      <w:pPr>
        <w:tabs>
          <w:tab w:val="num" w:pos="850"/>
        </w:tabs>
        <w:ind w:left="850" w:hanging="425"/>
      </w:pPr>
      <w:rPr>
        <w:position w:val="0"/>
        <w:sz w:val="24"/>
        <w:szCs w:val="24"/>
      </w:rPr>
    </w:lvl>
    <w:lvl w:ilvl="3">
      <w:start w:val="1"/>
      <w:numFmt w:val="decimal"/>
      <w:lvlText w:val="(%4)"/>
      <w:lvlJc w:val="left"/>
      <w:pPr>
        <w:tabs>
          <w:tab w:val="num" w:pos="1440"/>
        </w:tabs>
        <w:ind w:left="1440" w:hanging="360"/>
      </w:pPr>
      <w:rPr>
        <w:position w:val="0"/>
        <w:sz w:val="24"/>
        <w:szCs w:val="24"/>
      </w:rPr>
    </w:lvl>
    <w:lvl w:ilvl="4">
      <w:start w:val="1"/>
      <w:numFmt w:val="lowerLetter"/>
      <w:lvlText w:val="(%5)"/>
      <w:lvlJc w:val="left"/>
      <w:pPr>
        <w:tabs>
          <w:tab w:val="num" w:pos="1800"/>
        </w:tabs>
        <w:ind w:left="1800" w:hanging="360"/>
      </w:pPr>
      <w:rPr>
        <w:position w:val="0"/>
        <w:sz w:val="24"/>
        <w:szCs w:val="24"/>
      </w:rPr>
    </w:lvl>
    <w:lvl w:ilvl="5">
      <w:start w:val="1"/>
      <w:numFmt w:val="lowerRoman"/>
      <w:lvlText w:val="(%6)"/>
      <w:lvlJc w:val="left"/>
      <w:pPr>
        <w:tabs>
          <w:tab w:val="num" w:pos="2160"/>
        </w:tabs>
        <w:ind w:left="2160" w:hanging="360"/>
      </w:pPr>
      <w:rPr>
        <w:position w:val="0"/>
        <w:sz w:val="24"/>
        <w:szCs w:val="24"/>
      </w:rPr>
    </w:lvl>
    <w:lvl w:ilvl="6">
      <w:start w:val="1"/>
      <w:numFmt w:val="decimal"/>
      <w:lvlText w:val="%7."/>
      <w:lvlJc w:val="left"/>
      <w:pPr>
        <w:tabs>
          <w:tab w:val="num" w:pos="2520"/>
        </w:tabs>
        <w:ind w:left="2520" w:hanging="360"/>
      </w:pPr>
      <w:rPr>
        <w:position w:val="0"/>
        <w:sz w:val="24"/>
        <w:szCs w:val="24"/>
      </w:rPr>
    </w:lvl>
    <w:lvl w:ilvl="7">
      <w:start w:val="1"/>
      <w:numFmt w:val="lowerLetter"/>
      <w:lvlText w:val="%8."/>
      <w:lvlJc w:val="left"/>
      <w:pPr>
        <w:tabs>
          <w:tab w:val="num" w:pos="2880"/>
        </w:tabs>
        <w:ind w:left="2880" w:hanging="360"/>
      </w:pPr>
      <w:rPr>
        <w:position w:val="0"/>
        <w:sz w:val="24"/>
        <w:szCs w:val="24"/>
      </w:rPr>
    </w:lvl>
    <w:lvl w:ilvl="8">
      <w:start w:val="1"/>
      <w:numFmt w:val="lowerRoman"/>
      <w:lvlText w:val="%9."/>
      <w:lvlJc w:val="left"/>
      <w:pPr>
        <w:tabs>
          <w:tab w:val="num" w:pos="3240"/>
        </w:tabs>
        <w:ind w:left="3240" w:hanging="360"/>
      </w:pPr>
      <w:rPr>
        <w:position w:val="0"/>
        <w:sz w:val="24"/>
        <w:szCs w:val="24"/>
      </w:rPr>
    </w:lvl>
  </w:abstractNum>
  <w:abstractNum w:abstractNumId="45" w15:restartNumberingAfterBreak="0">
    <w:nsid w:val="71940B71"/>
    <w:multiLevelType w:val="singleLevel"/>
    <w:tmpl w:val="F57296B2"/>
    <w:lvl w:ilvl="0">
      <w:start w:val="1"/>
      <w:numFmt w:val="lowerLetter"/>
      <w:pStyle w:val="Zkladntextodsazen3"/>
      <w:lvlText w:val="%1)"/>
      <w:lvlJc w:val="left"/>
      <w:pPr>
        <w:tabs>
          <w:tab w:val="num" w:pos="705"/>
        </w:tabs>
        <w:ind w:left="705" w:hanging="705"/>
      </w:pPr>
      <w:rPr>
        <w:rFonts w:hint="default"/>
      </w:rPr>
    </w:lvl>
  </w:abstractNum>
  <w:abstractNum w:abstractNumId="46" w15:restartNumberingAfterBreak="0">
    <w:nsid w:val="75BC716F"/>
    <w:multiLevelType w:val="hybridMultilevel"/>
    <w:tmpl w:val="AC9C787C"/>
    <w:lvl w:ilvl="0" w:tplc="514EA0A0">
      <w:start w:val="1"/>
      <w:numFmt w:val="bullet"/>
      <w:lvlText w:val="-"/>
      <w:lvlJc w:val="left"/>
      <w:pPr>
        <w:ind w:left="720" w:hanging="360"/>
      </w:pPr>
      <w:rPr>
        <w:rFonts w:ascii="Times New Roman" w:eastAsia="Calibr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92F4A6C"/>
    <w:multiLevelType w:val="hybridMultilevel"/>
    <w:tmpl w:val="6BB67EC4"/>
    <w:lvl w:ilvl="0" w:tplc="192AC620">
      <w:start w:val="1"/>
      <w:numFmt w:val="upperRoman"/>
      <w:lvlText w:val="%1."/>
      <w:lvlJc w:val="left"/>
      <w:pPr>
        <w:ind w:left="1080" w:hanging="72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8" w15:restartNumberingAfterBreak="0">
    <w:nsid w:val="7F827560"/>
    <w:multiLevelType w:val="hybridMultilevel"/>
    <w:tmpl w:val="E21E3436"/>
    <w:lvl w:ilvl="0" w:tplc="612643C2">
      <w:start w:val="1"/>
      <w:numFmt w:val="lowerLetter"/>
      <w:pStyle w:val="seznama-b"/>
      <w:lvlText w:val="%1)"/>
      <w:lvlJc w:val="left"/>
      <w:pPr>
        <w:ind w:left="1276" w:hanging="360"/>
      </w:pPr>
      <w:rPr>
        <w:rFonts w:ascii="Times New Roman" w:hAnsi="Times New Roman" w:cs="Times New Roman" w:hint="default"/>
        <w:i w:val="0"/>
        <w:color w:val="auto"/>
        <w:sz w:val="24"/>
        <w:szCs w:val="24"/>
      </w:rPr>
    </w:lvl>
    <w:lvl w:ilvl="1" w:tplc="04050019" w:tentative="1">
      <w:start w:val="1"/>
      <w:numFmt w:val="lowerLetter"/>
      <w:lvlText w:val="%2."/>
      <w:lvlJc w:val="left"/>
      <w:pPr>
        <w:ind w:left="1902" w:hanging="360"/>
      </w:pPr>
    </w:lvl>
    <w:lvl w:ilvl="2" w:tplc="0405001B" w:tentative="1">
      <w:start w:val="1"/>
      <w:numFmt w:val="lowerRoman"/>
      <w:lvlText w:val="%3."/>
      <w:lvlJc w:val="right"/>
      <w:pPr>
        <w:ind w:left="2622" w:hanging="180"/>
      </w:pPr>
    </w:lvl>
    <w:lvl w:ilvl="3" w:tplc="0405000F" w:tentative="1">
      <w:start w:val="1"/>
      <w:numFmt w:val="decimal"/>
      <w:lvlText w:val="%4."/>
      <w:lvlJc w:val="left"/>
      <w:pPr>
        <w:ind w:left="3342" w:hanging="360"/>
      </w:pPr>
    </w:lvl>
    <w:lvl w:ilvl="4" w:tplc="04050019" w:tentative="1">
      <w:start w:val="1"/>
      <w:numFmt w:val="lowerLetter"/>
      <w:lvlText w:val="%5."/>
      <w:lvlJc w:val="left"/>
      <w:pPr>
        <w:ind w:left="4062" w:hanging="360"/>
      </w:pPr>
    </w:lvl>
    <w:lvl w:ilvl="5" w:tplc="0405001B" w:tentative="1">
      <w:start w:val="1"/>
      <w:numFmt w:val="lowerRoman"/>
      <w:lvlText w:val="%6."/>
      <w:lvlJc w:val="right"/>
      <w:pPr>
        <w:ind w:left="4782" w:hanging="180"/>
      </w:pPr>
    </w:lvl>
    <w:lvl w:ilvl="6" w:tplc="0405000F" w:tentative="1">
      <w:start w:val="1"/>
      <w:numFmt w:val="decimal"/>
      <w:lvlText w:val="%7."/>
      <w:lvlJc w:val="left"/>
      <w:pPr>
        <w:ind w:left="5502" w:hanging="360"/>
      </w:pPr>
    </w:lvl>
    <w:lvl w:ilvl="7" w:tplc="04050019" w:tentative="1">
      <w:start w:val="1"/>
      <w:numFmt w:val="lowerLetter"/>
      <w:lvlText w:val="%8."/>
      <w:lvlJc w:val="left"/>
      <w:pPr>
        <w:ind w:left="6222" w:hanging="360"/>
      </w:pPr>
    </w:lvl>
    <w:lvl w:ilvl="8" w:tplc="0405001B" w:tentative="1">
      <w:start w:val="1"/>
      <w:numFmt w:val="lowerRoman"/>
      <w:lvlText w:val="%9."/>
      <w:lvlJc w:val="right"/>
      <w:pPr>
        <w:ind w:left="6942" w:hanging="180"/>
      </w:pPr>
    </w:lvl>
  </w:abstractNum>
  <w:num w:numId="1" w16cid:durableId="843210086">
    <w:abstractNumId w:val="10"/>
  </w:num>
  <w:num w:numId="2" w16cid:durableId="799148053">
    <w:abstractNumId w:val="48"/>
    <w:lvlOverride w:ilvl="0">
      <w:startOverride w:val="1"/>
    </w:lvlOverride>
  </w:num>
  <w:num w:numId="3" w16cid:durableId="1771706448">
    <w:abstractNumId w:val="4"/>
    <w:lvlOverride w:ilvl="0">
      <w:startOverride w:val="1"/>
    </w:lvlOverride>
  </w:num>
  <w:num w:numId="4" w16cid:durableId="15207294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48705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3535760">
    <w:abstractNumId w:val="37"/>
  </w:num>
  <w:num w:numId="7" w16cid:durableId="1479540979">
    <w:abstractNumId w:val="39"/>
  </w:num>
  <w:num w:numId="8" w16cid:durableId="1309287065">
    <w:abstractNumId w:val="0"/>
  </w:num>
  <w:num w:numId="9" w16cid:durableId="955140707">
    <w:abstractNumId w:val="2"/>
  </w:num>
  <w:num w:numId="10" w16cid:durableId="1836451338">
    <w:abstractNumId w:val="7"/>
  </w:num>
  <w:num w:numId="11" w16cid:durableId="1708869639">
    <w:abstractNumId w:val="8"/>
  </w:num>
  <w:num w:numId="12" w16cid:durableId="589972633">
    <w:abstractNumId w:val="9"/>
  </w:num>
  <w:num w:numId="13" w16cid:durableId="784933337">
    <w:abstractNumId w:val="11"/>
  </w:num>
  <w:num w:numId="14" w16cid:durableId="428475180">
    <w:abstractNumId w:val="12"/>
  </w:num>
  <w:num w:numId="15" w16cid:durableId="892426150">
    <w:abstractNumId w:val="14"/>
  </w:num>
  <w:num w:numId="16" w16cid:durableId="859930448">
    <w:abstractNumId w:val="17"/>
  </w:num>
  <w:num w:numId="17" w16cid:durableId="467362346">
    <w:abstractNumId w:val="18"/>
  </w:num>
  <w:num w:numId="18" w16cid:durableId="1460030518">
    <w:abstractNumId w:val="19"/>
  </w:num>
  <w:num w:numId="19" w16cid:durableId="238714185">
    <w:abstractNumId w:val="20"/>
  </w:num>
  <w:num w:numId="20" w16cid:durableId="862548133">
    <w:abstractNumId w:val="21"/>
  </w:num>
  <w:num w:numId="21" w16cid:durableId="1441800992">
    <w:abstractNumId w:val="25"/>
  </w:num>
  <w:num w:numId="22" w16cid:durableId="636230132">
    <w:abstractNumId w:val="26"/>
  </w:num>
  <w:num w:numId="23" w16cid:durableId="1863129486">
    <w:abstractNumId w:val="27"/>
  </w:num>
  <w:num w:numId="24" w16cid:durableId="1788694672">
    <w:abstractNumId w:val="28"/>
  </w:num>
  <w:num w:numId="25" w16cid:durableId="642006076">
    <w:abstractNumId w:val="29"/>
  </w:num>
  <w:num w:numId="26" w16cid:durableId="1611741938">
    <w:abstractNumId w:val="30"/>
  </w:num>
  <w:num w:numId="27" w16cid:durableId="1271667873">
    <w:abstractNumId w:val="33"/>
  </w:num>
  <w:num w:numId="28" w16cid:durableId="215505974">
    <w:abstractNumId w:val="35"/>
  </w:num>
  <w:num w:numId="29" w16cid:durableId="1702393624">
    <w:abstractNumId w:val="36"/>
  </w:num>
  <w:num w:numId="30" w16cid:durableId="2033914116">
    <w:abstractNumId w:val="38"/>
  </w:num>
  <w:num w:numId="31" w16cid:durableId="699361430">
    <w:abstractNumId w:val="41"/>
  </w:num>
  <w:num w:numId="32" w16cid:durableId="1556232651">
    <w:abstractNumId w:val="42"/>
  </w:num>
  <w:num w:numId="33" w16cid:durableId="439031349">
    <w:abstractNumId w:val="44"/>
  </w:num>
  <w:num w:numId="34" w16cid:durableId="759302935">
    <w:abstractNumId w:val="46"/>
  </w:num>
  <w:num w:numId="35" w16cid:durableId="1678271826">
    <w:abstractNumId w:val="23"/>
  </w:num>
  <w:num w:numId="36" w16cid:durableId="532234248">
    <w:abstractNumId w:val="13"/>
  </w:num>
  <w:num w:numId="37" w16cid:durableId="509685255">
    <w:abstractNumId w:val="6"/>
  </w:num>
  <w:num w:numId="38" w16cid:durableId="297225460">
    <w:abstractNumId w:val="3"/>
  </w:num>
  <w:num w:numId="39" w16cid:durableId="1642618845">
    <w:abstractNumId w:val="24"/>
  </w:num>
  <w:num w:numId="40" w16cid:durableId="1845586945">
    <w:abstractNumId w:val="43"/>
  </w:num>
  <w:num w:numId="41" w16cid:durableId="1753970546">
    <w:abstractNumId w:val="34"/>
  </w:num>
  <w:num w:numId="42" w16cid:durableId="1697458752">
    <w:abstractNumId w:val="16"/>
  </w:num>
  <w:num w:numId="43" w16cid:durableId="441264813">
    <w:abstractNumId w:val="1"/>
  </w:num>
  <w:num w:numId="44" w16cid:durableId="803693764">
    <w:abstractNumId w:val="31"/>
  </w:num>
  <w:num w:numId="45" w16cid:durableId="1948155354">
    <w:abstractNumId w:val="22"/>
  </w:num>
  <w:num w:numId="46" w16cid:durableId="1542475296">
    <w:abstractNumId w:val="45"/>
  </w:num>
  <w:num w:numId="47" w16cid:durableId="981230230">
    <w:abstractNumId w:val="32"/>
  </w:num>
  <w:num w:numId="48" w16cid:durableId="106675793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73965858">
    <w:abstractNumId w:val="1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0BA"/>
    <w:rsid w:val="0000194D"/>
    <w:rsid w:val="000043C6"/>
    <w:rsid w:val="0000483F"/>
    <w:rsid w:val="00006250"/>
    <w:rsid w:val="0001466A"/>
    <w:rsid w:val="000149E3"/>
    <w:rsid w:val="0005706D"/>
    <w:rsid w:val="00073831"/>
    <w:rsid w:val="000A0914"/>
    <w:rsid w:val="000A1AE4"/>
    <w:rsid w:val="000A1C28"/>
    <w:rsid w:val="000F0904"/>
    <w:rsid w:val="00132D55"/>
    <w:rsid w:val="00143BD8"/>
    <w:rsid w:val="00152628"/>
    <w:rsid w:val="0016186F"/>
    <w:rsid w:val="001671DF"/>
    <w:rsid w:val="00183CD3"/>
    <w:rsid w:val="00195397"/>
    <w:rsid w:val="00195BD8"/>
    <w:rsid w:val="001B0B62"/>
    <w:rsid w:val="001C30AB"/>
    <w:rsid w:val="001C61C5"/>
    <w:rsid w:val="001E28BB"/>
    <w:rsid w:val="001E299B"/>
    <w:rsid w:val="001E5B71"/>
    <w:rsid w:val="001E7E23"/>
    <w:rsid w:val="001F51D6"/>
    <w:rsid w:val="00207043"/>
    <w:rsid w:val="002166BA"/>
    <w:rsid w:val="002168B1"/>
    <w:rsid w:val="002173E3"/>
    <w:rsid w:val="002330B8"/>
    <w:rsid w:val="00243C83"/>
    <w:rsid w:val="0024586B"/>
    <w:rsid w:val="00251F53"/>
    <w:rsid w:val="0027478C"/>
    <w:rsid w:val="002B2566"/>
    <w:rsid w:val="002C0C6E"/>
    <w:rsid w:val="002C7FBF"/>
    <w:rsid w:val="002E2EBF"/>
    <w:rsid w:val="002E3F4C"/>
    <w:rsid w:val="002E7A2D"/>
    <w:rsid w:val="002F4347"/>
    <w:rsid w:val="00313568"/>
    <w:rsid w:val="00327AE3"/>
    <w:rsid w:val="00333AAD"/>
    <w:rsid w:val="003365C5"/>
    <w:rsid w:val="00363778"/>
    <w:rsid w:val="00386B21"/>
    <w:rsid w:val="00391888"/>
    <w:rsid w:val="00397452"/>
    <w:rsid w:val="003A112D"/>
    <w:rsid w:val="003B080F"/>
    <w:rsid w:val="003B2FEF"/>
    <w:rsid w:val="003E0AAC"/>
    <w:rsid w:val="003E264D"/>
    <w:rsid w:val="003E4CED"/>
    <w:rsid w:val="004110B9"/>
    <w:rsid w:val="004171CA"/>
    <w:rsid w:val="004304F6"/>
    <w:rsid w:val="00457BF6"/>
    <w:rsid w:val="004749C7"/>
    <w:rsid w:val="004A4C42"/>
    <w:rsid w:val="004A560D"/>
    <w:rsid w:val="004B693D"/>
    <w:rsid w:val="004C292C"/>
    <w:rsid w:val="004E073C"/>
    <w:rsid w:val="00514479"/>
    <w:rsid w:val="00523DA5"/>
    <w:rsid w:val="005331FC"/>
    <w:rsid w:val="0053343C"/>
    <w:rsid w:val="005345A3"/>
    <w:rsid w:val="0054260B"/>
    <w:rsid w:val="0055370B"/>
    <w:rsid w:val="00556D09"/>
    <w:rsid w:val="005700BA"/>
    <w:rsid w:val="00574EA6"/>
    <w:rsid w:val="005756C9"/>
    <w:rsid w:val="005768FB"/>
    <w:rsid w:val="005812BF"/>
    <w:rsid w:val="005A7787"/>
    <w:rsid w:val="005C41AE"/>
    <w:rsid w:val="005D290A"/>
    <w:rsid w:val="005D6721"/>
    <w:rsid w:val="0060698F"/>
    <w:rsid w:val="00617156"/>
    <w:rsid w:val="00623483"/>
    <w:rsid w:val="006462B5"/>
    <w:rsid w:val="00654F88"/>
    <w:rsid w:val="00681DEC"/>
    <w:rsid w:val="0068505B"/>
    <w:rsid w:val="006940BE"/>
    <w:rsid w:val="006A1971"/>
    <w:rsid w:val="006B3F3E"/>
    <w:rsid w:val="006C0581"/>
    <w:rsid w:val="006C16F8"/>
    <w:rsid w:val="006C55FF"/>
    <w:rsid w:val="006D1E79"/>
    <w:rsid w:val="006D3BAF"/>
    <w:rsid w:val="00701D74"/>
    <w:rsid w:val="00734404"/>
    <w:rsid w:val="00751FC5"/>
    <w:rsid w:val="00773FF7"/>
    <w:rsid w:val="00781CBF"/>
    <w:rsid w:val="007942A5"/>
    <w:rsid w:val="007A79D1"/>
    <w:rsid w:val="007C1F32"/>
    <w:rsid w:val="007D4D12"/>
    <w:rsid w:val="007D5C5C"/>
    <w:rsid w:val="007E7047"/>
    <w:rsid w:val="00802B5B"/>
    <w:rsid w:val="00816F0D"/>
    <w:rsid w:val="00827E11"/>
    <w:rsid w:val="00834174"/>
    <w:rsid w:val="00855117"/>
    <w:rsid w:val="008569E7"/>
    <w:rsid w:val="00860D5C"/>
    <w:rsid w:val="00864916"/>
    <w:rsid w:val="00867174"/>
    <w:rsid w:val="00894256"/>
    <w:rsid w:val="008974C4"/>
    <w:rsid w:val="008A1847"/>
    <w:rsid w:val="008A4A18"/>
    <w:rsid w:val="008B7FDB"/>
    <w:rsid w:val="008F75C7"/>
    <w:rsid w:val="009000EC"/>
    <w:rsid w:val="00920A27"/>
    <w:rsid w:val="00931A3F"/>
    <w:rsid w:val="0095301B"/>
    <w:rsid w:val="00956155"/>
    <w:rsid w:val="00962BBF"/>
    <w:rsid w:val="00972006"/>
    <w:rsid w:val="0098112D"/>
    <w:rsid w:val="00995A95"/>
    <w:rsid w:val="009D2DFB"/>
    <w:rsid w:val="009D3547"/>
    <w:rsid w:val="009F3DB3"/>
    <w:rsid w:val="009F7D32"/>
    <w:rsid w:val="009F7F49"/>
    <w:rsid w:val="00A07A86"/>
    <w:rsid w:val="00A303D2"/>
    <w:rsid w:val="00A45D12"/>
    <w:rsid w:val="00A570B3"/>
    <w:rsid w:val="00A5792E"/>
    <w:rsid w:val="00A62BFF"/>
    <w:rsid w:val="00A65539"/>
    <w:rsid w:val="00A6621E"/>
    <w:rsid w:val="00A82434"/>
    <w:rsid w:val="00A91586"/>
    <w:rsid w:val="00A92ADA"/>
    <w:rsid w:val="00A95C67"/>
    <w:rsid w:val="00AA36C0"/>
    <w:rsid w:val="00AA63F5"/>
    <w:rsid w:val="00AC4B7E"/>
    <w:rsid w:val="00AE27FD"/>
    <w:rsid w:val="00AE6A1D"/>
    <w:rsid w:val="00AE6C67"/>
    <w:rsid w:val="00AF0FE9"/>
    <w:rsid w:val="00AF79D4"/>
    <w:rsid w:val="00B20586"/>
    <w:rsid w:val="00B25E45"/>
    <w:rsid w:val="00B30084"/>
    <w:rsid w:val="00B3157D"/>
    <w:rsid w:val="00B32BB7"/>
    <w:rsid w:val="00B51ABD"/>
    <w:rsid w:val="00B54155"/>
    <w:rsid w:val="00B638D9"/>
    <w:rsid w:val="00BA0BA0"/>
    <w:rsid w:val="00BB15B3"/>
    <w:rsid w:val="00BC1180"/>
    <w:rsid w:val="00BC2718"/>
    <w:rsid w:val="00BD2950"/>
    <w:rsid w:val="00BD73DA"/>
    <w:rsid w:val="00BF72F3"/>
    <w:rsid w:val="00C05584"/>
    <w:rsid w:val="00C10314"/>
    <w:rsid w:val="00C11E8C"/>
    <w:rsid w:val="00C13BB2"/>
    <w:rsid w:val="00C21288"/>
    <w:rsid w:val="00C30D01"/>
    <w:rsid w:val="00C4572B"/>
    <w:rsid w:val="00C80948"/>
    <w:rsid w:val="00C80B22"/>
    <w:rsid w:val="00CA0BA9"/>
    <w:rsid w:val="00CC2CDD"/>
    <w:rsid w:val="00CC6ADB"/>
    <w:rsid w:val="00CD2B43"/>
    <w:rsid w:val="00CE6D01"/>
    <w:rsid w:val="00D07D49"/>
    <w:rsid w:val="00D22A28"/>
    <w:rsid w:val="00D4545E"/>
    <w:rsid w:val="00D52366"/>
    <w:rsid w:val="00D52A39"/>
    <w:rsid w:val="00D70839"/>
    <w:rsid w:val="00D875F9"/>
    <w:rsid w:val="00D91E87"/>
    <w:rsid w:val="00D95B5B"/>
    <w:rsid w:val="00DB333A"/>
    <w:rsid w:val="00DC21D7"/>
    <w:rsid w:val="00E14F8A"/>
    <w:rsid w:val="00E154DB"/>
    <w:rsid w:val="00E24C6B"/>
    <w:rsid w:val="00E25F84"/>
    <w:rsid w:val="00E33ECE"/>
    <w:rsid w:val="00E41176"/>
    <w:rsid w:val="00E45043"/>
    <w:rsid w:val="00E45E3F"/>
    <w:rsid w:val="00E54AAC"/>
    <w:rsid w:val="00E662EC"/>
    <w:rsid w:val="00E66E8E"/>
    <w:rsid w:val="00E83B94"/>
    <w:rsid w:val="00E84AE1"/>
    <w:rsid w:val="00EA1B17"/>
    <w:rsid w:val="00EB0CB2"/>
    <w:rsid w:val="00ED0109"/>
    <w:rsid w:val="00ED25A3"/>
    <w:rsid w:val="00ED40BA"/>
    <w:rsid w:val="00ED4E2A"/>
    <w:rsid w:val="00ED5019"/>
    <w:rsid w:val="00EE10A5"/>
    <w:rsid w:val="00EE4F9C"/>
    <w:rsid w:val="00F163AF"/>
    <w:rsid w:val="00F42F8E"/>
    <w:rsid w:val="00F545CD"/>
    <w:rsid w:val="00F6177A"/>
    <w:rsid w:val="00F6757D"/>
    <w:rsid w:val="00F8449B"/>
    <w:rsid w:val="00FA52DD"/>
    <w:rsid w:val="00FB00F7"/>
    <w:rsid w:val="00FC6611"/>
    <w:rsid w:val="00FC7D3D"/>
    <w:rsid w:val="00FD0CE2"/>
    <w:rsid w:val="00FD16B3"/>
    <w:rsid w:val="00FF09EB"/>
    <w:rsid w:val="00FF1B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B8372"/>
  <w15:chartTrackingRefBased/>
  <w15:docId w15:val="{28602E9D-8A11-49E6-B40A-6C3E7D7DC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67174"/>
    <w:pPr>
      <w:spacing w:after="120" w:line="276" w:lineRule="auto"/>
    </w:pPr>
    <w:rPr>
      <w:rFonts w:ascii="Calibri" w:eastAsia="Calibri" w:hAnsi="Calibri" w:cs="Times New Roman"/>
    </w:rPr>
  </w:style>
  <w:style w:type="paragraph" w:styleId="Nadpis1">
    <w:name w:val="heading 1"/>
    <w:aliases w:val="část"/>
    <w:basedOn w:val="Normln"/>
    <w:next w:val="Normln"/>
    <w:link w:val="Nadpis1Char"/>
    <w:qFormat/>
    <w:rsid w:val="000149E3"/>
    <w:pPr>
      <w:spacing w:before="120" w:line="240" w:lineRule="auto"/>
      <w:ind w:right="284"/>
      <w:jc w:val="center"/>
      <w:outlineLvl w:val="0"/>
    </w:pPr>
    <w:rPr>
      <w:rFonts w:ascii="Times New Roman" w:hAnsi="Times New Roman"/>
      <w:b/>
      <w:sz w:val="24"/>
      <w:szCs w:val="24"/>
    </w:rPr>
  </w:style>
  <w:style w:type="paragraph" w:styleId="Nadpis2">
    <w:name w:val="heading 2"/>
    <w:aliases w:val="hlava"/>
    <w:basedOn w:val="Normln"/>
    <w:next w:val="Normln"/>
    <w:link w:val="Nadpis2Char"/>
    <w:unhideWhenUsed/>
    <w:qFormat/>
    <w:rsid w:val="000149E3"/>
    <w:pPr>
      <w:keepNext/>
      <w:numPr>
        <w:numId w:val="5"/>
      </w:numPr>
      <w:spacing w:before="120" w:line="240" w:lineRule="auto"/>
      <w:ind w:left="0" w:firstLine="0"/>
      <w:jc w:val="center"/>
      <w:outlineLvl w:val="1"/>
    </w:pPr>
    <w:rPr>
      <w:rFonts w:ascii="Times New Roman" w:hAnsi="Times New Roman"/>
      <w:sz w:val="24"/>
      <w:szCs w:val="24"/>
    </w:rPr>
  </w:style>
  <w:style w:type="paragraph" w:styleId="Nadpis3">
    <w:name w:val="heading 3"/>
    <w:basedOn w:val="Bezmezer"/>
    <w:next w:val="Normln"/>
    <w:link w:val="Nadpis3Char"/>
    <w:uiPriority w:val="9"/>
    <w:unhideWhenUsed/>
    <w:qFormat/>
    <w:rsid w:val="00E41176"/>
    <w:pPr>
      <w:widowControl w:val="0"/>
      <w:jc w:val="left"/>
      <w:outlineLvl w:val="2"/>
    </w:pPr>
    <w:rPr>
      <w:bCs/>
      <w:i w:val="0"/>
    </w:rPr>
  </w:style>
  <w:style w:type="paragraph" w:styleId="Nadpis4">
    <w:name w:val="heading 4"/>
    <w:basedOn w:val="Nadpis3"/>
    <w:next w:val="Normln"/>
    <w:link w:val="Nadpis4Char"/>
    <w:uiPriority w:val="9"/>
    <w:unhideWhenUsed/>
    <w:qFormat/>
    <w:rsid w:val="000149E3"/>
    <w:pPr>
      <w:outlineLvl w:val="3"/>
    </w:pPr>
    <w:rPr>
      <w:i/>
    </w:rPr>
  </w:style>
  <w:style w:type="paragraph" w:styleId="Nadpis5">
    <w:name w:val="heading 5"/>
    <w:basedOn w:val="Normln"/>
    <w:next w:val="Normln"/>
    <w:link w:val="Nadpis5Char"/>
    <w:unhideWhenUsed/>
    <w:qFormat/>
    <w:rsid w:val="000149E3"/>
    <w:pPr>
      <w:keepNext/>
      <w:spacing w:before="240" w:after="60" w:line="360" w:lineRule="auto"/>
      <w:ind w:left="1008" w:hanging="1008"/>
      <w:jc w:val="both"/>
      <w:outlineLvl w:val="4"/>
    </w:pPr>
    <w:rPr>
      <w:rFonts w:ascii="Times New Roman" w:eastAsia="Times New Roman" w:hAnsi="Times New Roman"/>
      <w:i/>
      <w:iCs/>
      <w:sz w:val="26"/>
      <w:szCs w:val="26"/>
    </w:rPr>
  </w:style>
  <w:style w:type="paragraph" w:styleId="Nadpis6">
    <w:name w:val="heading 6"/>
    <w:basedOn w:val="Normln"/>
    <w:next w:val="Normln"/>
    <w:link w:val="Nadpis6Char"/>
    <w:uiPriority w:val="9"/>
    <w:unhideWhenUsed/>
    <w:qFormat/>
    <w:rsid w:val="000149E3"/>
    <w:pPr>
      <w:keepNext/>
      <w:spacing w:before="240" w:after="60" w:line="360" w:lineRule="auto"/>
      <w:ind w:left="1152" w:hanging="1152"/>
      <w:jc w:val="both"/>
      <w:outlineLvl w:val="5"/>
    </w:pPr>
    <w:rPr>
      <w:rFonts w:ascii="Times New Roman" w:eastAsia="Times New Roman" w:hAnsi="Times New Roman"/>
      <w:sz w:val="24"/>
    </w:rPr>
  </w:style>
  <w:style w:type="paragraph" w:styleId="Nadpis7">
    <w:name w:val="heading 7"/>
    <w:basedOn w:val="Normln"/>
    <w:next w:val="Normln"/>
    <w:link w:val="Nadpis7Char"/>
    <w:uiPriority w:val="9"/>
    <w:unhideWhenUsed/>
    <w:qFormat/>
    <w:rsid w:val="000149E3"/>
    <w:pPr>
      <w:keepNext/>
      <w:spacing w:before="240" w:after="60" w:line="360" w:lineRule="auto"/>
      <w:ind w:left="1296" w:hanging="1296"/>
      <w:jc w:val="both"/>
      <w:outlineLvl w:val="6"/>
    </w:pPr>
    <w:rPr>
      <w:rFonts w:ascii="Times New Roman" w:eastAsia="Times New Roman" w:hAnsi="Times New Roman"/>
      <w:sz w:val="24"/>
      <w:szCs w:val="24"/>
    </w:rPr>
  </w:style>
  <w:style w:type="paragraph" w:styleId="Nadpis8">
    <w:name w:val="heading 8"/>
    <w:basedOn w:val="Normln"/>
    <w:next w:val="Normln"/>
    <w:link w:val="Nadpis8Char"/>
    <w:unhideWhenUsed/>
    <w:qFormat/>
    <w:rsid w:val="000149E3"/>
    <w:pPr>
      <w:keepNext/>
      <w:spacing w:before="240" w:after="60" w:line="360" w:lineRule="auto"/>
      <w:ind w:left="1440" w:hanging="1440"/>
      <w:jc w:val="both"/>
      <w:outlineLvl w:val="7"/>
    </w:pPr>
    <w:rPr>
      <w:rFonts w:ascii="Times New Roman" w:eastAsia="Times New Roman" w:hAnsi="Times New Roman"/>
      <w:i/>
      <w:iCs/>
      <w:sz w:val="24"/>
      <w:szCs w:val="24"/>
    </w:rPr>
  </w:style>
  <w:style w:type="paragraph" w:styleId="Nadpis9">
    <w:name w:val="heading 9"/>
    <w:basedOn w:val="Normln"/>
    <w:next w:val="Normln"/>
    <w:link w:val="Nadpis9Char"/>
    <w:uiPriority w:val="99"/>
    <w:semiHidden/>
    <w:unhideWhenUsed/>
    <w:qFormat/>
    <w:rsid w:val="000149E3"/>
    <w:pPr>
      <w:keepNext/>
      <w:spacing w:before="240" w:after="60" w:line="360" w:lineRule="auto"/>
      <w:ind w:left="1584" w:hanging="1584"/>
      <w:jc w:val="both"/>
      <w:outlineLvl w:val="8"/>
    </w:pPr>
    <w:rPr>
      <w:rFonts w:ascii="Cambria" w:eastAsia="Times New Roman" w:hAnsi="Cambria" w:cs="Cambria"/>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část Char"/>
    <w:basedOn w:val="Standardnpsmoodstavce"/>
    <w:link w:val="Nadpis1"/>
    <w:rsid w:val="000149E3"/>
    <w:rPr>
      <w:rFonts w:ascii="Times New Roman" w:eastAsia="Calibri" w:hAnsi="Times New Roman" w:cs="Times New Roman"/>
      <w:b/>
      <w:sz w:val="24"/>
      <w:szCs w:val="24"/>
    </w:rPr>
  </w:style>
  <w:style w:type="character" w:customStyle="1" w:styleId="Nadpis2Char">
    <w:name w:val="Nadpis 2 Char"/>
    <w:aliases w:val="hlava Char"/>
    <w:basedOn w:val="Standardnpsmoodstavce"/>
    <w:link w:val="Nadpis2"/>
    <w:rsid w:val="000149E3"/>
    <w:rPr>
      <w:rFonts w:ascii="Times New Roman" w:eastAsia="Calibri" w:hAnsi="Times New Roman" w:cs="Times New Roman"/>
      <w:sz w:val="24"/>
      <w:szCs w:val="24"/>
    </w:rPr>
  </w:style>
  <w:style w:type="character" w:customStyle="1" w:styleId="Nadpis3Char">
    <w:name w:val="Nadpis 3 Char"/>
    <w:basedOn w:val="Standardnpsmoodstavce"/>
    <w:link w:val="Nadpis3"/>
    <w:uiPriority w:val="9"/>
    <w:rsid w:val="00E41176"/>
    <w:rPr>
      <w:rFonts w:ascii="Times New Roman" w:eastAsia="Calibri" w:hAnsi="Times New Roman" w:cs="Times New Roman"/>
      <w:b/>
      <w:bCs/>
      <w:sz w:val="24"/>
      <w:szCs w:val="24"/>
    </w:rPr>
  </w:style>
  <w:style w:type="character" w:customStyle="1" w:styleId="Nadpis4Char">
    <w:name w:val="Nadpis 4 Char"/>
    <w:basedOn w:val="Standardnpsmoodstavce"/>
    <w:link w:val="Nadpis4"/>
    <w:uiPriority w:val="9"/>
    <w:rsid w:val="000149E3"/>
    <w:rPr>
      <w:rFonts w:ascii="Times New Roman" w:eastAsia="Calibri" w:hAnsi="Times New Roman" w:cs="Times New Roman"/>
      <w:i/>
      <w:sz w:val="24"/>
      <w:szCs w:val="24"/>
    </w:rPr>
  </w:style>
  <w:style w:type="character" w:customStyle="1" w:styleId="Nadpis5Char">
    <w:name w:val="Nadpis 5 Char"/>
    <w:basedOn w:val="Standardnpsmoodstavce"/>
    <w:link w:val="Nadpis5"/>
    <w:rsid w:val="000149E3"/>
    <w:rPr>
      <w:rFonts w:ascii="Times New Roman" w:eastAsia="Times New Roman" w:hAnsi="Times New Roman" w:cs="Times New Roman"/>
      <w:i/>
      <w:iCs/>
      <w:sz w:val="26"/>
      <w:szCs w:val="26"/>
    </w:rPr>
  </w:style>
  <w:style w:type="character" w:customStyle="1" w:styleId="Nadpis6Char">
    <w:name w:val="Nadpis 6 Char"/>
    <w:basedOn w:val="Standardnpsmoodstavce"/>
    <w:link w:val="Nadpis6"/>
    <w:uiPriority w:val="9"/>
    <w:rsid w:val="000149E3"/>
    <w:rPr>
      <w:rFonts w:ascii="Times New Roman" w:eastAsia="Times New Roman" w:hAnsi="Times New Roman" w:cs="Times New Roman"/>
      <w:sz w:val="24"/>
    </w:rPr>
  </w:style>
  <w:style w:type="character" w:customStyle="1" w:styleId="Nadpis7Char">
    <w:name w:val="Nadpis 7 Char"/>
    <w:basedOn w:val="Standardnpsmoodstavce"/>
    <w:link w:val="Nadpis7"/>
    <w:uiPriority w:val="9"/>
    <w:rsid w:val="000149E3"/>
    <w:rPr>
      <w:rFonts w:ascii="Times New Roman" w:eastAsia="Times New Roman" w:hAnsi="Times New Roman" w:cs="Times New Roman"/>
      <w:sz w:val="24"/>
      <w:szCs w:val="24"/>
    </w:rPr>
  </w:style>
  <w:style w:type="character" w:customStyle="1" w:styleId="Nadpis8Char">
    <w:name w:val="Nadpis 8 Char"/>
    <w:basedOn w:val="Standardnpsmoodstavce"/>
    <w:link w:val="Nadpis8"/>
    <w:rsid w:val="000149E3"/>
    <w:rPr>
      <w:rFonts w:ascii="Times New Roman" w:eastAsia="Times New Roman" w:hAnsi="Times New Roman" w:cs="Times New Roman"/>
      <w:i/>
      <w:iCs/>
      <w:sz w:val="24"/>
      <w:szCs w:val="24"/>
    </w:rPr>
  </w:style>
  <w:style w:type="character" w:customStyle="1" w:styleId="Nadpis9Char">
    <w:name w:val="Nadpis 9 Char"/>
    <w:basedOn w:val="Standardnpsmoodstavce"/>
    <w:link w:val="Nadpis9"/>
    <w:uiPriority w:val="99"/>
    <w:semiHidden/>
    <w:rsid w:val="000149E3"/>
    <w:rPr>
      <w:rFonts w:ascii="Cambria" w:eastAsia="Times New Roman" w:hAnsi="Cambria" w:cs="Cambria"/>
      <w:sz w:val="24"/>
    </w:rPr>
  </w:style>
  <w:style w:type="paragraph" w:styleId="Podnadpis">
    <w:name w:val="Subtitle"/>
    <w:aliases w:val="Podtitul,nadpis §"/>
    <w:basedOn w:val="Normln"/>
    <w:next w:val="Normln"/>
    <w:link w:val="PodnadpisChar1"/>
    <w:uiPriority w:val="11"/>
    <w:qFormat/>
    <w:rsid w:val="000149E3"/>
    <w:pPr>
      <w:keepNext/>
      <w:spacing w:before="240" w:after="0" w:line="240" w:lineRule="auto"/>
      <w:ind w:right="284"/>
      <w:jc w:val="center"/>
    </w:pPr>
    <w:rPr>
      <w:rFonts w:ascii="Times New Roman" w:hAnsi="Times New Roman"/>
      <w:b/>
      <w:sz w:val="24"/>
      <w:szCs w:val="24"/>
    </w:rPr>
  </w:style>
  <w:style w:type="character" w:customStyle="1" w:styleId="PodnadpisChar">
    <w:name w:val="Podnadpis Char"/>
    <w:aliases w:val="Podtitul Char1,nadpis § Char1"/>
    <w:basedOn w:val="Standardnpsmoodstavce"/>
    <w:uiPriority w:val="11"/>
    <w:rsid w:val="000149E3"/>
    <w:rPr>
      <w:rFonts w:eastAsiaTheme="minorEastAsia"/>
      <w:color w:val="5A5A5A" w:themeColor="text1" w:themeTint="A5"/>
      <w:spacing w:val="15"/>
    </w:rPr>
  </w:style>
  <w:style w:type="character" w:customStyle="1" w:styleId="PodnadpisChar1">
    <w:name w:val="Podnadpis Char1"/>
    <w:aliases w:val="Podtitul Char,nadpis § Char"/>
    <w:link w:val="Podnadpis"/>
    <w:uiPriority w:val="11"/>
    <w:rsid w:val="000149E3"/>
    <w:rPr>
      <w:rFonts w:ascii="Times New Roman" w:eastAsia="Calibri" w:hAnsi="Times New Roman" w:cs="Times New Roman"/>
      <w:b/>
      <w:sz w:val="24"/>
      <w:szCs w:val="24"/>
    </w:rPr>
  </w:style>
  <w:style w:type="character" w:styleId="Siln">
    <w:name w:val="Strong"/>
    <w:aliases w:val="seznam a)"/>
    <w:uiPriority w:val="22"/>
    <w:qFormat/>
    <w:rsid w:val="000149E3"/>
    <w:rPr>
      <w:rFonts w:ascii="Times New Roman" w:hAnsi="Times New Roman"/>
      <w:sz w:val="24"/>
      <w:szCs w:val="24"/>
    </w:rPr>
  </w:style>
  <w:style w:type="paragraph" w:styleId="Bezmezer">
    <w:name w:val="No Spacing"/>
    <w:basedOn w:val="Normln"/>
    <w:link w:val="BezmezerChar"/>
    <w:uiPriority w:val="1"/>
    <w:qFormat/>
    <w:rsid w:val="000149E3"/>
    <w:pPr>
      <w:keepNext/>
      <w:spacing w:before="240" w:after="0" w:line="240" w:lineRule="auto"/>
      <w:ind w:right="284"/>
      <w:jc w:val="center"/>
    </w:pPr>
    <w:rPr>
      <w:rFonts w:ascii="Times New Roman" w:hAnsi="Times New Roman"/>
      <w:b/>
      <w:i/>
      <w:sz w:val="24"/>
      <w:szCs w:val="24"/>
    </w:rPr>
  </w:style>
  <w:style w:type="character" w:customStyle="1" w:styleId="BezmezerChar">
    <w:name w:val="Bez mezer Char"/>
    <w:link w:val="Bezmezer"/>
    <w:uiPriority w:val="1"/>
    <w:locked/>
    <w:rsid w:val="000149E3"/>
    <w:rPr>
      <w:rFonts w:ascii="Times New Roman" w:eastAsia="Calibri" w:hAnsi="Times New Roman" w:cs="Times New Roman"/>
      <w:b/>
      <w:i/>
      <w:sz w:val="24"/>
      <w:szCs w:val="24"/>
    </w:rPr>
  </w:style>
  <w:style w:type="character" w:styleId="Odkaznakoment">
    <w:name w:val="annotation reference"/>
    <w:uiPriority w:val="99"/>
    <w:semiHidden/>
    <w:unhideWhenUsed/>
    <w:rsid w:val="000149E3"/>
    <w:rPr>
      <w:sz w:val="16"/>
      <w:szCs w:val="16"/>
    </w:rPr>
  </w:style>
  <w:style w:type="paragraph" w:styleId="Textkomente">
    <w:name w:val="annotation text"/>
    <w:basedOn w:val="Normln"/>
    <w:link w:val="TextkomenteChar"/>
    <w:uiPriority w:val="99"/>
    <w:unhideWhenUsed/>
    <w:rsid w:val="000149E3"/>
    <w:rPr>
      <w:sz w:val="20"/>
      <w:szCs w:val="20"/>
    </w:rPr>
  </w:style>
  <w:style w:type="character" w:customStyle="1" w:styleId="TextkomenteChar">
    <w:name w:val="Text komentáře Char"/>
    <w:basedOn w:val="Standardnpsmoodstavce"/>
    <w:link w:val="Textkomente"/>
    <w:uiPriority w:val="99"/>
    <w:rsid w:val="000149E3"/>
    <w:rPr>
      <w:rFonts w:ascii="Calibri" w:eastAsia="Calibri" w:hAnsi="Calibri" w:cs="Times New Roman"/>
      <w:sz w:val="20"/>
      <w:szCs w:val="20"/>
    </w:rPr>
  </w:style>
  <w:style w:type="paragraph" w:styleId="Textbubliny">
    <w:name w:val="Balloon Text"/>
    <w:basedOn w:val="Normln"/>
    <w:link w:val="TextbublinyChar"/>
    <w:uiPriority w:val="99"/>
    <w:semiHidden/>
    <w:unhideWhenUsed/>
    <w:rsid w:val="000149E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149E3"/>
    <w:rPr>
      <w:rFonts w:ascii="Tahoma" w:eastAsia="Calibri" w:hAnsi="Tahoma" w:cs="Tahoma"/>
      <w:sz w:val="16"/>
      <w:szCs w:val="16"/>
    </w:rPr>
  </w:style>
  <w:style w:type="paragraph" w:styleId="Pedmtkomente">
    <w:name w:val="annotation subject"/>
    <w:basedOn w:val="Textkomente"/>
    <w:next w:val="Textkomente"/>
    <w:link w:val="PedmtkomenteChar"/>
    <w:uiPriority w:val="99"/>
    <w:semiHidden/>
    <w:unhideWhenUsed/>
    <w:rsid w:val="000149E3"/>
    <w:rPr>
      <w:b/>
      <w:bCs/>
    </w:rPr>
  </w:style>
  <w:style w:type="character" w:customStyle="1" w:styleId="PedmtkomenteChar">
    <w:name w:val="Předmět komentáře Char"/>
    <w:basedOn w:val="TextkomenteChar"/>
    <w:link w:val="Pedmtkomente"/>
    <w:uiPriority w:val="99"/>
    <w:semiHidden/>
    <w:rsid w:val="000149E3"/>
    <w:rPr>
      <w:rFonts w:ascii="Calibri" w:eastAsia="Calibri" w:hAnsi="Calibri" w:cs="Times New Roman"/>
      <w:b/>
      <w:bCs/>
      <w:sz w:val="20"/>
      <w:szCs w:val="20"/>
    </w:rPr>
  </w:style>
  <w:style w:type="paragraph" w:styleId="Normlnweb">
    <w:name w:val="Normal (Web)"/>
    <w:basedOn w:val="Normln"/>
    <w:uiPriority w:val="99"/>
    <w:unhideWhenUsed/>
    <w:rsid w:val="000149E3"/>
    <w:pPr>
      <w:spacing w:before="100" w:beforeAutospacing="1" w:after="100" w:afterAutospacing="1" w:line="240" w:lineRule="auto"/>
    </w:pPr>
    <w:rPr>
      <w:rFonts w:ascii="Times New Roman" w:eastAsia="Times New Roman" w:hAnsi="Times New Roman"/>
      <w:sz w:val="24"/>
      <w:szCs w:val="24"/>
      <w:lang w:eastAsia="cs-CZ"/>
    </w:rPr>
  </w:style>
  <w:style w:type="paragraph" w:styleId="Zhlav">
    <w:name w:val="header"/>
    <w:basedOn w:val="Normln"/>
    <w:link w:val="ZhlavChar"/>
    <w:uiPriority w:val="99"/>
    <w:unhideWhenUsed/>
    <w:rsid w:val="000149E3"/>
    <w:pPr>
      <w:tabs>
        <w:tab w:val="center" w:pos="4536"/>
        <w:tab w:val="right" w:pos="9072"/>
      </w:tabs>
    </w:pPr>
  </w:style>
  <w:style w:type="character" w:customStyle="1" w:styleId="ZhlavChar">
    <w:name w:val="Záhlaví Char"/>
    <w:basedOn w:val="Standardnpsmoodstavce"/>
    <w:link w:val="Zhlav"/>
    <w:uiPriority w:val="99"/>
    <w:rsid w:val="000149E3"/>
    <w:rPr>
      <w:rFonts w:ascii="Calibri" w:eastAsia="Calibri" w:hAnsi="Calibri" w:cs="Times New Roman"/>
    </w:rPr>
  </w:style>
  <w:style w:type="paragraph" w:styleId="Zpat">
    <w:name w:val="footer"/>
    <w:basedOn w:val="Normln"/>
    <w:link w:val="ZpatChar"/>
    <w:uiPriority w:val="99"/>
    <w:unhideWhenUsed/>
    <w:rsid w:val="000149E3"/>
    <w:pPr>
      <w:tabs>
        <w:tab w:val="center" w:pos="4536"/>
        <w:tab w:val="right" w:pos="9072"/>
      </w:tabs>
    </w:pPr>
  </w:style>
  <w:style w:type="character" w:customStyle="1" w:styleId="ZpatChar">
    <w:name w:val="Zápatí Char"/>
    <w:basedOn w:val="Standardnpsmoodstavce"/>
    <w:link w:val="Zpat"/>
    <w:uiPriority w:val="99"/>
    <w:rsid w:val="000149E3"/>
    <w:rPr>
      <w:rFonts w:ascii="Calibri" w:eastAsia="Calibri" w:hAnsi="Calibri" w:cs="Times New Roman"/>
    </w:rPr>
  </w:style>
  <w:style w:type="paragraph" w:styleId="Odstavecseseznamem">
    <w:name w:val="List Paragraph"/>
    <w:aliases w:val="List Paragraph (Czech Tourism)"/>
    <w:basedOn w:val="Normln"/>
    <w:link w:val="OdstavecseseznamemChar"/>
    <w:uiPriority w:val="34"/>
    <w:qFormat/>
    <w:rsid w:val="000149E3"/>
    <w:pPr>
      <w:keepNext/>
      <w:spacing w:before="240" w:after="0" w:line="240" w:lineRule="auto"/>
      <w:ind w:right="284"/>
      <w:jc w:val="center"/>
    </w:pPr>
    <w:rPr>
      <w:rFonts w:ascii="Times New Roman" w:hAnsi="Times New Roman"/>
      <w:sz w:val="24"/>
      <w:szCs w:val="24"/>
    </w:rPr>
  </w:style>
  <w:style w:type="character" w:styleId="Hypertextovodkaz">
    <w:name w:val="Hyperlink"/>
    <w:uiPriority w:val="99"/>
    <w:unhideWhenUsed/>
    <w:rsid w:val="000149E3"/>
    <w:rPr>
      <w:strike w:val="0"/>
      <w:dstrike w:val="0"/>
      <w:color w:val="05507A"/>
      <w:u w:val="none"/>
      <w:effect w:val="none"/>
    </w:rPr>
  </w:style>
  <w:style w:type="paragraph" w:customStyle="1" w:styleId="l51">
    <w:name w:val="l51"/>
    <w:basedOn w:val="Normln"/>
    <w:rsid w:val="000149E3"/>
    <w:pPr>
      <w:spacing w:before="144" w:after="144" w:line="240" w:lineRule="auto"/>
      <w:jc w:val="both"/>
    </w:pPr>
    <w:rPr>
      <w:rFonts w:ascii="Times New Roman" w:eastAsia="Times New Roman" w:hAnsi="Times New Roman"/>
      <w:sz w:val="24"/>
      <w:szCs w:val="24"/>
      <w:lang w:eastAsia="cs-CZ"/>
    </w:rPr>
  </w:style>
  <w:style w:type="paragraph" w:customStyle="1" w:styleId="statutory-body-2em">
    <w:name w:val="statutory-body-2em"/>
    <w:basedOn w:val="Normln"/>
    <w:rsid w:val="000149E3"/>
    <w:pPr>
      <w:spacing w:after="150" w:line="240" w:lineRule="auto"/>
      <w:ind w:left="480" w:firstLine="240"/>
    </w:pPr>
    <w:rPr>
      <w:rFonts w:ascii="Times New Roman" w:eastAsia="Times New Roman" w:hAnsi="Times New Roman"/>
      <w:sz w:val="24"/>
      <w:szCs w:val="24"/>
      <w:lang w:eastAsia="cs-CZ"/>
    </w:rPr>
  </w:style>
  <w:style w:type="paragraph" w:customStyle="1" w:styleId="statutory-body-3em">
    <w:name w:val="statutory-body-3em"/>
    <w:basedOn w:val="Normln"/>
    <w:rsid w:val="000149E3"/>
    <w:pPr>
      <w:spacing w:after="150" w:line="240" w:lineRule="auto"/>
      <w:ind w:left="720" w:firstLine="240"/>
    </w:pPr>
    <w:rPr>
      <w:rFonts w:ascii="Times New Roman" w:eastAsia="Times New Roman" w:hAnsi="Times New Roman"/>
      <w:sz w:val="24"/>
      <w:szCs w:val="24"/>
      <w:lang w:eastAsia="cs-CZ"/>
    </w:rPr>
  </w:style>
  <w:style w:type="paragraph" w:customStyle="1" w:styleId="statutory-body-1em">
    <w:name w:val="statutory-body-1em"/>
    <w:basedOn w:val="Normln"/>
    <w:uiPriority w:val="99"/>
    <w:rsid w:val="000149E3"/>
    <w:pPr>
      <w:spacing w:after="150" w:line="240" w:lineRule="auto"/>
      <w:ind w:left="240" w:firstLine="240"/>
    </w:pPr>
    <w:rPr>
      <w:rFonts w:ascii="Times New Roman" w:eastAsia="Times New Roman" w:hAnsi="Times New Roman"/>
      <w:sz w:val="24"/>
      <w:szCs w:val="24"/>
      <w:lang w:eastAsia="cs-CZ"/>
    </w:rPr>
  </w:style>
  <w:style w:type="character" w:styleId="Zdraznnjemn">
    <w:name w:val="Subtle Emphasis"/>
    <w:aliases w:val="§"/>
    <w:uiPriority w:val="19"/>
    <w:qFormat/>
    <w:rsid w:val="000149E3"/>
    <w:rPr>
      <w:rFonts w:ascii="Times New Roman" w:hAnsi="Times New Roman"/>
      <w:sz w:val="24"/>
      <w:szCs w:val="24"/>
    </w:rPr>
  </w:style>
  <w:style w:type="character" w:styleId="Zdraznn">
    <w:name w:val="Emphasis"/>
    <w:aliases w:val="Zvýraznění,díl"/>
    <w:uiPriority w:val="20"/>
    <w:qFormat/>
    <w:rsid w:val="000149E3"/>
    <w:rPr>
      <w:rFonts w:ascii="Times New Roman" w:hAnsi="Times New Roman"/>
      <w:sz w:val="24"/>
      <w:szCs w:val="24"/>
    </w:rPr>
  </w:style>
  <w:style w:type="paragraph" w:styleId="Citt">
    <w:name w:val="Quote"/>
    <w:aliases w:val="seznam (1)"/>
    <w:basedOn w:val="Normln"/>
    <w:next w:val="Normln"/>
    <w:link w:val="CittChar"/>
    <w:uiPriority w:val="29"/>
    <w:qFormat/>
    <w:rsid w:val="000149E3"/>
    <w:pPr>
      <w:numPr>
        <w:numId w:val="1"/>
      </w:numPr>
      <w:spacing w:before="120" w:line="240" w:lineRule="auto"/>
      <w:ind w:right="284"/>
      <w:jc w:val="both"/>
    </w:pPr>
    <w:rPr>
      <w:rFonts w:ascii="Times New Roman" w:hAnsi="Times New Roman"/>
      <w:sz w:val="24"/>
      <w:szCs w:val="24"/>
    </w:rPr>
  </w:style>
  <w:style w:type="character" w:customStyle="1" w:styleId="CittChar">
    <w:name w:val="Citát Char"/>
    <w:aliases w:val="seznam (1) Char"/>
    <w:basedOn w:val="Standardnpsmoodstavce"/>
    <w:link w:val="Citt"/>
    <w:uiPriority w:val="29"/>
    <w:rsid w:val="000149E3"/>
    <w:rPr>
      <w:rFonts w:ascii="Times New Roman" w:eastAsia="Calibri" w:hAnsi="Times New Roman" w:cs="Times New Roman"/>
      <w:sz w:val="24"/>
      <w:szCs w:val="24"/>
    </w:rPr>
  </w:style>
  <w:style w:type="character" w:styleId="Zdraznnintenzivn">
    <w:name w:val="Intense Emphasis"/>
    <w:aliases w:val="seznam b)"/>
    <w:basedOn w:val="Siln"/>
    <w:uiPriority w:val="21"/>
    <w:rsid w:val="000149E3"/>
    <w:rPr>
      <w:rFonts w:ascii="Times New Roman" w:hAnsi="Times New Roman"/>
      <w:sz w:val="24"/>
      <w:szCs w:val="24"/>
    </w:rPr>
  </w:style>
  <w:style w:type="paragraph" w:customStyle="1" w:styleId="seznama-b">
    <w:name w:val="seznam a-b)"/>
    <w:basedOn w:val="Normln"/>
    <w:link w:val="seznama-bChar"/>
    <w:uiPriority w:val="99"/>
    <w:qFormat/>
    <w:rsid w:val="000149E3"/>
    <w:pPr>
      <w:numPr>
        <w:numId w:val="2"/>
      </w:numPr>
      <w:spacing w:before="120" w:line="240" w:lineRule="auto"/>
      <w:ind w:right="284"/>
      <w:jc w:val="both"/>
    </w:pPr>
    <w:rPr>
      <w:rFonts w:ascii="Times New Roman" w:hAnsi="Times New Roman"/>
      <w:sz w:val="24"/>
    </w:rPr>
  </w:style>
  <w:style w:type="paragraph" w:customStyle="1" w:styleId="a">
    <w:name w:val="§§"/>
    <w:basedOn w:val="Odstavecseseznamem"/>
    <w:link w:val="Char"/>
    <w:qFormat/>
    <w:rsid w:val="000149E3"/>
  </w:style>
  <w:style w:type="character" w:customStyle="1" w:styleId="seznama-bChar">
    <w:name w:val="seznam a-b) Char"/>
    <w:link w:val="seznama-b"/>
    <w:uiPriority w:val="99"/>
    <w:rsid w:val="000149E3"/>
    <w:rPr>
      <w:rFonts w:ascii="Times New Roman" w:eastAsia="Calibri" w:hAnsi="Times New Roman" w:cs="Times New Roman"/>
      <w:sz w:val="24"/>
    </w:rPr>
  </w:style>
  <w:style w:type="paragraph" w:customStyle="1" w:styleId="norml">
    <w:name w:val="normál"/>
    <w:basedOn w:val="Normln"/>
    <w:link w:val="normlChar"/>
    <w:qFormat/>
    <w:rsid w:val="000149E3"/>
    <w:pPr>
      <w:spacing w:before="120" w:line="240" w:lineRule="auto"/>
      <w:ind w:left="142" w:right="284"/>
      <w:jc w:val="both"/>
    </w:pPr>
    <w:rPr>
      <w:rFonts w:ascii="Times New Roman" w:hAnsi="Times New Roman"/>
      <w:sz w:val="24"/>
      <w:szCs w:val="24"/>
    </w:rPr>
  </w:style>
  <w:style w:type="character" w:customStyle="1" w:styleId="OdstavecseseznamemChar">
    <w:name w:val="Odstavec se seznamem Char"/>
    <w:aliases w:val="List Paragraph (Czech Tourism) Char"/>
    <w:link w:val="Odstavecseseznamem"/>
    <w:uiPriority w:val="34"/>
    <w:rsid w:val="000149E3"/>
    <w:rPr>
      <w:rFonts w:ascii="Times New Roman" w:eastAsia="Calibri" w:hAnsi="Times New Roman" w:cs="Times New Roman"/>
      <w:sz w:val="24"/>
      <w:szCs w:val="24"/>
    </w:rPr>
  </w:style>
  <w:style w:type="character" w:customStyle="1" w:styleId="Char">
    <w:name w:val="§§ Char"/>
    <w:basedOn w:val="OdstavecseseznamemChar"/>
    <w:link w:val="a"/>
    <w:rsid w:val="000149E3"/>
    <w:rPr>
      <w:rFonts w:ascii="Times New Roman" w:eastAsia="Calibri" w:hAnsi="Times New Roman" w:cs="Times New Roman"/>
      <w:sz w:val="24"/>
      <w:szCs w:val="24"/>
    </w:rPr>
  </w:style>
  <w:style w:type="character" w:customStyle="1" w:styleId="normlChar">
    <w:name w:val="normál Char"/>
    <w:link w:val="norml"/>
    <w:rsid w:val="000149E3"/>
    <w:rPr>
      <w:rFonts w:ascii="Times New Roman" w:eastAsia="Calibri" w:hAnsi="Times New Roman" w:cs="Times New Roman"/>
      <w:sz w:val="24"/>
      <w:szCs w:val="24"/>
    </w:rPr>
  </w:style>
  <w:style w:type="paragraph" w:styleId="Nzev">
    <w:name w:val="Title"/>
    <w:basedOn w:val="Normln"/>
    <w:next w:val="Normln"/>
    <w:link w:val="NzevChar"/>
    <w:uiPriority w:val="10"/>
    <w:qFormat/>
    <w:rsid w:val="000149E3"/>
    <w:pPr>
      <w:spacing w:before="240" w:after="60"/>
      <w:jc w:val="center"/>
      <w:outlineLvl w:val="0"/>
    </w:pPr>
    <w:rPr>
      <w:rFonts w:ascii="Cambria" w:eastAsia="Times New Roman" w:hAnsi="Cambria"/>
      <w:b/>
      <w:bCs/>
      <w:kern w:val="28"/>
      <w:sz w:val="32"/>
      <w:szCs w:val="32"/>
    </w:rPr>
  </w:style>
  <w:style w:type="character" w:customStyle="1" w:styleId="NzevChar">
    <w:name w:val="Název Char"/>
    <w:basedOn w:val="Standardnpsmoodstavce"/>
    <w:link w:val="Nzev"/>
    <w:uiPriority w:val="10"/>
    <w:rsid w:val="000149E3"/>
    <w:rPr>
      <w:rFonts w:ascii="Cambria" w:eastAsia="Times New Roman" w:hAnsi="Cambria" w:cs="Times New Roman"/>
      <w:b/>
      <w:bCs/>
      <w:kern w:val="28"/>
      <w:sz w:val="32"/>
      <w:szCs w:val="32"/>
    </w:rPr>
  </w:style>
  <w:style w:type="paragraph" w:customStyle="1" w:styleId="Default">
    <w:name w:val="Default"/>
    <w:rsid w:val="000149E3"/>
    <w:pPr>
      <w:autoSpaceDE w:val="0"/>
      <w:autoSpaceDN w:val="0"/>
      <w:adjustRightInd w:val="0"/>
      <w:spacing w:after="0" w:line="240" w:lineRule="auto"/>
    </w:pPr>
    <w:rPr>
      <w:rFonts w:ascii="Calibri" w:eastAsia="Calibri" w:hAnsi="Calibri" w:cs="Calibri"/>
      <w:color w:val="000000"/>
      <w:sz w:val="24"/>
      <w:szCs w:val="24"/>
    </w:rPr>
  </w:style>
  <w:style w:type="paragraph" w:styleId="Revize">
    <w:name w:val="Revision"/>
    <w:hidden/>
    <w:uiPriority w:val="99"/>
    <w:semiHidden/>
    <w:rsid w:val="000149E3"/>
    <w:pPr>
      <w:spacing w:after="0" w:line="240" w:lineRule="auto"/>
    </w:pPr>
    <w:rPr>
      <w:rFonts w:ascii="Calibri" w:eastAsia="Calibri" w:hAnsi="Calibri" w:cs="Times New Roman"/>
    </w:rPr>
  </w:style>
  <w:style w:type="character" w:styleId="Sledovanodkaz">
    <w:name w:val="FollowedHyperlink"/>
    <w:uiPriority w:val="99"/>
    <w:semiHidden/>
    <w:unhideWhenUsed/>
    <w:rsid w:val="000149E3"/>
    <w:rPr>
      <w:color w:val="800080"/>
      <w:u w:val="single"/>
    </w:rPr>
  </w:style>
  <w:style w:type="paragraph" w:customStyle="1" w:styleId="msonormal0">
    <w:name w:val="msonormal"/>
    <w:basedOn w:val="Normln"/>
    <w:uiPriority w:val="99"/>
    <w:rsid w:val="000149E3"/>
    <w:pPr>
      <w:spacing w:before="100" w:beforeAutospacing="1" w:after="100" w:afterAutospacing="1" w:line="240" w:lineRule="auto"/>
      <w:jc w:val="both"/>
    </w:pPr>
    <w:rPr>
      <w:rFonts w:ascii="Times New Roman" w:eastAsia="Times New Roman" w:hAnsi="Times New Roman"/>
      <w:sz w:val="24"/>
      <w:szCs w:val="24"/>
      <w:lang w:eastAsia="cs-CZ"/>
    </w:rPr>
  </w:style>
  <w:style w:type="paragraph" w:styleId="Obsah1">
    <w:name w:val="toc 1"/>
    <w:basedOn w:val="Normln"/>
    <w:next w:val="Normln"/>
    <w:autoRedefine/>
    <w:uiPriority w:val="39"/>
    <w:semiHidden/>
    <w:unhideWhenUsed/>
    <w:rsid w:val="000149E3"/>
    <w:pPr>
      <w:keepNext/>
      <w:tabs>
        <w:tab w:val="right" w:leader="dot" w:pos="9062"/>
      </w:tabs>
      <w:spacing w:after="100" w:line="360" w:lineRule="auto"/>
      <w:jc w:val="both"/>
    </w:pPr>
    <w:rPr>
      <w:rFonts w:ascii="Times New Roman" w:hAnsi="Times New Roman"/>
      <w:b/>
      <w:noProof/>
      <w:sz w:val="24"/>
    </w:rPr>
  </w:style>
  <w:style w:type="paragraph" w:styleId="Obsah2">
    <w:name w:val="toc 2"/>
    <w:basedOn w:val="Normln"/>
    <w:next w:val="Normln"/>
    <w:autoRedefine/>
    <w:uiPriority w:val="39"/>
    <w:semiHidden/>
    <w:unhideWhenUsed/>
    <w:rsid w:val="000149E3"/>
    <w:pPr>
      <w:keepNext/>
      <w:spacing w:after="100" w:line="360" w:lineRule="auto"/>
      <w:ind w:left="240"/>
      <w:jc w:val="both"/>
    </w:pPr>
    <w:rPr>
      <w:rFonts w:ascii="Times New Roman" w:hAnsi="Times New Roman"/>
      <w:sz w:val="24"/>
    </w:rPr>
  </w:style>
  <w:style w:type="paragraph" w:styleId="Obsah3">
    <w:name w:val="toc 3"/>
    <w:basedOn w:val="Normln"/>
    <w:next w:val="Normln"/>
    <w:autoRedefine/>
    <w:uiPriority w:val="39"/>
    <w:semiHidden/>
    <w:unhideWhenUsed/>
    <w:rsid w:val="000149E3"/>
    <w:pPr>
      <w:keepNext/>
      <w:spacing w:after="100" w:line="360" w:lineRule="auto"/>
      <w:ind w:left="480"/>
      <w:jc w:val="both"/>
    </w:pPr>
    <w:rPr>
      <w:rFonts w:ascii="Times New Roman" w:hAnsi="Times New Roman"/>
      <w:sz w:val="24"/>
    </w:rPr>
  </w:style>
  <w:style w:type="paragraph" w:styleId="Obsah4">
    <w:name w:val="toc 4"/>
    <w:basedOn w:val="Normln"/>
    <w:next w:val="Normln"/>
    <w:autoRedefine/>
    <w:uiPriority w:val="39"/>
    <w:semiHidden/>
    <w:unhideWhenUsed/>
    <w:rsid w:val="000149E3"/>
    <w:pPr>
      <w:spacing w:after="100"/>
      <w:ind w:left="660"/>
    </w:pPr>
    <w:rPr>
      <w:rFonts w:eastAsia="Times New Roman"/>
      <w:lang w:eastAsia="cs-CZ"/>
    </w:rPr>
  </w:style>
  <w:style w:type="paragraph" w:styleId="Obsah5">
    <w:name w:val="toc 5"/>
    <w:basedOn w:val="Normln"/>
    <w:next w:val="Normln"/>
    <w:autoRedefine/>
    <w:uiPriority w:val="39"/>
    <w:semiHidden/>
    <w:unhideWhenUsed/>
    <w:rsid w:val="000149E3"/>
    <w:pPr>
      <w:spacing w:after="100"/>
      <w:ind w:left="880"/>
    </w:pPr>
    <w:rPr>
      <w:rFonts w:eastAsia="Times New Roman"/>
      <w:lang w:eastAsia="cs-CZ"/>
    </w:rPr>
  </w:style>
  <w:style w:type="paragraph" w:styleId="Obsah6">
    <w:name w:val="toc 6"/>
    <w:basedOn w:val="Normln"/>
    <w:next w:val="Normln"/>
    <w:autoRedefine/>
    <w:uiPriority w:val="39"/>
    <w:semiHidden/>
    <w:unhideWhenUsed/>
    <w:rsid w:val="000149E3"/>
    <w:pPr>
      <w:spacing w:after="100"/>
      <w:ind w:left="1100"/>
    </w:pPr>
    <w:rPr>
      <w:rFonts w:eastAsia="Times New Roman"/>
      <w:lang w:eastAsia="cs-CZ"/>
    </w:rPr>
  </w:style>
  <w:style w:type="paragraph" w:styleId="Obsah7">
    <w:name w:val="toc 7"/>
    <w:basedOn w:val="Normln"/>
    <w:next w:val="Normln"/>
    <w:autoRedefine/>
    <w:uiPriority w:val="39"/>
    <w:semiHidden/>
    <w:unhideWhenUsed/>
    <w:rsid w:val="000149E3"/>
    <w:pPr>
      <w:spacing w:after="100"/>
      <w:ind w:left="1320"/>
    </w:pPr>
    <w:rPr>
      <w:rFonts w:eastAsia="Times New Roman"/>
      <w:lang w:eastAsia="cs-CZ"/>
    </w:rPr>
  </w:style>
  <w:style w:type="paragraph" w:styleId="Obsah8">
    <w:name w:val="toc 8"/>
    <w:basedOn w:val="Normln"/>
    <w:next w:val="Normln"/>
    <w:autoRedefine/>
    <w:uiPriority w:val="39"/>
    <w:semiHidden/>
    <w:unhideWhenUsed/>
    <w:rsid w:val="000149E3"/>
    <w:pPr>
      <w:spacing w:after="100"/>
      <w:ind w:left="1540"/>
    </w:pPr>
    <w:rPr>
      <w:rFonts w:eastAsia="Times New Roman"/>
      <w:lang w:eastAsia="cs-CZ"/>
    </w:rPr>
  </w:style>
  <w:style w:type="paragraph" w:styleId="Obsah9">
    <w:name w:val="toc 9"/>
    <w:basedOn w:val="Normln"/>
    <w:next w:val="Normln"/>
    <w:autoRedefine/>
    <w:uiPriority w:val="39"/>
    <w:semiHidden/>
    <w:unhideWhenUsed/>
    <w:rsid w:val="000149E3"/>
    <w:pPr>
      <w:spacing w:after="100"/>
      <w:ind w:left="1760"/>
    </w:pPr>
    <w:rPr>
      <w:rFonts w:eastAsia="Times New Roman"/>
      <w:lang w:eastAsia="cs-CZ"/>
    </w:rPr>
  </w:style>
  <w:style w:type="paragraph" w:styleId="Textpoznpodarou">
    <w:name w:val="footnote text"/>
    <w:aliases w:val="Footnote Text Char,Schriftart: 9 pt Char,Schriftart: 10 pt Char,Schriftart: 8 pt Char,Char Char Char Char Char Char,Char Char Char Char Char1,Char Char Char Char1,Char3 Char,Char Char1,Char Char Char1,Char Char,Schriftart: 9 pt,Char"/>
    <w:basedOn w:val="Normln"/>
    <w:link w:val="TextpoznpodarouChar"/>
    <w:uiPriority w:val="99"/>
    <w:unhideWhenUsed/>
    <w:qFormat/>
    <w:rsid w:val="000149E3"/>
    <w:pPr>
      <w:spacing w:after="0" w:line="240" w:lineRule="auto"/>
      <w:ind w:firstLine="567"/>
      <w:jc w:val="both"/>
    </w:pPr>
    <w:rPr>
      <w:rFonts w:ascii="Constantia" w:hAnsi="Constantia"/>
      <w:sz w:val="20"/>
      <w:szCs w:val="20"/>
      <w:lang w:eastAsia="cs-CZ"/>
    </w:rPr>
  </w:style>
  <w:style w:type="character" w:customStyle="1" w:styleId="TextpoznpodarouChar">
    <w:name w:val="Text pozn. pod čarou Char"/>
    <w:aliases w:val="Footnote Text Char Char,Schriftart: 9 pt Char Char,Schriftart: 10 pt Char Char,Schriftart: 8 pt Char Char,Char Char Char Char Char Char Char,Char Char Char Char Char1 Char,Char Char Char Char1 Char,Char3 Char Char,Char Char2"/>
    <w:basedOn w:val="Standardnpsmoodstavce"/>
    <w:link w:val="Textpoznpodarou"/>
    <w:uiPriority w:val="99"/>
    <w:rsid w:val="000149E3"/>
    <w:rPr>
      <w:rFonts w:ascii="Constantia" w:eastAsia="Calibri" w:hAnsi="Constantia" w:cs="Times New Roman"/>
      <w:sz w:val="20"/>
      <w:szCs w:val="20"/>
      <w:lang w:eastAsia="cs-CZ"/>
    </w:rPr>
  </w:style>
  <w:style w:type="paragraph" w:styleId="Zkladntext">
    <w:name w:val="Body Text"/>
    <w:basedOn w:val="Normln"/>
    <w:link w:val="ZkladntextChar"/>
    <w:semiHidden/>
    <w:unhideWhenUsed/>
    <w:rsid w:val="000149E3"/>
    <w:pPr>
      <w:keepNext/>
      <w:spacing w:after="0" w:line="240" w:lineRule="auto"/>
      <w:jc w:val="both"/>
    </w:pPr>
    <w:rPr>
      <w:rFonts w:ascii="Times New Roman" w:eastAsia="Times New Roman" w:hAnsi="Times New Roman"/>
      <w:sz w:val="20"/>
      <w:szCs w:val="24"/>
      <w:lang w:eastAsia="cs-CZ"/>
    </w:rPr>
  </w:style>
  <w:style w:type="character" w:customStyle="1" w:styleId="ZkladntextChar">
    <w:name w:val="Základní text Char"/>
    <w:basedOn w:val="Standardnpsmoodstavce"/>
    <w:link w:val="Zkladntext"/>
    <w:semiHidden/>
    <w:rsid w:val="000149E3"/>
    <w:rPr>
      <w:rFonts w:ascii="Times New Roman" w:eastAsia="Times New Roman" w:hAnsi="Times New Roman" w:cs="Times New Roman"/>
      <w:sz w:val="20"/>
      <w:szCs w:val="24"/>
      <w:lang w:eastAsia="cs-CZ"/>
    </w:rPr>
  </w:style>
  <w:style w:type="character" w:customStyle="1" w:styleId="CittChar1">
    <w:name w:val="Citát Char1"/>
    <w:aliases w:val="seznam (1) Char1"/>
    <w:uiPriority w:val="29"/>
    <w:rsid w:val="000149E3"/>
    <w:rPr>
      <w:i/>
      <w:iCs/>
      <w:color w:val="404040"/>
      <w:sz w:val="22"/>
      <w:szCs w:val="22"/>
      <w:lang w:eastAsia="en-US"/>
    </w:rPr>
  </w:style>
  <w:style w:type="paragraph" w:styleId="Nadpisobsahu">
    <w:name w:val="TOC Heading"/>
    <w:basedOn w:val="Nadpis1"/>
    <w:next w:val="Normln"/>
    <w:uiPriority w:val="39"/>
    <w:semiHidden/>
    <w:unhideWhenUsed/>
    <w:qFormat/>
    <w:rsid w:val="000149E3"/>
    <w:pPr>
      <w:keepNext/>
      <w:keepLines/>
      <w:spacing w:before="480" w:after="0" w:line="276" w:lineRule="auto"/>
      <w:ind w:right="0"/>
      <w:jc w:val="left"/>
      <w:outlineLvl w:val="9"/>
    </w:pPr>
    <w:rPr>
      <w:rFonts w:ascii="Cambria" w:eastAsia="Times New Roman" w:hAnsi="Cambria"/>
      <w:bCs/>
      <w:color w:val="365F91"/>
      <w:sz w:val="28"/>
      <w:szCs w:val="28"/>
      <w:lang w:eastAsia="cs-CZ"/>
    </w:rPr>
  </w:style>
  <w:style w:type="paragraph" w:customStyle="1" w:styleId="VYHLKA">
    <w:name w:val="VYHLÁŠKA"/>
    <w:basedOn w:val="Normln"/>
    <w:next w:val="Normln"/>
    <w:uiPriority w:val="99"/>
    <w:rsid w:val="000149E3"/>
    <w:pPr>
      <w:keepNext/>
      <w:keepLines/>
      <w:spacing w:after="0" w:line="240" w:lineRule="auto"/>
      <w:jc w:val="center"/>
      <w:outlineLvl w:val="0"/>
    </w:pPr>
    <w:rPr>
      <w:rFonts w:ascii="Times New Roman" w:eastAsia="Times New Roman" w:hAnsi="Times New Roman"/>
      <w:b/>
      <w:caps/>
      <w:sz w:val="24"/>
      <w:szCs w:val="20"/>
      <w:lang w:eastAsia="cs-CZ"/>
    </w:rPr>
  </w:style>
  <w:style w:type="character" w:customStyle="1" w:styleId="NovelizanbodChar">
    <w:name w:val="Novelizační bod Char"/>
    <w:link w:val="Novelizanbod"/>
    <w:locked/>
    <w:rsid w:val="000149E3"/>
    <w:rPr>
      <w:rFonts w:ascii="Times New Roman" w:hAnsi="Times New Roman"/>
      <w:sz w:val="24"/>
    </w:rPr>
  </w:style>
  <w:style w:type="paragraph" w:customStyle="1" w:styleId="Novelizanbod">
    <w:name w:val="Novelizační bod"/>
    <w:basedOn w:val="Normln"/>
    <w:next w:val="Normln"/>
    <w:link w:val="NovelizanbodChar"/>
    <w:rsid w:val="000149E3"/>
    <w:pPr>
      <w:keepNext/>
      <w:keepLines/>
      <w:numPr>
        <w:numId w:val="3"/>
      </w:numPr>
      <w:tabs>
        <w:tab w:val="left" w:pos="851"/>
      </w:tabs>
      <w:spacing w:before="480" w:line="240" w:lineRule="auto"/>
      <w:jc w:val="both"/>
    </w:pPr>
    <w:rPr>
      <w:rFonts w:ascii="Times New Roman" w:eastAsiaTheme="minorHAnsi" w:hAnsi="Times New Roman" w:cstheme="minorBidi"/>
      <w:sz w:val="24"/>
    </w:rPr>
  </w:style>
  <w:style w:type="character" w:customStyle="1" w:styleId="TextodstavceChar">
    <w:name w:val="Text odstavce Char"/>
    <w:link w:val="Textodstavce"/>
    <w:locked/>
    <w:rsid w:val="000149E3"/>
    <w:rPr>
      <w:rFonts w:ascii="Times New Roman" w:eastAsia="Times New Roman" w:hAnsi="Times New Roman"/>
      <w:sz w:val="24"/>
    </w:rPr>
  </w:style>
  <w:style w:type="paragraph" w:customStyle="1" w:styleId="Textodstavce">
    <w:name w:val="Text odstavce"/>
    <w:basedOn w:val="Normln"/>
    <w:link w:val="TextodstavceChar"/>
    <w:rsid w:val="000149E3"/>
    <w:pPr>
      <w:keepNext/>
      <w:numPr>
        <w:numId w:val="4"/>
      </w:numPr>
      <w:tabs>
        <w:tab w:val="left" w:pos="851"/>
      </w:tabs>
      <w:spacing w:before="120" w:line="240" w:lineRule="auto"/>
      <w:jc w:val="both"/>
      <w:outlineLvl w:val="6"/>
    </w:pPr>
    <w:rPr>
      <w:rFonts w:ascii="Times New Roman" w:eastAsia="Times New Roman" w:hAnsi="Times New Roman" w:cstheme="minorBidi"/>
      <w:sz w:val="24"/>
    </w:rPr>
  </w:style>
  <w:style w:type="paragraph" w:customStyle="1" w:styleId="Paragraf">
    <w:name w:val="Paragraf"/>
    <w:basedOn w:val="Normln"/>
    <w:next w:val="Textodstavce"/>
    <w:rsid w:val="000149E3"/>
    <w:pPr>
      <w:keepNext/>
      <w:keepLines/>
      <w:spacing w:before="240" w:after="0" w:line="240" w:lineRule="auto"/>
      <w:jc w:val="center"/>
      <w:outlineLvl w:val="5"/>
    </w:pPr>
    <w:rPr>
      <w:rFonts w:ascii="Times New Roman" w:eastAsia="Times New Roman" w:hAnsi="Times New Roman"/>
      <w:sz w:val="24"/>
      <w:szCs w:val="20"/>
      <w:lang w:eastAsia="cs-CZ"/>
    </w:rPr>
  </w:style>
  <w:style w:type="paragraph" w:customStyle="1" w:styleId="Textbodu">
    <w:name w:val="Text bodu"/>
    <w:basedOn w:val="Normln"/>
    <w:rsid w:val="000149E3"/>
    <w:pPr>
      <w:keepNext/>
      <w:numPr>
        <w:ilvl w:val="2"/>
        <w:numId w:val="4"/>
      </w:numPr>
      <w:spacing w:after="0" w:line="240" w:lineRule="auto"/>
      <w:jc w:val="both"/>
      <w:outlineLvl w:val="8"/>
    </w:pPr>
    <w:rPr>
      <w:rFonts w:ascii="Times New Roman" w:eastAsia="Times New Roman" w:hAnsi="Times New Roman"/>
      <w:sz w:val="24"/>
      <w:szCs w:val="20"/>
      <w:lang w:eastAsia="cs-CZ"/>
    </w:rPr>
  </w:style>
  <w:style w:type="paragraph" w:customStyle="1" w:styleId="Textpsmene">
    <w:name w:val="Text písmene"/>
    <w:basedOn w:val="Normln"/>
    <w:rsid w:val="000149E3"/>
    <w:pPr>
      <w:keepNext/>
      <w:numPr>
        <w:ilvl w:val="1"/>
        <w:numId w:val="4"/>
      </w:numPr>
      <w:spacing w:after="0" w:line="240" w:lineRule="auto"/>
      <w:jc w:val="both"/>
      <w:outlineLvl w:val="7"/>
    </w:pPr>
    <w:rPr>
      <w:rFonts w:ascii="Times New Roman" w:eastAsia="Times New Roman" w:hAnsi="Times New Roman"/>
      <w:sz w:val="24"/>
      <w:szCs w:val="20"/>
      <w:lang w:eastAsia="cs-CZ"/>
    </w:rPr>
  </w:style>
  <w:style w:type="paragraph" w:customStyle="1" w:styleId="Nadpisparagrafu">
    <w:name w:val="Nadpis paragrafu"/>
    <w:basedOn w:val="Paragraf"/>
    <w:next w:val="Textodstavce"/>
    <w:uiPriority w:val="99"/>
    <w:rsid w:val="000149E3"/>
    <w:rPr>
      <w:b/>
    </w:rPr>
  </w:style>
  <w:style w:type="paragraph" w:customStyle="1" w:styleId="Normlntun">
    <w:name w:val="Normální tučný"/>
    <w:basedOn w:val="Normln"/>
    <w:next w:val="Normln"/>
    <w:uiPriority w:val="99"/>
    <w:qFormat/>
    <w:rsid w:val="000149E3"/>
    <w:pPr>
      <w:keepNext/>
      <w:spacing w:line="360" w:lineRule="auto"/>
      <w:jc w:val="both"/>
    </w:pPr>
    <w:rPr>
      <w:rFonts w:ascii="Times New Roman" w:eastAsia="Times New Roman" w:hAnsi="Times New Roman"/>
      <w:b/>
      <w:sz w:val="24"/>
      <w:szCs w:val="24"/>
    </w:rPr>
  </w:style>
  <w:style w:type="paragraph" w:customStyle="1" w:styleId="MSp-text">
    <w:name w:val="MSp-text"/>
    <w:basedOn w:val="Normln"/>
    <w:uiPriority w:val="99"/>
    <w:rsid w:val="000149E3"/>
    <w:pPr>
      <w:keepNext/>
      <w:tabs>
        <w:tab w:val="left" w:pos="720"/>
      </w:tabs>
      <w:spacing w:after="240" w:line="240" w:lineRule="auto"/>
      <w:ind w:firstLine="720"/>
      <w:jc w:val="both"/>
    </w:pPr>
    <w:rPr>
      <w:rFonts w:ascii="Times New Roman" w:eastAsia="Times New Roman" w:hAnsi="Times New Roman"/>
      <w:sz w:val="24"/>
      <w:szCs w:val="24"/>
    </w:rPr>
  </w:style>
  <w:style w:type="paragraph" w:customStyle="1" w:styleId="center">
    <w:name w:val="center"/>
    <w:basedOn w:val="Normln"/>
    <w:uiPriority w:val="99"/>
    <w:rsid w:val="000149E3"/>
    <w:pPr>
      <w:keepNext/>
      <w:spacing w:before="100" w:beforeAutospacing="1" w:after="100" w:afterAutospacing="1" w:line="240" w:lineRule="auto"/>
      <w:jc w:val="both"/>
    </w:pPr>
    <w:rPr>
      <w:rFonts w:ascii="Times New Roman" w:eastAsia="Times New Roman" w:hAnsi="Times New Roman"/>
      <w:sz w:val="24"/>
      <w:szCs w:val="24"/>
      <w:lang w:eastAsia="cs-CZ"/>
    </w:rPr>
  </w:style>
  <w:style w:type="paragraph" w:customStyle="1" w:styleId="Nadpisobsahu1">
    <w:name w:val="Nadpis obsahu1"/>
    <w:basedOn w:val="Nadpis1"/>
    <w:next w:val="Normln"/>
    <w:uiPriority w:val="39"/>
    <w:semiHidden/>
    <w:qFormat/>
    <w:rsid w:val="000149E3"/>
    <w:pPr>
      <w:keepNext/>
      <w:keepLines/>
      <w:spacing w:before="480" w:after="0" w:line="276" w:lineRule="auto"/>
      <w:ind w:right="0"/>
      <w:jc w:val="left"/>
      <w:outlineLvl w:val="9"/>
    </w:pPr>
    <w:rPr>
      <w:rFonts w:ascii="Cambria" w:eastAsia="Times New Roman" w:hAnsi="Cambria"/>
      <w:bCs/>
      <w:color w:val="365F91"/>
      <w:sz w:val="28"/>
      <w:szCs w:val="28"/>
      <w:lang w:eastAsia="cs-CZ"/>
    </w:rPr>
  </w:style>
  <w:style w:type="paragraph" w:customStyle="1" w:styleId="Zhlavazpat">
    <w:name w:val="Záhlaví a zápatí"/>
    <w:uiPriority w:val="99"/>
    <w:rsid w:val="000149E3"/>
    <w:pPr>
      <w:tabs>
        <w:tab w:val="right" w:pos="9020"/>
      </w:tabs>
      <w:spacing w:after="0" w:line="240" w:lineRule="auto"/>
    </w:pPr>
    <w:rPr>
      <w:rFonts w:ascii="Helvetica" w:eastAsia="Arial Unicode MS" w:hAnsi="Arial Unicode MS" w:cs="Arial Unicode MS"/>
      <w:color w:val="000000"/>
      <w:sz w:val="24"/>
      <w:szCs w:val="24"/>
      <w:lang w:eastAsia="cs-CZ"/>
    </w:rPr>
  </w:style>
  <w:style w:type="paragraph" w:customStyle="1" w:styleId="TextA">
    <w:name w:val="Text A"/>
    <w:uiPriority w:val="99"/>
    <w:rsid w:val="000149E3"/>
    <w:pPr>
      <w:spacing w:after="0" w:line="240" w:lineRule="auto"/>
    </w:pPr>
    <w:rPr>
      <w:rFonts w:ascii="Arial Unicode MS" w:eastAsia="Arial Unicode MS" w:hAnsi="Helvetica" w:cs="Arial Unicode MS"/>
      <w:color w:val="000000"/>
      <w:u w:color="000000"/>
      <w:lang w:eastAsia="cs-CZ"/>
    </w:rPr>
  </w:style>
  <w:style w:type="paragraph" w:customStyle="1" w:styleId="Vchoz">
    <w:name w:val="Výchozí"/>
    <w:rsid w:val="000149E3"/>
    <w:pPr>
      <w:spacing w:after="0" w:line="240" w:lineRule="auto"/>
    </w:pPr>
    <w:rPr>
      <w:rFonts w:ascii="Helvetica" w:eastAsia="Helvetica" w:hAnsi="Helvetica" w:cs="Helvetica"/>
      <w:color w:val="000000"/>
      <w:lang w:eastAsia="cs-CZ"/>
    </w:rPr>
  </w:style>
  <w:style w:type="paragraph" w:customStyle="1" w:styleId="Textlnku">
    <w:name w:val="Text článku"/>
    <w:rsid w:val="000149E3"/>
    <w:pPr>
      <w:spacing w:before="240" w:after="0" w:line="240" w:lineRule="auto"/>
      <w:ind w:firstLine="425"/>
      <w:jc w:val="both"/>
      <w:outlineLvl w:val="5"/>
    </w:pPr>
    <w:rPr>
      <w:rFonts w:ascii="Times New Roman" w:eastAsia="Times New Roman" w:hAnsi="Times New Roman" w:cs="Times New Roman"/>
      <w:color w:val="000000"/>
      <w:sz w:val="24"/>
      <w:szCs w:val="24"/>
      <w:u w:color="000000"/>
      <w:lang w:eastAsia="cs-CZ"/>
    </w:rPr>
  </w:style>
  <w:style w:type="paragraph" w:customStyle="1" w:styleId="F2-zkladn">
    <w:name w:val="F2 - základní"/>
    <w:uiPriority w:val="99"/>
    <w:rsid w:val="000149E3"/>
    <w:pPr>
      <w:spacing w:before="240" w:after="200" w:line="300" w:lineRule="exact"/>
      <w:jc w:val="both"/>
    </w:pPr>
    <w:rPr>
      <w:rFonts w:ascii="Arial" w:eastAsia="Arial Unicode MS" w:hAnsi="Arial Unicode MS" w:cs="Arial Unicode MS"/>
      <w:color w:val="000000"/>
      <w:sz w:val="20"/>
      <w:szCs w:val="20"/>
      <w:u w:color="000000"/>
      <w:lang w:eastAsia="cs-CZ"/>
    </w:rPr>
  </w:style>
  <w:style w:type="paragraph" w:customStyle="1" w:styleId="Nadpissti">
    <w:name w:val="Nadpis části"/>
    <w:basedOn w:val="Textodstavce"/>
    <w:uiPriority w:val="99"/>
    <w:rsid w:val="000149E3"/>
    <w:pPr>
      <w:keepLines/>
      <w:numPr>
        <w:numId w:val="0"/>
      </w:numPr>
      <w:tabs>
        <w:tab w:val="clear" w:pos="851"/>
      </w:tabs>
      <w:spacing w:before="640" w:after="0"/>
      <w:jc w:val="center"/>
      <w:outlineLvl w:val="9"/>
    </w:pPr>
    <w:rPr>
      <w:rFonts w:ascii="Calibri" w:hAnsi="Calibri"/>
      <w:b/>
      <w:caps/>
      <w:sz w:val="22"/>
    </w:rPr>
  </w:style>
  <w:style w:type="paragraph" w:customStyle="1" w:styleId="Textdopisu">
    <w:name w:val="Text dopisu"/>
    <w:basedOn w:val="Normln"/>
    <w:uiPriority w:val="99"/>
    <w:rsid w:val="000149E3"/>
    <w:pPr>
      <w:overflowPunct w:val="0"/>
      <w:autoSpaceDE w:val="0"/>
      <w:autoSpaceDN w:val="0"/>
      <w:adjustRightInd w:val="0"/>
      <w:spacing w:after="0" w:line="240" w:lineRule="auto"/>
      <w:ind w:firstLine="544"/>
      <w:jc w:val="both"/>
    </w:pPr>
    <w:rPr>
      <w:rFonts w:ascii="Times New Roman" w:eastAsia="Times New Roman" w:hAnsi="Times New Roman"/>
      <w:sz w:val="24"/>
      <w:szCs w:val="20"/>
      <w:lang w:eastAsia="cs-CZ"/>
    </w:rPr>
  </w:style>
  <w:style w:type="character" w:styleId="Znakapoznpodarou">
    <w:name w:val="footnote reference"/>
    <w:aliases w:val="BVI fnr,Footnote symbol,EN Footnote Reference,PGI Fußnote Ziffer + Times New Roman,12 b.,Zúžené o ...,PGI Fußnote Ziffer,Footnote Reference Superscript,Appel note de bas de p,Appel note de bas de page,Légende,Char Car Car Car Car"/>
    <w:link w:val="4GChar"/>
    <w:uiPriority w:val="99"/>
    <w:unhideWhenUsed/>
    <w:qFormat/>
    <w:rsid w:val="000149E3"/>
    <w:rPr>
      <w:vertAlign w:val="superscript"/>
    </w:rPr>
  </w:style>
  <w:style w:type="character" w:customStyle="1" w:styleId="TextpoznpodarouChar1">
    <w:name w:val="Text pozn. pod čarou Char1"/>
    <w:uiPriority w:val="99"/>
    <w:semiHidden/>
    <w:rsid w:val="000149E3"/>
    <w:rPr>
      <w:rFonts w:ascii="Times New Roman" w:hAnsi="Times New Roman" w:cs="Times New Roman" w:hint="default"/>
      <w:lang w:eastAsia="en-US"/>
    </w:rPr>
  </w:style>
  <w:style w:type="character" w:customStyle="1" w:styleId="Zmnka1">
    <w:name w:val="Zmínka1"/>
    <w:uiPriority w:val="99"/>
    <w:semiHidden/>
    <w:rsid w:val="000149E3"/>
    <w:rPr>
      <w:color w:val="2B579A"/>
      <w:shd w:val="clear" w:color="auto" w:fill="E6E6E6"/>
    </w:rPr>
  </w:style>
  <w:style w:type="character" w:customStyle="1" w:styleId="Sledovanodkaz1">
    <w:name w:val="Sledovaný odkaz1"/>
    <w:uiPriority w:val="99"/>
    <w:semiHidden/>
    <w:rsid w:val="000149E3"/>
    <w:rPr>
      <w:color w:val="800080"/>
      <w:u w:val="single"/>
    </w:rPr>
  </w:style>
  <w:style w:type="character" w:customStyle="1" w:styleId="Hyperlink0">
    <w:name w:val="Hyperlink.0"/>
    <w:rsid w:val="000149E3"/>
  </w:style>
  <w:style w:type="character" w:customStyle="1" w:styleId="dn">
    <w:name w:val="Žádný"/>
    <w:rsid w:val="000149E3"/>
  </w:style>
  <w:style w:type="character" w:customStyle="1" w:styleId="Hyperlink1">
    <w:name w:val="Hyperlink.1"/>
    <w:rsid w:val="000149E3"/>
    <w:rPr>
      <w:color w:val="0000FF"/>
      <w:sz w:val="24"/>
      <w:szCs w:val="24"/>
      <w:u w:val="single" w:color="0000FF"/>
    </w:rPr>
  </w:style>
  <w:style w:type="character" w:customStyle="1" w:styleId="highlight">
    <w:name w:val="highlight"/>
    <w:rsid w:val="000149E3"/>
  </w:style>
  <w:style w:type="character" w:customStyle="1" w:styleId="titremenu">
    <w:name w:val="titremenu"/>
    <w:rsid w:val="000149E3"/>
  </w:style>
  <w:style w:type="character" w:customStyle="1" w:styleId="st1">
    <w:name w:val="st1"/>
    <w:rsid w:val="000149E3"/>
  </w:style>
  <w:style w:type="table" w:styleId="Mkatabulky">
    <w:name w:val="Table Grid"/>
    <w:basedOn w:val="Normlntabulka"/>
    <w:uiPriority w:val="39"/>
    <w:rsid w:val="000149E3"/>
    <w:pPr>
      <w:spacing w:after="0" w:line="240" w:lineRule="auto"/>
    </w:pPr>
    <w:rPr>
      <w:rFonts w:ascii="Times New Roman" w:eastAsia="Arial Unicode MS" w:hAnsi="Times New Roman" w:cs="Times New Roman"/>
      <w:sz w:val="20"/>
      <w:szCs w:val="20"/>
      <w:lang w:eastAsia="cs-CZ"/>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seznam">
    <w:name w:val="Light List"/>
    <w:basedOn w:val="Normlntabulka"/>
    <w:uiPriority w:val="61"/>
    <w:unhideWhenUsed/>
    <w:rsid w:val="000149E3"/>
    <w:pPr>
      <w:spacing w:after="0" w:line="240" w:lineRule="auto"/>
    </w:pPr>
    <w:rPr>
      <w:rFonts w:ascii="Calibri" w:eastAsia="Calibri" w:hAnsi="Calibri" w:cs="Times New Roman"/>
      <w:sz w:val="20"/>
      <w:szCs w:val="20"/>
      <w:lang w:eastAsia="cs-CZ"/>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Svtlseznamzvraznn1">
    <w:name w:val="Light List Accent 1"/>
    <w:basedOn w:val="Normlntabulka"/>
    <w:uiPriority w:val="61"/>
    <w:unhideWhenUsed/>
    <w:rsid w:val="000149E3"/>
    <w:pPr>
      <w:spacing w:after="0" w:line="240" w:lineRule="auto"/>
    </w:pPr>
    <w:rPr>
      <w:rFonts w:ascii="Calibri" w:eastAsia="Calibri" w:hAnsi="Calibri" w:cs="Times New Roman"/>
      <w:sz w:val="20"/>
      <w:szCs w:val="20"/>
      <w:lang w:eastAsia="cs-CZ"/>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Prosttabulka1">
    <w:name w:val="Plain Table 1"/>
    <w:basedOn w:val="Normlntabulka"/>
    <w:uiPriority w:val="41"/>
    <w:rsid w:val="000149E3"/>
    <w:pPr>
      <w:spacing w:after="0" w:line="240" w:lineRule="auto"/>
    </w:pPr>
    <w:rPr>
      <w:rFonts w:ascii="Calibri" w:eastAsia="Calibri" w:hAnsi="Calibri" w:cs="Times New Roman"/>
      <w:sz w:val="20"/>
      <w:szCs w:val="20"/>
      <w:lang w:eastAsia="cs-CZ"/>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Svtltabulkasmkou1zvraznn1">
    <w:name w:val="Grid Table 1 Light Accent 1"/>
    <w:basedOn w:val="Normlntabulka"/>
    <w:uiPriority w:val="46"/>
    <w:rsid w:val="000149E3"/>
    <w:pPr>
      <w:spacing w:after="0" w:line="240" w:lineRule="auto"/>
    </w:pPr>
    <w:rPr>
      <w:rFonts w:ascii="Calibri" w:eastAsia="Calibri" w:hAnsi="Calibri" w:cs="Times New Roman"/>
      <w:sz w:val="20"/>
      <w:szCs w:val="20"/>
      <w:lang w:eastAsia="cs-CZ"/>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ulkasmkou3zvraznn1">
    <w:name w:val="Grid Table 3 Accent 1"/>
    <w:basedOn w:val="Normlntabulka"/>
    <w:uiPriority w:val="48"/>
    <w:rsid w:val="000149E3"/>
    <w:pPr>
      <w:spacing w:after="0" w:line="240" w:lineRule="auto"/>
    </w:pPr>
    <w:rPr>
      <w:rFonts w:ascii="Calibri" w:eastAsia="Calibri" w:hAnsi="Calibri" w:cs="Times New Roman"/>
      <w:sz w:val="20"/>
      <w:szCs w:val="20"/>
      <w:lang w:eastAsia="cs-CZ"/>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mavtabulkasmkou5zvraznn1">
    <w:name w:val="Grid Table 5 Dark Accent 1"/>
    <w:basedOn w:val="Normlntabulka"/>
    <w:uiPriority w:val="50"/>
    <w:rsid w:val="000149E3"/>
    <w:pPr>
      <w:spacing w:after="0" w:line="240" w:lineRule="auto"/>
    </w:pPr>
    <w:rPr>
      <w:rFonts w:ascii="Calibri" w:eastAsia="Calibri" w:hAnsi="Calibri" w:cs="Times New Roman"/>
      <w:sz w:val="20"/>
      <w:szCs w:val="20"/>
      <w:lang w:eastAsia="cs-CZ"/>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Svtlseznam1">
    <w:name w:val="Světlý seznam1"/>
    <w:basedOn w:val="Normlntabulka"/>
    <w:uiPriority w:val="61"/>
    <w:rsid w:val="000149E3"/>
    <w:pPr>
      <w:spacing w:after="0" w:line="240" w:lineRule="auto"/>
    </w:pPr>
    <w:rPr>
      <w:rFonts w:ascii="Calibri" w:eastAsia="Calibri" w:hAnsi="Calibri" w:cs="Times New Roman"/>
      <w:sz w:val="20"/>
      <w:szCs w:val="20"/>
      <w:lang w:eastAsia="cs-CZ"/>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vtlseznamzvraznn11">
    <w:name w:val="Světlý seznam – zvýraznění 11"/>
    <w:basedOn w:val="Normlntabulka"/>
    <w:uiPriority w:val="61"/>
    <w:rsid w:val="000149E3"/>
    <w:pPr>
      <w:spacing w:after="0" w:line="240" w:lineRule="auto"/>
    </w:pPr>
    <w:rPr>
      <w:rFonts w:ascii="Calibri" w:eastAsia="Calibri" w:hAnsi="Calibri" w:cs="Times New Roman"/>
      <w:sz w:val="20"/>
      <w:szCs w:val="20"/>
      <w:lang w:eastAsia="cs-CZ"/>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Svtlseznam11">
    <w:name w:val="Světlý seznam11"/>
    <w:basedOn w:val="Normlntabulka"/>
    <w:uiPriority w:val="61"/>
    <w:rsid w:val="000149E3"/>
    <w:pPr>
      <w:spacing w:after="0" w:line="240" w:lineRule="auto"/>
    </w:pPr>
    <w:rPr>
      <w:rFonts w:ascii="Calibri" w:eastAsia="Calibri" w:hAnsi="Calibri" w:cs="Times New Roman"/>
      <w:sz w:val="20"/>
      <w:szCs w:val="20"/>
      <w:lang w:eastAsia="cs-CZ"/>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vtlseznamzvraznn111">
    <w:name w:val="Světlý seznam – zvýraznění 111"/>
    <w:basedOn w:val="Normlntabulka"/>
    <w:uiPriority w:val="61"/>
    <w:rsid w:val="000149E3"/>
    <w:pPr>
      <w:spacing w:after="0" w:line="240" w:lineRule="auto"/>
    </w:pPr>
    <w:rPr>
      <w:rFonts w:ascii="Calibri" w:eastAsia="Calibri" w:hAnsi="Calibri" w:cs="Times New Roman"/>
      <w:sz w:val="20"/>
      <w:szCs w:val="20"/>
      <w:lang w:eastAsia="cs-CZ"/>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Normal">
    <w:name w:val="Table Normal"/>
    <w:rsid w:val="000149E3"/>
    <w:pPr>
      <w:spacing w:after="0" w:line="240" w:lineRule="auto"/>
    </w:pPr>
    <w:rPr>
      <w:rFonts w:ascii="Times New Roman" w:eastAsia="Arial Unicode MS" w:hAnsi="Times New Roman" w:cs="Times New Roman"/>
      <w:sz w:val="20"/>
      <w:szCs w:val="20"/>
      <w:lang w:eastAsia="cs-CZ"/>
    </w:rPr>
    <w:tblPr>
      <w:tblCellMar>
        <w:top w:w="0" w:type="dxa"/>
        <w:left w:w="0" w:type="dxa"/>
        <w:bottom w:w="0" w:type="dxa"/>
        <w:right w:w="0" w:type="dxa"/>
      </w:tblCellMar>
    </w:tblPr>
  </w:style>
  <w:style w:type="table" w:customStyle="1" w:styleId="Svtlseznam2">
    <w:name w:val="Světlý seznam2"/>
    <w:basedOn w:val="Normlntabulka"/>
    <w:uiPriority w:val="61"/>
    <w:rsid w:val="000149E3"/>
    <w:pPr>
      <w:spacing w:after="0" w:line="240" w:lineRule="auto"/>
    </w:pPr>
    <w:rPr>
      <w:rFonts w:ascii="Calibri" w:eastAsia="Calibri" w:hAnsi="Calibri" w:cs="Times New Roman"/>
      <w:sz w:val="20"/>
      <w:szCs w:val="20"/>
      <w:lang w:eastAsia="cs-CZ"/>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katabulky1">
    <w:name w:val="Mřížka tabulky1"/>
    <w:basedOn w:val="Normlntabulka"/>
    <w:uiPriority w:val="59"/>
    <w:rsid w:val="000149E3"/>
    <w:pPr>
      <w:spacing w:after="0" w:line="240" w:lineRule="auto"/>
    </w:pPr>
    <w:rPr>
      <w:rFonts w:ascii="Calibri" w:eastAsia="Calibri" w:hAnsi="Calibri" w:cs="Times New Roman"/>
      <w:sz w:val="20"/>
      <w:szCs w:val="20"/>
      <w:lang w:eastAsia="cs-CZ"/>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tlseznamzvraznn12">
    <w:name w:val="Světlý seznam – zvýraznění 12"/>
    <w:basedOn w:val="Normlntabulka"/>
    <w:uiPriority w:val="61"/>
    <w:rsid w:val="000149E3"/>
    <w:pPr>
      <w:spacing w:after="0" w:line="240" w:lineRule="auto"/>
    </w:pPr>
    <w:rPr>
      <w:rFonts w:ascii="Calibri" w:eastAsia="Calibri" w:hAnsi="Calibri" w:cs="Times New Roman"/>
      <w:sz w:val="20"/>
      <w:szCs w:val="20"/>
      <w:lang w:eastAsia="cs-CZ"/>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Svtlseznam12">
    <w:name w:val="Světlý seznam12"/>
    <w:basedOn w:val="Normlntabulka"/>
    <w:uiPriority w:val="61"/>
    <w:rsid w:val="000149E3"/>
    <w:pPr>
      <w:spacing w:after="0" w:line="240" w:lineRule="auto"/>
    </w:pPr>
    <w:rPr>
      <w:rFonts w:ascii="Calibri" w:eastAsia="Calibri" w:hAnsi="Calibri" w:cs="Times New Roman"/>
      <w:sz w:val="20"/>
      <w:szCs w:val="20"/>
      <w:lang w:eastAsia="cs-CZ"/>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vtlseznamzvraznn112">
    <w:name w:val="Světlý seznam – zvýraznění 112"/>
    <w:basedOn w:val="Normlntabulka"/>
    <w:uiPriority w:val="61"/>
    <w:rsid w:val="000149E3"/>
    <w:pPr>
      <w:spacing w:after="0" w:line="240" w:lineRule="auto"/>
    </w:pPr>
    <w:rPr>
      <w:rFonts w:ascii="Calibri" w:eastAsia="Calibri" w:hAnsi="Calibri" w:cs="Times New Roman"/>
      <w:sz w:val="20"/>
      <w:szCs w:val="20"/>
      <w:lang w:eastAsia="cs-CZ"/>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11">
    <w:name w:val="List 11"/>
    <w:rsid w:val="000149E3"/>
    <w:pPr>
      <w:numPr>
        <w:numId w:val="8"/>
      </w:numPr>
    </w:pPr>
  </w:style>
  <w:style w:type="numbering" w:customStyle="1" w:styleId="List12">
    <w:name w:val="List 12"/>
    <w:rsid w:val="000149E3"/>
    <w:pPr>
      <w:numPr>
        <w:numId w:val="9"/>
      </w:numPr>
    </w:pPr>
  </w:style>
  <w:style w:type="numbering" w:customStyle="1" w:styleId="List9">
    <w:name w:val="List 9"/>
    <w:rsid w:val="000149E3"/>
    <w:pPr>
      <w:numPr>
        <w:numId w:val="10"/>
      </w:numPr>
    </w:pPr>
  </w:style>
  <w:style w:type="numbering" w:customStyle="1" w:styleId="Importovanstyl1">
    <w:name w:val="Importovaný styl 1"/>
    <w:rsid w:val="000149E3"/>
    <w:pPr>
      <w:numPr>
        <w:numId w:val="11"/>
      </w:numPr>
    </w:pPr>
  </w:style>
  <w:style w:type="numbering" w:customStyle="1" w:styleId="List13">
    <w:name w:val="List 13"/>
    <w:rsid w:val="000149E3"/>
    <w:pPr>
      <w:numPr>
        <w:numId w:val="12"/>
      </w:numPr>
    </w:pPr>
  </w:style>
  <w:style w:type="numbering" w:customStyle="1" w:styleId="List10">
    <w:name w:val="List 10"/>
    <w:rsid w:val="000149E3"/>
    <w:pPr>
      <w:numPr>
        <w:numId w:val="13"/>
      </w:numPr>
    </w:pPr>
  </w:style>
  <w:style w:type="numbering" w:customStyle="1" w:styleId="List0">
    <w:name w:val="List 0"/>
    <w:rsid w:val="000149E3"/>
    <w:pPr>
      <w:numPr>
        <w:numId w:val="14"/>
      </w:numPr>
    </w:pPr>
  </w:style>
  <w:style w:type="numbering" w:customStyle="1" w:styleId="List22">
    <w:name w:val="List 22"/>
    <w:rsid w:val="000149E3"/>
    <w:pPr>
      <w:numPr>
        <w:numId w:val="15"/>
      </w:numPr>
    </w:pPr>
  </w:style>
  <w:style w:type="numbering" w:customStyle="1" w:styleId="List1">
    <w:name w:val="List 1"/>
    <w:rsid w:val="000149E3"/>
    <w:pPr>
      <w:numPr>
        <w:numId w:val="16"/>
      </w:numPr>
    </w:pPr>
  </w:style>
  <w:style w:type="numbering" w:customStyle="1" w:styleId="List19">
    <w:name w:val="List 19"/>
    <w:rsid w:val="000149E3"/>
    <w:pPr>
      <w:numPr>
        <w:numId w:val="17"/>
      </w:numPr>
    </w:pPr>
  </w:style>
  <w:style w:type="numbering" w:customStyle="1" w:styleId="Seznam51">
    <w:name w:val="Seznam 51"/>
    <w:rsid w:val="000149E3"/>
    <w:pPr>
      <w:numPr>
        <w:numId w:val="18"/>
      </w:numPr>
    </w:pPr>
  </w:style>
  <w:style w:type="numbering" w:customStyle="1" w:styleId="List18">
    <w:name w:val="List 18"/>
    <w:rsid w:val="000149E3"/>
    <w:pPr>
      <w:numPr>
        <w:numId w:val="19"/>
      </w:numPr>
    </w:pPr>
  </w:style>
  <w:style w:type="numbering" w:customStyle="1" w:styleId="List14">
    <w:name w:val="List 14"/>
    <w:rsid w:val="000149E3"/>
    <w:pPr>
      <w:numPr>
        <w:numId w:val="20"/>
      </w:numPr>
    </w:pPr>
  </w:style>
  <w:style w:type="numbering" w:customStyle="1" w:styleId="Seznam41">
    <w:name w:val="Seznam 41"/>
    <w:rsid w:val="000149E3"/>
    <w:pPr>
      <w:numPr>
        <w:numId w:val="21"/>
      </w:numPr>
    </w:pPr>
  </w:style>
  <w:style w:type="numbering" w:customStyle="1" w:styleId="List15">
    <w:name w:val="List 15"/>
    <w:rsid w:val="000149E3"/>
    <w:pPr>
      <w:numPr>
        <w:numId w:val="22"/>
      </w:numPr>
    </w:pPr>
  </w:style>
  <w:style w:type="numbering" w:customStyle="1" w:styleId="List21">
    <w:name w:val="List 21"/>
    <w:rsid w:val="000149E3"/>
    <w:pPr>
      <w:numPr>
        <w:numId w:val="23"/>
      </w:numPr>
    </w:pPr>
  </w:style>
  <w:style w:type="numbering" w:customStyle="1" w:styleId="List16">
    <w:name w:val="List 16"/>
    <w:rsid w:val="000149E3"/>
    <w:pPr>
      <w:numPr>
        <w:numId w:val="24"/>
      </w:numPr>
    </w:pPr>
  </w:style>
  <w:style w:type="numbering" w:customStyle="1" w:styleId="List8">
    <w:name w:val="List 8"/>
    <w:rsid w:val="000149E3"/>
    <w:pPr>
      <w:numPr>
        <w:numId w:val="25"/>
      </w:numPr>
    </w:pPr>
  </w:style>
  <w:style w:type="numbering" w:customStyle="1" w:styleId="Seznam21">
    <w:name w:val="Seznam 21"/>
    <w:rsid w:val="000149E3"/>
    <w:pPr>
      <w:numPr>
        <w:numId w:val="26"/>
      </w:numPr>
    </w:pPr>
  </w:style>
  <w:style w:type="numbering" w:customStyle="1" w:styleId="List7">
    <w:name w:val="List 7"/>
    <w:rsid w:val="000149E3"/>
    <w:pPr>
      <w:numPr>
        <w:numId w:val="27"/>
      </w:numPr>
    </w:pPr>
  </w:style>
  <w:style w:type="numbering" w:customStyle="1" w:styleId="Importovanstyl6">
    <w:name w:val="Importovaný styl 6"/>
    <w:rsid w:val="000149E3"/>
    <w:pPr>
      <w:numPr>
        <w:numId w:val="28"/>
      </w:numPr>
    </w:pPr>
  </w:style>
  <w:style w:type="numbering" w:customStyle="1" w:styleId="Seznam31">
    <w:name w:val="Seznam 31"/>
    <w:rsid w:val="000149E3"/>
    <w:pPr>
      <w:numPr>
        <w:numId w:val="29"/>
      </w:numPr>
    </w:pPr>
  </w:style>
  <w:style w:type="numbering" w:customStyle="1" w:styleId="List6">
    <w:name w:val="List 6"/>
    <w:rsid w:val="000149E3"/>
    <w:pPr>
      <w:numPr>
        <w:numId w:val="30"/>
      </w:numPr>
    </w:pPr>
  </w:style>
  <w:style w:type="numbering" w:customStyle="1" w:styleId="List17">
    <w:name w:val="List 17"/>
    <w:rsid w:val="000149E3"/>
    <w:pPr>
      <w:numPr>
        <w:numId w:val="31"/>
      </w:numPr>
    </w:pPr>
  </w:style>
  <w:style w:type="numbering" w:customStyle="1" w:styleId="List23">
    <w:name w:val="List 23"/>
    <w:rsid w:val="000149E3"/>
    <w:pPr>
      <w:numPr>
        <w:numId w:val="32"/>
      </w:numPr>
    </w:pPr>
  </w:style>
  <w:style w:type="numbering" w:customStyle="1" w:styleId="List20">
    <w:name w:val="List 20"/>
    <w:rsid w:val="000149E3"/>
    <w:pPr>
      <w:numPr>
        <w:numId w:val="33"/>
      </w:numPr>
    </w:pPr>
  </w:style>
  <w:style w:type="character" w:styleId="Nevyeenzmnka">
    <w:name w:val="Unresolved Mention"/>
    <w:uiPriority w:val="99"/>
    <w:semiHidden/>
    <w:unhideWhenUsed/>
    <w:rsid w:val="000149E3"/>
    <w:rPr>
      <w:color w:val="605E5C"/>
      <w:shd w:val="clear" w:color="auto" w:fill="E1DFDD"/>
    </w:rPr>
  </w:style>
  <w:style w:type="paragraph" w:customStyle="1" w:styleId="oj-normal">
    <w:name w:val="oj-normal"/>
    <w:basedOn w:val="Normln"/>
    <w:rsid w:val="000149E3"/>
    <w:pPr>
      <w:spacing w:before="100" w:beforeAutospacing="1" w:after="100" w:afterAutospacing="1" w:line="240" w:lineRule="auto"/>
    </w:pPr>
    <w:rPr>
      <w:rFonts w:ascii="Times New Roman" w:eastAsia="Times New Roman" w:hAnsi="Times New Roman"/>
      <w:sz w:val="24"/>
      <w:szCs w:val="24"/>
      <w:lang w:eastAsia="cs-CZ"/>
    </w:rPr>
  </w:style>
  <w:style w:type="paragraph" w:styleId="Textvysvtlivek">
    <w:name w:val="endnote text"/>
    <w:basedOn w:val="Normln"/>
    <w:link w:val="TextvysvtlivekChar"/>
    <w:uiPriority w:val="99"/>
    <w:unhideWhenUsed/>
    <w:rsid w:val="000149E3"/>
    <w:rPr>
      <w:sz w:val="20"/>
      <w:szCs w:val="20"/>
    </w:rPr>
  </w:style>
  <w:style w:type="character" w:customStyle="1" w:styleId="TextvysvtlivekChar">
    <w:name w:val="Text vysvětlivek Char"/>
    <w:basedOn w:val="Standardnpsmoodstavce"/>
    <w:link w:val="Textvysvtlivek"/>
    <w:uiPriority w:val="99"/>
    <w:rsid w:val="000149E3"/>
    <w:rPr>
      <w:rFonts w:ascii="Calibri" w:eastAsia="Calibri" w:hAnsi="Calibri" w:cs="Times New Roman"/>
      <w:sz w:val="20"/>
      <w:szCs w:val="20"/>
    </w:rPr>
  </w:style>
  <w:style w:type="character" w:styleId="Odkaznavysvtlivky">
    <w:name w:val="endnote reference"/>
    <w:basedOn w:val="Standardnpsmoodstavce"/>
    <w:uiPriority w:val="99"/>
    <w:semiHidden/>
    <w:unhideWhenUsed/>
    <w:rsid w:val="000149E3"/>
    <w:rPr>
      <w:vertAlign w:val="superscript"/>
    </w:rPr>
  </w:style>
  <w:style w:type="paragraph" w:styleId="Prosttext">
    <w:name w:val="Plain Text"/>
    <w:basedOn w:val="Normln"/>
    <w:link w:val="ProsttextChar"/>
    <w:uiPriority w:val="99"/>
    <w:semiHidden/>
    <w:unhideWhenUsed/>
    <w:rsid w:val="00363778"/>
    <w:pPr>
      <w:spacing w:after="0" w:line="240" w:lineRule="auto"/>
    </w:pPr>
    <w:rPr>
      <w:rFonts w:eastAsiaTheme="minorHAnsi" w:cstheme="minorBidi"/>
      <w:szCs w:val="21"/>
    </w:rPr>
  </w:style>
  <w:style w:type="character" w:customStyle="1" w:styleId="ProsttextChar">
    <w:name w:val="Prostý text Char"/>
    <w:basedOn w:val="Standardnpsmoodstavce"/>
    <w:link w:val="Prosttext"/>
    <w:uiPriority w:val="99"/>
    <w:semiHidden/>
    <w:rsid w:val="00363778"/>
    <w:rPr>
      <w:rFonts w:ascii="Calibri" w:hAnsi="Calibri"/>
      <w:szCs w:val="21"/>
    </w:rPr>
  </w:style>
  <w:style w:type="paragraph" w:customStyle="1" w:styleId="ti-art">
    <w:name w:val="ti-art"/>
    <w:basedOn w:val="Normln"/>
    <w:rsid w:val="001671DF"/>
    <w:pPr>
      <w:spacing w:before="100" w:beforeAutospacing="1" w:after="100" w:afterAutospacing="1" w:line="240" w:lineRule="auto"/>
    </w:pPr>
    <w:rPr>
      <w:rFonts w:ascii="Times New Roman" w:eastAsia="Times New Roman" w:hAnsi="Times New Roman"/>
      <w:sz w:val="24"/>
      <w:szCs w:val="24"/>
      <w:lang w:eastAsia="cs-CZ"/>
    </w:rPr>
  </w:style>
  <w:style w:type="paragraph" w:customStyle="1" w:styleId="sti-art">
    <w:name w:val="sti-art"/>
    <w:basedOn w:val="Normln"/>
    <w:rsid w:val="001671DF"/>
    <w:pPr>
      <w:spacing w:before="100" w:beforeAutospacing="1" w:after="100" w:afterAutospacing="1" w:line="240" w:lineRule="auto"/>
    </w:pPr>
    <w:rPr>
      <w:rFonts w:ascii="Times New Roman" w:eastAsia="Times New Roman" w:hAnsi="Times New Roman"/>
      <w:sz w:val="24"/>
      <w:szCs w:val="24"/>
      <w:lang w:eastAsia="cs-CZ"/>
    </w:rPr>
  </w:style>
  <w:style w:type="paragraph" w:customStyle="1" w:styleId="Normln1">
    <w:name w:val="Normální1"/>
    <w:basedOn w:val="Normln"/>
    <w:rsid w:val="001671DF"/>
    <w:pPr>
      <w:spacing w:before="100" w:beforeAutospacing="1" w:after="100" w:afterAutospacing="1" w:line="240" w:lineRule="auto"/>
    </w:pPr>
    <w:rPr>
      <w:rFonts w:ascii="Times New Roman" w:eastAsia="Times New Roman" w:hAnsi="Times New Roman"/>
      <w:sz w:val="24"/>
      <w:szCs w:val="24"/>
      <w:lang w:eastAsia="cs-CZ"/>
    </w:rPr>
  </w:style>
  <w:style w:type="paragraph" w:customStyle="1" w:styleId="l3">
    <w:name w:val="l3"/>
    <w:basedOn w:val="Normln"/>
    <w:rsid w:val="006940BE"/>
    <w:pPr>
      <w:spacing w:before="100" w:beforeAutospacing="1" w:after="100" w:afterAutospacing="1" w:line="240" w:lineRule="auto"/>
    </w:pPr>
    <w:rPr>
      <w:rFonts w:ascii="Times New Roman" w:eastAsia="Times New Roman" w:hAnsi="Times New Roman"/>
      <w:sz w:val="24"/>
      <w:szCs w:val="24"/>
      <w:lang w:eastAsia="cs-CZ"/>
    </w:rPr>
  </w:style>
  <w:style w:type="paragraph" w:customStyle="1" w:styleId="Oznaenpozmn">
    <w:name w:val="Označení pozm.n."/>
    <w:basedOn w:val="Normln"/>
    <w:rsid w:val="00F6177A"/>
    <w:pPr>
      <w:numPr>
        <w:numId w:val="42"/>
      </w:numPr>
      <w:tabs>
        <w:tab w:val="clear" w:pos="851"/>
        <w:tab w:val="num" w:pos="425"/>
      </w:tabs>
      <w:ind w:left="425" w:hanging="425"/>
      <w:jc w:val="both"/>
    </w:pPr>
    <w:rPr>
      <w:rFonts w:ascii="Times New Roman" w:eastAsia="Times New Roman" w:hAnsi="Times New Roman"/>
      <w:b/>
      <w:sz w:val="24"/>
      <w:szCs w:val="20"/>
      <w:lang w:eastAsia="cs-CZ"/>
    </w:rPr>
  </w:style>
  <w:style w:type="paragraph" w:customStyle="1" w:styleId="Textpozmn">
    <w:name w:val="Text pozm.n."/>
    <w:basedOn w:val="Normln"/>
    <w:rsid w:val="00F6177A"/>
    <w:pPr>
      <w:numPr>
        <w:numId w:val="45"/>
      </w:numPr>
      <w:tabs>
        <w:tab w:val="clear" w:pos="850"/>
        <w:tab w:val="left" w:pos="851"/>
      </w:tabs>
      <w:jc w:val="both"/>
    </w:pPr>
    <w:rPr>
      <w:rFonts w:ascii="Times New Roman" w:eastAsia="Times New Roman" w:hAnsi="Times New Roman"/>
      <w:sz w:val="24"/>
      <w:szCs w:val="20"/>
      <w:lang w:eastAsia="cs-CZ"/>
    </w:rPr>
  </w:style>
  <w:style w:type="paragraph" w:customStyle="1" w:styleId="Novelizanbodvpozmn">
    <w:name w:val="Novelizační bod v pozm.n."/>
    <w:basedOn w:val="Normln"/>
    <w:rsid w:val="00F6177A"/>
    <w:pPr>
      <w:numPr>
        <w:numId w:val="44"/>
      </w:numPr>
      <w:tabs>
        <w:tab w:val="clear" w:pos="425"/>
        <w:tab w:val="left" w:pos="1418"/>
      </w:tabs>
      <w:spacing w:before="240"/>
      <w:ind w:left="1418" w:hanging="567"/>
      <w:jc w:val="both"/>
    </w:pPr>
    <w:rPr>
      <w:rFonts w:ascii="Times New Roman" w:eastAsia="Times New Roman" w:hAnsi="Times New Roman"/>
      <w:sz w:val="24"/>
      <w:szCs w:val="20"/>
      <w:lang w:eastAsia="cs-CZ"/>
    </w:rPr>
  </w:style>
  <w:style w:type="paragraph" w:customStyle="1" w:styleId="slopodpsmenem">
    <w:name w:val="Číslo pod písmenem"/>
    <w:basedOn w:val="Normln"/>
    <w:rsid w:val="00F6177A"/>
    <w:pPr>
      <w:numPr>
        <w:numId w:val="43"/>
      </w:numPr>
      <w:tabs>
        <w:tab w:val="clear" w:pos="425"/>
        <w:tab w:val="num" w:pos="850"/>
      </w:tabs>
      <w:ind w:left="850"/>
      <w:jc w:val="both"/>
      <w:outlineLvl w:val="8"/>
    </w:pPr>
    <w:rPr>
      <w:rFonts w:ascii="Times New Roman" w:eastAsia="Times New Roman" w:hAnsi="Times New Roman"/>
      <w:sz w:val="24"/>
      <w:szCs w:val="20"/>
      <w:lang w:eastAsia="cs-CZ"/>
    </w:rPr>
  </w:style>
  <w:style w:type="paragraph" w:customStyle="1" w:styleId="za10">
    <w:name w:val="za 1."/>
    <w:basedOn w:val="Textpsmene"/>
    <w:rsid w:val="00F6177A"/>
    <w:pPr>
      <w:keepNext w:val="0"/>
      <w:numPr>
        <w:ilvl w:val="0"/>
        <w:numId w:val="0"/>
      </w:numPr>
      <w:tabs>
        <w:tab w:val="num" w:pos="360"/>
        <w:tab w:val="left" w:pos="851"/>
      </w:tabs>
      <w:spacing w:after="120" w:line="276" w:lineRule="auto"/>
      <w:ind w:left="425" w:firstLine="425"/>
      <w:outlineLvl w:val="8"/>
    </w:pPr>
  </w:style>
  <w:style w:type="paragraph" w:customStyle="1" w:styleId="zaa">
    <w:name w:val="za a)"/>
    <w:basedOn w:val="Normln"/>
    <w:rsid w:val="00F6177A"/>
    <w:pPr>
      <w:widowControl w:val="0"/>
      <w:ind w:left="720" w:hanging="360"/>
      <w:jc w:val="both"/>
      <w:outlineLvl w:val="7"/>
    </w:pPr>
    <w:rPr>
      <w:rFonts w:ascii="Times New Roman" w:eastAsia="Times New Roman" w:hAnsi="Times New Roman"/>
      <w:sz w:val="24"/>
      <w:szCs w:val="20"/>
      <w:lang w:eastAsia="cs-CZ"/>
    </w:rPr>
  </w:style>
  <w:style w:type="paragraph" w:customStyle="1" w:styleId="za1">
    <w:name w:val="za (1)"/>
    <w:basedOn w:val="Normln"/>
    <w:rsid w:val="00F6177A"/>
    <w:pPr>
      <w:widowControl w:val="0"/>
      <w:numPr>
        <w:numId w:val="6"/>
      </w:numPr>
      <w:tabs>
        <w:tab w:val="left" w:pos="425"/>
        <w:tab w:val="left" w:pos="851"/>
      </w:tabs>
      <w:spacing w:before="120"/>
      <w:jc w:val="both"/>
      <w:outlineLvl w:val="6"/>
    </w:pPr>
    <w:rPr>
      <w:rFonts w:ascii="Times New Roman" w:eastAsia="Times New Roman" w:hAnsi="Times New Roman"/>
      <w:spacing w:val="-8"/>
      <w:sz w:val="24"/>
      <w:szCs w:val="20"/>
      <w:lang w:eastAsia="cs-CZ"/>
    </w:rPr>
  </w:style>
  <w:style w:type="paragraph" w:styleId="Zkladntextodsazen2">
    <w:name w:val="Body Text Indent 2"/>
    <w:basedOn w:val="Normln"/>
    <w:link w:val="Zkladntextodsazen2Char"/>
    <w:semiHidden/>
    <w:rsid w:val="00F6177A"/>
    <w:pPr>
      <w:ind w:firstLine="360"/>
      <w:jc w:val="both"/>
    </w:pPr>
    <w:rPr>
      <w:rFonts w:ascii="Times New Roman" w:eastAsia="Times New Roman" w:hAnsi="Times New Roman"/>
      <w:sz w:val="24"/>
      <w:szCs w:val="20"/>
      <w:lang w:eastAsia="cs-CZ"/>
    </w:rPr>
  </w:style>
  <w:style w:type="character" w:customStyle="1" w:styleId="Zkladntextodsazen2Char">
    <w:name w:val="Základní text odsazený 2 Char"/>
    <w:basedOn w:val="Standardnpsmoodstavce"/>
    <w:link w:val="Zkladntextodsazen2"/>
    <w:semiHidden/>
    <w:rsid w:val="00F6177A"/>
    <w:rPr>
      <w:rFonts w:ascii="Times New Roman" w:eastAsia="Times New Roman" w:hAnsi="Times New Roman" w:cs="Times New Roman"/>
      <w:sz w:val="24"/>
      <w:szCs w:val="20"/>
      <w:lang w:eastAsia="cs-CZ"/>
    </w:rPr>
  </w:style>
  <w:style w:type="paragraph" w:customStyle="1" w:styleId="funkce">
    <w:name w:val="funkce"/>
    <w:basedOn w:val="Normln"/>
    <w:rsid w:val="00F6177A"/>
    <w:pPr>
      <w:jc w:val="center"/>
    </w:pPr>
    <w:rPr>
      <w:rFonts w:ascii="Times New Roman" w:eastAsia="Times New Roman" w:hAnsi="Times New Roman"/>
      <w:sz w:val="24"/>
      <w:szCs w:val="20"/>
      <w:lang w:eastAsia="cs-CZ"/>
    </w:rPr>
  </w:style>
  <w:style w:type="paragraph" w:customStyle="1" w:styleId="Nadpisoddlu">
    <w:name w:val="Nadpis oddílu"/>
    <w:basedOn w:val="Normln"/>
    <w:next w:val="Paragraf"/>
    <w:rsid w:val="00F6177A"/>
    <w:pPr>
      <w:keepNext/>
      <w:keepLines/>
      <w:jc w:val="center"/>
      <w:outlineLvl w:val="4"/>
    </w:pPr>
    <w:rPr>
      <w:rFonts w:ascii="Times New Roman" w:eastAsia="Times New Roman" w:hAnsi="Times New Roman"/>
      <w:b/>
      <w:sz w:val="24"/>
      <w:szCs w:val="20"/>
      <w:lang w:eastAsia="cs-CZ"/>
    </w:rPr>
  </w:style>
  <w:style w:type="paragraph" w:customStyle="1" w:styleId="Textparagrafu">
    <w:name w:val="Text paragrafu"/>
    <w:basedOn w:val="Normln"/>
    <w:rsid w:val="00F6177A"/>
    <w:pPr>
      <w:spacing w:before="240"/>
      <w:ind w:firstLine="425"/>
      <w:jc w:val="both"/>
      <w:outlineLvl w:val="5"/>
    </w:pPr>
    <w:rPr>
      <w:rFonts w:ascii="Times New Roman" w:eastAsia="Times New Roman" w:hAnsi="Times New Roman"/>
      <w:sz w:val="24"/>
      <w:szCs w:val="20"/>
      <w:lang w:eastAsia="cs-CZ"/>
    </w:rPr>
  </w:style>
  <w:style w:type="paragraph" w:styleId="Zkladntextodsazen3">
    <w:name w:val="Body Text Indent 3"/>
    <w:basedOn w:val="Normln"/>
    <w:link w:val="Zkladntextodsazen3Char"/>
    <w:semiHidden/>
    <w:rsid w:val="00F6177A"/>
    <w:pPr>
      <w:numPr>
        <w:numId w:val="46"/>
      </w:numPr>
      <w:tabs>
        <w:tab w:val="clear" w:pos="705"/>
      </w:tabs>
      <w:ind w:left="0" w:firstLine="426"/>
      <w:jc w:val="both"/>
    </w:pPr>
    <w:rPr>
      <w:rFonts w:ascii="Times New Roman" w:eastAsia="Times New Roman" w:hAnsi="Times New Roman"/>
      <w:sz w:val="24"/>
      <w:szCs w:val="20"/>
      <w:lang w:eastAsia="cs-CZ"/>
    </w:rPr>
  </w:style>
  <w:style w:type="character" w:customStyle="1" w:styleId="Zkladntextodsazen3Char">
    <w:name w:val="Základní text odsazený 3 Char"/>
    <w:basedOn w:val="Standardnpsmoodstavce"/>
    <w:link w:val="Zkladntextodsazen3"/>
    <w:semiHidden/>
    <w:rsid w:val="00F6177A"/>
    <w:rPr>
      <w:rFonts w:ascii="Times New Roman" w:eastAsia="Times New Roman" w:hAnsi="Times New Roman" w:cs="Times New Roman"/>
      <w:sz w:val="24"/>
      <w:szCs w:val="20"/>
      <w:lang w:eastAsia="cs-CZ"/>
    </w:rPr>
  </w:style>
  <w:style w:type="paragraph" w:styleId="Zkladntextodsazen">
    <w:name w:val="Body Text Indent"/>
    <w:basedOn w:val="Normln"/>
    <w:link w:val="ZkladntextodsazenChar"/>
    <w:semiHidden/>
    <w:rsid w:val="00F6177A"/>
    <w:pPr>
      <w:ind w:left="705" w:hanging="705"/>
      <w:jc w:val="both"/>
    </w:pPr>
    <w:rPr>
      <w:rFonts w:ascii="Times New Roman" w:eastAsia="Times New Roman" w:hAnsi="Times New Roman"/>
      <w:i/>
      <w:sz w:val="24"/>
      <w:szCs w:val="20"/>
      <w:lang w:eastAsia="cs-CZ"/>
    </w:rPr>
  </w:style>
  <w:style w:type="character" w:customStyle="1" w:styleId="ZkladntextodsazenChar">
    <w:name w:val="Základní text odsazený Char"/>
    <w:basedOn w:val="Standardnpsmoodstavce"/>
    <w:link w:val="Zkladntextodsazen"/>
    <w:semiHidden/>
    <w:rsid w:val="00F6177A"/>
    <w:rPr>
      <w:rFonts w:ascii="Times New Roman" w:eastAsia="Times New Roman" w:hAnsi="Times New Roman" w:cs="Times New Roman"/>
      <w:i/>
      <w:sz w:val="24"/>
      <w:szCs w:val="20"/>
      <w:lang w:eastAsia="cs-CZ"/>
    </w:rPr>
  </w:style>
  <w:style w:type="paragraph" w:customStyle="1" w:styleId="Styl2">
    <w:name w:val="Styl2"/>
    <w:basedOn w:val="Normln"/>
    <w:rsid w:val="00F6177A"/>
    <w:pPr>
      <w:spacing w:line="360" w:lineRule="auto"/>
      <w:jc w:val="both"/>
    </w:pPr>
    <w:rPr>
      <w:rFonts w:ascii="Arial" w:eastAsia="Times New Roman" w:hAnsi="Arial"/>
      <w:sz w:val="24"/>
      <w:szCs w:val="20"/>
      <w:lang w:eastAsia="cs-CZ"/>
    </w:rPr>
  </w:style>
  <w:style w:type="paragraph" w:customStyle="1" w:styleId="Mjstyl">
    <w:name w:val="Můj styl"/>
    <w:basedOn w:val="Normln"/>
    <w:rsid w:val="00F6177A"/>
    <w:pPr>
      <w:jc w:val="both"/>
    </w:pPr>
    <w:rPr>
      <w:rFonts w:ascii="Times New Roman" w:eastAsia="Times New Roman" w:hAnsi="Times New Roman"/>
      <w:sz w:val="24"/>
      <w:szCs w:val="20"/>
      <w:lang w:eastAsia="cs-CZ"/>
    </w:rPr>
  </w:style>
  <w:style w:type="paragraph" w:customStyle="1" w:styleId="Styl1">
    <w:name w:val="Styl1"/>
    <w:basedOn w:val="Normln"/>
    <w:rsid w:val="00F6177A"/>
    <w:pPr>
      <w:spacing w:line="360" w:lineRule="auto"/>
      <w:jc w:val="both"/>
    </w:pPr>
    <w:rPr>
      <w:rFonts w:ascii="Arial" w:eastAsia="Times New Roman" w:hAnsi="Arial"/>
      <w:sz w:val="24"/>
      <w:szCs w:val="20"/>
      <w:lang w:eastAsia="cs-CZ"/>
    </w:rPr>
  </w:style>
  <w:style w:type="character" w:styleId="slostrnky">
    <w:name w:val="page number"/>
    <w:basedOn w:val="Standardnpsmoodstavce"/>
    <w:semiHidden/>
    <w:rsid w:val="00F6177A"/>
  </w:style>
  <w:style w:type="paragraph" w:customStyle="1" w:styleId="nadpiszkona">
    <w:name w:val="nadpis zákona"/>
    <w:basedOn w:val="Normln"/>
    <w:next w:val="Normln"/>
    <w:rsid w:val="00F6177A"/>
    <w:pPr>
      <w:keepNext/>
      <w:keepLines/>
      <w:spacing w:before="120"/>
      <w:jc w:val="center"/>
      <w:outlineLvl w:val="0"/>
    </w:pPr>
    <w:rPr>
      <w:rFonts w:ascii="Times New Roman" w:eastAsia="Times New Roman" w:hAnsi="Times New Roman"/>
      <w:b/>
      <w:bCs/>
      <w:sz w:val="24"/>
      <w:szCs w:val="24"/>
      <w:lang w:eastAsia="cs-CZ"/>
    </w:rPr>
  </w:style>
  <w:style w:type="paragraph" w:customStyle="1" w:styleId="Zaznam">
    <w:name w:val="Zaznam"/>
    <w:basedOn w:val="Zhlav"/>
    <w:uiPriority w:val="99"/>
    <w:rsid w:val="00F6177A"/>
    <w:pPr>
      <w:tabs>
        <w:tab w:val="clear" w:pos="4536"/>
        <w:tab w:val="clear" w:pos="9072"/>
      </w:tabs>
      <w:spacing w:before="20" w:after="40"/>
      <w:jc w:val="both"/>
    </w:pPr>
    <w:rPr>
      <w:rFonts w:ascii="Times New Roman" w:hAnsi="Times New Roman"/>
      <w:sz w:val="24"/>
      <w:szCs w:val="24"/>
      <w:lang w:eastAsia="cs-CZ"/>
    </w:rPr>
  </w:style>
  <w:style w:type="paragraph" w:customStyle="1" w:styleId="VARIANTA">
    <w:name w:val="VARIANTA"/>
    <w:basedOn w:val="Normln"/>
    <w:next w:val="Normln"/>
    <w:rsid w:val="00F6177A"/>
    <w:pPr>
      <w:keepNext/>
      <w:spacing w:before="120"/>
      <w:jc w:val="both"/>
    </w:pPr>
    <w:rPr>
      <w:rFonts w:ascii="Times New Roman" w:eastAsia="Times New Roman" w:hAnsi="Times New Roman"/>
      <w:caps/>
      <w:spacing w:val="60"/>
      <w:sz w:val="24"/>
      <w:szCs w:val="20"/>
      <w:lang w:eastAsia="cs-CZ"/>
    </w:rPr>
  </w:style>
  <w:style w:type="paragraph" w:customStyle="1" w:styleId="WW-Zkladntext2">
    <w:name w:val="WW-Základní text 2"/>
    <w:basedOn w:val="Normln"/>
    <w:rsid w:val="00F6177A"/>
    <w:pPr>
      <w:suppressAutoHyphens/>
      <w:spacing w:line="360" w:lineRule="auto"/>
      <w:jc w:val="both"/>
    </w:pPr>
    <w:rPr>
      <w:rFonts w:ascii="Arial" w:eastAsia="Times New Roman" w:hAnsi="Arial"/>
      <w:b/>
      <w:sz w:val="24"/>
      <w:szCs w:val="20"/>
      <w:lang w:eastAsia="ar-SA"/>
    </w:rPr>
  </w:style>
  <w:style w:type="character" w:customStyle="1" w:styleId="Znakypropoznmkupodarou">
    <w:name w:val="Znaky pro poznámku pod čarou"/>
    <w:rsid w:val="00F6177A"/>
    <w:rPr>
      <w:vertAlign w:val="superscript"/>
    </w:rPr>
  </w:style>
  <w:style w:type="paragraph" w:customStyle="1" w:styleId="p2">
    <w:name w:val="p2"/>
    <w:basedOn w:val="Normln"/>
    <w:rsid w:val="00F6177A"/>
    <w:pPr>
      <w:spacing w:before="100" w:beforeAutospacing="1" w:after="100" w:afterAutospacing="1" w:line="240" w:lineRule="auto"/>
    </w:pPr>
    <w:rPr>
      <w:rFonts w:ascii="Times New Roman" w:eastAsia="Times New Roman" w:hAnsi="Times New Roman"/>
      <w:sz w:val="24"/>
      <w:szCs w:val="24"/>
      <w:lang w:eastAsia="cs-CZ"/>
    </w:rPr>
  </w:style>
  <w:style w:type="paragraph" w:customStyle="1" w:styleId="4GChar">
    <w:name w:val="4_G Char"/>
    <w:aliases w:val="Footnote Reference1 Char,Footnotes refss Char,ftref Char,BVI fnr Char,BVI fnr Car Car Char,BVI fnr Car Char,BVI fnr Car Car Car Car Char,BVI fnr Char Car Car Car Char"/>
    <w:basedOn w:val="Normln"/>
    <w:link w:val="Znakapoznpodarou"/>
    <w:uiPriority w:val="99"/>
    <w:rsid w:val="00F6177A"/>
    <w:pPr>
      <w:spacing w:after="160" w:line="240" w:lineRule="exact"/>
      <w:jc w:val="both"/>
    </w:pPr>
    <w:rPr>
      <w:rFonts w:asciiTheme="minorHAnsi" w:eastAsiaTheme="minorHAnsi" w:hAnsiTheme="minorHAnsi" w:cstheme="minorBidi"/>
      <w:vertAlign w:val="superscript"/>
    </w:rPr>
  </w:style>
  <w:style w:type="character" w:customStyle="1" w:styleId="s2">
    <w:name w:val="s2"/>
    <w:basedOn w:val="Standardnpsmoodstavce"/>
    <w:rsid w:val="00F61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69934">
      <w:bodyDiv w:val="1"/>
      <w:marLeft w:val="0"/>
      <w:marRight w:val="0"/>
      <w:marTop w:val="0"/>
      <w:marBottom w:val="0"/>
      <w:divBdr>
        <w:top w:val="none" w:sz="0" w:space="0" w:color="auto"/>
        <w:left w:val="none" w:sz="0" w:space="0" w:color="auto"/>
        <w:bottom w:val="none" w:sz="0" w:space="0" w:color="auto"/>
        <w:right w:val="none" w:sz="0" w:space="0" w:color="auto"/>
      </w:divBdr>
    </w:div>
    <w:div w:id="236675154">
      <w:bodyDiv w:val="1"/>
      <w:marLeft w:val="0"/>
      <w:marRight w:val="0"/>
      <w:marTop w:val="0"/>
      <w:marBottom w:val="0"/>
      <w:divBdr>
        <w:top w:val="none" w:sz="0" w:space="0" w:color="auto"/>
        <w:left w:val="none" w:sz="0" w:space="0" w:color="auto"/>
        <w:bottom w:val="none" w:sz="0" w:space="0" w:color="auto"/>
        <w:right w:val="none" w:sz="0" w:space="0" w:color="auto"/>
      </w:divBdr>
    </w:div>
    <w:div w:id="377163623">
      <w:bodyDiv w:val="1"/>
      <w:marLeft w:val="0"/>
      <w:marRight w:val="0"/>
      <w:marTop w:val="0"/>
      <w:marBottom w:val="0"/>
      <w:divBdr>
        <w:top w:val="none" w:sz="0" w:space="0" w:color="auto"/>
        <w:left w:val="none" w:sz="0" w:space="0" w:color="auto"/>
        <w:bottom w:val="none" w:sz="0" w:space="0" w:color="auto"/>
        <w:right w:val="none" w:sz="0" w:space="0" w:color="auto"/>
      </w:divBdr>
    </w:div>
    <w:div w:id="437218685">
      <w:bodyDiv w:val="1"/>
      <w:marLeft w:val="0"/>
      <w:marRight w:val="0"/>
      <w:marTop w:val="0"/>
      <w:marBottom w:val="0"/>
      <w:divBdr>
        <w:top w:val="none" w:sz="0" w:space="0" w:color="auto"/>
        <w:left w:val="none" w:sz="0" w:space="0" w:color="auto"/>
        <w:bottom w:val="none" w:sz="0" w:space="0" w:color="auto"/>
        <w:right w:val="none" w:sz="0" w:space="0" w:color="auto"/>
      </w:divBdr>
    </w:div>
    <w:div w:id="453601979">
      <w:bodyDiv w:val="1"/>
      <w:marLeft w:val="0"/>
      <w:marRight w:val="0"/>
      <w:marTop w:val="0"/>
      <w:marBottom w:val="0"/>
      <w:divBdr>
        <w:top w:val="none" w:sz="0" w:space="0" w:color="auto"/>
        <w:left w:val="none" w:sz="0" w:space="0" w:color="auto"/>
        <w:bottom w:val="none" w:sz="0" w:space="0" w:color="auto"/>
        <w:right w:val="none" w:sz="0" w:space="0" w:color="auto"/>
      </w:divBdr>
    </w:div>
    <w:div w:id="569540291">
      <w:bodyDiv w:val="1"/>
      <w:marLeft w:val="0"/>
      <w:marRight w:val="0"/>
      <w:marTop w:val="0"/>
      <w:marBottom w:val="0"/>
      <w:divBdr>
        <w:top w:val="none" w:sz="0" w:space="0" w:color="auto"/>
        <w:left w:val="none" w:sz="0" w:space="0" w:color="auto"/>
        <w:bottom w:val="none" w:sz="0" w:space="0" w:color="auto"/>
        <w:right w:val="none" w:sz="0" w:space="0" w:color="auto"/>
      </w:divBdr>
    </w:div>
    <w:div w:id="600604564">
      <w:bodyDiv w:val="1"/>
      <w:marLeft w:val="0"/>
      <w:marRight w:val="0"/>
      <w:marTop w:val="0"/>
      <w:marBottom w:val="0"/>
      <w:divBdr>
        <w:top w:val="none" w:sz="0" w:space="0" w:color="auto"/>
        <w:left w:val="none" w:sz="0" w:space="0" w:color="auto"/>
        <w:bottom w:val="none" w:sz="0" w:space="0" w:color="auto"/>
        <w:right w:val="none" w:sz="0" w:space="0" w:color="auto"/>
      </w:divBdr>
    </w:div>
    <w:div w:id="676464556">
      <w:bodyDiv w:val="1"/>
      <w:marLeft w:val="0"/>
      <w:marRight w:val="0"/>
      <w:marTop w:val="0"/>
      <w:marBottom w:val="0"/>
      <w:divBdr>
        <w:top w:val="none" w:sz="0" w:space="0" w:color="auto"/>
        <w:left w:val="none" w:sz="0" w:space="0" w:color="auto"/>
        <w:bottom w:val="none" w:sz="0" w:space="0" w:color="auto"/>
        <w:right w:val="none" w:sz="0" w:space="0" w:color="auto"/>
      </w:divBdr>
    </w:div>
    <w:div w:id="821578895">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3949860">
      <w:bodyDiv w:val="1"/>
      <w:marLeft w:val="0"/>
      <w:marRight w:val="0"/>
      <w:marTop w:val="0"/>
      <w:marBottom w:val="0"/>
      <w:divBdr>
        <w:top w:val="none" w:sz="0" w:space="0" w:color="auto"/>
        <w:left w:val="none" w:sz="0" w:space="0" w:color="auto"/>
        <w:bottom w:val="none" w:sz="0" w:space="0" w:color="auto"/>
        <w:right w:val="none" w:sz="0" w:space="0" w:color="auto"/>
      </w:divBdr>
    </w:div>
    <w:div w:id="1017080737">
      <w:bodyDiv w:val="1"/>
      <w:marLeft w:val="0"/>
      <w:marRight w:val="0"/>
      <w:marTop w:val="0"/>
      <w:marBottom w:val="0"/>
      <w:divBdr>
        <w:top w:val="none" w:sz="0" w:space="0" w:color="auto"/>
        <w:left w:val="none" w:sz="0" w:space="0" w:color="auto"/>
        <w:bottom w:val="none" w:sz="0" w:space="0" w:color="auto"/>
        <w:right w:val="none" w:sz="0" w:space="0" w:color="auto"/>
      </w:divBdr>
    </w:div>
    <w:div w:id="1092363265">
      <w:bodyDiv w:val="1"/>
      <w:marLeft w:val="0"/>
      <w:marRight w:val="0"/>
      <w:marTop w:val="0"/>
      <w:marBottom w:val="0"/>
      <w:divBdr>
        <w:top w:val="none" w:sz="0" w:space="0" w:color="auto"/>
        <w:left w:val="none" w:sz="0" w:space="0" w:color="auto"/>
        <w:bottom w:val="none" w:sz="0" w:space="0" w:color="auto"/>
        <w:right w:val="none" w:sz="0" w:space="0" w:color="auto"/>
      </w:divBdr>
    </w:div>
    <w:div w:id="1190947793">
      <w:bodyDiv w:val="1"/>
      <w:marLeft w:val="0"/>
      <w:marRight w:val="0"/>
      <w:marTop w:val="0"/>
      <w:marBottom w:val="0"/>
      <w:divBdr>
        <w:top w:val="none" w:sz="0" w:space="0" w:color="auto"/>
        <w:left w:val="none" w:sz="0" w:space="0" w:color="auto"/>
        <w:bottom w:val="none" w:sz="0" w:space="0" w:color="auto"/>
        <w:right w:val="none" w:sz="0" w:space="0" w:color="auto"/>
      </w:divBdr>
    </w:div>
    <w:div w:id="1295063512">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577861270">
      <w:bodyDiv w:val="1"/>
      <w:marLeft w:val="0"/>
      <w:marRight w:val="0"/>
      <w:marTop w:val="0"/>
      <w:marBottom w:val="0"/>
      <w:divBdr>
        <w:top w:val="none" w:sz="0" w:space="0" w:color="auto"/>
        <w:left w:val="none" w:sz="0" w:space="0" w:color="auto"/>
        <w:bottom w:val="none" w:sz="0" w:space="0" w:color="auto"/>
        <w:right w:val="none" w:sz="0" w:space="0" w:color="auto"/>
      </w:divBdr>
    </w:div>
    <w:div w:id="1596550788">
      <w:bodyDiv w:val="1"/>
      <w:marLeft w:val="0"/>
      <w:marRight w:val="0"/>
      <w:marTop w:val="0"/>
      <w:marBottom w:val="0"/>
      <w:divBdr>
        <w:top w:val="none" w:sz="0" w:space="0" w:color="auto"/>
        <w:left w:val="none" w:sz="0" w:space="0" w:color="auto"/>
        <w:bottom w:val="none" w:sz="0" w:space="0" w:color="auto"/>
        <w:right w:val="none" w:sz="0" w:space="0" w:color="auto"/>
      </w:divBdr>
    </w:div>
    <w:div w:id="1645549525">
      <w:bodyDiv w:val="1"/>
      <w:marLeft w:val="0"/>
      <w:marRight w:val="0"/>
      <w:marTop w:val="0"/>
      <w:marBottom w:val="0"/>
      <w:divBdr>
        <w:top w:val="none" w:sz="0" w:space="0" w:color="auto"/>
        <w:left w:val="none" w:sz="0" w:space="0" w:color="auto"/>
        <w:bottom w:val="none" w:sz="0" w:space="0" w:color="auto"/>
        <w:right w:val="none" w:sz="0" w:space="0" w:color="auto"/>
      </w:divBdr>
    </w:div>
    <w:div w:id="1670868187">
      <w:bodyDiv w:val="1"/>
      <w:marLeft w:val="0"/>
      <w:marRight w:val="0"/>
      <w:marTop w:val="0"/>
      <w:marBottom w:val="0"/>
      <w:divBdr>
        <w:top w:val="none" w:sz="0" w:space="0" w:color="auto"/>
        <w:left w:val="none" w:sz="0" w:space="0" w:color="auto"/>
        <w:bottom w:val="none" w:sz="0" w:space="0" w:color="auto"/>
        <w:right w:val="none" w:sz="0" w:space="0" w:color="auto"/>
      </w:divBdr>
    </w:div>
    <w:div w:id="1732651753">
      <w:bodyDiv w:val="1"/>
      <w:marLeft w:val="0"/>
      <w:marRight w:val="0"/>
      <w:marTop w:val="0"/>
      <w:marBottom w:val="0"/>
      <w:divBdr>
        <w:top w:val="none" w:sz="0" w:space="0" w:color="auto"/>
        <w:left w:val="none" w:sz="0" w:space="0" w:color="auto"/>
        <w:bottom w:val="none" w:sz="0" w:space="0" w:color="auto"/>
        <w:right w:val="none" w:sz="0" w:space="0" w:color="auto"/>
      </w:divBdr>
    </w:div>
    <w:div w:id="1794055298">
      <w:bodyDiv w:val="1"/>
      <w:marLeft w:val="0"/>
      <w:marRight w:val="0"/>
      <w:marTop w:val="0"/>
      <w:marBottom w:val="0"/>
      <w:divBdr>
        <w:top w:val="none" w:sz="0" w:space="0" w:color="auto"/>
        <w:left w:val="none" w:sz="0" w:space="0" w:color="auto"/>
        <w:bottom w:val="none" w:sz="0" w:space="0" w:color="auto"/>
        <w:right w:val="none" w:sz="0" w:space="0" w:color="auto"/>
      </w:divBdr>
    </w:div>
    <w:div w:id="1807433883">
      <w:bodyDiv w:val="1"/>
      <w:marLeft w:val="0"/>
      <w:marRight w:val="0"/>
      <w:marTop w:val="0"/>
      <w:marBottom w:val="0"/>
      <w:divBdr>
        <w:top w:val="none" w:sz="0" w:space="0" w:color="auto"/>
        <w:left w:val="none" w:sz="0" w:space="0" w:color="auto"/>
        <w:bottom w:val="none" w:sz="0" w:space="0" w:color="auto"/>
        <w:right w:val="none" w:sz="0" w:space="0" w:color="auto"/>
      </w:divBdr>
    </w:div>
    <w:div w:id="1981761315">
      <w:bodyDiv w:val="1"/>
      <w:marLeft w:val="0"/>
      <w:marRight w:val="0"/>
      <w:marTop w:val="0"/>
      <w:marBottom w:val="0"/>
      <w:divBdr>
        <w:top w:val="none" w:sz="0" w:space="0" w:color="auto"/>
        <w:left w:val="none" w:sz="0" w:space="0" w:color="auto"/>
        <w:bottom w:val="none" w:sz="0" w:space="0" w:color="auto"/>
        <w:right w:val="none" w:sz="0" w:space="0" w:color="auto"/>
      </w:divBdr>
    </w:div>
    <w:div w:id="2053995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footnotes.xml.rels><?xml version="1.0" encoding="UTF-8" standalone="yes"?>
<Relationships xmlns="http://schemas.openxmlformats.org/package/2006/relationships"><Relationship Id="rId8" Type="http://schemas.openxmlformats.org/officeDocument/2006/relationships/hyperlink" Target="https://eso.ochrance.cz/Nalezene/Edit/7814" TargetMode="External"/><Relationship Id="rId3" Type="http://schemas.openxmlformats.org/officeDocument/2006/relationships/hyperlink" Target="https://video.aktualne.cz/dvtv/zakony-na-vsechno-letosni-sbirka-ma-4-800-stran-resi-se-marg/r~bc2da624039911e998daac1f6b220ee8/&#250;" TargetMode="External"/><Relationship Id="rId7" Type="http://schemas.openxmlformats.org/officeDocument/2006/relationships/hyperlink" Target="https://eso.ochrance.cz/Nalezene/Edit/7952" TargetMode="External"/><Relationship Id="rId2" Type="http://schemas.openxmlformats.org/officeDocument/2006/relationships/hyperlink" Target="https://justice.cz/web/msp/statisticke-udaje-z-oblasti-justice" TargetMode="External"/><Relationship Id="rId1" Type="http://schemas.openxmlformats.org/officeDocument/2006/relationships/hyperlink" Target="https://eur-lex.europa.eu/legal-content/CS/TXT/?uri=CELEX:52020SC0302" TargetMode="External"/><Relationship Id="rId6" Type="http://schemas.openxmlformats.org/officeDocument/2006/relationships/hyperlink" Target="https://eso.ochrance.cz/Nalezene/Edit/1668" TargetMode="External"/><Relationship Id="rId5" Type="http://schemas.openxmlformats.org/officeDocument/2006/relationships/hyperlink" Target="https://www.nssoud.cz/rozhodovaci-cinnost/statistiky" TargetMode="External"/><Relationship Id="rId4" Type="http://schemas.openxmlformats.org/officeDocument/2006/relationships/hyperlink" Target="https://video.aktualne.cz/dvtv/zakony-na-vsechno-letosni-sbirka-ma-4-800-stran-resi-se-marg/r~bc2da624039911e998daac1f6b220ee8/&#250;"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ECC53-DEC2-434A-BAAD-10C64B310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97</Pages>
  <Words>40330</Words>
  <Characters>237947</Characters>
  <Application>Microsoft Office Word</Application>
  <DocSecurity>0</DocSecurity>
  <Lines>1982</Lines>
  <Paragraphs>555</Paragraphs>
  <ScaleCrop>false</ScaleCrop>
  <HeadingPairs>
    <vt:vector size="2" baseType="variant">
      <vt:variant>
        <vt:lpstr>Název</vt:lpstr>
      </vt:variant>
      <vt:variant>
        <vt:i4>1</vt:i4>
      </vt:variant>
    </vt:vector>
  </HeadingPairs>
  <TitlesOfParts>
    <vt:vector size="1" baseType="lpstr">
      <vt:lpstr/>
    </vt:vector>
  </TitlesOfParts>
  <Company>Ministerstvo spravedlnosti ČR</Company>
  <LinksUpToDate>false</LinksUpToDate>
  <CharactersWithSpaces>277722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Janoušková Anežka JUDr. Ph.D.</dc:creator>
  <cp:keywords/>
  <dc:description/>
  <cp:lastModifiedBy>Janoušková Anežka JUDr. Ph.D.</cp:lastModifiedBy>
  <cp:revision>2</cp:revision>
  <dcterms:created xsi:type="dcterms:W3CDTF">2023-12-14T15:12:00Z</dcterms:created>
  <dcterms:modified xsi:type="dcterms:W3CDTF">2023-12-14T15:12:00Z</dcterms:modified>
</cp:coreProperties>
</file>