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38F04" w14:textId="77777777" w:rsidR="00A074A2" w:rsidRPr="00BF7291" w:rsidRDefault="00A074A2" w:rsidP="00A074A2">
      <w:pPr>
        <w:spacing w:line="360" w:lineRule="auto"/>
        <w:jc w:val="right"/>
        <w:rPr>
          <w:rFonts w:ascii="Times New Roman" w:hAnsi="Times New Roman"/>
          <w:b/>
          <w:szCs w:val="22"/>
        </w:rPr>
      </w:pPr>
      <w:r w:rsidRPr="00BF7291">
        <w:rPr>
          <w:rFonts w:ascii="Times New Roman" w:hAnsi="Times New Roman"/>
          <w:b/>
          <w:szCs w:val="22"/>
        </w:rPr>
        <w:t xml:space="preserve">II. </w:t>
      </w:r>
    </w:p>
    <w:p w14:paraId="07026399" w14:textId="77777777" w:rsidR="00A074A2" w:rsidRPr="00BF7291" w:rsidRDefault="00A074A2" w:rsidP="00A074A2">
      <w:pPr>
        <w:spacing w:line="360" w:lineRule="auto"/>
        <w:jc w:val="center"/>
        <w:rPr>
          <w:rFonts w:ascii="Times New Roman" w:hAnsi="Times New Roman"/>
          <w:b/>
          <w:szCs w:val="22"/>
        </w:rPr>
      </w:pPr>
      <w:r w:rsidRPr="00BF7291">
        <w:rPr>
          <w:rFonts w:ascii="Times New Roman" w:hAnsi="Times New Roman"/>
          <w:b/>
          <w:szCs w:val="22"/>
        </w:rPr>
        <w:t>PŘEDKLÁDACÍ ZPRÁVA</w:t>
      </w:r>
    </w:p>
    <w:p w14:paraId="01B3A194" w14:textId="4F15AE0C" w:rsidR="00A074A2" w:rsidRPr="00367762" w:rsidRDefault="00A074A2" w:rsidP="00311180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67762">
        <w:rPr>
          <w:rFonts w:ascii="Times New Roman" w:hAnsi="Times New Roman"/>
          <w:sz w:val="24"/>
          <w:szCs w:val="24"/>
        </w:rPr>
        <w:t xml:space="preserve">Usnesením </w:t>
      </w:r>
      <w:r w:rsidRPr="00A074A2">
        <w:rPr>
          <w:rFonts w:ascii="Times New Roman" w:hAnsi="Times New Roman"/>
          <w:sz w:val="24"/>
          <w:szCs w:val="24"/>
        </w:rPr>
        <w:t>vlády č. 1075 ze dne 21. prosince 2022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7762">
        <w:rPr>
          <w:rFonts w:ascii="Times New Roman" w:hAnsi="Times New Roman"/>
          <w:sz w:val="24"/>
          <w:szCs w:val="24"/>
        </w:rPr>
        <w:t>byl schválen Plán legislativních prací vlády na rok 202</w:t>
      </w:r>
      <w:r>
        <w:rPr>
          <w:rFonts w:ascii="Times New Roman" w:hAnsi="Times New Roman"/>
          <w:sz w:val="24"/>
          <w:szCs w:val="24"/>
        </w:rPr>
        <w:t>3</w:t>
      </w:r>
      <w:r w:rsidRPr="00367762">
        <w:rPr>
          <w:rFonts w:ascii="Times New Roman" w:hAnsi="Times New Roman"/>
          <w:sz w:val="24"/>
          <w:szCs w:val="24"/>
        </w:rPr>
        <w:t>, v němž bylo Ministerstvu spravedlnosti uloženo vypracování návrhu zákona</w:t>
      </w:r>
      <w:r>
        <w:rPr>
          <w:rFonts w:ascii="Times New Roman" w:hAnsi="Times New Roman"/>
          <w:sz w:val="24"/>
          <w:szCs w:val="24"/>
        </w:rPr>
        <w:t>, kterým se mění zákon č. 150/2002 Sb., soudní řád správní, v platném znění</w:t>
      </w:r>
      <w:r w:rsidRPr="00367762">
        <w:rPr>
          <w:rFonts w:ascii="Times New Roman" w:hAnsi="Times New Roman"/>
          <w:sz w:val="24"/>
          <w:szCs w:val="24"/>
        </w:rPr>
        <w:t>.</w:t>
      </w:r>
    </w:p>
    <w:p w14:paraId="634A58B2" w14:textId="7C547CFF" w:rsidR="00A074A2" w:rsidRDefault="00A074A2" w:rsidP="00311180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67762">
        <w:rPr>
          <w:rFonts w:ascii="Times New Roman" w:hAnsi="Times New Roman"/>
          <w:sz w:val="24"/>
          <w:szCs w:val="24"/>
        </w:rPr>
        <w:t xml:space="preserve">V návaznosti na tento úkol Ministerstvo spravedlnosti připravilo návrh </w:t>
      </w:r>
      <w:r>
        <w:rPr>
          <w:rFonts w:ascii="Times New Roman" w:hAnsi="Times New Roman"/>
          <w:sz w:val="24"/>
          <w:szCs w:val="24"/>
        </w:rPr>
        <w:t xml:space="preserve">novelizace soudního řádu správního a některých souvisejících předpisů. Jedná se o komplexní novelu předmětného zákona, jejímž cílem je odstranit nedostatky, které byly za 20 let účinnosti tohoto zákona zjištěny v aplikační praxi, a tím přispět k posílení práv účastníků a zároveň zefektivnit a zrychlit řízení před správními soudy. V konečném důsledku </w:t>
      </w:r>
      <w:r w:rsidR="00A45BB4">
        <w:rPr>
          <w:rFonts w:ascii="Times New Roman" w:hAnsi="Times New Roman"/>
          <w:sz w:val="24"/>
          <w:szCs w:val="24"/>
        </w:rPr>
        <w:t>novela povede</w:t>
      </w:r>
      <w:r>
        <w:rPr>
          <w:rFonts w:ascii="Times New Roman" w:hAnsi="Times New Roman"/>
          <w:sz w:val="24"/>
          <w:szCs w:val="24"/>
        </w:rPr>
        <w:t xml:space="preserve"> k lepší vymahatelnosti veřejných subjektivních práv a posílení důvěry občanů ve správní justici a právní stát obecně.</w:t>
      </w:r>
    </w:p>
    <w:p w14:paraId="6B738A6E" w14:textId="1CF2E645" w:rsidR="00A074A2" w:rsidRDefault="00A074A2" w:rsidP="00311180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 třeba zdůraznit, že předložené změny nepřinášejí do soudní kontroly veřejné správy</w:t>
      </w:r>
      <w:r w:rsidR="00A45BB4" w:rsidRPr="00A45BB4">
        <w:rPr>
          <w:rFonts w:ascii="Times New Roman" w:hAnsi="Times New Roman"/>
          <w:sz w:val="24"/>
          <w:szCs w:val="24"/>
        </w:rPr>
        <w:t xml:space="preserve"> </w:t>
      </w:r>
      <w:r w:rsidR="00A45BB4">
        <w:rPr>
          <w:rFonts w:ascii="Times New Roman" w:hAnsi="Times New Roman"/>
          <w:sz w:val="24"/>
          <w:szCs w:val="24"/>
        </w:rPr>
        <w:t>revoluci</w:t>
      </w:r>
      <w:r>
        <w:rPr>
          <w:rFonts w:ascii="Times New Roman" w:hAnsi="Times New Roman"/>
          <w:sz w:val="24"/>
          <w:szCs w:val="24"/>
        </w:rPr>
        <w:t>. I nadále se počítá se základními principy a východisky</w:t>
      </w:r>
      <w:r w:rsidR="00A45BB4">
        <w:rPr>
          <w:rFonts w:ascii="Times New Roman" w:hAnsi="Times New Roman"/>
          <w:sz w:val="24"/>
          <w:szCs w:val="24"/>
        </w:rPr>
        <w:t>, na nichž je dnes</w:t>
      </w:r>
      <w:r>
        <w:rPr>
          <w:rFonts w:ascii="Times New Roman" w:hAnsi="Times New Roman"/>
          <w:sz w:val="24"/>
          <w:szCs w:val="24"/>
        </w:rPr>
        <w:t xml:space="preserve"> správní soudnictví</w:t>
      </w:r>
      <w:r w:rsidR="00A45BB4">
        <w:rPr>
          <w:rFonts w:ascii="Times New Roman" w:hAnsi="Times New Roman"/>
          <w:sz w:val="24"/>
          <w:szCs w:val="24"/>
        </w:rPr>
        <w:t xml:space="preserve"> založeno. Novela tak zachovává</w:t>
      </w:r>
      <w:r>
        <w:rPr>
          <w:rFonts w:ascii="Times New Roman" w:hAnsi="Times New Roman"/>
          <w:sz w:val="24"/>
          <w:szCs w:val="24"/>
        </w:rPr>
        <w:t xml:space="preserve"> rozhodování na kasačním principu, odlišování tří žalobních typů nebo pojetí kasační stížnosti jako mimořádného opravného prostředku. Změny představují</w:t>
      </w:r>
      <w:r w:rsidR="00A45BB4">
        <w:rPr>
          <w:rFonts w:ascii="Times New Roman" w:hAnsi="Times New Roman"/>
          <w:sz w:val="24"/>
          <w:szCs w:val="24"/>
        </w:rPr>
        <w:t xml:space="preserve"> spíše</w:t>
      </w:r>
      <w:r>
        <w:rPr>
          <w:rFonts w:ascii="Times New Roman" w:hAnsi="Times New Roman"/>
          <w:sz w:val="24"/>
          <w:szCs w:val="24"/>
        </w:rPr>
        <w:t xml:space="preserve"> pozvolnou evoluci, když reagují na 20 let zkušeností s tímto předpisem, reflektují bohatou rozhodovací praxi správních soudů a </w:t>
      </w:r>
      <w:proofErr w:type="gramStart"/>
      <w:r>
        <w:rPr>
          <w:rFonts w:ascii="Times New Roman" w:hAnsi="Times New Roman"/>
          <w:sz w:val="24"/>
          <w:szCs w:val="24"/>
        </w:rPr>
        <w:t>snaží</w:t>
      </w:r>
      <w:proofErr w:type="gramEnd"/>
      <w:r>
        <w:rPr>
          <w:rFonts w:ascii="Times New Roman" w:hAnsi="Times New Roman"/>
          <w:sz w:val="24"/>
          <w:szCs w:val="24"/>
        </w:rPr>
        <w:t xml:space="preserve"> se vyjít vstříc požadavkům praxe.</w:t>
      </w:r>
    </w:p>
    <w:p w14:paraId="587D4B73" w14:textId="7B3CA2F3" w:rsidR="00A074A2" w:rsidRPr="00367762" w:rsidRDefault="00A074A2" w:rsidP="00311180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Úpravy soudního řádu správního sledují mimo jiné zvýšení efektivity dělby práce na správních úsecích, zejména je-li rozhodováno v senátech. </w:t>
      </w:r>
      <w:r w:rsidR="00A45BB4">
        <w:rPr>
          <w:rFonts w:ascii="Times New Roman" w:hAnsi="Times New Roman"/>
          <w:sz w:val="24"/>
          <w:szCs w:val="24"/>
        </w:rPr>
        <w:t>K</w:t>
      </w:r>
      <w:r w:rsidR="005F157D">
        <w:rPr>
          <w:rFonts w:ascii="Times New Roman" w:hAnsi="Times New Roman"/>
          <w:sz w:val="24"/>
          <w:szCs w:val="24"/>
        </w:rPr>
        <w:t xml:space="preserve"> p</w:t>
      </w:r>
      <w:r>
        <w:rPr>
          <w:rFonts w:ascii="Times New Roman" w:hAnsi="Times New Roman"/>
          <w:sz w:val="24"/>
          <w:szCs w:val="24"/>
        </w:rPr>
        <w:t xml:space="preserve">osílení práv účastníků řízení </w:t>
      </w:r>
      <w:r w:rsidR="00A45BB4">
        <w:rPr>
          <w:rFonts w:ascii="Times New Roman" w:hAnsi="Times New Roman"/>
          <w:sz w:val="24"/>
          <w:szCs w:val="24"/>
        </w:rPr>
        <w:t>vede například</w:t>
      </w:r>
      <w:r>
        <w:rPr>
          <w:rFonts w:ascii="Times New Roman" w:hAnsi="Times New Roman"/>
          <w:sz w:val="24"/>
          <w:szCs w:val="24"/>
        </w:rPr>
        <w:t xml:space="preserve"> rozšíření definice osoby zúčastněné na řízení, </w:t>
      </w:r>
      <w:r w:rsidR="005F157D">
        <w:rPr>
          <w:rFonts w:ascii="Times New Roman" w:hAnsi="Times New Roman"/>
          <w:sz w:val="24"/>
          <w:szCs w:val="24"/>
        </w:rPr>
        <w:t>zavedení</w:t>
      </w:r>
      <w:r>
        <w:rPr>
          <w:rFonts w:ascii="Times New Roman" w:hAnsi="Times New Roman"/>
          <w:sz w:val="24"/>
          <w:szCs w:val="24"/>
        </w:rPr>
        <w:t xml:space="preserve"> poučovací povinnosti soudu ve vybraných případech či vyjasnění účinků nezákonnosti podkladového aktu. V zájmu větší srozumitelnosti a předvídatelnosti legislativy pro adresáty právních norem návrh dále zohledňuje závěry </w:t>
      </w:r>
      <w:r w:rsidR="005F157D">
        <w:rPr>
          <w:rFonts w:ascii="Times New Roman" w:hAnsi="Times New Roman"/>
          <w:sz w:val="24"/>
          <w:szCs w:val="24"/>
        </w:rPr>
        <w:t>ustálené judikatury</w:t>
      </w:r>
      <w:r>
        <w:rPr>
          <w:rFonts w:ascii="Times New Roman" w:hAnsi="Times New Roman"/>
          <w:sz w:val="24"/>
          <w:szCs w:val="24"/>
        </w:rPr>
        <w:t xml:space="preserve"> Nejvyššího správního soudu, které promítá do znění zákona. Návrh také činí kroky k tomu, aby byly </w:t>
      </w:r>
      <w:r w:rsidR="007276CC">
        <w:rPr>
          <w:rFonts w:ascii="Times New Roman" w:hAnsi="Times New Roman"/>
          <w:sz w:val="24"/>
          <w:szCs w:val="24"/>
        </w:rPr>
        <w:t>některé</w:t>
      </w:r>
      <w:r>
        <w:rPr>
          <w:rFonts w:ascii="Times New Roman" w:hAnsi="Times New Roman"/>
          <w:sz w:val="24"/>
          <w:szCs w:val="24"/>
        </w:rPr>
        <w:t xml:space="preserve"> </w:t>
      </w:r>
      <w:r w:rsidR="005F157D">
        <w:rPr>
          <w:rFonts w:ascii="Times New Roman" w:hAnsi="Times New Roman"/>
          <w:sz w:val="24"/>
          <w:szCs w:val="24"/>
        </w:rPr>
        <w:t>soudní</w:t>
      </w:r>
      <w:r>
        <w:rPr>
          <w:rFonts w:ascii="Times New Roman" w:hAnsi="Times New Roman"/>
          <w:sz w:val="24"/>
          <w:szCs w:val="24"/>
        </w:rPr>
        <w:t xml:space="preserve"> závěry překlenuty zpřesněním pravidel, a tím </w:t>
      </w:r>
      <w:r w:rsidR="005F157D">
        <w:rPr>
          <w:rFonts w:ascii="Times New Roman" w:hAnsi="Times New Roman"/>
          <w:sz w:val="24"/>
          <w:szCs w:val="24"/>
        </w:rPr>
        <w:t>došlo k naplnění</w:t>
      </w:r>
      <w:r>
        <w:rPr>
          <w:rFonts w:ascii="Times New Roman" w:hAnsi="Times New Roman"/>
          <w:sz w:val="24"/>
          <w:szCs w:val="24"/>
        </w:rPr>
        <w:t> původní</w:t>
      </w:r>
      <w:r w:rsidR="005F157D">
        <w:rPr>
          <w:rFonts w:ascii="Times New Roman" w:hAnsi="Times New Roman"/>
          <w:sz w:val="24"/>
          <w:szCs w:val="24"/>
        </w:rPr>
        <w:t>ho</w:t>
      </w:r>
      <w:r>
        <w:rPr>
          <w:rFonts w:ascii="Times New Roman" w:hAnsi="Times New Roman"/>
          <w:sz w:val="24"/>
          <w:szCs w:val="24"/>
        </w:rPr>
        <w:t xml:space="preserve"> úmysl</w:t>
      </w:r>
      <w:r w:rsidR="005F157D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zákonodárce. </w:t>
      </w:r>
      <w:r w:rsidR="005F157D">
        <w:rPr>
          <w:rFonts w:ascii="Times New Roman" w:hAnsi="Times New Roman"/>
          <w:sz w:val="24"/>
          <w:szCs w:val="24"/>
        </w:rPr>
        <w:t>Návrh dále sleduje větší provázanost a sblížení základních procesních institutů</w:t>
      </w:r>
      <w:r>
        <w:rPr>
          <w:rFonts w:ascii="Times New Roman" w:hAnsi="Times New Roman"/>
          <w:sz w:val="24"/>
          <w:szCs w:val="24"/>
        </w:rPr>
        <w:t xml:space="preserve">, jakým jsou kupříkladu podání nebo doručování, </w:t>
      </w:r>
      <w:r w:rsidR="005F157D">
        <w:rPr>
          <w:rFonts w:ascii="Times New Roman" w:hAnsi="Times New Roman"/>
          <w:sz w:val="24"/>
          <w:szCs w:val="24"/>
        </w:rPr>
        <w:t>v civilním a správním soudním řízení.</w:t>
      </w:r>
      <w:r>
        <w:rPr>
          <w:rFonts w:ascii="Times New Roman" w:hAnsi="Times New Roman"/>
          <w:sz w:val="24"/>
          <w:szCs w:val="24"/>
        </w:rPr>
        <w:t xml:space="preserve"> Návrh konečně pamatuje na opatření související s budoucí elektronizací soudního spisu a jeho zaváděním do </w:t>
      </w:r>
      <w:r w:rsidR="00A45BB4">
        <w:rPr>
          <w:rFonts w:ascii="Times New Roman" w:hAnsi="Times New Roman"/>
          <w:sz w:val="24"/>
          <w:szCs w:val="24"/>
        </w:rPr>
        <w:t xml:space="preserve">řízení ve </w:t>
      </w:r>
      <w:r>
        <w:rPr>
          <w:rFonts w:ascii="Times New Roman" w:hAnsi="Times New Roman"/>
          <w:sz w:val="24"/>
          <w:szCs w:val="24"/>
        </w:rPr>
        <w:t>správní</w:t>
      </w:r>
      <w:r w:rsidR="00A45BB4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soudnictví.</w:t>
      </w:r>
    </w:p>
    <w:p w14:paraId="0DC1FBF7" w14:textId="76C30302" w:rsidR="00311180" w:rsidRDefault="00A074A2" w:rsidP="00311180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Změny soudního řádu správního se dotknou </w:t>
      </w:r>
      <w:r w:rsidR="005F157D">
        <w:rPr>
          <w:rFonts w:ascii="Times New Roman" w:hAnsi="Times New Roman"/>
          <w:sz w:val="24"/>
          <w:szCs w:val="24"/>
        </w:rPr>
        <w:t>také dalších</w:t>
      </w:r>
      <w:r w:rsidR="00A45BB4">
        <w:rPr>
          <w:rFonts w:ascii="Times New Roman" w:hAnsi="Times New Roman"/>
          <w:sz w:val="24"/>
          <w:szCs w:val="24"/>
        </w:rPr>
        <w:t xml:space="preserve"> pěti</w:t>
      </w:r>
      <w:r w:rsidR="005F157D">
        <w:rPr>
          <w:rFonts w:ascii="Times New Roman" w:hAnsi="Times New Roman"/>
          <w:sz w:val="24"/>
          <w:szCs w:val="24"/>
        </w:rPr>
        <w:t xml:space="preserve"> zákonů</w:t>
      </w:r>
      <w:r w:rsidR="00311180">
        <w:rPr>
          <w:rFonts w:ascii="Times New Roman" w:hAnsi="Times New Roman"/>
          <w:sz w:val="24"/>
          <w:szCs w:val="24"/>
        </w:rPr>
        <w:t xml:space="preserve"> – občanského soudního řádu, zákona o veřejném zdravotním pojištění, azylového zákona, správního řádu a zákona o vyšších soudních úřednících</w:t>
      </w:r>
      <w:r w:rsidR="005F157D">
        <w:rPr>
          <w:rFonts w:ascii="Times New Roman" w:hAnsi="Times New Roman"/>
          <w:sz w:val="24"/>
          <w:szCs w:val="24"/>
        </w:rPr>
        <w:t>.</w:t>
      </w:r>
      <w:r w:rsidR="00311180">
        <w:rPr>
          <w:rFonts w:ascii="Times New Roman" w:hAnsi="Times New Roman"/>
          <w:sz w:val="24"/>
          <w:szCs w:val="24"/>
        </w:rPr>
        <w:t xml:space="preserve"> </w:t>
      </w:r>
    </w:p>
    <w:p w14:paraId="58B3CCA5" w14:textId="0CF68DDF" w:rsidR="00A074A2" w:rsidRPr="00367762" w:rsidRDefault="005F157D" w:rsidP="00311180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případě občanského soudního řádu je cílem již zmiňované sblížení základních procesních institutů a dále lepší koordinace mezi kompetenc</w:t>
      </w:r>
      <w:r w:rsidR="00A45BB4">
        <w:rPr>
          <w:rFonts w:ascii="Times New Roman" w:hAnsi="Times New Roman"/>
          <w:sz w:val="24"/>
          <w:szCs w:val="24"/>
        </w:rPr>
        <w:t>emi</w:t>
      </w:r>
      <w:r>
        <w:rPr>
          <w:rFonts w:ascii="Times New Roman" w:hAnsi="Times New Roman"/>
          <w:sz w:val="24"/>
          <w:szCs w:val="24"/>
        </w:rPr>
        <w:t xml:space="preserve"> správních soudů a civilních soudů rozhodujících podle části páté občanského soudního řádu. V zákoně o veřejném zdravotním pojištění se navrhuje prolomit kasační povahu rozhodování správních soudů a umožnit správním soudům výjimečně rozhodnout o přiznání nároku na mimořádnou úhradu </w:t>
      </w:r>
      <w:r w:rsidR="00A45BB4">
        <w:rPr>
          <w:rFonts w:ascii="Times New Roman" w:hAnsi="Times New Roman"/>
          <w:sz w:val="24"/>
          <w:szCs w:val="24"/>
        </w:rPr>
        <w:t xml:space="preserve">z veřejného zdravotního pojištění </w:t>
      </w:r>
      <w:r>
        <w:rPr>
          <w:rFonts w:ascii="Times New Roman" w:hAnsi="Times New Roman"/>
          <w:sz w:val="24"/>
          <w:szCs w:val="24"/>
        </w:rPr>
        <w:t xml:space="preserve">podle § 16 cit. zákona, pokud je tu naléhavý zájem na </w:t>
      </w:r>
      <w:r w:rsidR="00311180">
        <w:rPr>
          <w:rFonts w:ascii="Times New Roman" w:hAnsi="Times New Roman"/>
          <w:sz w:val="24"/>
          <w:szCs w:val="24"/>
        </w:rPr>
        <w:t>včasném zahájení adekvátní léčby a případné prodlení by mohlo vést k nevratným následkům na životě nebo zdraví pacienta</w:t>
      </w:r>
      <w:r>
        <w:rPr>
          <w:rFonts w:ascii="Times New Roman" w:hAnsi="Times New Roman"/>
          <w:sz w:val="24"/>
          <w:szCs w:val="24"/>
        </w:rPr>
        <w:t xml:space="preserve">. Úprava v azylovém zákoně je legislativně-technickou reakcí na změny </w:t>
      </w:r>
      <w:r>
        <w:rPr>
          <w:rFonts w:ascii="Times New Roman" w:hAnsi="Times New Roman"/>
          <w:sz w:val="24"/>
          <w:szCs w:val="24"/>
        </w:rPr>
        <w:lastRenderedPageBreak/>
        <w:t>v soudním řádu správním. Změny správního řádu mají vyřešit dlouholetý problém tzv. obživlých</w:t>
      </w:r>
      <w:r w:rsidR="00311180">
        <w:rPr>
          <w:rFonts w:ascii="Times New Roman" w:hAnsi="Times New Roman"/>
          <w:sz w:val="24"/>
          <w:szCs w:val="24"/>
        </w:rPr>
        <w:t xml:space="preserve"> správních</w:t>
      </w:r>
      <w:r>
        <w:rPr>
          <w:rFonts w:ascii="Times New Roman" w:hAnsi="Times New Roman"/>
          <w:sz w:val="24"/>
          <w:szCs w:val="24"/>
        </w:rPr>
        <w:t xml:space="preserve"> rozhodnutí za situace, kdy je zrušující rozhodnutí krajského soudu </w:t>
      </w:r>
      <w:r w:rsidR="00311180">
        <w:rPr>
          <w:rFonts w:ascii="Times New Roman" w:hAnsi="Times New Roman"/>
          <w:sz w:val="24"/>
          <w:szCs w:val="24"/>
        </w:rPr>
        <w:t>dodatečně</w:t>
      </w:r>
      <w:r>
        <w:rPr>
          <w:rFonts w:ascii="Times New Roman" w:hAnsi="Times New Roman"/>
          <w:sz w:val="24"/>
          <w:szCs w:val="24"/>
        </w:rPr>
        <w:t xml:space="preserve"> zrušeno Nejvyšším správním soudem. </w:t>
      </w:r>
      <w:r w:rsidR="00311180">
        <w:rPr>
          <w:rFonts w:ascii="Times New Roman" w:hAnsi="Times New Roman"/>
          <w:sz w:val="24"/>
          <w:szCs w:val="24"/>
        </w:rPr>
        <w:t>Úpravy</w:t>
      </w:r>
      <w:r>
        <w:rPr>
          <w:rFonts w:ascii="Times New Roman" w:hAnsi="Times New Roman"/>
          <w:sz w:val="24"/>
          <w:szCs w:val="24"/>
        </w:rPr>
        <w:t xml:space="preserve"> v zákoně o vyšších soudních úřednicích jsou spojeny se snahou o posílení kompetencí asistentů, vyšších soudních úředníků a členů senátu. </w:t>
      </w:r>
    </w:p>
    <w:p w14:paraId="483B59C6" w14:textId="5BC25914" w:rsidR="007E7047" w:rsidRDefault="00311180" w:rsidP="00311180">
      <w:pPr>
        <w:jc w:val="both"/>
      </w:pPr>
      <w:r>
        <w:rPr>
          <w:rFonts w:ascii="Times New Roman" w:hAnsi="Times New Roman"/>
          <w:sz w:val="24"/>
          <w:szCs w:val="24"/>
        </w:rPr>
        <w:t xml:space="preserve">V Plánu legislativních prací vlády na rok 2023 </w:t>
      </w:r>
      <w:r w:rsidRPr="00311180">
        <w:rPr>
          <w:rFonts w:ascii="Times New Roman" w:hAnsi="Times New Roman"/>
          <w:sz w:val="24"/>
          <w:szCs w:val="24"/>
        </w:rPr>
        <w:t xml:space="preserve">bylo rozhodnuto o tom, že hodnocení dopadů regulace </w:t>
      </w:r>
      <w:r w:rsidR="00A45BB4">
        <w:rPr>
          <w:rFonts w:ascii="Times New Roman" w:hAnsi="Times New Roman"/>
          <w:sz w:val="24"/>
          <w:szCs w:val="24"/>
        </w:rPr>
        <w:t xml:space="preserve">se </w:t>
      </w:r>
      <w:r w:rsidRPr="00311180">
        <w:rPr>
          <w:rFonts w:ascii="Times New Roman" w:hAnsi="Times New Roman"/>
          <w:sz w:val="24"/>
          <w:szCs w:val="24"/>
        </w:rPr>
        <w:t xml:space="preserve">u předloženého návrhu </w:t>
      </w:r>
      <w:r>
        <w:rPr>
          <w:rFonts w:ascii="Times New Roman" w:hAnsi="Times New Roman"/>
          <w:sz w:val="24"/>
          <w:szCs w:val="24"/>
        </w:rPr>
        <w:t>zákona</w:t>
      </w:r>
      <w:r w:rsidRPr="00311180">
        <w:rPr>
          <w:rFonts w:ascii="Times New Roman" w:hAnsi="Times New Roman"/>
          <w:sz w:val="24"/>
          <w:szCs w:val="24"/>
        </w:rPr>
        <w:t xml:space="preserve"> neprovede</w:t>
      </w:r>
      <w:r>
        <w:rPr>
          <w:rFonts w:ascii="Times New Roman" w:hAnsi="Times New Roman"/>
          <w:sz w:val="24"/>
          <w:szCs w:val="24"/>
        </w:rPr>
        <w:t>.</w:t>
      </w:r>
    </w:p>
    <w:sectPr w:rsidR="007E704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1F7A2" w14:textId="77777777" w:rsidR="00C3294C" w:rsidRDefault="00C3294C" w:rsidP="00C3294C">
      <w:pPr>
        <w:spacing w:after="0" w:line="240" w:lineRule="auto"/>
      </w:pPr>
      <w:r>
        <w:separator/>
      </w:r>
    </w:p>
  </w:endnote>
  <w:endnote w:type="continuationSeparator" w:id="0">
    <w:p w14:paraId="4984FDC6" w14:textId="77777777" w:rsidR="00C3294C" w:rsidRDefault="00C3294C" w:rsidP="00C3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2"/>
      </w:rPr>
      <w:id w:val="1323691721"/>
      <w:docPartObj>
        <w:docPartGallery w:val="Page Numbers (Bottom of Page)"/>
        <w:docPartUnique/>
      </w:docPartObj>
    </w:sdtPr>
    <w:sdtEndPr/>
    <w:sdtContent>
      <w:p w14:paraId="664B1B96" w14:textId="23D765CC" w:rsidR="00C3294C" w:rsidRPr="00C3294C" w:rsidRDefault="00C3294C">
        <w:pPr>
          <w:pStyle w:val="Zpat"/>
          <w:jc w:val="center"/>
          <w:rPr>
            <w:rFonts w:ascii="Times New Roman" w:hAnsi="Times New Roman"/>
            <w:sz w:val="24"/>
            <w:szCs w:val="22"/>
          </w:rPr>
        </w:pPr>
        <w:r w:rsidRPr="00C3294C">
          <w:rPr>
            <w:rFonts w:ascii="Times New Roman" w:hAnsi="Times New Roman"/>
            <w:sz w:val="24"/>
            <w:szCs w:val="22"/>
          </w:rPr>
          <w:fldChar w:fldCharType="begin"/>
        </w:r>
        <w:r w:rsidRPr="00C3294C">
          <w:rPr>
            <w:rFonts w:ascii="Times New Roman" w:hAnsi="Times New Roman"/>
            <w:sz w:val="24"/>
            <w:szCs w:val="22"/>
          </w:rPr>
          <w:instrText>PAGE   \* MERGEFORMAT</w:instrText>
        </w:r>
        <w:r w:rsidRPr="00C3294C">
          <w:rPr>
            <w:rFonts w:ascii="Times New Roman" w:hAnsi="Times New Roman"/>
            <w:sz w:val="24"/>
            <w:szCs w:val="22"/>
          </w:rPr>
          <w:fldChar w:fldCharType="separate"/>
        </w:r>
        <w:r w:rsidRPr="00C3294C">
          <w:rPr>
            <w:rFonts w:ascii="Times New Roman" w:hAnsi="Times New Roman"/>
            <w:sz w:val="24"/>
            <w:szCs w:val="22"/>
          </w:rPr>
          <w:t>2</w:t>
        </w:r>
        <w:r w:rsidRPr="00C3294C">
          <w:rPr>
            <w:rFonts w:ascii="Times New Roman" w:hAnsi="Times New Roman"/>
            <w:sz w:val="24"/>
            <w:szCs w:val="22"/>
          </w:rPr>
          <w:fldChar w:fldCharType="end"/>
        </w:r>
      </w:p>
    </w:sdtContent>
  </w:sdt>
  <w:p w14:paraId="185B3406" w14:textId="77777777" w:rsidR="00C3294C" w:rsidRPr="00C3294C" w:rsidRDefault="00C3294C">
    <w:pPr>
      <w:pStyle w:val="Zpat"/>
      <w:rPr>
        <w:rFonts w:ascii="Times New Roman" w:hAnsi="Times New Roman"/>
        <w:sz w:val="24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F48A0" w14:textId="77777777" w:rsidR="00C3294C" w:rsidRDefault="00C3294C" w:rsidP="00C3294C">
      <w:pPr>
        <w:spacing w:after="0" w:line="240" w:lineRule="auto"/>
      </w:pPr>
      <w:r>
        <w:separator/>
      </w:r>
    </w:p>
  </w:footnote>
  <w:footnote w:type="continuationSeparator" w:id="0">
    <w:p w14:paraId="0AD8EAEE" w14:textId="77777777" w:rsidR="00C3294C" w:rsidRDefault="00C3294C" w:rsidP="00C329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8E1"/>
    <w:rsid w:val="000055C0"/>
    <w:rsid w:val="002F5D54"/>
    <w:rsid w:val="00311180"/>
    <w:rsid w:val="005F157D"/>
    <w:rsid w:val="0063570A"/>
    <w:rsid w:val="007276CC"/>
    <w:rsid w:val="007E7047"/>
    <w:rsid w:val="00A074A2"/>
    <w:rsid w:val="00A45BB4"/>
    <w:rsid w:val="00C3294C"/>
    <w:rsid w:val="00EF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1AC9D"/>
  <w15:chartTrackingRefBased/>
  <w15:docId w15:val="{97E33FC9-EADC-49F8-BBB3-91B725E9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A2"/>
    <w:pPr>
      <w:overflowPunct w:val="0"/>
      <w:autoSpaceDE w:val="0"/>
      <w:autoSpaceDN w:val="0"/>
      <w:adjustRightInd w:val="0"/>
      <w:spacing w:line="340" w:lineRule="exact"/>
      <w:textAlignment w:val="baseline"/>
    </w:pPr>
    <w:rPr>
      <w:rFonts w:eastAsia="Times New Roman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32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294C"/>
    <w:rPr>
      <w:rFonts w:eastAsia="Times New Roman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32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294C"/>
    <w:rPr>
      <w:rFonts w:eastAsia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Janoušková Anežka JUDr. Ph.D.</dc:creator>
  <cp:keywords/>
  <dc:description/>
  <cp:lastModifiedBy>Janoušková Anežka JUDr. Ph.D.</cp:lastModifiedBy>
  <cp:revision>2</cp:revision>
  <cp:lastPrinted>2023-12-06T12:39:00Z</cp:lastPrinted>
  <dcterms:created xsi:type="dcterms:W3CDTF">2023-12-14T15:13:00Z</dcterms:created>
  <dcterms:modified xsi:type="dcterms:W3CDTF">2023-12-14T15:13:00Z</dcterms:modified>
</cp:coreProperties>
</file>