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2C01F" w14:textId="7F1F7705" w:rsidR="00D23219" w:rsidRPr="00C30A85" w:rsidRDefault="00CD5AB4" w:rsidP="00923909">
      <w:pPr>
        <w:spacing w:after="0" w:line="360" w:lineRule="auto"/>
        <w:jc w:val="center"/>
        <w:rPr>
          <w:b/>
        </w:rPr>
      </w:pPr>
      <w:bookmarkStart w:id="0" w:name="_GoBack"/>
      <w:bookmarkEnd w:id="0"/>
      <w:r>
        <w:rPr>
          <w:b/>
        </w:rPr>
        <w:t>T</w:t>
      </w:r>
      <w:r w:rsidRPr="00C30A85">
        <w:rPr>
          <w:b/>
        </w:rPr>
        <w:t xml:space="preserve">eze podzákonného právního předpisu, který bude vydán k provedení zákona </w:t>
      </w:r>
      <w:r w:rsidR="0037408C">
        <w:rPr>
          <w:b/>
        </w:rPr>
        <w:t xml:space="preserve">č. 37/2021 Sb., </w:t>
      </w:r>
      <w:r w:rsidRPr="00C30A85">
        <w:rPr>
          <w:b/>
        </w:rPr>
        <w:t>o evidenci skutečných majitelů</w:t>
      </w:r>
      <w:r>
        <w:rPr>
          <w:b/>
        </w:rPr>
        <w:t>, ve znění pozdějších předpisů</w:t>
      </w:r>
    </w:p>
    <w:p w14:paraId="3A715B6D" w14:textId="77777777" w:rsidR="00A84488" w:rsidRPr="00C30A85" w:rsidRDefault="00A84488" w:rsidP="00923909">
      <w:pPr>
        <w:spacing w:after="0" w:line="360" w:lineRule="auto"/>
        <w:jc w:val="center"/>
      </w:pPr>
    </w:p>
    <w:p w14:paraId="29CD36F2" w14:textId="77777777" w:rsidR="009B4DEF" w:rsidRPr="00D674F3" w:rsidRDefault="009B4DEF" w:rsidP="00923909">
      <w:pPr>
        <w:pStyle w:val="Nadpis1"/>
        <w:spacing w:line="360" w:lineRule="auto"/>
      </w:pPr>
      <w:r w:rsidRPr="00D674F3">
        <w:t>Úvod</w:t>
      </w:r>
    </w:p>
    <w:p w14:paraId="40C1AD4B" w14:textId="4A58D922" w:rsidR="00CF18D0" w:rsidRDefault="00C30A85" w:rsidP="00923909">
      <w:pPr>
        <w:spacing w:line="360" w:lineRule="auto"/>
      </w:pPr>
      <w:r>
        <w:t xml:space="preserve">V souvislosti s přijetím </w:t>
      </w:r>
      <w:r w:rsidR="00C23F4A">
        <w:t>navrhovaného</w:t>
      </w:r>
      <w:r>
        <w:t xml:space="preserve"> zákona</w:t>
      </w:r>
      <w:r w:rsidR="00C23F4A">
        <w:t>, kterým se mění zákon č. 37/2021 Sb.,</w:t>
      </w:r>
      <w:r>
        <w:t xml:space="preserve"> o evidenci skutečných majitelů</w:t>
      </w:r>
      <w:r w:rsidR="00C23F4A">
        <w:t>, ve znění pozdějších předpisů</w:t>
      </w:r>
      <w:r w:rsidR="000A31D9">
        <w:t xml:space="preserve"> (dále jen „</w:t>
      </w:r>
      <w:r w:rsidR="00CF18D0">
        <w:t>návrh zákona</w:t>
      </w:r>
      <w:r w:rsidR="000A31D9">
        <w:t>“)</w:t>
      </w:r>
      <w:r>
        <w:t xml:space="preserve">, vznikne potřeba </w:t>
      </w:r>
      <w:r w:rsidR="00D920F1">
        <w:t xml:space="preserve">nově upravit </w:t>
      </w:r>
      <w:r w:rsidR="00C23F4A">
        <w:t xml:space="preserve">a doplnit </w:t>
      </w:r>
      <w:r w:rsidR="00D920F1">
        <w:t>podzákonná pravidla týkající se přístupu do evidence</w:t>
      </w:r>
      <w:r w:rsidR="008C2B1C">
        <w:t xml:space="preserve"> na základě tzv.</w:t>
      </w:r>
      <w:r w:rsidR="00096594">
        <w:t> </w:t>
      </w:r>
      <w:r w:rsidR="008C2B1C">
        <w:t>oprávněného zájmu a náležitostí příslušného formuláře žádosti</w:t>
      </w:r>
      <w:r w:rsidR="00D920F1">
        <w:t xml:space="preserve">. V současnosti jsou </w:t>
      </w:r>
      <w:r w:rsidR="008C2B1C">
        <w:t>související</w:t>
      </w:r>
      <w:r w:rsidR="000A31D9">
        <w:t xml:space="preserve"> aspekty a funkční </w:t>
      </w:r>
      <w:r w:rsidR="00D920F1" w:rsidRPr="00C30A85">
        <w:t xml:space="preserve">detaily upraveny v prováděcí </w:t>
      </w:r>
      <w:r w:rsidR="008C2B1C">
        <w:t>vyhlášce č. 180/2021 Sb.,</w:t>
      </w:r>
      <w:r w:rsidR="008C2B1C" w:rsidRPr="008F6B09">
        <w:t xml:space="preserve"> o</w:t>
      </w:r>
      <w:r w:rsidR="00096594">
        <w:t> </w:t>
      </w:r>
      <w:r w:rsidR="008C2B1C" w:rsidRPr="008F6B09">
        <w:t>náležitostech formulářů k evidenci skutečných majitelů a o změně souvisejících vyhlášek</w:t>
      </w:r>
      <w:r w:rsidR="008C2B1C">
        <w:t xml:space="preserve">, </w:t>
      </w:r>
      <w:r w:rsidR="00096594">
        <w:t>(</w:t>
      </w:r>
      <w:r w:rsidR="008C2B1C">
        <w:t>dále jen „vyhláška č. 180/2021</w:t>
      </w:r>
      <w:r w:rsidR="00CF18D0">
        <w:t xml:space="preserve"> Sb.“</w:t>
      </w:r>
      <w:r w:rsidR="00096594">
        <w:t>).</w:t>
      </w:r>
    </w:p>
    <w:p w14:paraId="6121E5BE" w14:textId="2CBE4FE0" w:rsidR="000A31D9" w:rsidRDefault="00CF18D0" w:rsidP="00923909">
      <w:pPr>
        <w:spacing w:line="360" w:lineRule="auto"/>
      </w:pPr>
      <w:r>
        <w:t xml:space="preserve">Návrh zákona především mění režim veřejnosti evidence skutečných majitelů; evidence bude primárně neveřejnou. Dále se detailně upravuje přístup do evidence </w:t>
      </w:r>
      <w:r w:rsidR="000A31D9">
        <w:t>skutečných majitelů</w:t>
      </w:r>
      <w:r>
        <w:t xml:space="preserve"> na základě tzv. oprávněného zájmu, pravidla pro znepřístupnění údajů a také </w:t>
      </w:r>
      <w:r w:rsidR="00096594">
        <w:t xml:space="preserve">se </w:t>
      </w:r>
      <w:r>
        <w:t>upřesňují některé aspekty stávajícího dálkového přístupu pro privilegované subjekty</w:t>
      </w:r>
      <w:r w:rsidR="000A31D9">
        <w:t xml:space="preserve">. </w:t>
      </w:r>
      <w:r>
        <w:t>O</w:t>
      </w:r>
      <w:r w:rsidR="000A31D9">
        <w:t xml:space="preserve">bsahem </w:t>
      </w:r>
      <w:r>
        <w:t xml:space="preserve">návrhu zákona </w:t>
      </w:r>
      <w:r w:rsidR="000A31D9">
        <w:t xml:space="preserve">jsou také nová zákonná zmocnění pro stanovení: </w:t>
      </w:r>
    </w:p>
    <w:p w14:paraId="6C779F82" w14:textId="77777777" w:rsidR="00891191" w:rsidRDefault="000A31D9" w:rsidP="00CF18D0">
      <w:pPr>
        <w:pStyle w:val="Odstavecseseznamem"/>
        <w:numPr>
          <w:ilvl w:val="0"/>
          <w:numId w:val="15"/>
        </w:numPr>
        <w:spacing w:line="360" w:lineRule="auto"/>
      </w:pPr>
      <w:r>
        <w:t xml:space="preserve">podrobností </w:t>
      </w:r>
      <w:r w:rsidRPr="00026E5F">
        <w:t>náležitost</w:t>
      </w:r>
      <w:r>
        <w:t xml:space="preserve">í, </w:t>
      </w:r>
      <w:r w:rsidR="004A096A">
        <w:t xml:space="preserve">formy a datové struktury </w:t>
      </w:r>
      <w:r w:rsidRPr="00026E5F">
        <w:t>formulář</w:t>
      </w:r>
      <w:r>
        <w:t xml:space="preserve">ů pro </w:t>
      </w:r>
      <w:r w:rsidR="00CF18D0">
        <w:t xml:space="preserve">žádost o </w:t>
      </w:r>
      <w:r w:rsidR="00CF18D0" w:rsidRPr="00CF18D0">
        <w:t>přístup na základě oprávněného zájmu</w:t>
      </w:r>
      <w:r>
        <w:t xml:space="preserve"> </w:t>
      </w:r>
      <w:r w:rsidR="00CF18D0">
        <w:t xml:space="preserve">(§ </w:t>
      </w:r>
      <w:r>
        <w:t>1</w:t>
      </w:r>
      <w:r w:rsidR="00CF18D0">
        <w:t>5b</w:t>
      </w:r>
      <w:r>
        <w:t xml:space="preserve"> odst. 3</w:t>
      </w:r>
      <w:r w:rsidR="00CF18D0">
        <w:t xml:space="preserve"> návrhu</w:t>
      </w:r>
      <w:r>
        <w:t xml:space="preserve"> zákona)</w:t>
      </w:r>
      <w:r w:rsidR="00891191">
        <w:t xml:space="preserve">, a </w:t>
      </w:r>
    </w:p>
    <w:p w14:paraId="442F373C" w14:textId="1BCFD2F0" w:rsidR="000A31D9" w:rsidRPr="00026E5F" w:rsidRDefault="00891191" w:rsidP="00923909">
      <w:pPr>
        <w:pStyle w:val="Odstavecseseznamem"/>
        <w:numPr>
          <w:ilvl w:val="0"/>
          <w:numId w:val="15"/>
        </w:numPr>
        <w:spacing w:line="360" w:lineRule="auto"/>
      </w:pPr>
      <w:r>
        <w:t xml:space="preserve">podrobností </w:t>
      </w:r>
      <w:r w:rsidRPr="00026E5F">
        <w:t>náležitost</w:t>
      </w:r>
      <w:r>
        <w:t xml:space="preserve">í, </w:t>
      </w:r>
      <w:r w:rsidR="004A096A">
        <w:t xml:space="preserve">formy a datové struktury </w:t>
      </w:r>
      <w:r w:rsidRPr="00026E5F">
        <w:t>formulář</w:t>
      </w:r>
      <w:r>
        <w:t xml:space="preserve">ů pro návrh na </w:t>
      </w:r>
      <w:r w:rsidR="004A096A" w:rsidRPr="000B7295">
        <w:t xml:space="preserve">znepřístupnění údajů </w:t>
      </w:r>
      <w:r w:rsidR="004A096A">
        <w:t>(§ 32</w:t>
      </w:r>
      <w:r w:rsidR="00CF18D0">
        <w:t>b odst. 2</w:t>
      </w:r>
      <w:r>
        <w:t xml:space="preserve"> </w:t>
      </w:r>
      <w:r w:rsidR="00CF18D0">
        <w:t xml:space="preserve">návrhu </w:t>
      </w:r>
      <w:r>
        <w:t>zákona)</w:t>
      </w:r>
      <w:r w:rsidR="00CF18D0">
        <w:t>; v tomto případě však jde pouze o přesun již existujícího zákonného zmocnění (v současnosti v § 32 odst. 3 zákona č. 37/2021 Sb., o evidenci skutečných majitelů</w:t>
      </w:r>
      <w:r w:rsidR="00E022E0">
        <w:t xml:space="preserve">, </w:t>
      </w:r>
      <w:r w:rsidR="00096594">
        <w:t xml:space="preserve">ve znění pozdějších předpisů, </w:t>
      </w:r>
      <w:r w:rsidR="00E022E0">
        <w:t>dále jen „zákon o ESM“</w:t>
      </w:r>
      <w:r w:rsidR="00CF18D0">
        <w:t>).</w:t>
      </w:r>
    </w:p>
    <w:p w14:paraId="6266E01F" w14:textId="77777777" w:rsidR="00D674F3" w:rsidRPr="0076631B" w:rsidRDefault="00D674F3" w:rsidP="00923909">
      <w:pPr>
        <w:spacing w:line="360" w:lineRule="auto"/>
      </w:pPr>
      <w:r>
        <w:t>K</w:t>
      </w:r>
      <w:r w:rsidR="008056ED">
        <w:t> </w:t>
      </w:r>
      <w:r>
        <w:t xml:space="preserve">provedení </w:t>
      </w:r>
      <w:r w:rsidR="00CF18D0">
        <w:t>návrhu</w:t>
      </w:r>
      <w:r>
        <w:t xml:space="preserve"> zákona bud</w:t>
      </w:r>
      <w:r w:rsidR="00CF18D0">
        <w:t>e na základě jeho § 15b odst. 3 a</w:t>
      </w:r>
      <w:r w:rsidR="004A096A">
        <w:t xml:space="preserve"> § 32</w:t>
      </w:r>
      <w:r w:rsidR="00CF18D0">
        <w:t>b odst. 2</w:t>
      </w:r>
      <w:r w:rsidR="004A096A">
        <w:t xml:space="preserve"> </w:t>
      </w:r>
      <w:r>
        <w:t xml:space="preserve">vydána </w:t>
      </w:r>
      <w:r w:rsidRPr="00D674F3">
        <w:rPr>
          <w:b/>
        </w:rPr>
        <w:t>vyhláška</w:t>
      </w:r>
      <w:r w:rsidR="00CF18D0">
        <w:rPr>
          <w:b/>
        </w:rPr>
        <w:t>, kterou se mění vyhláška č. 180/2021 Sb.</w:t>
      </w:r>
      <w:r>
        <w:rPr>
          <w:b/>
        </w:rPr>
        <w:t xml:space="preserve"> </w:t>
      </w:r>
      <w:r>
        <w:t>(dále jen „vyhláška“).</w:t>
      </w:r>
    </w:p>
    <w:p w14:paraId="1FB0F19C" w14:textId="77777777" w:rsidR="00D920F1" w:rsidRPr="00D674F3" w:rsidRDefault="00357E57" w:rsidP="00923909">
      <w:pPr>
        <w:pStyle w:val="Nadpis1"/>
        <w:spacing w:line="360" w:lineRule="auto"/>
      </w:pPr>
      <w:r>
        <w:t>Východiska</w:t>
      </w:r>
      <w:r w:rsidR="00D674F3" w:rsidRPr="00D674F3">
        <w:t xml:space="preserve"> vyhlášky</w:t>
      </w:r>
    </w:p>
    <w:p w14:paraId="6231BA2C" w14:textId="09977ED0" w:rsidR="00CF18D0" w:rsidRDefault="00D674F3" w:rsidP="00923909">
      <w:pPr>
        <w:spacing w:line="360" w:lineRule="auto"/>
        <w:rPr>
          <w:rFonts w:eastAsia="MS Mincho"/>
          <w:bCs/>
        </w:rPr>
      </w:pPr>
      <w:r>
        <w:rPr>
          <w:rFonts w:eastAsia="MS Mincho"/>
          <w:bCs/>
        </w:rPr>
        <w:t xml:space="preserve">Předně lze uvést, že existence evidence skutečných majitelů a její rámcové fungování se odvíjí od požadavků </w:t>
      </w:r>
      <w:r w:rsidR="00CF18D0">
        <w:rPr>
          <w:rFonts w:eastAsia="MS Mincho"/>
          <w:bCs/>
        </w:rPr>
        <w:t>unijní legislativy. Výš zmíněný návrh zákona transponuje požadavky</w:t>
      </w:r>
      <w:r w:rsidR="00CF18D0">
        <w:rPr>
          <w:lang w:bidi="en-US"/>
        </w:rPr>
        <w:t xml:space="preserve"> s</w:t>
      </w:r>
      <w:r w:rsidR="00CF18D0" w:rsidRPr="00825462">
        <w:rPr>
          <w:lang w:bidi="en-US"/>
        </w:rPr>
        <w:t>měrnice Evropského parlamentu a Rady (EU) 2024/1640 ze dne 31. května 2024 o mechanismech, které mají členské státy zavést za účelem předcházení využívání finančního systému k praní peněz nebo financování terorismu, o změně směrnice (EU) 2019/1937 a o změně a zrušení směrnice (EU) 2015/849</w:t>
      </w:r>
      <w:r w:rsidR="00CF18D0">
        <w:rPr>
          <w:lang w:bidi="en-US"/>
        </w:rPr>
        <w:t xml:space="preserve"> (dále jen „AML směrnice“</w:t>
      </w:r>
      <w:r w:rsidR="00CF18D0" w:rsidRPr="00825462">
        <w:rPr>
          <w:lang w:bidi="en-US"/>
        </w:rPr>
        <w:t>)</w:t>
      </w:r>
      <w:r w:rsidR="00CF18D0">
        <w:rPr>
          <w:lang w:bidi="en-US"/>
        </w:rPr>
        <w:t>.</w:t>
      </w:r>
    </w:p>
    <w:p w14:paraId="28C01549" w14:textId="704C3DE9" w:rsidR="00357E57" w:rsidRDefault="005C68D7" w:rsidP="00923909">
      <w:pPr>
        <w:spacing w:line="360" w:lineRule="auto"/>
        <w:rPr>
          <w:rFonts w:eastAsia="MS Mincho"/>
          <w:bCs/>
        </w:rPr>
      </w:pPr>
      <w:r>
        <w:rPr>
          <w:rFonts w:eastAsia="MS Mincho"/>
          <w:bCs/>
        </w:rPr>
        <w:lastRenderedPageBreak/>
        <w:t>AML směrnice požaduje</w:t>
      </w:r>
      <w:r w:rsidR="00D75521">
        <w:rPr>
          <w:rFonts w:eastAsia="MS Mincho"/>
          <w:bCs/>
        </w:rPr>
        <w:t xml:space="preserve"> umožnění</w:t>
      </w:r>
      <w:r>
        <w:rPr>
          <w:rFonts w:eastAsia="MS Mincho"/>
          <w:bCs/>
        </w:rPr>
        <w:t xml:space="preserve"> okamžitého přístupu k</w:t>
      </w:r>
      <w:r w:rsidR="008056ED">
        <w:rPr>
          <w:rFonts w:eastAsia="MS Mincho"/>
          <w:bCs/>
        </w:rPr>
        <w:t> </w:t>
      </w:r>
      <w:r>
        <w:rPr>
          <w:rFonts w:eastAsia="MS Mincho"/>
          <w:bCs/>
        </w:rPr>
        <w:t xml:space="preserve">evidovaným údajům širokému okruhu osob, </w:t>
      </w:r>
      <w:r w:rsidR="00E022E0">
        <w:rPr>
          <w:rFonts w:eastAsia="MS Mincho"/>
          <w:bCs/>
        </w:rPr>
        <w:t>které</w:t>
      </w:r>
      <w:r>
        <w:rPr>
          <w:rFonts w:eastAsia="MS Mincho"/>
          <w:bCs/>
        </w:rPr>
        <w:t xml:space="preserve"> </w:t>
      </w:r>
      <w:r w:rsidR="00E022E0">
        <w:rPr>
          <w:rFonts w:eastAsia="MS Mincho"/>
          <w:bCs/>
        </w:rPr>
        <w:t xml:space="preserve">jsou schopny prokázat, že mají o přístup oprávněný zájem (§ 15 zákona o ESM ve znění </w:t>
      </w:r>
      <w:r>
        <w:rPr>
          <w:rFonts w:eastAsia="MS Mincho"/>
          <w:bCs/>
        </w:rPr>
        <w:t>návrhu).</w:t>
      </w:r>
      <w:r w:rsidR="00E022E0">
        <w:rPr>
          <w:rFonts w:eastAsia="MS Mincho"/>
          <w:bCs/>
        </w:rPr>
        <w:t xml:space="preserve"> S cílem zjednodušení a zefektivnění administrace žádostí o přístup na základě opr</w:t>
      </w:r>
      <w:r w:rsidR="00D75521">
        <w:rPr>
          <w:rFonts w:eastAsia="MS Mincho"/>
          <w:bCs/>
        </w:rPr>
        <w:t>á</w:t>
      </w:r>
      <w:r w:rsidR="00E022E0">
        <w:rPr>
          <w:rFonts w:eastAsia="MS Mincho"/>
          <w:bCs/>
        </w:rPr>
        <w:t>vn</w:t>
      </w:r>
      <w:r w:rsidR="00D75521">
        <w:rPr>
          <w:rFonts w:eastAsia="MS Mincho"/>
          <w:bCs/>
        </w:rPr>
        <w:t>ěn</w:t>
      </w:r>
      <w:r w:rsidR="00E022E0">
        <w:rPr>
          <w:rFonts w:eastAsia="MS Mincho"/>
          <w:bCs/>
        </w:rPr>
        <w:t>ého zájmu se chce pro žádost stanovit formulář.</w:t>
      </w:r>
      <w:r w:rsidR="00357E57">
        <w:rPr>
          <w:rFonts w:eastAsia="MS Mincho"/>
          <w:bCs/>
        </w:rPr>
        <w:t xml:space="preserve"> </w:t>
      </w:r>
    </w:p>
    <w:p w14:paraId="6BFD4930" w14:textId="77777777" w:rsidR="00D94007" w:rsidRPr="00594798" w:rsidRDefault="00D94007" w:rsidP="00923909">
      <w:pPr>
        <w:pStyle w:val="Nadpis2"/>
        <w:spacing w:line="360" w:lineRule="auto"/>
      </w:pPr>
      <w:r>
        <w:t>P</w:t>
      </w:r>
      <w:r w:rsidRPr="00594798">
        <w:t>odrobnost</w:t>
      </w:r>
      <w:r w:rsidR="000471E5">
        <w:t>i náležitostí, forma a datová struktura</w:t>
      </w:r>
      <w:r w:rsidRPr="00594798">
        <w:t xml:space="preserve"> formuláře žádosti</w:t>
      </w:r>
      <w:r w:rsidR="00E022E0">
        <w:t xml:space="preserve"> o</w:t>
      </w:r>
      <w:r w:rsidR="00E022E0" w:rsidRPr="00CF40AA">
        <w:rPr>
          <w:bCs/>
        </w:rPr>
        <w:t xml:space="preserve"> přístup na základě oprávněného zájmu</w:t>
      </w:r>
    </w:p>
    <w:p w14:paraId="6EEDB510" w14:textId="37F000BE" w:rsidR="00D94007" w:rsidRDefault="00D94007" w:rsidP="00923909">
      <w:pPr>
        <w:spacing w:line="360" w:lineRule="auto"/>
      </w:pPr>
      <w:r>
        <w:t xml:space="preserve">Vyhláška stanoví podrobnosti o formálních náležitostech žádosti o </w:t>
      </w:r>
      <w:r w:rsidR="00E022E0" w:rsidRPr="00E022E0">
        <w:t>přístup na základě oprávněného zájmu</w:t>
      </w:r>
      <w:r>
        <w:t xml:space="preserve">, respektive tedy daného formuláře. Půjde především o specifikaci toho, jak se žadatel identifikuje (slovy zákona jeho „označení“). </w:t>
      </w:r>
      <w:r w:rsidR="00E022E0">
        <w:t>To je v současnosti již vyhláškou č.</w:t>
      </w:r>
      <w:r w:rsidR="00D75521">
        <w:t> </w:t>
      </w:r>
      <w:r w:rsidR="00E022E0">
        <w:t xml:space="preserve">180/2021 Sb. řešeno, přičemž obdobně bude tato věc řešena i ve vztahu k novému formuláři. </w:t>
      </w:r>
    </w:p>
    <w:p w14:paraId="3048261E" w14:textId="0D593E7C" w:rsidR="00D94007" w:rsidRDefault="00D94007" w:rsidP="00923909">
      <w:pPr>
        <w:spacing w:line="360" w:lineRule="auto"/>
      </w:pPr>
      <w:r>
        <w:t xml:space="preserve">Stran formy a datové struktury formuláře </w:t>
      </w:r>
      <w:r w:rsidR="00E022E0">
        <w:t xml:space="preserve">již dnes § 2 vyhlášky č. 180/2021 Sb. </w:t>
      </w:r>
      <w:r>
        <w:t>stanoví konkrétní formát elektronického dokumentu (formuláře)</w:t>
      </w:r>
      <w:r w:rsidR="00E022E0">
        <w:t>, tj. PDF</w:t>
      </w:r>
      <w:r>
        <w:t xml:space="preserve">. </w:t>
      </w:r>
    </w:p>
    <w:p w14:paraId="5AEB17C0" w14:textId="33BEDD22" w:rsidR="000471E5" w:rsidRPr="00594798" w:rsidRDefault="000471E5" w:rsidP="00923909">
      <w:pPr>
        <w:pStyle w:val="Nadpis2"/>
        <w:spacing w:line="360" w:lineRule="auto"/>
      </w:pPr>
      <w:r>
        <w:t>P</w:t>
      </w:r>
      <w:r w:rsidRPr="00594798">
        <w:t>odrobnost</w:t>
      </w:r>
      <w:r w:rsidR="00D75521">
        <w:t>i</w:t>
      </w:r>
      <w:r w:rsidRPr="00594798">
        <w:t xml:space="preserve"> </w:t>
      </w:r>
      <w:r w:rsidRPr="00D94007">
        <w:t xml:space="preserve">náležitostí, </w:t>
      </w:r>
      <w:r>
        <w:t>forma a datová struktura</w:t>
      </w:r>
      <w:r w:rsidRPr="00594798">
        <w:t xml:space="preserve"> formuláře</w:t>
      </w:r>
      <w:r w:rsidRPr="00D94007">
        <w:t xml:space="preserve"> pro návrh na </w:t>
      </w:r>
      <w:r w:rsidR="0076631B">
        <w:t>znepřístupnění údajů</w:t>
      </w:r>
    </w:p>
    <w:p w14:paraId="07FB0C33" w14:textId="08BA4AC5" w:rsidR="00D94007" w:rsidRPr="00C30A85" w:rsidRDefault="00E022E0" w:rsidP="00923909">
      <w:pPr>
        <w:spacing w:line="360" w:lineRule="auto"/>
      </w:pPr>
      <w:r>
        <w:t xml:space="preserve">Uvedená pravidla jsou již dnes vyhláškou č. 180/2021 Sb. řešena, a to v  § 5. Na tomto se nic nemění, avšak původní zákonné zmocnění se návrhem zákona přesouvá z § 32 odst. 3 zákona o ESM do § 32b odst. 2 zákona o ESM ve znění návrhu. To je třeba </w:t>
      </w:r>
      <w:r w:rsidR="006C65EE">
        <w:t xml:space="preserve">formálně </w:t>
      </w:r>
      <w:r>
        <w:t xml:space="preserve">reflektovat v </w:t>
      </w:r>
      <w:r w:rsidR="006C65EE">
        <w:t>§ 1 písm. c) vyhlášky č. 18</w:t>
      </w:r>
      <w:r w:rsidR="00D75521">
        <w:t>0</w:t>
      </w:r>
      <w:r w:rsidR="006C65EE">
        <w:t xml:space="preserve">/2021 Sb. </w:t>
      </w:r>
    </w:p>
    <w:sectPr w:rsidR="00D94007" w:rsidRPr="00C30A85" w:rsidSect="00C30A8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F955D" w14:textId="77777777" w:rsidR="00E022E0" w:rsidRDefault="00E022E0" w:rsidP="00A84488">
      <w:pPr>
        <w:spacing w:after="0" w:line="240" w:lineRule="auto"/>
      </w:pPr>
      <w:r>
        <w:separator/>
      </w:r>
    </w:p>
  </w:endnote>
  <w:endnote w:type="continuationSeparator" w:id="0">
    <w:p w14:paraId="695E21C4" w14:textId="77777777" w:rsidR="00E022E0" w:rsidRDefault="00E022E0" w:rsidP="00A84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78717"/>
      <w:docPartObj>
        <w:docPartGallery w:val="Page Numbers (Bottom of Page)"/>
        <w:docPartUnique/>
      </w:docPartObj>
    </w:sdtPr>
    <w:sdtEndPr/>
    <w:sdtContent>
      <w:p w14:paraId="1BDCF396" w14:textId="1343216D" w:rsidR="00E022E0" w:rsidRDefault="00E022E0" w:rsidP="00C30A85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A94">
          <w:rPr>
            <w:noProof/>
          </w:rPr>
          <w:t>2</w:t>
        </w:r>
        <w:r>
          <w:fldChar w:fldCharType="end"/>
        </w:r>
      </w:p>
    </w:sdtContent>
  </w:sdt>
  <w:p w14:paraId="067978A5" w14:textId="77777777" w:rsidR="00E022E0" w:rsidRDefault="00E022E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B8DFD" w14:textId="77777777" w:rsidR="00E022E0" w:rsidRDefault="00E022E0" w:rsidP="00C30A85">
    <w:pPr>
      <w:pStyle w:val="Zp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0FCBE" w14:textId="77777777" w:rsidR="00E022E0" w:rsidRDefault="00E022E0" w:rsidP="00A84488">
      <w:pPr>
        <w:spacing w:after="0" w:line="240" w:lineRule="auto"/>
      </w:pPr>
      <w:r>
        <w:separator/>
      </w:r>
    </w:p>
  </w:footnote>
  <w:footnote w:type="continuationSeparator" w:id="0">
    <w:p w14:paraId="7B1358B0" w14:textId="77777777" w:rsidR="00E022E0" w:rsidRDefault="00E022E0" w:rsidP="00A84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EC03C" w14:textId="77777777" w:rsidR="00B24C97" w:rsidRPr="00B24C97" w:rsidRDefault="00B24C97" w:rsidP="00B24C97">
    <w:pPr>
      <w:pStyle w:val="Zhlav"/>
      <w:jc w:val="right"/>
      <w:rPr>
        <w:b/>
      </w:rPr>
    </w:pPr>
    <w:r w:rsidRPr="00B24C97">
      <w:rPr>
        <w:b/>
      </w:rPr>
      <w:t>VIII.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272"/>
    <w:multiLevelType w:val="hybridMultilevel"/>
    <w:tmpl w:val="DC4871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E2AB8"/>
    <w:multiLevelType w:val="hybridMultilevel"/>
    <w:tmpl w:val="9490F3C4"/>
    <w:lvl w:ilvl="0" w:tplc="C144FF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095A"/>
    <w:multiLevelType w:val="hybridMultilevel"/>
    <w:tmpl w:val="8B28FA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16DD"/>
    <w:multiLevelType w:val="hybridMultilevel"/>
    <w:tmpl w:val="864E010E"/>
    <w:lvl w:ilvl="0" w:tplc="AFD40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8716C"/>
    <w:multiLevelType w:val="hybridMultilevel"/>
    <w:tmpl w:val="0540D812"/>
    <w:lvl w:ilvl="0" w:tplc="77428B30">
      <w:start w:val="8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1A170D1A"/>
    <w:multiLevelType w:val="hybridMultilevel"/>
    <w:tmpl w:val="910843D8"/>
    <w:lvl w:ilvl="0" w:tplc="77428B30">
      <w:start w:val="8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C017DEE"/>
    <w:multiLevelType w:val="hybridMultilevel"/>
    <w:tmpl w:val="D12C07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C3448"/>
    <w:multiLevelType w:val="hybridMultilevel"/>
    <w:tmpl w:val="70EA6158"/>
    <w:lvl w:ilvl="0" w:tplc="8CB45272">
      <w:start w:val="1"/>
      <w:numFmt w:val="decimal"/>
      <w:pStyle w:val="Nadpis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50A01"/>
    <w:multiLevelType w:val="hybridMultilevel"/>
    <w:tmpl w:val="D01098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97C9F"/>
    <w:multiLevelType w:val="hybridMultilevel"/>
    <w:tmpl w:val="53B229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C02AD"/>
    <w:multiLevelType w:val="hybridMultilevel"/>
    <w:tmpl w:val="CBAAE4BA"/>
    <w:lvl w:ilvl="0" w:tplc="1A8EFA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2355F"/>
    <w:multiLevelType w:val="hybridMultilevel"/>
    <w:tmpl w:val="5D088C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32ACD"/>
    <w:multiLevelType w:val="hybridMultilevel"/>
    <w:tmpl w:val="34CCD2BE"/>
    <w:lvl w:ilvl="0" w:tplc="4C88641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44A5A"/>
    <w:multiLevelType w:val="hybridMultilevel"/>
    <w:tmpl w:val="6518A1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72079"/>
    <w:multiLevelType w:val="hybridMultilevel"/>
    <w:tmpl w:val="D44C1456"/>
    <w:lvl w:ilvl="0" w:tplc="F7F046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642B7"/>
    <w:multiLevelType w:val="hybridMultilevel"/>
    <w:tmpl w:val="CAFA57B2"/>
    <w:lvl w:ilvl="0" w:tplc="0405000F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1A1EFC"/>
    <w:multiLevelType w:val="hybridMultilevel"/>
    <w:tmpl w:val="19A65D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242CE"/>
    <w:multiLevelType w:val="hybridMultilevel"/>
    <w:tmpl w:val="1DA81FC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034173"/>
    <w:multiLevelType w:val="hybridMultilevel"/>
    <w:tmpl w:val="1A48A20C"/>
    <w:lvl w:ilvl="0" w:tplc="65643D70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4"/>
  </w:num>
  <w:num w:numId="5">
    <w:abstractNumId w:val="13"/>
  </w:num>
  <w:num w:numId="6">
    <w:abstractNumId w:val="5"/>
  </w:num>
  <w:num w:numId="7">
    <w:abstractNumId w:val="4"/>
  </w:num>
  <w:num w:numId="8">
    <w:abstractNumId w:val="12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  <w:num w:numId="13">
    <w:abstractNumId w:val="3"/>
  </w:num>
  <w:num w:numId="14">
    <w:abstractNumId w:val="0"/>
  </w:num>
  <w:num w:numId="15">
    <w:abstractNumId w:val="15"/>
  </w:num>
  <w:num w:numId="16">
    <w:abstractNumId w:val="18"/>
  </w:num>
  <w:num w:numId="17">
    <w:abstractNumId w:val="17"/>
  </w:num>
  <w:num w:numId="18">
    <w:abstractNumId w:val="16"/>
  </w:num>
  <w:num w:numId="19">
    <w:abstractNumId w:val="7"/>
  </w:num>
  <w:num w:numId="2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219"/>
    <w:rsid w:val="000112AF"/>
    <w:rsid w:val="0002764E"/>
    <w:rsid w:val="0003561C"/>
    <w:rsid w:val="00040A3F"/>
    <w:rsid w:val="000471E5"/>
    <w:rsid w:val="00096594"/>
    <w:rsid w:val="000A31D9"/>
    <w:rsid w:val="000B6D5C"/>
    <w:rsid w:val="000C0A94"/>
    <w:rsid w:val="000D0A74"/>
    <w:rsid w:val="00113034"/>
    <w:rsid w:val="00182C04"/>
    <w:rsid w:val="002058F0"/>
    <w:rsid w:val="00205D63"/>
    <w:rsid w:val="00221FA5"/>
    <w:rsid w:val="0024744A"/>
    <w:rsid w:val="00251767"/>
    <w:rsid w:val="00320F73"/>
    <w:rsid w:val="00357E57"/>
    <w:rsid w:val="00363C2E"/>
    <w:rsid w:val="00364E70"/>
    <w:rsid w:val="003737BE"/>
    <w:rsid w:val="0037408C"/>
    <w:rsid w:val="00374DC1"/>
    <w:rsid w:val="003F4434"/>
    <w:rsid w:val="00404EC9"/>
    <w:rsid w:val="004442BE"/>
    <w:rsid w:val="004A096A"/>
    <w:rsid w:val="004A2643"/>
    <w:rsid w:val="005079A2"/>
    <w:rsid w:val="0051474F"/>
    <w:rsid w:val="00594798"/>
    <w:rsid w:val="005C68D7"/>
    <w:rsid w:val="005D02A0"/>
    <w:rsid w:val="006545C3"/>
    <w:rsid w:val="00683C1E"/>
    <w:rsid w:val="006B1E63"/>
    <w:rsid w:val="006C65EE"/>
    <w:rsid w:val="006E5516"/>
    <w:rsid w:val="0070440C"/>
    <w:rsid w:val="007523E3"/>
    <w:rsid w:val="00761788"/>
    <w:rsid w:val="0076631B"/>
    <w:rsid w:val="008056ED"/>
    <w:rsid w:val="00820A11"/>
    <w:rsid w:val="008700B2"/>
    <w:rsid w:val="008843D5"/>
    <w:rsid w:val="00891191"/>
    <w:rsid w:val="00896C34"/>
    <w:rsid w:val="00897818"/>
    <w:rsid w:val="008B41A8"/>
    <w:rsid w:val="008B7027"/>
    <w:rsid w:val="008C2B1C"/>
    <w:rsid w:val="00912312"/>
    <w:rsid w:val="00922EB0"/>
    <w:rsid w:val="00923909"/>
    <w:rsid w:val="00946E89"/>
    <w:rsid w:val="0096228E"/>
    <w:rsid w:val="00970F2B"/>
    <w:rsid w:val="009B4DEF"/>
    <w:rsid w:val="009F19A0"/>
    <w:rsid w:val="00A07767"/>
    <w:rsid w:val="00A84488"/>
    <w:rsid w:val="00AB2A96"/>
    <w:rsid w:val="00B24C97"/>
    <w:rsid w:val="00B72D6F"/>
    <w:rsid w:val="00B80B57"/>
    <w:rsid w:val="00B82F98"/>
    <w:rsid w:val="00BA444C"/>
    <w:rsid w:val="00BC3041"/>
    <w:rsid w:val="00BD4B28"/>
    <w:rsid w:val="00BD5A13"/>
    <w:rsid w:val="00C1213E"/>
    <w:rsid w:val="00C23F4A"/>
    <w:rsid w:val="00C30A85"/>
    <w:rsid w:val="00C32C93"/>
    <w:rsid w:val="00C34259"/>
    <w:rsid w:val="00C608EC"/>
    <w:rsid w:val="00C9076B"/>
    <w:rsid w:val="00CB4B76"/>
    <w:rsid w:val="00CD5AB4"/>
    <w:rsid w:val="00CE09AE"/>
    <w:rsid w:val="00CF18D0"/>
    <w:rsid w:val="00D23219"/>
    <w:rsid w:val="00D674F3"/>
    <w:rsid w:val="00D75521"/>
    <w:rsid w:val="00D87208"/>
    <w:rsid w:val="00D920F1"/>
    <w:rsid w:val="00D94007"/>
    <w:rsid w:val="00DC7316"/>
    <w:rsid w:val="00DE6653"/>
    <w:rsid w:val="00E022E0"/>
    <w:rsid w:val="00E44CB7"/>
    <w:rsid w:val="00E45311"/>
    <w:rsid w:val="00E71FFC"/>
    <w:rsid w:val="00EC37DB"/>
    <w:rsid w:val="00F761B6"/>
    <w:rsid w:val="00FD1FE0"/>
    <w:rsid w:val="00FE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165F"/>
  <w15:docId w15:val="{C3CC78F6-1A74-480D-A7F3-47F65BD8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0F1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4A096A"/>
    <w:pPr>
      <w:keepNext/>
      <w:keepLines/>
      <w:spacing w:before="120" w:after="120"/>
      <w:outlineLvl w:val="0"/>
    </w:pPr>
    <w:rPr>
      <w:rFonts w:eastAsiaTheme="majorEastAsia" w:cstheme="majorBidi"/>
      <w:b/>
      <w:szCs w:val="32"/>
      <w:u w:val="single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76631B"/>
    <w:pPr>
      <w:numPr>
        <w:numId w:val="19"/>
      </w:numPr>
      <w:outlineLvl w:val="1"/>
    </w:pPr>
    <w:rPr>
      <w:szCs w:val="26"/>
      <w:u w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442B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84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488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84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488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E453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53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5311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53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5311"/>
    <w:rPr>
      <w:rFonts w:ascii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5311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57E5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57E57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57E57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4A096A"/>
    <w:rPr>
      <w:rFonts w:ascii="Times New Roman" w:eastAsiaTheme="majorEastAsia" w:hAnsi="Times New Roman" w:cstheme="majorBidi"/>
      <w:b/>
      <w:sz w:val="24"/>
      <w:szCs w:val="32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76631B"/>
    <w:rPr>
      <w:rFonts w:ascii="Times New Roman" w:eastAsiaTheme="majorEastAsia" w:hAnsi="Times New Roman" w:cstheme="majorBidi"/>
      <w:b/>
      <w:sz w:val="24"/>
      <w:szCs w:val="26"/>
    </w:rPr>
  </w:style>
  <w:style w:type="paragraph" w:styleId="Revize">
    <w:name w:val="Revision"/>
    <w:hidden/>
    <w:uiPriority w:val="99"/>
    <w:semiHidden/>
    <w:rsid w:val="0037408C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916C-D6C7-4AA1-997B-00519230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528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Hexner</cp:lastModifiedBy>
  <cp:revision>8</cp:revision>
  <dcterms:created xsi:type="dcterms:W3CDTF">2025-10-27T14:44:00Z</dcterms:created>
  <dcterms:modified xsi:type="dcterms:W3CDTF">2025-11-04T13:44:00Z</dcterms:modified>
</cp:coreProperties>
</file>