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30579" w14:textId="77777777" w:rsidR="00C75400" w:rsidRPr="00492DD8" w:rsidRDefault="00C75400" w:rsidP="002D16C9">
      <w:pPr>
        <w:spacing w:after="120"/>
        <w:jc w:val="center"/>
        <w:rPr>
          <w:b/>
          <w:sz w:val="40"/>
          <w:szCs w:val="40"/>
        </w:rPr>
      </w:pPr>
      <w:r w:rsidRPr="00492DD8">
        <w:rPr>
          <w:b/>
          <w:sz w:val="40"/>
          <w:szCs w:val="40"/>
        </w:rPr>
        <w:t>DŮVODOVÁ ZPRÁVA</w:t>
      </w:r>
    </w:p>
    <w:p w14:paraId="0CE5B319" w14:textId="77777777" w:rsidR="005A04B3" w:rsidRPr="00492DD8" w:rsidRDefault="005A04B3" w:rsidP="00C75400">
      <w:pPr>
        <w:spacing w:after="120"/>
        <w:jc w:val="center"/>
        <w:rPr>
          <w:b/>
          <w:sz w:val="40"/>
          <w:szCs w:val="40"/>
        </w:rPr>
      </w:pPr>
    </w:p>
    <w:p w14:paraId="7006728D" w14:textId="0E80C980" w:rsidR="00B90C65" w:rsidRPr="00B90C65" w:rsidRDefault="00B90C65" w:rsidP="005A04B3">
      <w:pPr>
        <w:rPr>
          <w:b/>
        </w:rPr>
      </w:pPr>
      <w:r w:rsidRPr="00B90C65">
        <w:rPr>
          <w:b/>
        </w:rPr>
        <w:t>Důvodová zpráva k návrhu zákona, kterým se mění zákon č. 37/2021 Sb., o evidenci skutečných majitelů</w:t>
      </w:r>
      <w:r w:rsidR="00891311">
        <w:rPr>
          <w:b/>
        </w:rPr>
        <w:t>, ve znění pozdějších předpisů</w:t>
      </w:r>
      <w:r w:rsidRPr="00B90C65">
        <w:rPr>
          <w:b/>
        </w:rPr>
        <w:t xml:space="preserve"> (dále jen „návrh“ nebo „návrh zákona“).</w:t>
      </w:r>
    </w:p>
    <w:p w14:paraId="298BAB4E" w14:textId="41F21CAE" w:rsidR="00C27CF5" w:rsidRDefault="00C27CF5" w:rsidP="00C27CF5">
      <w:r>
        <w:t>V souladu s bodem 3.8 písm. e)</w:t>
      </w:r>
      <w:r w:rsidR="005A04B3" w:rsidRPr="00492DD8">
        <w:t xml:space="preserve"> Obecných zásad pro hodnocení dopadů regulace není k návrhu zákona zpracováno</w:t>
      </w:r>
      <w:r>
        <w:t xml:space="preserve"> Hodnocení dopadů regulace</w:t>
      </w:r>
      <w:r w:rsidR="005A04B3" w:rsidRPr="00492DD8">
        <w:t>, neboť</w:t>
      </w:r>
      <w:r>
        <w:t xml:space="preserve"> tak stanovila</w:t>
      </w:r>
      <w:r w:rsidRPr="00C27CF5">
        <w:t xml:space="preserve"> vláda v rámci Plánu legislativních prací vlády na rok </w:t>
      </w:r>
      <w:r>
        <w:t xml:space="preserve">2025 (viz </w:t>
      </w:r>
      <w:r w:rsidR="000376E6">
        <w:t>p</w:t>
      </w:r>
      <w:r>
        <w:t>říloha č. 1 k usnesení vlády č. 920 ze dne 11.</w:t>
      </w:r>
      <w:r w:rsidR="00970527">
        <w:t> </w:t>
      </w:r>
      <w:r>
        <w:t xml:space="preserve">prosince 2024). </w:t>
      </w:r>
    </w:p>
    <w:p w14:paraId="2651148D" w14:textId="77777777" w:rsidR="00D32E80" w:rsidRPr="00492DD8" w:rsidRDefault="00D32E80" w:rsidP="005A04B3"/>
    <w:p w14:paraId="0F8E260A" w14:textId="77777777" w:rsidR="00C75400" w:rsidRPr="00492DD8" w:rsidRDefault="00C75400" w:rsidP="005871A5">
      <w:pPr>
        <w:pStyle w:val="Nadpis1"/>
      </w:pPr>
      <w:r w:rsidRPr="00492DD8">
        <w:t>I. OBECNÁ ČÁST</w:t>
      </w:r>
    </w:p>
    <w:p w14:paraId="5B5605AE" w14:textId="77777777" w:rsidR="005871A5" w:rsidRPr="00492DD8" w:rsidRDefault="005871A5" w:rsidP="005871A5"/>
    <w:p w14:paraId="0E24B8F5" w14:textId="22A448C4" w:rsidR="005A04B3" w:rsidRDefault="005A04B3" w:rsidP="005A04B3">
      <w:pPr>
        <w:pStyle w:val="Nadpis2"/>
        <w:rPr>
          <w:lang w:bidi="en-US"/>
        </w:rPr>
      </w:pPr>
      <w:r w:rsidRPr="00492DD8">
        <w:rPr>
          <w:lang w:bidi="en-US"/>
        </w:rPr>
        <w:t>Vysvětlení nezby</w:t>
      </w:r>
      <w:r w:rsidR="005864E5">
        <w:rPr>
          <w:lang w:bidi="en-US"/>
        </w:rPr>
        <w:t>tnosti návrhu</w:t>
      </w:r>
    </w:p>
    <w:p w14:paraId="5819DBFA" w14:textId="27111152" w:rsidR="00825462" w:rsidRDefault="00825462" w:rsidP="00825462">
      <w:pPr>
        <w:rPr>
          <w:lang w:bidi="en-US"/>
        </w:rPr>
      </w:pPr>
      <w:r>
        <w:rPr>
          <w:lang w:bidi="en-US"/>
        </w:rPr>
        <w:t xml:space="preserve">Cílem </w:t>
      </w:r>
      <w:r w:rsidR="000376E6">
        <w:rPr>
          <w:lang w:bidi="en-US"/>
        </w:rPr>
        <w:t xml:space="preserve">návrhu </w:t>
      </w:r>
      <w:r>
        <w:rPr>
          <w:lang w:bidi="en-US"/>
        </w:rPr>
        <w:t xml:space="preserve">zákona je transponovat nové požadavky </w:t>
      </w:r>
      <w:r w:rsidR="0011086D">
        <w:rPr>
          <w:lang w:bidi="en-US"/>
        </w:rPr>
        <w:t>s</w:t>
      </w:r>
      <w:r w:rsidRPr="00825462">
        <w:rPr>
          <w:lang w:bidi="en-US"/>
        </w:rPr>
        <w:t>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w:t>
      </w:r>
      <w:r>
        <w:rPr>
          <w:lang w:bidi="en-US"/>
        </w:rPr>
        <w:t xml:space="preserve"> </w:t>
      </w:r>
      <w:r w:rsidR="007A422C">
        <w:rPr>
          <w:lang w:bidi="en-US"/>
        </w:rPr>
        <w:t xml:space="preserve">(dále </w:t>
      </w:r>
      <w:r w:rsidR="000376E6">
        <w:rPr>
          <w:lang w:bidi="en-US"/>
        </w:rPr>
        <w:t xml:space="preserve">jen </w:t>
      </w:r>
      <w:r w:rsidR="007A422C">
        <w:rPr>
          <w:lang w:bidi="en-US"/>
        </w:rPr>
        <w:t>„</w:t>
      </w:r>
      <w:r w:rsidRPr="00825462">
        <w:rPr>
          <w:lang w:bidi="en-US"/>
        </w:rPr>
        <w:t>6.</w:t>
      </w:r>
      <w:r w:rsidR="00F2382E">
        <w:rPr>
          <w:lang w:bidi="en-US"/>
        </w:rPr>
        <w:t> </w:t>
      </w:r>
      <w:r w:rsidR="007A422C">
        <w:rPr>
          <w:lang w:bidi="en-US"/>
        </w:rPr>
        <w:t>AML směrnice“ nebo „AML směrnice“</w:t>
      </w:r>
      <w:r w:rsidRPr="00825462">
        <w:rPr>
          <w:lang w:bidi="en-US"/>
        </w:rPr>
        <w:t>)</w:t>
      </w:r>
      <w:r>
        <w:rPr>
          <w:lang w:bidi="en-US"/>
        </w:rPr>
        <w:t>, které se týkají zejména přístup</w:t>
      </w:r>
      <w:r w:rsidR="00F2382E">
        <w:rPr>
          <w:lang w:bidi="en-US"/>
        </w:rPr>
        <w:t>u</w:t>
      </w:r>
      <w:r>
        <w:rPr>
          <w:lang w:bidi="en-US"/>
        </w:rPr>
        <w:t xml:space="preserve"> k údajům o</w:t>
      </w:r>
      <w:r w:rsidR="00970527">
        <w:rPr>
          <w:lang w:bidi="en-US"/>
        </w:rPr>
        <w:t> </w:t>
      </w:r>
      <w:r>
        <w:rPr>
          <w:lang w:bidi="en-US"/>
        </w:rPr>
        <w:t xml:space="preserve">skutečných majitelích v evidenci skutečných majitelů na základě tzv. oprávněného zájmu. Stávající tuzemský režim přístupu k údajům není v souladu s novými unijními požadavky a je třeba jej revidovat. </w:t>
      </w:r>
    </w:p>
    <w:p w14:paraId="4F8F4BFB" w14:textId="54D24B4F" w:rsidR="00825462" w:rsidRPr="0021609F" w:rsidRDefault="00825462" w:rsidP="00825462">
      <w:pPr>
        <w:rPr>
          <w:lang w:bidi="en-US"/>
        </w:rPr>
      </w:pPr>
      <w:r>
        <w:rPr>
          <w:lang w:bidi="en-US"/>
        </w:rPr>
        <w:t xml:space="preserve">Po vzoru 6. AML směrnice návrh zákona stanoví postupy pro ověřování oprávněného zájmu. </w:t>
      </w:r>
      <w:r w:rsidR="000376E6">
        <w:rPr>
          <w:lang w:bidi="en-US"/>
        </w:rPr>
        <w:t>Navrhuje</w:t>
      </w:r>
      <w:r>
        <w:rPr>
          <w:lang w:bidi="en-US"/>
        </w:rPr>
        <w:t xml:space="preserve"> se zavést komplexní (správní) řízení o ověření oprávněného zájmu </w:t>
      </w:r>
      <w:r>
        <w:t>o přístup k údajům o skutečném majiteli</w:t>
      </w:r>
      <w:r>
        <w:rPr>
          <w:lang w:bidi="en-US"/>
        </w:rPr>
        <w:t>. Nová unijní pravidla také požadují doplnit další typy (okruhy) subjektů s</w:t>
      </w:r>
      <w:r w:rsidR="00970527">
        <w:rPr>
          <w:lang w:bidi="en-US"/>
        </w:rPr>
        <w:t> </w:t>
      </w:r>
      <w:r>
        <w:rPr>
          <w:lang w:bidi="en-US"/>
        </w:rPr>
        <w:t>privilegovaným přístupem k předmětným údajům (příslušné národní i mezinárodní orgány, povinné osoby a další).</w:t>
      </w:r>
    </w:p>
    <w:p w14:paraId="7CDF39F6" w14:textId="6CFEB404" w:rsidR="00825462" w:rsidRDefault="00825462" w:rsidP="00825462">
      <w:pPr>
        <w:rPr>
          <w:lang w:bidi="en-US"/>
        </w:rPr>
      </w:pPr>
      <w:r>
        <w:rPr>
          <w:lang w:bidi="en-US"/>
        </w:rPr>
        <w:t>Nový režim přístupu k údajům o skutečných majitelích dle 6. AML směrnice je motivován ochranou osobních údajů a reagu</w:t>
      </w:r>
      <w:r w:rsidR="00E144D3">
        <w:rPr>
          <w:lang w:bidi="en-US"/>
        </w:rPr>
        <w:t xml:space="preserve">je na rozsudek Soudního dvora Evropské unie (dále také </w:t>
      </w:r>
      <w:r w:rsidR="000376E6">
        <w:rPr>
          <w:lang w:bidi="en-US"/>
        </w:rPr>
        <w:t xml:space="preserve">jen </w:t>
      </w:r>
      <w:r w:rsidR="00E144D3">
        <w:rPr>
          <w:lang w:bidi="en-US"/>
        </w:rPr>
        <w:t>„SDEU“)</w:t>
      </w:r>
      <w:r>
        <w:rPr>
          <w:lang w:bidi="en-US"/>
        </w:rPr>
        <w:t xml:space="preserve"> ve spojených věcech C-37/20 a C 601/20 </w:t>
      </w:r>
      <w:r w:rsidR="00CA59B7" w:rsidRPr="00CA59B7">
        <w:rPr>
          <w:lang w:bidi="en-US"/>
        </w:rPr>
        <w:t xml:space="preserve">WM a </w:t>
      </w:r>
      <w:proofErr w:type="spellStart"/>
      <w:r w:rsidR="00CA59B7" w:rsidRPr="00CA59B7">
        <w:rPr>
          <w:lang w:bidi="en-US"/>
        </w:rPr>
        <w:t>Sovim</w:t>
      </w:r>
      <w:proofErr w:type="spellEnd"/>
      <w:r w:rsidR="00CA59B7" w:rsidRPr="00CA59B7">
        <w:rPr>
          <w:lang w:bidi="en-US"/>
        </w:rPr>
        <w:t xml:space="preserve"> SA v. </w:t>
      </w:r>
      <w:proofErr w:type="spellStart"/>
      <w:r>
        <w:rPr>
          <w:lang w:bidi="en-US"/>
        </w:rPr>
        <w:t>Luxembour</w:t>
      </w:r>
      <w:r w:rsidR="00DF7F72">
        <w:rPr>
          <w:lang w:bidi="en-US"/>
        </w:rPr>
        <w:t>g</w:t>
      </w:r>
      <w:proofErr w:type="spellEnd"/>
      <w:r w:rsidR="00DF7F72">
        <w:rPr>
          <w:lang w:bidi="en-US"/>
        </w:rPr>
        <w:t xml:space="preserve"> Business </w:t>
      </w:r>
      <w:proofErr w:type="spellStart"/>
      <w:r w:rsidR="00DF7F72">
        <w:rPr>
          <w:lang w:bidi="en-US"/>
        </w:rPr>
        <w:t>Registers</w:t>
      </w:r>
      <w:proofErr w:type="spellEnd"/>
      <w:r w:rsidR="00DF7F72">
        <w:rPr>
          <w:lang w:bidi="en-US"/>
        </w:rPr>
        <w:t xml:space="preserve"> z roku 2022 (dále také</w:t>
      </w:r>
      <w:r w:rsidR="000376E6">
        <w:rPr>
          <w:lang w:bidi="en-US"/>
        </w:rPr>
        <w:t xml:space="preserve"> jen</w:t>
      </w:r>
      <w:r w:rsidR="00DF7F72">
        <w:rPr>
          <w:lang w:bidi="en-US"/>
        </w:rPr>
        <w:t xml:space="preserve"> „rozsudek </w:t>
      </w:r>
      <w:proofErr w:type="spellStart"/>
      <w:r w:rsidR="00DF7F72">
        <w:rPr>
          <w:lang w:bidi="en-US"/>
        </w:rPr>
        <w:t>Sovim</w:t>
      </w:r>
      <w:proofErr w:type="spellEnd"/>
      <w:r w:rsidR="00DF7F72">
        <w:rPr>
          <w:lang w:bidi="en-US"/>
        </w:rPr>
        <w:t>“)</w:t>
      </w:r>
      <w:r w:rsidR="000376E6">
        <w:rPr>
          <w:lang w:bidi="en-US"/>
        </w:rPr>
        <w:t>.</w:t>
      </w:r>
      <w:r w:rsidR="000376E6" w:rsidRPr="000376E6">
        <w:rPr>
          <w:vertAlign w:val="superscript"/>
          <w:lang w:bidi="en-US"/>
        </w:rPr>
        <w:footnoteReference w:id="2"/>
      </w:r>
    </w:p>
    <w:p w14:paraId="13884C5D" w14:textId="5D77319F" w:rsidR="0021609F" w:rsidRDefault="000376E6" w:rsidP="00825462">
      <w:pPr>
        <w:rPr>
          <w:lang w:bidi="en-US"/>
        </w:rPr>
      </w:pPr>
      <w:r>
        <w:rPr>
          <w:lang w:bidi="en-US"/>
        </w:rPr>
        <w:lastRenderedPageBreak/>
        <w:t>K</w:t>
      </w:r>
      <w:r w:rsidR="00F2382E">
        <w:rPr>
          <w:lang w:bidi="en-US"/>
        </w:rPr>
        <w:t>ro</w:t>
      </w:r>
      <w:r>
        <w:rPr>
          <w:lang w:bidi="en-US"/>
        </w:rPr>
        <w:t>mě toho</w:t>
      </w:r>
      <w:r w:rsidR="002C2FBA">
        <w:rPr>
          <w:lang w:bidi="en-US"/>
        </w:rPr>
        <w:t xml:space="preserve"> </w:t>
      </w:r>
      <w:r w:rsidR="00825462">
        <w:rPr>
          <w:lang w:bidi="en-US"/>
        </w:rPr>
        <w:t>6. AML směrnice obsahuje i další významné požadavky týkající se fungování evidence skutečných majitelů, a</w:t>
      </w:r>
      <w:r>
        <w:rPr>
          <w:lang w:bidi="en-US"/>
        </w:rPr>
        <w:t>však tyto mají být transponovány</w:t>
      </w:r>
      <w:r w:rsidR="00825462">
        <w:rPr>
          <w:lang w:bidi="en-US"/>
        </w:rPr>
        <w:t xml:space="preserve"> až v červenci 2027. Tyto změny budou řešeny samostatnou novelou.  </w:t>
      </w:r>
    </w:p>
    <w:p w14:paraId="7E87F677" w14:textId="2E0C33CF" w:rsidR="00FE5CEB" w:rsidRDefault="005A04B3" w:rsidP="00FE5CEB">
      <w:pPr>
        <w:pStyle w:val="Nadpis2"/>
        <w:rPr>
          <w:lang w:bidi="en-US"/>
        </w:rPr>
      </w:pPr>
      <w:r w:rsidRPr="00492DD8">
        <w:rPr>
          <w:lang w:bidi="en-US"/>
        </w:rPr>
        <w:t>Zhodnocení platného právního stavu</w:t>
      </w:r>
    </w:p>
    <w:p w14:paraId="663DB3CA" w14:textId="7AD5ADC9" w:rsidR="007E4A01" w:rsidRDefault="00976AF6" w:rsidP="00FE5CEB">
      <w:pPr>
        <w:rPr>
          <w:lang w:bidi="en-US"/>
        </w:rPr>
      </w:pPr>
      <w:r>
        <w:rPr>
          <w:lang w:bidi="en-US"/>
        </w:rPr>
        <w:t>Problematika přístupu k údajům do evidence skutečnýc</w:t>
      </w:r>
      <w:r w:rsidR="000376E6">
        <w:rPr>
          <w:lang w:bidi="en-US"/>
        </w:rPr>
        <w:t>h majitelů je komplexně upravena</w:t>
      </w:r>
      <w:r>
        <w:rPr>
          <w:lang w:bidi="en-US"/>
        </w:rPr>
        <w:t xml:space="preserve"> v</w:t>
      </w:r>
      <w:r w:rsidR="00970527">
        <w:rPr>
          <w:lang w:bidi="en-US"/>
        </w:rPr>
        <w:t> </w:t>
      </w:r>
      <w:r>
        <w:rPr>
          <w:lang w:bidi="en-US"/>
        </w:rPr>
        <w:t>zákoně č. 37/2021 Sb., o evidenci skutečných majitelů</w:t>
      </w:r>
      <w:r w:rsidR="000376E6">
        <w:rPr>
          <w:lang w:bidi="en-US"/>
        </w:rPr>
        <w:t>, ve znění pozdějších předpisů</w:t>
      </w:r>
      <w:r>
        <w:rPr>
          <w:lang w:bidi="en-US"/>
        </w:rPr>
        <w:t xml:space="preserve"> (dále </w:t>
      </w:r>
      <w:r w:rsidR="000376E6">
        <w:rPr>
          <w:lang w:bidi="en-US"/>
        </w:rPr>
        <w:t xml:space="preserve">jen </w:t>
      </w:r>
      <w:r>
        <w:rPr>
          <w:lang w:bidi="en-US"/>
        </w:rPr>
        <w:t>„zákon o ESM“). Některé dílčí otázky, například stanovení dalších kategorií subjektů s privilegovaným přístupem do evidence (prostřednictvím tzv. dálkového přístupu) up</w:t>
      </w:r>
      <w:r w:rsidR="00FE1CE5">
        <w:rPr>
          <w:lang w:bidi="en-US"/>
        </w:rPr>
        <w:t xml:space="preserve">ravují další právní předpisy.  </w:t>
      </w:r>
    </w:p>
    <w:p w14:paraId="6234B848" w14:textId="77777777" w:rsidR="002A441A" w:rsidRPr="002A441A" w:rsidRDefault="002A441A" w:rsidP="0011141E">
      <w:pPr>
        <w:pStyle w:val="Odstavecseseznamem"/>
        <w:keepNext/>
        <w:keepLines/>
        <w:numPr>
          <w:ilvl w:val="0"/>
          <w:numId w:val="3"/>
        </w:numPr>
        <w:spacing w:before="240"/>
        <w:contextualSpacing w:val="0"/>
        <w:outlineLvl w:val="2"/>
        <w:rPr>
          <w:rFonts w:eastAsiaTheme="majorEastAsia" w:cstheme="majorBidi"/>
          <w:b/>
          <w:bCs/>
          <w:vanish/>
        </w:rPr>
      </w:pPr>
    </w:p>
    <w:p w14:paraId="44A21286" w14:textId="77777777" w:rsidR="002A441A" w:rsidRPr="002A441A" w:rsidRDefault="002A441A" w:rsidP="0011141E">
      <w:pPr>
        <w:pStyle w:val="Odstavecseseznamem"/>
        <w:keepNext/>
        <w:keepLines/>
        <w:numPr>
          <w:ilvl w:val="0"/>
          <w:numId w:val="3"/>
        </w:numPr>
        <w:spacing w:before="240"/>
        <w:contextualSpacing w:val="0"/>
        <w:outlineLvl w:val="2"/>
        <w:rPr>
          <w:rFonts w:eastAsiaTheme="majorEastAsia" w:cstheme="majorBidi"/>
          <w:b/>
          <w:bCs/>
          <w:vanish/>
        </w:rPr>
      </w:pPr>
    </w:p>
    <w:p w14:paraId="001291EE" w14:textId="362F567B" w:rsidR="00FE1CE5" w:rsidRDefault="00FE1CE5" w:rsidP="0011141E">
      <w:pPr>
        <w:pStyle w:val="Nadpis3"/>
        <w:numPr>
          <w:ilvl w:val="1"/>
          <w:numId w:val="3"/>
        </w:numPr>
        <w:ind w:left="432"/>
        <w:rPr>
          <w:lang w:bidi="en-US"/>
        </w:rPr>
      </w:pPr>
      <w:r>
        <w:rPr>
          <w:lang w:bidi="en-US"/>
        </w:rPr>
        <w:t>Zákon o ESM</w:t>
      </w:r>
    </w:p>
    <w:p w14:paraId="0DEE7D40" w14:textId="0BB5B91C" w:rsidR="00FE1CE5" w:rsidRDefault="00FE1CE5" w:rsidP="00FE1CE5">
      <w:pPr>
        <w:rPr>
          <w:lang w:bidi="en-US"/>
        </w:rPr>
      </w:pPr>
      <w:r>
        <w:rPr>
          <w:lang w:bidi="en-US"/>
        </w:rPr>
        <w:t>Zákon o ESM je platný od 19. ledna 2021. Účinnosti nabyl 1. června 2021. Zákon o ESM zejména transponuje do českého právního řádu požadavky unijního práva týkající se evidování skutečných majitelů</w:t>
      </w:r>
      <w:r w:rsidR="007A422C">
        <w:rPr>
          <w:lang w:bidi="en-US"/>
        </w:rPr>
        <w:t xml:space="preserve">, tj. </w:t>
      </w:r>
      <w:r w:rsidR="00F2690E">
        <w:rPr>
          <w:rStyle w:val="affairetitle"/>
        </w:rPr>
        <w:t xml:space="preserve">směrnice Evropského parlamentu a Rady (EU) </w:t>
      </w:r>
      <w:r w:rsidR="00F2690E" w:rsidRPr="009442B8">
        <w:t>2018/843</w:t>
      </w:r>
      <w:r w:rsidR="00F2690E">
        <w:t xml:space="preserve"> </w:t>
      </w:r>
      <w:r w:rsidR="00F2690E" w:rsidRPr="004E746D">
        <w:t>ze dne 30.</w:t>
      </w:r>
      <w:r w:rsidR="00970527">
        <w:t> </w:t>
      </w:r>
      <w:r w:rsidR="00F2690E" w:rsidRPr="004E746D">
        <w:t>května 2018, kterou se mění směrnice (EU) 2015/849 o předcházení využívání finančního systému k praní peněz nebo financování terorismu a směrnice 2009/138/ES a 2013/36/EU</w:t>
      </w:r>
      <w:r w:rsidR="00F4022F">
        <w:rPr>
          <w:lang w:bidi="en-US"/>
        </w:rPr>
        <w:t xml:space="preserve"> (dále</w:t>
      </w:r>
      <w:r w:rsidR="007A422C">
        <w:rPr>
          <w:lang w:bidi="en-US"/>
        </w:rPr>
        <w:t xml:space="preserve"> </w:t>
      </w:r>
      <w:r w:rsidR="00F2690E">
        <w:rPr>
          <w:lang w:bidi="en-US"/>
        </w:rPr>
        <w:t xml:space="preserve">jen </w:t>
      </w:r>
      <w:r w:rsidR="00F4022F">
        <w:rPr>
          <w:lang w:bidi="en-US"/>
        </w:rPr>
        <w:t>„</w:t>
      </w:r>
      <w:r w:rsidR="007A422C" w:rsidRPr="00F85A48">
        <w:rPr>
          <w:lang w:bidi="en-US"/>
        </w:rPr>
        <w:t>AML směrnice</w:t>
      </w:r>
      <w:r w:rsidR="00F4022F">
        <w:rPr>
          <w:lang w:bidi="en-US"/>
        </w:rPr>
        <w:t>“</w:t>
      </w:r>
      <w:r w:rsidR="007A422C" w:rsidRPr="00F85A48">
        <w:rPr>
          <w:lang w:bidi="en-US"/>
        </w:rPr>
        <w:t>)</w:t>
      </w:r>
      <w:r w:rsidR="007A422C">
        <w:rPr>
          <w:lang w:bidi="en-US"/>
        </w:rPr>
        <w:t>.</w:t>
      </w:r>
    </w:p>
    <w:p w14:paraId="1147C616" w14:textId="61393DA8" w:rsidR="00FE1CE5" w:rsidRDefault="00FE1CE5" w:rsidP="00FE1CE5">
      <w:pPr>
        <w:rPr>
          <w:lang w:bidi="en-US"/>
        </w:rPr>
      </w:pPr>
      <w:r>
        <w:rPr>
          <w:lang w:bidi="en-US"/>
        </w:rPr>
        <w:t>Zákon o ESM nahradil předchozí úpravu evidování skutečných majitelů podle zákona č.</w:t>
      </w:r>
      <w:r w:rsidR="00970527">
        <w:rPr>
          <w:lang w:bidi="en-US"/>
        </w:rPr>
        <w:t> </w:t>
      </w:r>
      <w:r>
        <w:rPr>
          <w:lang w:bidi="en-US"/>
        </w:rPr>
        <w:t xml:space="preserve">304/2013 Sb., o veřejných rejstřících právnických a fyzických osob a o evidenci svěřenských fondů, ve znění pozdějších předpisů (dále </w:t>
      </w:r>
      <w:r w:rsidR="00F2690E">
        <w:rPr>
          <w:lang w:bidi="en-US"/>
        </w:rPr>
        <w:t xml:space="preserve">jen </w:t>
      </w:r>
      <w:r>
        <w:rPr>
          <w:lang w:bidi="en-US"/>
        </w:rPr>
        <w:t xml:space="preserve">„rejstříkový zákon“), a také některé části zákona č. 253/2008 Sb., o </w:t>
      </w:r>
      <w:r w:rsidRPr="00FE5CEB">
        <w:rPr>
          <w:lang w:bidi="en-US"/>
        </w:rPr>
        <w:t>některých opatřeních proti legalizaci výnosů z trestné činnosti a financování terorismu</w:t>
      </w:r>
      <w:r>
        <w:rPr>
          <w:lang w:bidi="en-US"/>
        </w:rPr>
        <w:t>,</w:t>
      </w:r>
      <w:r w:rsidRPr="00FE5CEB">
        <w:rPr>
          <w:lang w:bidi="en-US"/>
        </w:rPr>
        <w:t xml:space="preserve"> </w:t>
      </w:r>
      <w:r>
        <w:rPr>
          <w:lang w:bidi="en-US"/>
        </w:rPr>
        <w:t xml:space="preserve">ve znění pozdějších předpisů (dále </w:t>
      </w:r>
      <w:r w:rsidR="00F2690E">
        <w:rPr>
          <w:lang w:bidi="en-US"/>
        </w:rPr>
        <w:t xml:space="preserve">jen </w:t>
      </w:r>
      <w:r>
        <w:rPr>
          <w:lang w:bidi="en-US"/>
        </w:rPr>
        <w:t>„AML zákon“).</w:t>
      </w:r>
    </w:p>
    <w:p w14:paraId="0986F890" w14:textId="77777777" w:rsidR="00FE1CE5" w:rsidRDefault="00FE1CE5" w:rsidP="00FE1CE5">
      <w:pPr>
        <w:rPr>
          <w:lang w:bidi="en-US"/>
        </w:rPr>
      </w:pPr>
      <w:r>
        <w:rPr>
          <w:lang w:bidi="en-US"/>
        </w:rPr>
        <w:t xml:space="preserve">Významně byl zákon novelizován v roce 2022 (změnovým zákonem č. 245/2022 Sb.), kdy došlo zejména k revizi definice skutečného majitele, zrušení některých výjimek z evidenční povinnosti a rozšíření mechanismu tzv. automatického průpisu, který přispává ke snížení administrativní zátěže. Novela byla reakcí na zahájení </w:t>
      </w:r>
      <w:r w:rsidRPr="00815D50">
        <w:rPr>
          <w:lang w:bidi="en-US"/>
        </w:rPr>
        <w:t xml:space="preserve">řízení o nesplnění povinnosti pro nesprávné provedení směrnice (řízení č. 2021/2162). Evropská komise </w:t>
      </w:r>
      <w:r>
        <w:rPr>
          <w:lang w:bidi="en-US"/>
        </w:rPr>
        <w:t xml:space="preserve">také </w:t>
      </w:r>
      <w:r w:rsidRPr="00815D50">
        <w:rPr>
          <w:lang w:bidi="en-US"/>
        </w:rPr>
        <w:t xml:space="preserve">dodatečně podmínila přijetím novely možnost podání první žádosti o platbu v rámci </w:t>
      </w:r>
      <w:r>
        <w:rPr>
          <w:lang w:bidi="en-US"/>
        </w:rPr>
        <w:t xml:space="preserve">tzv. </w:t>
      </w:r>
      <w:r w:rsidRPr="00815D50">
        <w:rPr>
          <w:lang w:bidi="en-US"/>
        </w:rPr>
        <w:t>Národního plánu obnovy (NPO).</w:t>
      </w:r>
    </w:p>
    <w:p w14:paraId="19FA5321" w14:textId="7C040F5F" w:rsidR="00FE1CE5" w:rsidRPr="008F6B09" w:rsidRDefault="00FE1CE5" w:rsidP="00FE1CE5">
      <w:pPr>
        <w:rPr>
          <w:szCs w:val="24"/>
        </w:rPr>
      </w:pPr>
      <w:r>
        <w:rPr>
          <w:szCs w:val="24"/>
        </w:rPr>
        <w:t xml:space="preserve">Komplexní legislativní úprava a </w:t>
      </w:r>
      <w:r w:rsidRPr="0022327D">
        <w:rPr>
          <w:szCs w:val="24"/>
        </w:rPr>
        <w:t>na ni navazující informační systém evidence skutečných majitelů zajišťují funkčnost a praktickou využitelnost evidence skutečných majitelů a</w:t>
      </w:r>
      <w:r w:rsidR="00970527">
        <w:rPr>
          <w:szCs w:val="24"/>
        </w:rPr>
        <w:t> </w:t>
      </w:r>
      <w:r w:rsidRPr="0022327D">
        <w:rPr>
          <w:szCs w:val="24"/>
        </w:rPr>
        <w:t>v</w:t>
      </w:r>
      <w:r w:rsidR="00970527">
        <w:rPr>
          <w:szCs w:val="24"/>
        </w:rPr>
        <w:t> </w:t>
      </w:r>
      <w:r w:rsidRPr="0022327D">
        <w:rPr>
          <w:szCs w:val="24"/>
        </w:rPr>
        <w:t xml:space="preserve">důsledku </w:t>
      </w:r>
      <w:r>
        <w:rPr>
          <w:szCs w:val="24"/>
        </w:rPr>
        <w:t>naplňují požadavky unijních</w:t>
      </w:r>
      <w:r w:rsidRPr="0022327D">
        <w:rPr>
          <w:szCs w:val="24"/>
        </w:rPr>
        <w:t xml:space="preserve"> předpisů na transparentnost vlastnických a vlivových struktur právnických osob a právních uspořádání. Důvěryhodná evidence skutečných majitelů má pozitivní dopady v různých oblastech, kromě primárního účelu evidence jako nástroje boje s praním špinavých peněz je využívána v řadě dalších oblastí jak veřejným sektorem (udělování licencí, kontrola uchazečů o veřejné prostředky), tak i soukromými osobami (hodnocení rizikovosti potenciálních obchodních partnerů, spotřebitelské rozhodování</w:t>
      </w:r>
      <w:r w:rsidR="00F2690E">
        <w:rPr>
          <w:szCs w:val="24"/>
        </w:rPr>
        <w:t xml:space="preserve"> apod.</w:t>
      </w:r>
      <w:r w:rsidRPr="0022327D">
        <w:rPr>
          <w:szCs w:val="24"/>
        </w:rPr>
        <w:t>).</w:t>
      </w:r>
    </w:p>
    <w:p w14:paraId="3353CFE9" w14:textId="77777777" w:rsidR="00FE1CE5" w:rsidRDefault="00FE1CE5" w:rsidP="00FE1CE5">
      <w:pPr>
        <w:rPr>
          <w:lang w:bidi="en-US"/>
        </w:rPr>
      </w:pPr>
      <w:r w:rsidRPr="00815D50">
        <w:rPr>
          <w:lang w:bidi="en-US"/>
        </w:rPr>
        <w:t xml:space="preserve">Zákon </w:t>
      </w:r>
      <w:r>
        <w:rPr>
          <w:lang w:bidi="en-US"/>
        </w:rPr>
        <w:t>o ESM upravuje zejména</w:t>
      </w:r>
      <w:r w:rsidRPr="00815D50">
        <w:rPr>
          <w:lang w:bidi="en-US"/>
        </w:rPr>
        <w:t xml:space="preserve"> (1) podrobné vymezení skutečného majitele, (2) způsob přístupu k údajům v evidenci, (3) proces zápisu údajů o skutečném majiteli (zápis v soudním </w:t>
      </w:r>
      <w:r w:rsidRPr="00815D50">
        <w:rPr>
          <w:lang w:bidi="en-US"/>
        </w:rPr>
        <w:lastRenderedPageBreak/>
        <w:t>řízení nebo prostřednictvím notáře), (4) automatické předávání některých údajů z veřejného rejstříku, (5) řešení nesprávných nebo chybějících údajů v evidenci a (6) sankce za porušení povinností souvisejících s evidováním skutečných majitelů.</w:t>
      </w:r>
    </w:p>
    <w:p w14:paraId="315BFCF4" w14:textId="0050E7CA" w:rsidR="00FE1CE5" w:rsidRDefault="00FE1CE5" w:rsidP="00FE1CE5">
      <w:pPr>
        <w:rPr>
          <w:lang w:bidi="en-US"/>
        </w:rPr>
      </w:pPr>
      <w:r>
        <w:rPr>
          <w:lang w:bidi="en-US"/>
        </w:rPr>
        <w:t>Zákon o ESM upravuje několik typů přístup</w:t>
      </w:r>
      <w:r w:rsidR="00970527">
        <w:rPr>
          <w:lang w:bidi="en-US"/>
        </w:rPr>
        <w:t>ů</w:t>
      </w:r>
      <w:r>
        <w:rPr>
          <w:lang w:bidi="en-US"/>
        </w:rPr>
        <w:t xml:space="preserve"> do evidence skutečných majitelů. Předně je v současnosti evidence částečně přístupná veřejnosti, a to zdarma na internetu. Přístup ke všem údajů</w:t>
      </w:r>
      <w:r w:rsidR="00F2690E">
        <w:rPr>
          <w:lang w:bidi="en-US"/>
        </w:rPr>
        <w:t>m</w:t>
      </w:r>
      <w:r>
        <w:rPr>
          <w:lang w:bidi="en-US"/>
        </w:rPr>
        <w:t xml:space="preserve"> je pak omezen na zákonem vybrané subjekty. Výpisy, které je možné z evidence získat, jsou dostupné v elektronické podobě.</w:t>
      </w:r>
    </w:p>
    <w:p w14:paraId="3103F847" w14:textId="5E3B20F6" w:rsidR="00FE1CE5" w:rsidRPr="00FE1CE5" w:rsidRDefault="00FE1CE5" w:rsidP="00716555">
      <w:pPr>
        <w:pStyle w:val="Nadpis4"/>
        <w:rPr>
          <w:lang w:bidi="en-US"/>
        </w:rPr>
      </w:pPr>
      <w:r w:rsidRPr="00FE1CE5">
        <w:rPr>
          <w:lang w:bidi="en-US"/>
        </w:rPr>
        <w:t>Veřejný přístup</w:t>
      </w:r>
      <w:r w:rsidR="00A241B2">
        <w:rPr>
          <w:lang w:bidi="en-US"/>
        </w:rPr>
        <w:t xml:space="preserve"> a relevantní judikatura</w:t>
      </w:r>
    </w:p>
    <w:p w14:paraId="00589B41" w14:textId="77777777" w:rsidR="00FE1CE5" w:rsidRDefault="00FE1CE5" w:rsidP="00FE1CE5">
      <w:pPr>
        <w:rPr>
          <w:lang w:bidi="en-US"/>
        </w:rPr>
      </w:pPr>
      <w:r>
        <w:rPr>
          <w:lang w:bidi="en-US"/>
        </w:rPr>
        <w:t xml:space="preserve">Evidence je částečně přístupná veřejnosti, a to zdarma na internetu. Část údajů je komukoli přístupná zdarma na internetu (https://esm.justice.cz/), bez požadavku registrace. </w:t>
      </w:r>
    </w:p>
    <w:p w14:paraId="6248CFD2" w14:textId="36B703C5" w:rsidR="00FE1CE5" w:rsidRDefault="00FE1CE5" w:rsidP="00FE1CE5">
      <w:pPr>
        <w:rPr>
          <w:lang w:bidi="en-US"/>
        </w:rPr>
      </w:pPr>
      <w:r>
        <w:rPr>
          <w:lang w:bidi="en-US"/>
        </w:rPr>
        <w:t>Veřejnost má přístup k informacím o jménu, státě bydliště, roce a měsíci narození a státní příslušnosti skutečného majitele právnické osoby a o povaze postavení skutečného majitele a</w:t>
      </w:r>
      <w:r w:rsidR="00970527">
        <w:rPr>
          <w:lang w:bidi="en-US"/>
        </w:rPr>
        <w:t> </w:t>
      </w:r>
      <w:r>
        <w:rPr>
          <w:lang w:bidi="en-US"/>
        </w:rPr>
        <w:t>velikosti jeho podílu, pokud tento podíl zakládá jeho postavení. Veřejně přístupné jsou také informace, které jsou výsledkem tzv. automatického přepisu údajů z veřejného rejstříku, protože ty jsou již veřejné ve veřejném rejstříku. V případě registrovaných skutečných majitelů právních uspořádání je rejstřík obecně neveřejný.</w:t>
      </w:r>
    </w:p>
    <w:p w14:paraId="1E59A8DF" w14:textId="31DA0568" w:rsidR="00FE1CE5" w:rsidRDefault="00FE1CE5" w:rsidP="00FE1CE5">
      <w:pPr>
        <w:rPr>
          <w:lang w:bidi="en-US"/>
        </w:rPr>
      </w:pPr>
      <w:r>
        <w:rPr>
          <w:lang w:bidi="en-US"/>
        </w:rPr>
        <w:t>Každý může v evidenci vyhledávat pomocí zadání identifikačního čísla nebo jména určité právnické osoby. Každý také může získat přímo z webové stránky částečný elektronický výpis nebo potvrzení, že v evidenci o daném subjektu nejsou vedeny žádné údaje.</w:t>
      </w:r>
    </w:p>
    <w:p w14:paraId="4EB928C6" w14:textId="78717632" w:rsidR="005021E3" w:rsidRDefault="00CA59B7" w:rsidP="00FE1CE5">
      <w:pPr>
        <w:rPr>
          <w:lang w:bidi="en-US"/>
        </w:rPr>
      </w:pPr>
      <w:r>
        <w:rPr>
          <w:lang w:bidi="en-US"/>
        </w:rPr>
        <w:t xml:space="preserve">Právě stávající podoba veřejného přístupu k údajům v evidenci skutečných majitelů není </w:t>
      </w:r>
      <w:r w:rsidR="00543424">
        <w:rPr>
          <w:lang w:bidi="en-US"/>
        </w:rPr>
        <w:t xml:space="preserve">udržitelná </w:t>
      </w:r>
      <w:r>
        <w:rPr>
          <w:lang w:bidi="en-US"/>
        </w:rPr>
        <w:t xml:space="preserve">z hlediska požadavků 6. AML </w:t>
      </w:r>
      <w:r w:rsidR="00C6791D">
        <w:rPr>
          <w:lang w:bidi="en-US"/>
        </w:rPr>
        <w:t xml:space="preserve">směrnice </w:t>
      </w:r>
      <w:r w:rsidR="00543424">
        <w:rPr>
          <w:lang w:bidi="en-US"/>
        </w:rPr>
        <w:t>a výše zmíněného rozsudku SDEU</w:t>
      </w:r>
      <w:r w:rsidR="00DF7F72">
        <w:rPr>
          <w:lang w:bidi="en-US"/>
        </w:rPr>
        <w:t xml:space="preserve"> </w:t>
      </w:r>
      <w:proofErr w:type="spellStart"/>
      <w:r w:rsidR="00DF7F72">
        <w:rPr>
          <w:lang w:bidi="en-US"/>
        </w:rPr>
        <w:t>Sovim</w:t>
      </w:r>
      <w:proofErr w:type="spellEnd"/>
      <w:r w:rsidR="00543424">
        <w:rPr>
          <w:lang w:bidi="en-US"/>
        </w:rPr>
        <w:t xml:space="preserve"> (</w:t>
      </w:r>
      <w:r w:rsidR="00543424">
        <w:rPr>
          <w:rFonts w:eastAsiaTheme="minorHAnsi"/>
          <w:szCs w:val="24"/>
        </w:rPr>
        <w:t>k tomu blíže viz</w:t>
      </w:r>
      <w:r w:rsidR="00543424" w:rsidRPr="00E144D3">
        <w:rPr>
          <w:rFonts w:eastAsiaTheme="minorHAnsi"/>
          <w:szCs w:val="24"/>
        </w:rPr>
        <w:t xml:space="preserve"> kapitola 4</w:t>
      </w:r>
      <w:r w:rsidR="00543424">
        <w:rPr>
          <w:lang w:bidi="en-US"/>
        </w:rPr>
        <w:t>)</w:t>
      </w:r>
      <w:r w:rsidR="00C6791D">
        <w:rPr>
          <w:lang w:bidi="en-US"/>
        </w:rPr>
        <w:t>. N</w:t>
      </w:r>
      <w:r>
        <w:rPr>
          <w:lang w:bidi="en-US"/>
        </w:rPr>
        <w:t xml:space="preserve">a judikaturu </w:t>
      </w:r>
      <w:r w:rsidR="00543424">
        <w:rPr>
          <w:lang w:bidi="en-US"/>
        </w:rPr>
        <w:t xml:space="preserve">SDEU </w:t>
      </w:r>
      <w:r>
        <w:rPr>
          <w:lang w:bidi="en-US"/>
        </w:rPr>
        <w:t xml:space="preserve">a </w:t>
      </w:r>
      <w:r w:rsidR="00B457A3">
        <w:rPr>
          <w:lang w:bidi="en-US"/>
        </w:rPr>
        <w:t xml:space="preserve">jím </w:t>
      </w:r>
      <w:r>
        <w:rPr>
          <w:lang w:bidi="en-US"/>
        </w:rPr>
        <w:t xml:space="preserve">předloženou argumentaci také </w:t>
      </w:r>
      <w:r w:rsidR="00C6791D">
        <w:rPr>
          <w:lang w:bidi="en-US"/>
        </w:rPr>
        <w:t>na národní úrovni navázaly nejvyšší soudy</w:t>
      </w:r>
      <w:r w:rsidR="00B457A3">
        <w:rPr>
          <w:lang w:bidi="en-US"/>
        </w:rPr>
        <w:t xml:space="preserve">. </w:t>
      </w:r>
      <w:r w:rsidR="00B457A3" w:rsidRPr="00A241B2">
        <w:rPr>
          <w:lang w:bidi="en-US"/>
        </w:rPr>
        <w:t xml:space="preserve">V tomto směru je třeba </w:t>
      </w:r>
      <w:r w:rsidR="00543424">
        <w:rPr>
          <w:lang w:bidi="en-US"/>
        </w:rPr>
        <w:t xml:space="preserve">blíže </w:t>
      </w:r>
      <w:r w:rsidR="00A241B2">
        <w:rPr>
          <w:lang w:bidi="en-US"/>
        </w:rPr>
        <w:t>vzpomenout</w:t>
      </w:r>
      <w:r w:rsidR="00B457A3" w:rsidRPr="00A241B2">
        <w:rPr>
          <w:lang w:bidi="en-US"/>
        </w:rPr>
        <w:t xml:space="preserve"> </w:t>
      </w:r>
      <w:r w:rsidR="00DD131D">
        <w:rPr>
          <w:lang w:bidi="en-US"/>
        </w:rPr>
        <w:t xml:space="preserve">relevantní judikaturu </w:t>
      </w:r>
      <w:r w:rsidR="00DD131D" w:rsidRPr="005021E3">
        <w:rPr>
          <w:lang w:bidi="en-US"/>
        </w:rPr>
        <w:t>Městského soudu v</w:t>
      </w:r>
      <w:r w:rsidR="00DD131D">
        <w:rPr>
          <w:lang w:bidi="en-US"/>
        </w:rPr>
        <w:t> </w:t>
      </w:r>
      <w:r w:rsidR="00DD131D" w:rsidRPr="005021E3">
        <w:rPr>
          <w:lang w:bidi="en-US"/>
        </w:rPr>
        <w:t>Praze</w:t>
      </w:r>
      <w:r w:rsidR="00DD131D">
        <w:rPr>
          <w:lang w:bidi="en-US"/>
        </w:rPr>
        <w:t xml:space="preserve"> a návazně</w:t>
      </w:r>
      <w:r w:rsidR="00B457A3" w:rsidRPr="00A241B2">
        <w:rPr>
          <w:lang w:bidi="en-US"/>
        </w:rPr>
        <w:t xml:space="preserve"> </w:t>
      </w:r>
      <w:r w:rsidR="00A241B2" w:rsidRPr="00A241B2">
        <w:rPr>
          <w:lang w:bidi="en-US"/>
        </w:rPr>
        <w:t xml:space="preserve">Nejvyššího správního soudu (dále </w:t>
      </w:r>
      <w:r w:rsidR="00F2690E">
        <w:rPr>
          <w:lang w:bidi="en-US"/>
        </w:rPr>
        <w:t xml:space="preserve">také jen </w:t>
      </w:r>
      <w:r w:rsidR="00A241B2" w:rsidRPr="00A241B2">
        <w:rPr>
          <w:lang w:bidi="en-US"/>
        </w:rPr>
        <w:t>„NSS“)</w:t>
      </w:r>
      <w:r w:rsidR="00C6791D">
        <w:rPr>
          <w:lang w:bidi="en-US"/>
        </w:rPr>
        <w:t xml:space="preserve"> a dále také judikaturu Nevyššího soud</w:t>
      </w:r>
      <w:r w:rsidR="00543424">
        <w:rPr>
          <w:lang w:bidi="en-US"/>
        </w:rPr>
        <w:t>u</w:t>
      </w:r>
      <w:r w:rsidR="00C6791D">
        <w:rPr>
          <w:lang w:bidi="en-US"/>
        </w:rPr>
        <w:t xml:space="preserve"> (dále </w:t>
      </w:r>
      <w:r w:rsidR="00F2690E">
        <w:rPr>
          <w:lang w:bidi="en-US"/>
        </w:rPr>
        <w:t xml:space="preserve">také </w:t>
      </w:r>
      <w:proofErr w:type="spellStart"/>
      <w:proofErr w:type="gramStart"/>
      <w:r w:rsidR="00F2690E">
        <w:rPr>
          <w:lang w:bidi="en-US"/>
        </w:rPr>
        <w:t>jen</w:t>
      </w:r>
      <w:r w:rsidR="00C6791D">
        <w:rPr>
          <w:lang w:bidi="en-US"/>
        </w:rPr>
        <w:t>„</w:t>
      </w:r>
      <w:proofErr w:type="gramEnd"/>
      <w:r w:rsidR="00C6791D">
        <w:rPr>
          <w:lang w:bidi="en-US"/>
        </w:rPr>
        <w:t>NS</w:t>
      </w:r>
      <w:proofErr w:type="spellEnd"/>
      <w:r w:rsidR="00C6791D">
        <w:rPr>
          <w:lang w:bidi="en-US"/>
        </w:rPr>
        <w:t>“)</w:t>
      </w:r>
      <w:r w:rsidR="00DD131D">
        <w:rPr>
          <w:lang w:bidi="en-US"/>
        </w:rPr>
        <w:t>.</w:t>
      </w:r>
    </w:p>
    <w:p w14:paraId="65BD3BAC" w14:textId="4092F76D" w:rsidR="00E144D3" w:rsidRDefault="00E144D3" w:rsidP="00E144D3">
      <w:pPr>
        <w:pStyle w:val="Nadpis5"/>
        <w:rPr>
          <w:lang w:bidi="en-US"/>
        </w:rPr>
      </w:pPr>
      <w:r>
        <w:rPr>
          <w:lang w:bidi="en-US"/>
        </w:rPr>
        <w:t>Rozsudek Městského soudu v Praze</w:t>
      </w:r>
      <w:r w:rsidR="00DD131D" w:rsidRPr="00DD131D">
        <w:rPr>
          <w:lang w:bidi="en-US"/>
        </w:rPr>
        <w:t xml:space="preserve"> </w:t>
      </w:r>
      <w:r w:rsidR="00DD131D" w:rsidRPr="005021E3">
        <w:rPr>
          <w:lang w:bidi="en-US"/>
        </w:rPr>
        <w:t>ze dne 30. 9</w:t>
      </w:r>
      <w:r w:rsidR="00DD131D">
        <w:rPr>
          <w:lang w:bidi="en-US"/>
        </w:rPr>
        <w:t>. 2024</w:t>
      </w:r>
      <w:r>
        <w:rPr>
          <w:lang w:bidi="en-US"/>
        </w:rPr>
        <w:t>, č. j. 10 A 150/2023-55</w:t>
      </w:r>
    </w:p>
    <w:p w14:paraId="56F5F0CA" w14:textId="3E7E7780" w:rsidR="00E144D3" w:rsidRPr="00E144D3" w:rsidRDefault="00DD131D" w:rsidP="00E144D3">
      <w:pPr>
        <w:rPr>
          <w:szCs w:val="24"/>
          <w:lang w:bidi="en-US"/>
        </w:rPr>
      </w:pPr>
      <w:r>
        <w:rPr>
          <w:szCs w:val="24"/>
          <w:lang w:bidi="en-US"/>
        </w:rPr>
        <w:t>Městský soud v Praze</w:t>
      </w:r>
      <w:r w:rsidR="00637A4D">
        <w:rPr>
          <w:szCs w:val="24"/>
          <w:lang w:bidi="en-US"/>
        </w:rPr>
        <w:t xml:space="preserve"> (dále také </w:t>
      </w:r>
      <w:r w:rsidR="00F2690E">
        <w:rPr>
          <w:szCs w:val="24"/>
          <w:lang w:bidi="en-US"/>
        </w:rPr>
        <w:t xml:space="preserve">jen </w:t>
      </w:r>
      <w:r w:rsidR="00637A4D">
        <w:rPr>
          <w:szCs w:val="24"/>
          <w:lang w:bidi="en-US"/>
        </w:rPr>
        <w:t>„</w:t>
      </w:r>
      <w:proofErr w:type="spellStart"/>
      <w:r w:rsidR="00637A4D">
        <w:rPr>
          <w:rFonts w:eastAsiaTheme="minorHAnsi"/>
          <w:szCs w:val="24"/>
        </w:rPr>
        <w:t>MSPha</w:t>
      </w:r>
      <w:proofErr w:type="spellEnd"/>
      <w:r w:rsidR="00637A4D">
        <w:rPr>
          <w:szCs w:val="24"/>
          <w:lang w:bidi="en-US"/>
        </w:rPr>
        <w:t xml:space="preserve">“) </w:t>
      </w:r>
      <w:r w:rsidR="005021E3" w:rsidRPr="00E144D3">
        <w:rPr>
          <w:szCs w:val="24"/>
          <w:lang w:bidi="en-US"/>
        </w:rPr>
        <w:t xml:space="preserve">se ve výše uvedené věci zabýval rozhodnutím Ministerstva spravedlnosti (jako odvolacího orgánu) o přestupku, který spočíval v porušení povinnosti zapsat skutečného majitele do evidence skutečných majitelů. </w:t>
      </w:r>
      <w:r w:rsidR="00E144D3" w:rsidRPr="00E144D3">
        <w:rPr>
          <w:szCs w:val="24"/>
          <w:lang w:bidi="en-US"/>
        </w:rPr>
        <w:t xml:space="preserve">Žaloba proti rozhodnutí </w:t>
      </w:r>
      <w:r w:rsidR="00BF5E12" w:rsidRPr="00E144D3">
        <w:rPr>
          <w:szCs w:val="24"/>
          <w:lang w:bidi="en-US"/>
        </w:rPr>
        <w:t>ministerstva</w:t>
      </w:r>
      <w:r w:rsidR="00E144D3" w:rsidRPr="00E144D3">
        <w:rPr>
          <w:szCs w:val="24"/>
          <w:lang w:bidi="en-US"/>
        </w:rPr>
        <w:t xml:space="preserve"> byla Městským soudem v Praze zamítnuta. Soud primárně posuzoval společenskou škodlivost jednání, kterou shledal (včetně absence okolností vylučujících protiprávnost). </w:t>
      </w:r>
    </w:p>
    <w:p w14:paraId="4EA03894" w14:textId="1AD6C81B" w:rsidR="005021E3" w:rsidRPr="00E144D3" w:rsidRDefault="00E144D3" w:rsidP="00E144D3">
      <w:pPr>
        <w:rPr>
          <w:szCs w:val="24"/>
          <w:lang w:bidi="en-US"/>
        </w:rPr>
      </w:pPr>
      <w:r w:rsidRPr="00E144D3">
        <w:rPr>
          <w:szCs w:val="24"/>
          <w:lang w:bidi="en-US"/>
        </w:rPr>
        <w:t xml:space="preserve">Rozhodnutí </w:t>
      </w:r>
      <w:r w:rsidR="00BF5E12" w:rsidRPr="00E144D3">
        <w:rPr>
          <w:szCs w:val="24"/>
          <w:lang w:bidi="en-US"/>
        </w:rPr>
        <w:t>ministerstva</w:t>
      </w:r>
      <w:r w:rsidRPr="00E144D3">
        <w:rPr>
          <w:szCs w:val="24"/>
          <w:lang w:bidi="en-US"/>
        </w:rPr>
        <w:t xml:space="preserve"> proto podle Městského soudu v Praze nebylo nezákonné ani věcně nesprávné. Společenská škodlivost byla soudem shledána v tom, že pokud není proveden zápis do evidence, nedostanou se k údajům ani orgány, které mají legitimní zájem na jejich získání (</w:t>
      </w:r>
      <w:r w:rsidR="00564DB9">
        <w:rPr>
          <w:szCs w:val="24"/>
          <w:lang w:bidi="en-US"/>
        </w:rPr>
        <w:t xml:space="preserve">odst. </w:t>
      </w:r>
      <w:r w:rsidRPr="00E144D3">
        <w:rPr>
          <w:szCs w:val="24"/>
          <w:lang w:bidi="en-US"/>
        </w:rPr>
        <w:t xml:space="preserve">78 </w:t>
      </w:r>
      <w:r>
        <w:rPr>
          <w:szCs w:val="24"/>
          <w:lang w:bidi="en-US"/>
        </w:rPr>
        <w:t>rozsudku</w:t>
      </w:r>
      <w:r w:rsidR="00637A4D">
        <w:rPr>
          <w:szCs w:val="24"/>
          <w:lang w:bidi="en-US"/>
        </w:rPr>
        <w:t xml:space="preserve"> </w:t>
      </w:r>
      <w:proofErr w:type="spellStart"/>
      <w:r w:rsidR="00637A4D">
        <w:rPr>
          <w:rFonts w:eastAsiaTheme="minorHAnsi"/>
          <w:szCs w:val="24"/>
        </w:rPr>
        <w:t>MSPha</w:t>
      </w:r>
      <w:proofErr w:type="spellEnd"/>
      <w:r w:rsidRPr="00E144D3">
        <w:rPr>
          <w:szCs w:val="24"/>
          <w:lang w:bidi="en-US"/>
        </w:rPr>
        <w:t>).</w:t>
      </w:r>
    </w:p>
    <w:p w14:paraId="2316C374" w14:textId="10DC8BED" w:rsidR="00E144D3" w:rsidRPr="00E144D3" w:rsidRDefault="00E144D3" w:rsidP="00E144D3">
      <w:pPr>
        <w:rPr>
          <w:rFonts w:eastAsiaTheme="minorHAnsi"/>
          <w:szCs w:val="24"/>
        </w:rPr>
      </w:pPr>
      <w:r w:rsidRPr="00E144D3">
        <w:rPr>
          <w:rFonts w:eastAsiaTheme="minorHAnsi"/>
          <w:szCs w:val="24"/>
        </w:rPr>
        <w:lastRenderedPageBreak/>
        <w:t xml:space="preserve">Jako problematickou však Městský soud v Praze posoudil neomezenou širokou dostupnost údajů v evidenci pro veřejnost. Soud explicitně uvedl, že by přístup k údajům měl být udělen jen těm, kteří mají tzv. oprávněný zájem, přičemž se odvolal na rozsudek SDEU </w:t>
      </w:r>
      <w:proofErr w:type="spellStart"/>
      <w:r w:rsidRPr="00E144D3">
        <w:rPr>
          <w:szCs w:val="24"/>
          <w:lang w:bidi="en-US"/>
        </w:rPr>
        <w:t>Sovim</w:t>
      </w:r>
      <w:proofErr w:type="spellEnd"/>
      <w:r w:rsidRPr="00E144D3">
        <w:rPr>
          <w:szCs w:val="24"/>
          <w:lang w:bidi="en-US"/>
        </w:rPr>
        <w:t xml:space="preserve"> z roku 2022</w:t>
      </w:r>
      <w:r w:rsidRPr="00E144D3">
        <w:rPr>
          <w:rFonts w:eastAsiaTheme="minorHAnsi"/>
          <w:szCs w:val="24"/>
        </w:rPr>
        <w:t xml:space="preserve"> (</w:t>
      </w:r>
      <w:r>
        <w:rPr>
          <w:rFonts w:eastAsiaTheme="minorHAnsi"/>
          <w:szCs w:val="24"/>
        </w:rPr>
        <w:t xml:space="preserve">k tomu </w:t>
      </w:r>
      <w:r w:rsidR="00543424">
        <w:rPr>
          <w:rFonts w:eastAsiaTheme="minorHAnsi"/>
          <w:szCs w:val="24"/>
        </w:rPr>
        <w:t xml:space="preserve">blíže viz </w:t>
      </w:r>
      <w:r w:rsidRPr="00E144D3">
        <w:rPr>
          <w:rFonts w:eastAsiaTheme="minorHAnsi"/>
          <w:szCs w:val="24"/>
        </w:rPr>
        <w:t xml:space="preserve">kapitola 4): </w:t>
      </w:r>
    </w:p>
    <w:p w14:paraId="20694BF5" w14:textId="09E2CF9B" w:rsidR="00E144D3" w:rsidRPr="00E144D3" w:rsidRDefault="00E144D3" w:rsidP="00E144D3">
      <w:pPr>
        <w:rPr>
          <w:rFonts w:eastAsiaTheme="minorHAnsi"/>
          <w:szCs w:val="24"/>
        </w:rPr>
      </w:pPr>
      <w:r w:rsidRPr="00E144D3">
        <w:rPr>
          <w:rFonts w:eastAsiaTheme="minorHAnsi"/>
          <w:i/>
          <w:szCs w:val="24"/>
        </w:rPr>
        <w:t>„Ustanovení § 14 odst. 1 zákona o evidenci skutečných majitelů je tak v rozporu s</w:t>
      </w:r>
      <w:r w:rsidR="00970527">
        <w:rPr>
          <w:rFonts w:eastAsiaTheme="minorHAnsi"/>
          <w:i/>
          <w:szCs w:val="24"/>
        </w:rPr>
        <w:t> </w:t>
      </w:r>
      <w:r w:rsidRPr="00E144D3">
        <w:rPr>
          <w:rFonts w:eastAsiaTheme="minorHAnsi"/>
          <w:i/>
          <w:szCs w:val="24"/>
        </w:rPr>
        <w:t>lidskoprávními závazky vyplývajícími z unijního práva (čl. 7 a 8 Listiny základních práv a</w:t>
      </w:r>
      <w:r w:rsidR="00970527">
        <w:rPr>
          <w:rFonts w:eastAsiaTheme="minorHAnsi"/>
          <w:i/>
          <w:szCs w:val="24"/>
        </w:rPr>
        <w:t> </w:t>
      </w:r>
      <w:r w:rsidR="001D7237">
        <w:rPr>
          <w:rFonts w:eastAsiaTheme="minorHAnsi"/>
          <w:i/>
          <w:szCs w:val="24"/>
        </w:rPr>
        <w:t>svobod</w:t>
      </w:r>
      <w:r w:rsidR="00564DB9">
        <w:rPr>
          <w:rFonts w:eastAsiaTheme="minorHAnsi"/>
          <w:i/>
          <w:szCs w:val="24"/>
        </w:rPr>
        <w:t xml:space="preserve">. </w:t>
      </w:r>
      <w:r w:rsidRPr="00E144D3">
        <w:rPr>
          <w:rFonts w:eastAsiaTheme="minorHAnsi"/>
          <w:i/>
          <w:szCs w:val="24"/>
        </w:rPr>
        <w:t>EU) a v rozporu s článkem 30 odst. 5 písm. c) AML Směrnice…“</w:t>
      </w:r>
      <w:r w:rsidRPr="00E144D3">
        <w:rPr>
          <w:rFonts w:eastAsiaTheme="minorHAnsi"/>
          <w:szCs w:val="24"/>
        </w:rPr>
        <w:t xml:space="preserve"> (</w:t>
      </w:r>
      <w:r w:rsidR="00564DB9">
        <w:rPr>
          <w:rFonts w:eastAsiaTheme="minorHAnsi"/>
          <w:szCs w:val="24"/>
        </w:rPr>
        <w:t xml:space="preserve">odst. </w:t>
      </w:r>
      <w:r w:rsidRPr="00E144D3">
        <w:rPr>
          <w:rFonts w:eastAsiaTheme="minorHAnsi"/>
          <w:szCs w:val="24"/>
        </w:rPr>
        <w:t>92 rozsudku</w:t>
      </w:r>
      <w:r w:rsidR="00637A4D">
        <w:rPr>
          <w:rFonts w:eastAsiaTheme="minorHAnsi"/>
          <w:szCs w:val="24"/>
        </w:rPr>
        <w:t xml:space="preserve"> </w:t>
      </w:r>
      <w:proofErr w:type="spellStart"/>
      <w:r w:rsidR="00637A4D">
        <w:rPr>
          <w:rFonts w:eastAsiaTheme="minorHAnsi"/>
          <w:szCs w:val="24"/>
        </w:rPr>
        <w:t>MSPha</w:t>
      </w:r>
      <w:proofErr w:type="spellEnd"/>
      <w:r w:rsidRPr="00E144D3">
        <w:rPr>
          <w:rFonts w:eastAsiaTheme="minorHAnsi"/>
          <w:szCs w:val="24"/>
        </w:rPr>
        <w:t>)</w:t>
      </w:r>
      <w:r w:rsidR="00637A4D">
        <w:rPr>
          <w:rFonts w:eastAsiaTheme="minorHAnsi"/>
          <w:szCs w:val="24"/>
        </w:rPr>
        <w:t>.</w:t>
      </w:r>
    </w:p>
    <w:p w14:paraId="2D2A0F08" w14:textId="2B5A87A6" w:rsidR="00B457A3" w:rsidRDefault="00E144D3" w:rsidP="00E144D3">
      <w:pPr>
        <w:pStyle w:val="Nadpis5"/>
        <w:rPr>
          <w:lang w:bidi="en-US"/>
        </w:rPr>
      </w:pPr>
      <w:r>
        <w:rPr>
          <w:lang w:bidi="en-US"/>
        </w:rPr>
        <w:t>Rozsudek NSS</w:t>
      </w:r>
      <w:r w:rsidR="00DD131D">
        <w:rPr>
          <w:lang w:bidi="en-US"/>
        </w:rPr>
        <w:t xml:space="preserve"> </w:t>
      </w:r>
      <w:r w:rsidR="00F7542E">
        <w:rPr>
          <w:lang w:bidi="en-US"/>
        </w:rPr>
        <w:t>ze dne 12. 3. 2025</w:t>
      </w:r>
      <w:r>
        <w:rPr>
          <w:lang w:bidi="en-US"/>
        </w:rPr>
        <w:t>, č. j. 4 As 219/2024-96</w:t>
      </w:r>
    </w:p>
    <w:p w14:paraId="0869DF96" w14:textId="60D2D81B" w:rsidR="00637A4D" w:rsidRDefault="00A241B2" w:rsidP="00FE1CE5">
      <w:pPr>
        <w:rPr>
          <w:lang w:bidi="en-US"/>
        </w:rPr>
      </w:pPr>
      <w:r>
        <w:rPr>
          <w:lang w:bidi="en-US"/>
        </w:rPr>
        <w:t xml:space="preserve">NSS v uvedeném rozsudku konstatuje, že </w:t>
      </w:r>
      <w:r w:rsidR="005021E3">
        <w:rPr>
          <w:lang w:bidi="en-US"/>
        </w:rPr>
        <w:t xml:space="preserve">přístup široké veřejnosti představuje </w:t>
      </w:r>
      <w:r w:rsidR="005021E3" w:rsidRPr="005021E3">
        <w:rPr>
          <w:lang w:bidi="en-US"/>
        </w:rPr>
        <w:t>nepřiměřený zásah do ústavně zaru</w:t>
      </w:r>
      <w:r w:rsidR="005021E3">
        <w:rPr>
          <w:lang w:bidi="en-US"/>
        </w:rPr>
        <w:t>čených práv skutečných majitelů, pročež nemůže být sp</w:t>
      </w:r>
      <w:r w:rsidR="00637A4D">
        <w:rPr>
          <w:lang w:bidi="en-US"/>
        </w:rPr>
        <w:t xml:space="preserve">rávními orgány vynucován </w:t>
      </w:r>
      <w:r w:rsidR="00637A4D">
        <w:rPr>
          <w:rFonts w:eastAsiaTheme="minorHAnsi"/>
          <w:szCs w:val="24"/>
        </w:rPr>
        <w:t>(</w:t>
      </w:r>
      <w:r w:rsidR="00564DB9">
        <w:rPr>
          <w:rFonts w:eastAsiaTheme="minorHAnsi"/>
          <w:szCs w:val="24"/>
        </w:rPr>
        <w:t xml:space="preserve">odst. </w:t>
      </w:r>
      <w:r w:rsidR="00637A4D">
        <w:rPr>
          <w:rFonts w:eastAsiaTheme="minorHAnsi"/>
          <w:szCs w:val="24"/>
        </w:rPr>
        <w:t>32</w:t>
      </w:r>
      <w:r w:rsidR="00637A4D" w:rsidRPr="00E144D3">
        <w:rPr>
          <w:rFonts w:eastAsiaTheme="minorHAnsi"/>
          <w:szCs w:val="24"/>
        </w:rPr>
        <w:t xml:space="preserve"> rozsudku</w:t>
      </w:r>
      <w:r w:rsidR="00637A4D">
        <w:rPr>
          <w:rFonts w:eastAsiaTheme="minorHAnsi"/>
          <w:szCs w:val="24"/>
        </w:rPr>
        <w:t xml:space="preserve"> NSS</w:t>
      </w:r>
      <w:r w:rsidR="00637A4D" w:rsidRPr="00E144D3">
        <w:rPr>
          <w:rFonts w:eastAsiaTheme="minorHAnsi"/>
          <w:szCs w:val="24"/>
        </w:rPr>
        <w:t>)</w:t>
      </w:r>
      <w:r w:rsidR="00DD131D">
        <w:rPr>
          <w:rFonts w:eastAsiaTheme="minorHAnsi"/>
          <w:szCs w:val="24"/>
        </w:rPr>
        <w:t>.</w:t>
      </w:r>
    </w:p>
    <w:p w14:paraId="5A25E236" w14:textId="4D8EC9D5" w:rsidR="00637A4D" w:rsidRPr="00637A4D" w:rsidRDefault="00637A4D" w:rsidP="00FE1CE5">
      <w:pPr>
        <w:rPr>
          <w:i/>
          <w:lang w:bidi="en-US"/>
        </w:rPr>
      </w:pPr>
      <w:r>
        <w:rPr>
          <w:lang w:bidi="en-US"/>
        </w:rPr>
        <w:t>„</w:t>
      </w:r>
      <w:r w:rsidRPr="00637A4D">
        <w:rPr>
          <w:i/>
          <w:lang w:bidi="en-US"/>
        </w:rPr>
        <w:t>V důsledku uvedeného tak aktuálně platná a účinná právní úprava evidence skutečných majitelů působí takovým způsobem, že přímým důsledkem splnění oznamovací povinnosti subjektu povinného evidovat údaje o svých skutečných majitelích je rovněž zásah do ústavně zaručených práv skutečných majitelů těchto subjektů na ochranu soukromého a rodinného života a osobních údajů, jak Nejvyšší správní soud již několikrát konstatoval výše s ohledem na závěry SD EU formulované v citovaném rozsudku.</w:t>
      </w:r>
      <w:r>
        <w:rPr>
          <w:i/>
          <w:lang w:bidi="en-US"/>
        </w:rPr>
        <w:t xml:space="preserve">“ </w:t>
      </w:r>
      <w:r>
        <w:rPr>
          <w:rFonts w:eastAsiaTheme="minorHAnsi"/>
          <w:szCs w:val="24"/>
        </w:rPr>
        <w:t>(</w:t>
      </w:r>
      <w:r w:rsidR="00564DB9">
        <w:rPr>
          <w:rFonts w:eastAsiaTheme="minorHAnsi"/>
          <w:szCs w:val="24"/>
        </w:rPr>
        <w:t xml:space="preserve">odst. </w:t>
      </w:r>
      <w:r>
        <w:rPr>
          <w:rFonts w:eastAsiaTheme="minorHAnsi"/>
          <w:szCs w:val="24"/>
        </w:rPr>
        <w:t>31</w:t>
      </w:r>
      <w:r w:rsidRPr="00E144D3">
        <w:rPr>
          <w:rFonts w:eastAsiaTheme="minorHAnsi"/>
          <w:szCs w:val="24"/>
        </w:rPr>
        <w:t xml:space="preserve"> rozsudku</w:t>
      </w:r>
      <w:r>
        <w:rPr>
          <w:rFonts w:eastAsiaTheme="minorHAnsi"/>
          <w:szCs w:val="24"/>
        </w:rPr>
        <w:t xml:space="preserve"> NSS</w:t>
      </w:r>
      <w:r w:rsidRPr="00E144D3">
        <w:rPr>
          <w:rFonts w:eastAsiaTheme="minorHAnsi"/>
          <w:szCs w:val="24"/>
        </w:rPr>
        <w:t>)</w:t>
      </w:r>
      <w:r>
        <w:rPr>
          <w:rFonts w:eastAsiaTheme="minorHAnsi"/>
          <w:szCs w:val="24"/>
        </w:rPr>
        <w:t>.</w:t>
      </w:r>
    </w:p>
    <w:p w14:paraId="140E3862" w14:textId="670ECCE4" w:rsidR="00CA59B7" w:rsidRDefault="00637A4D" w:rsidP="00FE1CE5">
      <w:pPr>
        <w:rPr>
          <w:rFonts w:eastAsiaTheme="minorHAnsi"/>
          <w:szCs w:val="24"/>
        </w:rPr>
      </w:pPr>
      <w:r>
        <w:t xml:space="preserve">Přestupek, původně potvrzený Městským soudem v Praze, se podle NSS nestal, jelikož by zveřejněním údajů v evidenci skutečných </w:t>
      </w:r>
      <w:r w:rsidR="00C6791D">
        <w:t>majitelů bylo</w:t>
      </w:r>
      <w:r>
        <w:t xml:space="preserve"> zasaženo do ústavních práv skutečného majitele, a to i s ohledem na </w:t>
      </w:r>
      <w:r w:rsidR="00DD131D">
        <w:t xml:space="preserve">již zmíněnou </w:t>
      </w:r>
      <w:r>
        <w:t>judikaturu SDEU</w:t>
      </w:r>
      <w:r w:rsidR="00DD131D">
        <w:t xml:space="preserve"> </w:t>
      </w:r>
      <w:r w:rsidR="00DD131D">
        <w:rPr>
          <w:rFonts w:eastAsiaTheme="minorHAnsi"/>
          <w:szCs w:val="24"/>
        </w:rPr>
        <w:t>(</w:t>
      </w:r>
      <w:r w:rsidR="00564DB9">
        <w:rPr>
          <w:rFonts w:eastAsiaTheme="minorHAnsi"/>
          <w:szCs w:val="24"/>
        </w:rPr>
        <w:t xml:space="preserve">odst. </w:t>
      </w:r>
      <w:r w:rsidR="00DD131D">
        <w:rPr>
          <w:rFonts w:eastAsiaTheme="minorHAnsi"/>
          <w:szCs w:val="24"/>
        </w:rPr>
        <w:t>39</w:t>
      </w:r>
      <w:r w:rsidR="00DD131D" w:rsidRPr="00E144D3">
        <w:rPr>
          <w:rFonts w:eastAsiaTheme="minorHAnsi"/>
          <w:szCs w:val="24"/>
        </w:rPr>
        <w:t xml:space="preserve"> rozsudku</w:t>
      </w:r>
      <w:r w:rsidR="00DD131D">
        <w:rPr>
          <w:rFonts w:eastAsiaTheme="minorHAnsi"/>
          <w:szCs w:val="24"/>
        </w:rPr>
        <w:t xml:space="preserve"> NSS</w:t>
      </w:r>
      <w:r w:rsidR="00DD131D" w:rsidRPr="00E144D3">
        <w:rPr>
          <w:rFonts w:eastAsiaTheme="minorHAnsi"/>
          <w:szCs w:val="24"/>
        </w:rPr>
        <w:t>)</w:t>
      </w:r>
      <w:r w:rsidR="00DD131D">
        <w:rPr>
          <w:rFonts w:eastAsiaTheme="minorHAnsi"/>
          <w:szCs w:val="24"/>
        </w:rPr>
        <w:t>.</w:t>
      </w:r>
    </w:p>
    <w:p w14:paraId="05B7AB24" w14:textId="748EFA8E" w:rsidR="00543424" w:rsidRDefault="00041B4D" w:rsidP="00FE1CE5">
      <w:pPr>
        <w:rPr>
          <w:rFonts w:eastAsiaTheme="minorHAnsi"/>
          <w:szCs w:val="24"/>
        </w:rPr>
      </w:pPr>
      <w:r>
        <w:rPr>
          <w:rFonts w:eastAsiaTheme="minorHAnsi"/>
          <w:szCs w:val="24"/>
        </w:rPr>
        <w:t>Důsledkem daného rozsudku je, že</w:t>
      </w:r>
      <w:r w:rsidR="00543424">
        <w:rPr>
          <w:rFonts w:eastAsiaTheme="minorHAnsi"/>
          <w:szCs w:val="24"/>
        </w:rPr>
        <w:t xml:space="preserve"> nelze evidenční povinnost podle § 9 zákona o ESM, která by vedla k zveřejnění údajů o skutečných majitelích, ze strany státu vynucovat, a to pro rozpor s </w:t>
      </w:r>
      <w:r w:rsidR="00543424" w:rsidRPr="00543424">
        <w:rPr>
          <w:rFonts w:eastAsiaTheme="minorHAnsi"/>
          <w:szCs w:val="24"/>
        </w:rPr>
        <w:t xml:space="preserve">čl. 7 a 8 Listiny základních práv a </w:t>
      </w:r>
      <w:r w:rsidR="00F2690E">
        <w:rPr>
          <w:rFonts w:eastAsiaTheme="minorHAnsi"/>
          <w:szCs w:val="24"/>
        </w:rPr>
        <w:t>svobod</w:t>
      </w:r>
      <w:r w:rsidR="00564DB9">
        <w:rPr>
          <w:rFonts w:eastAsiaTheme="minorHAnsi"/>
          <w:szCs w:val="24"/>
        </w:rPr>
        <w:t xml:space="preserve">. </w:t>
      </w:r>
      <w:r w:rsidR="00543424" w:rsidRPr="00543424">
        <w:rPr>
          <w:rFonts w:eastAsiaTheme="minorHAnsi"/>
          <w:szCs w:val="24"/>
        </w:rPr>
        <w:t>EU</w:t>
      </w:r>
      <w:r w:rsidR="00F2690E">
        <w:rPr>
          <w:rFonts w:eastAsiaTheme="minorHAnsi"/>
          <w:szCs w:val="24"/>
        </w:rPr>
        <w:t xml:space="preserve"> (dále také jen „Listina EU“)</w:t>
      </w:r>
      <w:r w:rsidR="00543424">
        <w:rPr>
          <w:rFonts w:eastAsiaTheme="minorHAnsi"/>
          <w:szCs w:val="24"/>
        </w:rPr>
        <w:t xml:space="preserve">. </w:t>
      </w:r>
    </w:p>
    <w:p w14:paraId="308156DF" w14:textId="45A9FA4D" w:rsidR="00C6791D" w:rsidRDefault="004B1CBB" w:rsidP="00C6791D">
      <w:pPr>
        <w:pStyle w:val="Nadpis5"/>
        <w:rPr>
          <w:lang w:bidi="en-US"/>
        </w:rPr>
      </w:pPr>
      <w:r>
        <w:rPr>
          <w:lang w:bidi="en-US"/>
        </w:rPr>
        <w:t>Rozsudek NS ze dne 25. 8</w:t>
      </w:r>
      <w:r w:rsidR="00C6791D">
        <w:rPr>
          <w:lang w:bidi="en-US"/>
        </w:rPr>
        <w:t xml:space="preserve">. 2025, </w:t>
      </w:r>
      <w:proofErr w:type="spellStart"/>
      <w:r w:rsidR="00C6791D" w:rsidRPr="00C6791D">
        <w:rPr>
          <w:lang w:bidi="en-US"/>
        </w:rPr>
        <w:t>sp</w:t>
      </w:r>
      <w:proofErr w:type="spellEnd"/>
      <w:r w:rsidR="00C6791D" w:rsidRPr="00C6791D">
        <w:rPr>
          <w:lang w:bidi="en-US"/>
        </w:rPr>
        <w:t xml:space="preserve">. zn. 27 </w:t>
      </w:r>
      <w:proofErr w:type="spellStart"/>
      <w:r w:rsidR="00C6791D" w:rsidRPr="00C6791D">
        <w:rPr>
          <w:lang w:bidi="en-US"/>
        </w:rPr>
        <w:t>Cdo</w:t>
      </w:r>
      <w:proofErr w:type="spellEnd"/>
      <w:r w:rsidR="00C6791D" w:rsidRPr="00C6791D">
        <w:rPr>
          <w:lang w:bidi="en-US"/>
        </w:rPr>
        <w:t xml:space="preserve"> 1368/2024</w:t>
      </w:r>
    </w:p>
    <w:p w14:paraId="6E353C2A" w14:textId="0EAF0372" w:rsidR="00041B4D" w:rsidRDefault="00041B4D" w:rsidP="00041B4D">
      <w:pPr>
        <w:rPr>
          <w:rFonts w:eastAsiaTheme="minorHAnsi"/>
        </w:rPr>
      </w:pPr>
      <w:r>
        <w:t xml:space="preserve">NS uvedeným rozhodnutím zastavil řízení o nesrovnalosti. Důvodem bylo, že by splnění povinnosti zapsat skutečné majitele do evidence skutečných majitelů vedlo k zásahu do jejich základních práv, konkrétně práva na soukromí a ochranu osobních údajů podle článků 7 a 8 Listiny EU. NS se přitom opřel o rozsudek SDEU ve věci </w:t>
      </w:r>
      <w:proofErr w:type="spellStart"/>
      <w:r w:rsidRPr="00F2690E">
        <w:rPr>
          <w:iCs/>
        </w:rPr>
        <w:t>Sovim</w:t>
      </w:r>
      <w:proofErr w:type="spellEnd"/>
      <w:r>
        <w:rPr>
          <w:i/>
          <w:iCs/>
        </w:rPr>
        <w:t xml:space="preserve"> </w:t>
      </w:r>
      <w:r>
        <w:t>(viz výše).</w:t>
      </w:r>
    </w:p>
    <w:p w14:paraId="7E40B57D" w14:textId="1E6A2B49" w:rsidR="00945634" w:rsidRDefault="00041B4D" w:rsidP="00041B4D">
      <w:r>
        <w:t>NS zdůraznil, že česká právní úprava (§ 14 zákona o ESM) umožňuje komukoli anonymně nahlížet do evidence, což je v rozporu s unijním právem. Zápis údajů tak automaticky vede k</w:t>
      </w:r>
      <w:r w:rsidR="00970527">
        <w:t> </w:t>
      </w:r>
      <w:r>
        <w:t xml:space="preserve">jejich zveřejnění, a nelze oddělit povinnost zápisu od následného zásahu do práv skutečných majitelů. V důsledku toho jsou evidující osoby postaveny do patové situace, kdy musí volit mezi porušením zákonné povinnosti a porušením základních práv. </w:t>
      </w:r>
    </w:p>
    <w:p w14:paraId="6F408FDD" w14:textId="032A95D2" w:rsidR="00945634" w:rsidRDefault="00041B4D" w:rsidP="00041B4D">
      <w:r>
        <w:t xml:space="preserve">NS uzavřel, že tento stav nelze klást k tíži evidujícím osobám a že stát nemůže vynucovat splnění povinnosti zápisu, pokud by jejím důsledkem byl protiústavní zásah. </w:t>
      </w:r>
      <w:r w:rsidRPr="00041B4D">
        <w:t xml:space="preserve">Podle NS nelze za </w:t>
      </w:r>
      <w:r w:rsidRPr="00041B4D">
        <w:lastRenderedPageBreak/>
        <w:t>nesrovnalost považovat to, že v evidenci nejsou žádné údaje, pokud by jejich zápis vedl k porušení práv chráněných Listinou EU</w:t>
      </w:r>
      <w:r w:rsidR="00945634">
        <w:t xml:space="preserve"> (</w:t>
      </w:r>
      <w:r w:rsidR="00564DB9">
        <w:rPr>
          <w:rFonts w:eastAsiaTheme="minorHAnsi"/>
          <w:szCs w:val="24"/>
        </w:rPr>
        <w:t xml:space="preserve">odst. </w:t>
      </w:r>
      <w:r w:rsidR="00945634">
        <w:rPr>
          <w:rFonts w:eastAsiaTheme="minorHAnsi"/>
          <w:szCs w:val="24"/>
        </w:rPr>
        <w:t>46</w:t>
      </w:r>
      <w:r w:rsidR="00945634" w:rsidRPr="00E144D3">
        <w:rPr>
          <w:rFonts w:eastAsiaTheme="minorHAnsi"/>
          <w:szCs w:val="24"/>
        </w:rPr>
        <w:t xml:space="preserve"> rozsudku</w:t>
      </w:r>
      <w:r w:rsidR="00945634">
        <w:rPr>
          <w:rFonts w:eastAsiaTheme="minorHAnsi"/>
          <w:szCs w:val="24"/>
        </w:rPr>
        <w:t xml:space="preserve"> NS)</w:t>
      </w:r>
      <w:r w:rsidRPr="00041B4D">
        <w:t>. Není tak možné zápis vynucovat ani zá</w:t>
      </w:r>
      <w:r w:rsidR="00945634">
        <w:t>pisem poznámky o nesrovnalosti</w:t>
      </w:r>
      <w:r w:rsidRPr="00041B4D">
        <w:t>.</w:t>
      </w:r>
      <w:r>
        <w:t xml:space="preserve"> V</w:t>
      </w:r>
      <w:r w:rsidR="00945634">
        <w:t xml:space="preserve"> následném </w:t>
      </w:r>
      <w:r>
        <w:t xml:space="preserve">rozhodnutí </w:t>
      </w:r>
      <w:r w:rsidR="00F2690E">
        <w:t xml:space="preserve">ze dne 26. 8. 2025, </w:t>
      </w:r>
      <w:proofErr w:type="spellStart"/>
      <w:r>
        <w:t>sp</w:t>
      </w:r>
      <w:proofErr w:type="spellEnd"/>
      <w:r>
        <w:t xml:space="preserve">. zn. 27 </w:t>
      </w:r>
      <w:proofErr w:type="spellStart"/>
      <w:r>
        <w:t>Cdo</w:t>
      </w:r>
      <w:proofErr w:type="spellEnd"/>
      <w:r>
        <w:t xml:space="preserve"> 1548/2024 NS pouze potvrdil z</w:t>
      </w:r>
      <w:r w:rsidR="00945634">
        <w:t>ávěry výše uvedeného rozhodnutí, přiče</w:t>
      </w:r>
      <w:r w:rsidR="00945634" w:rsidRPr="00945634">
        <w:t>mž</w:t>
      </w:r>
      <w:r w:rsidRPr="00945634">
        <w:t xml:space="preserve"> také doplnil, bez další argumentace, že se </w:t>
      </w:r>
      <w:r w:rsidR="00945634">
        <w:t>nemohou uplatnit</w:t>
      </w:r>
      <w:r w:rsidRPr="00945634">
        <w:t xml:space="preserve"> ani soukromoprávní následky podle §</w:t>
      </w:r>
      <w:r w:rsidR="00970527">
        <w:t> </w:t>
      </w:r>
      <w:r w:rsidRPr="00945634">
        <w:t>54 odst. 1 zákona o ESM (tzv. soukromoprávní sankce).</w:t>
      </w:r>
    </w:p>
    <w:p w14:paraId="60C4A6A7" w14:textId="47A62D5D" w:rsidR="00A21301" w:rsidRDefault="00A21301" w:rsidP="004D7A43">
      <w:pPr>
        <w:pStyle w:val="Nadpis5"/>
      </w:pPr>
      <w:r>
        <w:t>Faktické znepřístupnění evidenc</w:t>
      </w:r>
      <w:r w:rsidR="004D7A43">
        <w:t>e skutečných majitelů veřejnosti</w:t>
      </w:r>
    </w:p>
    <w:p w14:paraId="16EB6680" w14:textId="77777777" w:rsidR="004D7A43" w:rsidRDefault="004D7A43" w:rsidP="004D7A43">
      <w:r>
        <w:t xml:space="preserve">V listopadu 2025 Ministerstvo spravedlnosti zveřejnilo záměr evidenci skutečných majitelů znepřístupnit veřejnosti, a to právě v reakci na stav </w:t>
      </w:r>
      <w:r w:rsidRPr="004D7A43">
        <w:t>vyvolaný</w:t>
      </w:r>
      <w:r>
        <w:t xml:space="preserve"> výše komentovanou</w:t>
      </w:r>
      <w:r w:rsidRPr="004D7A43">
        <w:t xml:space="preserve"> rozhodovací praxí </w:t>
      </w:r>
      <w:r>
        <w:t xml:space="preserve">nejvyšších soudů. </w:t>
      </w:r>
    </w:p>
    <w:p w14:paraId="4D272DB7" w14:textId="37598510" w:rsidR="004D7A43" w:rsidRDefault="004D7A43" w:rsidP="004D7A43">
      <w:r>
        <w:t>V důsledku zmíněné judikatury nejvyšších soudů nejsou při trvající veřejnosti evidence řešeny nesrovnalosti v evidenci, nelze vymáhat evidenční povinnost, nefungují sankční mechanismy a</w:t>
      </w:r>
      <w:r w:rsidR="00970527">
        <w:t> </w:t>
      </w:r>
      <w:r>
        <w:t>subjekty nejsou motivovány udržovat údaje úplné, přesné a aktuální. Postupně tak veřejnost evidence vede k degradaci jejího obsahu. Funkčnost a účely evidence jsou tím zásadně narušeny.  Problém daný stav působí i v oblasti boje proti praní špinavých peněz a financování terorismu, jelikož evidence nemůže být plnohodnotně využívána při kontrole klientů ze strany povinných osob (např. bank). Podobný efekt je v zásadě ve všech oblastech, které s využitím ESM počítají, což je zejména udělování veřejných zakázek a poskytování některých dotací.</w:t>
      </w:r>
    </w:p>
    <w:p w14:paraId="05554DC0" w14:textId="77777777" w:rsidR="004D7A43" w:rsidRPr="00726F72" w:rsidRDefault="004D7A43" w:rsidP="004D7A43">
      <w:r w:rsidRPr="00726F72">
        <w:t>Znepřístupnění evidence bude mít za následek to, že již nebude docházet k neproporcionálnímu a</w:t>
      </w:r>
      <w:r>
        <w:t> </w:t>
      </w:r>
      <w:r w:rsidRPr="00726F72">
        <w:t>protiústavnímu zásahu do základních práv skutečných majitelů. Současně budou obnoveny veškeré postupy a procesy, které na evidování skutečných majitelů navazují, tj. zejména řešení nesrovnalostí v evidenci příslušnými soudy, řešení přestupků podle zákona o ESM, kontrola skutečného majitele vybraného dodavatele ve veřejné zakázce prostřednictvím evidence atd.</w:t>
      </w:r>
    </w:p>
    <w:p w14:paraId="69ADBD3C" w14:textId="5F26D67A" w:rsidR="004D7A43" w:rsidRDefault="004D7A43" w:rsidP="004D7A43">
      <w:r w:rsidRPr="00726F72">
        <w:t xml:space="preserve">Dále dojde k </w:t>
      </w:r>
      <w:r>
        <w:t>opětovnému</w:t>
      </w:r>
      <w:r w:rsidRPr="00726F72">
        <w:t xml:space="preserve"> „aktivování“ soukromoprávních sankcí </w:t>
      </w:r>
      <w:r>
        <w:t xml:space="preserve">při neplnění povinností </w:t>
      </w:r>
      <w:r w:rsidRPr="00726F72">
        <w:t>podle zákona o ESM (zákaz výplaty podílu na zisku</w:t>
      </w:r>
      <w:r>
        <w:t xml:space="preserve"> a</w:t>
      </w:r>
      <w:r w:rsidRPr="00726F72">
        <w:t xml:space="preserve"> jiných vlastních zdrojích nebo </w:t>
      </w:r>
      <w:r>
        <w:t xml:space="preserve">podílu na </w:t>
      </w:r>
      <w:r w:rsidRPr="00726F72">
        <w:t xml:space="preserve">likvidačním zůstatku a sistace hlasovacích práv). Ověření podmínek pro uplatnění těchto sankcí však bude v praxi složitější, protože údaje v evidenci nebudou veřejné. Bude tak třeba od společníků, u nichž by předmětný následek mohl připadat v úvahu, vždy vyžadovat předložení výpisu z evidence. </w:t>
      </w:r>
    </w:p>
    <w:p w14:paraId="6FFEFC08" w14:textId="3F3B6765" w:rsidR="004D7A43" w:rsidRPr="004D7A43" w:rsidRDefault="004D7A43" w:rsidP="004D7A43">
      <w:r>
        <w:t>Lze se domnívat, že omezený přístup veřejnosti k údajům o skutečných majitelích právnických osob v evidenci bude možný i po znepřístupnění, a to na základě analogické aplikace existujícího pravidla § 15 odst. 1 písm. a) zákona o ESM. To stanovuje, že příslušný soud umožní získat informace z evidence o skutečném majiteli právního uspořádání tomu, kdo osvědčí oprávněný zájem. Analogicky by soud měl, podle názoru ministerstva, postupovat i</w:t>
      </w:r>
      <w:r w:rsidR="00970527">
        <w:t> </w:t>
      </w:r>
      <w:r>
        <w:t>v</w:t>
      </w:r>
      <w:r w:rsidR="00970527">
        <w:t> </w:t>
      </w:r>
      <w:r>
        <w:t>případě údajů o skutečných majitelích právnických osob. Z hlediska posouzení oprávněného zájmu totiž není relevantní, zda se jedná o skutečného majitele právního uspořádání, nebo právnické osoby. Daná otázka je však předmětem nezávislého rozhodování příslušných soudů. Požadavek na zajištění přístupu veřejnosti k údajům v evidence na základě prokázání oprávněného zájmu plyne z aktuálního znění čl. 30 odst. 5 AML směrnice.</w:t>
      </w:r>
    </w:p>
    <w:p w14:paraId="70B0455B" w14:textId="0B63507B" w:rsidR="00FE1CE5" w:rsidRPr="00FE1CE5" w:rsidRDefault="00FE1CE5" w:rsidP="00041B4D">
      <w:pPr>
        <w:pStyle w:val="Nadpis4"/>
        <w:rPr>
          <w:lang w:bidi="en-US"/>
        </w:rPr>
      </w:pPr>
      <w:r w:rsidRPr="00FE1CE5">
        <w:rPr>
          <w:lang w:bidi="en-US"/>
        </w:rPr>
        <w:lastRenderedPageBreak/>
        <w:t>Přístup pro evidující osobu a skutečného majitele</w:t>
      </w:r>
    </w:p>
    <w:p w14:paraId="3561A5CD" w14:textId="1C19E966" w:rsidR="00FE1CE5" w:rsidRDefault="00FE1CE5" w:rsidP="00FE1CE5">
      <w:pPr>
        <w:rPr>
          <w:lang w:bidi="en-US"/>
        </w:rPr>
      </w:pPr>
      <w:r>
        <w:rPr>
          <w:lang w:bidi="en-US"/>
        </w:rPr>
        <w:t>Přístup ke</w:t>
      </w:r>
      <w:r w:rsidR="00F2690E">
        <w:rPr>
          <w:lang w:bidi="en-US"/>
        </w:rPr>
        <w:t xml:space="preserve"> všem údajům, i historickým, </w:t>
      </w:r>
      <w:r>
        <w:rPr>
          <w:lang w:bidi="en-US"/>
        </w:rPr>
        <w:t>je ve vztahu k jejich záznamu zajištěn pro evidující osobu (tj. právnickou osobu nebo svěřenského správce právního uspořádání) i skutečného majitele.</w:t>
      </w:r>
    </w:p>
    <w:p w14:paraId="7E22791E" w14:textId="230D4953" w:rsidR="00FE1CE5" w:rsidRDefault="00FE1CE5" w:rsidP="00FE1CE5">
      <w:pPr>
        <w:rPr>
          <w:lang w:bidi="en-US"/>
        </w:rPr>
      </w:pPr>
      <w:r>
        <w:rPr>
          <w:lang w:bidi="en-US"/>
        </w:rPr>
        <w:t>Evidující osoba může výpis získat přímo z webové stránky evidence, a to po její autentizaci a</w:t>
      </w:r>
      <w:r w:rsidR="00970527">
        <w:rPr>
          <w:lang w:bidi="en-US"/>
        </w:rPr>
        <w:t> </w:t>
      </w:r>
      <w:r>
        <w:rPr>
          <w:lang w:bidi="en-US"/>
        </w:rPr>
        <w:t>autorizaci prostřednictvím informačního systému datových schránek (každá právnická osoba má zřízenou datovou schránku). Obecně pak výpisy evidující osobě nebo skutečnému majiteli umožní získat také příslušný soud (po ověření totožnosti žadatele).</w:t>
      </w:r>
    </w:p>
    <w:p w14:paraId="0B8D7754" w14:textId="77777777" w:rsidR="00FE1CE5" w:rsidRPr="00FE1CE5" w:rsidRDefault="00FE1CE5" w:rsidP="00716555">
      <w:pPr>
        <w:pStyle w:val="Nadpis4"/>
        <w:rPr>
          <w:lang w:bidi="en-US"/>
        </w:rPr>
      </w:pPr>
      <w:r w:rsidRPr="00FE1CE5">
        <w:rPr>
          <w:lang w:bidi="en-US"/>
        </w:rPr>
        <w:t>Dálkový přístup</w:t>
      </w:r>
    </w:p>
    <w:p w14:paraId="7ACDB27B" w14:textId="656EE432" w:rsidR="00716555" w:rsidRDefault="00FE1CE5" w:rsidP="00FE1CE5">
      <w:pPr>
        <w:rPr>
          <w:lang w:bidi="en-US"/>
        </w:rPr>
      </w:pPr>
      <w:r>
        <w:rPr>
          <w:lang w:bidi="en-US"/>
        </w:rPr>
        <w:t xml:space="preserve">Podstatou dálkového přístupu je rychlé dosažení potřebných informací pro zákonem privilegovaný okruh subjektů (§ 16 odst. 2 zákona o ESM). </w:t>
      </w:r>
      <w:r w:rsidR="00F2690E">
        <w:rPr>
          <w:lang w:bidi="en-US"/>
        </w:rPr>
        <w:t>Daná</w:t>
      </w:r>
      <w:r w:rsidR="00716555">
        <w:rPr>
          <w:lang w:bidi="en-US"/>
        </w:rPr>
        <w:t xml:space="preserve"> úprava představuje transpozici požadavku unijního práva na zajištění </w:t>
      </w:r>
      <w:r w:rsidR="00716555">
        <w:t>plného, přímého a volného přístupu k evidovaným údajům pro stanovený okruh subjektů, zejména státních orgánů a povinných osob podle AML zákona.</w:t>
      </w:r>
    </w:p>
    <w:p w14:paraId="7DDB7053" w14:textId="28525D30" w:rsidR="00FE1CE5" w:rsidRDefault="00FE1CE5" w:rsidP="00FE1CE5">
      <w:pPr>
        <w:rPr>
          <w:lang w:bidi="en-US"/>
        </w:rPr>
      </w:pPr>
      <w:r>
        <w:rPr>
          <w:lang w:bidi="en-US"/>
        </w:rPr>
        <w:t>Vybrané subjekty mohou dálkově přistupovat k údajům v evidenci skutečných majitelů prostřednictvím internetového rozhraní spravovaného Ministerstvem spravedlnosti.</w:t>
      </w:r>
    </w:p>
    <w:p w14:paraId="1C635B46" w14:textId="1DC77352" w:rsidR="00FE1CE5" w:rsidRDefault="00FE1CE5" w:rsidP="00FE1CE5">
      <w:pPr>
        <w:rPr>
          <w:lang w:bidi="en-US"/>
        </w:rPr>
      </w:pPr>
      <w:r>
        <w:rPr>
          <w:lang w:bidi="en-US"/>
        </w:rPr>
        <w:t>Podmínkou dálkového přístupu je provedení ztotožnění přistupujících osob v souladu se zákonnými požadavky (§ 17 zákona o ESM). Oprávněné osoby prokazují svoji totožnost prostřednictvím nástrojů elektronické identifikace. Žádosti o zřízení dálkového přístupu vyřizuje Ministerstvo spravedlnosti. V případě orgánů veřejné moci lze dálkově přistupovat k</w:t>
      </w:r>
      <w:r w:rsidR="00970527">
        <w:rPr>
          <w:lang w:bidi="en-US"/>
        </w:rPr>
        <w:t> </w:t>
      </w:r>
      <w:r>
        <w:rPr>
          <w:lang w:bidi="en-US"/>
        </w:rPr>
        <w:t>neveřejným údajům v evidenci skutečných majitelů za využití služeb JIP/KAAS (bez potřeby žádat o zřízení dálkového přístu</w:t>
      </w:r>
      <w:r w:rsidR="00716555">
        <w:rPr>
          <w:lang w:bidi="en-US"/>
        </w:rPr>
        <w:t>pu Ministerstvo spravedlnosti).</w:t>
      </w:r>
    </w:p>
    <w:p w14:paraId="2AB154AA" w14:textId="77777777" w:rsidR="00FE1CE5" w:rsidRDefault="00FE1CE5" w:rsidP="00FE1CE5">
      <w:pPr>
        <w:rPr>
          <w:lang w:bidi="en-US"/>
        </w:rPr>
      </w:pPr>
      <w:r>
        <w:rPr>
          <w:lang w:bidi="en-US"/>
        </w:rPr>
        <w:t>Na základě dálkového přístupu lze získat kompletní výpis z evidence skutečných majitelů. Dálkový přístup i vyřízení žádosti o dálkový přístup jsou bezplatné.</w:t>
      </w:r>
    </w:p>
    <w:p w14:paraId="5F0226AF" w14:textId="723BED7C" w:rsidR="005A04B3" w:rsidRPr="00492DD8" w:rsidRDefault="00606CEE" w:rsidP="0011141E">
      <w:pPr>
        <w:pStyle w:val="Nadpis3"/>
        <w:numPr>
          <w:ilvl w:val="1"/>
          <w:numId w:val="3"/>
        </w:numPr>
        <w:ind w:left="432"/>
        <w:rPr>
          <w:lang w:bidi="en-US"/>
        </w:rPr>
      </w:pPr>
      <w:r>
        <w:t>Unijní</w:t>
      </w:r>
      <w:r w:rsidR="005A04B3" w:rsidRPr="00492DD8">
        <w:t xml:space="preserve"> právní úprava</w:t>
      </w:r>
    </w:p>
    <w:p w14:paraId="3D3E55EF" w14:textId="6BBD1C4F" w:rsidR="00991232" w:rsidRDefault="00991232" w:rsidP="00991232">
      <w:pPr>
        <w:rPr>
          <w:szCs w:val="24"/>
        </w:rPr>
      </w:pPr>
      <w:r w:rsidRPr="00991232">
        <w:rPr>
          <w:szCs w:val="24"/>
        </w:rPr>
        <w:t xml:space="preserve">Dne 19. června 2024 byly v Úředním věstníku EU vyhlášeny nové </w:t>
      </w:r>
      <w:r>
        <w:rPr>
          <w:szCs w:val="24"/>
        </w:rPr>
        <w:t>unijní</w:t>
      </w:r>
      <w:r w:rsidRPr="00991232">
        <w:rPr>
          <w:szCs w:val="24"/>
        </w:rPr>
        <w:t xml:space="preserve"> předpisy spadající do takzvaného AML balíčku.</w:t>
      </w:r>
      <w:r>
        <w:rPr>
          <w:szCs w:val="24"/>
        </w:rPr>
        <w:t xml:space="preserve"> Balíček se sestává z</w:t>
      </w:r>
    </w:p>
    <w:p w14:paraId="4B75C5C7" w14:textId="261769E8" w:rsidR="00991232" w:rsidRDefault="00991232" w:rsidP="0011141E">
      <w:pPr>
        <w:pStyle w:val="Odstavecseseznamem"/>
        <w:numPr>
          <w:ilvl w:val="0"/>
          <w:numId w:val="4"/>
        </w:numPr>
        <w:rPr>
          <w:szCs w:val="24"/>
        </w:rPr>
      </w:pPr>
      <w:r w:rsidRPr="00991232">
        <w:rPr>
          <w:szCs w:val="24"/>
        </w:rPr>
        <w:t>nařízení Evropského parlamentu a Rady (EU) 2024/1624 ze dne 31. května 2024 o</w:t>
      </w:r>
      <w:r w:rsidR="00970527">
        <w:rPr>
          <w:szCs w:val="24"/>
        </w:rPr>
        <w:t> </w:t>
      </w:r>
      <w:r w:rsidRPr="00991232">
        <w:rPr>
          <w:szCs w:val="24"/>
        </w:rPr>
        <w:t>předcházení využívání finančního systému k praní peněz nebo financování terorismu (</w:t>
      </w:r>
      <w:r w:rsidR="00606CEE">
        <w:rPr>
          <w:szCs w:val="24"/>
        </w:rPr>
        <w:t>dále</w:t>
      </w:r>
      <w:r w:rsidRPr="00991232">
        <w:rPr>
          <w:szCs w:val="24"/>
        </w:rPr>
        <w:t xml:space="preserve"> </w:t>
      </w:r>
      <w:r w:rsidR="00F2690E">
        <w:rPr>
          <w:szCs w:val="24"/>
        </w:rPr>
        <w:t>jen</w:t>
      </w:r>
      <w:r w:rsidRPr="00991232">
        <w:rPr>
          <w:szCs w:val="24"/>
        </w:rPr>
        <w:t xml:space="preserve"> „AML</w:t>
      </w:r>
      <w:r>
        <w:rPr>
          <w:szCs w:val="24"/>
        </w:rPr>
        <w:t xml:space="preserve"> nařízení</w:t>
      </w:r>
      <w:r w:rsidRPr="00991232">
        <w:rPr>
          <w:szCs w:val="24"/>
        </w:rPr>
        <w:t>“), které obsahuje valnou většinu pravidel ve vztahu k</w:t>
      </w:r>
      <w:r w:rsidR="00970527">
        <w:rPr>
          <w:szCs w:val="24"/>
        </w:rPr>
        <w:t> </w:t>
      </w:r>
      <w:r w:rsidRPr="00991232">
        <w:rPr>
          <w:szCs w:val="24"/>
        </w:rPr>
        <w:t>AML/CFT opatřením týkajícím se povinných osob,</w:t>
      </w:r>
    </w:p>
    <w:p w14:paraId="5156C281" w14:textId="660B831F" w:rsidR="00991232" w:rsidRDefault="00991232" w:rsidP="0011141E">
      <w:pPr>
        <w:pStyle w:val="Odstavecseseznamem"/>
        <w:numPr>
          <w:ilvl w:val="0"/>
          <w:numId w:val="4"/>
        </w:numPr>
        <w:rPr>
          <w:szCs w:val="24"/>
        </w:rPr>
      </w:pPr>
      <w:r>
        <w:rPr>
          <w:szCs w:val="24"/>
        </w:rPr>
        <w:t>6. AML směrnice</w:t>
      </w:r>
      <w:r w:rsidRPr="00991232">
        <w:rPr>
          <w:szCs w:val="24"/>
        </w:rPr>
        <w:t>, která obsahuje AML/CFT pravid</w:t>
      </w:r>
      <w:r w:rsidR="00F2690E">
        <w:rPr>
          <w:szCs w:val="24"/>
        </w:rPr>
        <w:t>la dopadající na členské státy [</w:t>
      </w:r>
      <w:r w:rsidRPr="00991232">
        <w:rPr>
          <w:szCs w:val="24"/>
        </w:rPr>
        <w:t>například pravomoci finan</w:t>
      </w:r>
      <w:r w:rsidR="00F2690E">
        <w:rPr>
          <w:szCs w:val="24"/>
        </w:rPr>
        <w:t>čních zpravodajských jednotek („</w:t>
      </w:r>
      <w:proofErr w:type="spellStart"/>
      <w:r w:rsidRPr="00991232">
        <w:rPr>
          <w:szCs w:val="24"/>
        </w:rPr>
        <w:t>FIUs</w:t>
      </w:r>
      <w:proofErr w:type="spellEnd"/>
      <w:r w:rsidR="00F2690E">
        <w:rPr>
          <w:szCs w:val="24"/>
        </w:rPr>
        <w:t>“)</w:t>
      </w:r>
      <w:r w:rsidRPr="00991232">
        <w:rPr>
          <w:szCs w:val="24"/>
        </w:rPr>
        <w:t xml:space="preserve"> a dohledových orgánů, centrální evidence účt</w:t>
      </w:r>
      <w:r w:rsidR="00F2690E">
        <w:rPr>
          <w:szCs w:val="24"/>
        </w:rPr>
        <w:t>ů, evidence skutečných majitelů a</w:t>
      </w:r>
      <w:r w:rsidRPr="00991232">
        <w:rPr>
          <w:szCs w:val="24"/>
        </w:rPr>
        <w:t xml:space="preserve"> provádění</w:t>
      </w:r>
      <w:r w:rsidR="00F2690E">
        <w:rPr>
          <w:szCs w:val="24"/>
        </w:rPr>
        <w:t xml:space="preserve"> národního hodnocení rizik]</w:t>
      </w:r>
      <w:r w:rsidRPr="00991232">
        <w:rPr>
          <w:szCs w:val="24"/>
        </w:rPr>
        <w:t>,</w:t>
      </w:r>
    </w:p>
    <w:p w14:paraId="78B2A94A" w14:textId="285D47FA" w:rsidR="00991232" w:rsidRPr="00991232" w:rsidRDefault="00991232" w:rsidP="0011141E">
      <w:pPr>
        <w:pStyle w:val="Odstavecseseznamem"/>
        <w:numPr>
          <w:ilvl w:val="0"/>
          <w:numId w:val="4"/>
        </w:numPr>
        <w:rPr>
          <w:szCs w:val="24"/>
        </w:rPr>
      </w:pPr>
      <w:r w:rsidRPr="00991232">
        <w:rPr>
          <w:szCs w:val="24"/>
        </w:rPr>
        <w:lastRenderedPageBreak/>
        <w:t>nařízení Evropského parlamentu a Rady (EU) 2024/1620 ze dne 31. května 2024, kterým se zřizuje Orgán pro boj proti praní peněz a financování terorismu a mění nařízení (EU) č. 1093/2010, (EU) č. 1094/2010 a (EU) č. 1</w:t>
      </w:r>
      <w:r>
        <w:rPr>
          <w:szCs w:val="24"/>
        </w:rPr>
        <w:t>095/2010 (označované jako „AMLA nařízení</w:t>
      </w:r>
      <w:r w:rsidRPr="00991232">
        <w:rPr>
          <w:szCs w:val="24"/>
        </w:rPr>
        <w:t xml:space="preserve">“), konstituující evropský AML/CFT orgán (AMLA – </w:t>
      </w:r>
      <w:proofErr w:type="spellStart"/>
      <w:r w:rsidRPr="00991232">
        <w:rPr>
          <w:szCs w:val="24"/>
        </w:rPr>
        <w:t>Authority</w:t>
      </w:r>
      <w:proofErr w:type="spellEnd"/>
      <w:r w:rsidRPr="00991232">
        <w:rPr>
          <w:szCs w:val="24"/>
        </w:rPr>
        <w:t xml:space="preserve"> </w:t>
      </w:r>
      <w:proofErr w:type="spellStart"/>
      <w:r w:rsidRPr="00991232">
        <w:rPr>
          <w:szCs w:val="24"/>
        </w:rPr>
        <w:t>for</w:t>
      </w:r>
      <w:proofErr w:type="spellEnd"/>
      <w:r w:rsidRPr="00991232">
        <w:rPr>
          <w:szCs w:val="24"/>
        </w:rPr>
        <w:t xml:space="preserve"> Anti-Money </w:t>
      </w:r>
      <w:proofErr w:type="spellStart"/>
      <w:r w:rsidRPr="00991232">
        <w:rPr>
          <w:szCs w:val="24"/>
        </w:rPr>
        <w:t>Laundering</w:t>
      </w:r>
      <w:proofErr w:type="spellEnd"/>
      <w:r w:rsidRPr="00991232">
        <w:rPr>
          <w:szCs w:val="24"/>
        </w:rPr>
        <w:t xml:space="preserve"> and </w:t>
      </w:r>
      <w:proofErr w:type="spellStart"/>
      <w:r w:rsidRPr="00991232">
        <w:rPr>
          <w:szCs w:val="24"/>
        </w:rPr>
        <w:t>Countering</w:t>
      </w:r>
      <w:proofErr w:type="spellEnd"/>
      <w:r w:rsidRPr="00991232">
        <w:rPr>
          <w:szCs w:val="24"/>
        </w:rPr>
        <w:t xml:space="preserve"> </w:t>
      </w:r>
      <w:proofErr w:type="spellStart"/>
      <w:r w:rsidRPr="00991232">
        <w:rPr>
          <w:szCs w:val="24"/>
        </w:rPr>
        <w:t>the</w:t>
      </w:r>
      <w:proofErr w:type="spellEnd"/>
      <w:r w:rsidRPr="00991232">
        <w:rPr>
          <w:szCs w:val="24"/>
        </w:rPr>
        <w:t xml:space="preserve"> </w:t>
      </w:r>
      <w:proofErr w:type="spellStart"/>
      <w:r w:rsidRPr="00991232">
        <w:rPr>
          <w:szCs w:val="24"/>
        </w:rPr>
        <w:t>Financing</w:t>
      </w:r>
      <w:proofErr w:type="spellEnd"/>
      <w:r w:rsidRPr="00991232">
        <w:rPr>
          <w:szCs w:val="24"/>
        </w:rPr>
        <w:t xml:space="preserve"> </w:t>
      </w:r>
      <w:proofErr w:type="spellStart"/>
      <w:r w:rsidRPr="00991232">
        <w:rPr>
          <w:szCs w:val="24"/>
        </w:rPr>
        <w:t>of</w:t>
      </w:r>
      <w:proofErr w:type="spellEnd"/>
      <w:r w:rsidRPr="00991232">
        <w:rPr>
          <w:szCs w:val="24"/>
        </w:rPr>
        <w:t xml:space="preserve"> </w:t>
      </w:r>
      <w:proofErr w:type="spellStart"/>
      <w:r w:rsidRPr="00991232">
        <w:rPr>
          <w:szCs w:val="24"/>
        </w:rPr>
        <w:t>Terrorism</w:t>
      </w:r>
      <w:proofErr w:type="spellEnd"/>
      <w:r w:rsidRPr="00991232">
        <w:rPr>
          <w:szCs w:val="24"/>
        </w:rPr>
        <w:t xml:space="preserve">) se sídlem ve Frankfurtu nad Mohanem, zajišťující vedle národních orgánů výkon dohledu (včetně přímého dohledu ve vztahu k vybraným povinným osobám) nad plněním AML/CFT povinností povinnými osobami, hostování platformy FIU.net určené pro výměnu informací mezi evropskými </w:t>
      </w:r>
      <w:proofErr w:type="spellStart"/>
      <w:r w:rsidRPr="00991232">
        <w:rPr>
          <w:szCs w:val="24"/>
        </w:rPr>
        <w:t>FIUs</w:t>
      </w:r>
      <w:proofErr w:type="spellEnd"/>
      <w:r w:rsidRPr="00991232">
        <w:rPr>
          <w:szCs w:val="24"/>
        </w:rPr>
        <w:t xml:space="preserve">, koordinaci spolupráce mezi </w:t>
      </w:r>
      <w:proofErr w:type="spellStart"/>
      <w:r w:rsidRPr="00991232">
        <w:rPr>
          <w:szCs w:val="24"/>
        </w:rPr>
        <w:t>FIUs</w:t>
      </w:r>
      <w:proofErr w:type="spellEnd"/>
      <w:r w:rsidRPr="00991232">
        <w:rPr>
          <w:szCs w:val="24"/>
        </w:rPr>
        <w:t>, a vypracování návrhů regulačních technických norem v oblasti AML/CFT.</w:t>
      </w:r>
    </w:p>
    <w:p w14:paraId="2A315BDB" w14:textId="386530A8" w:rsidR="00991232" w:rsidRDefault="00991232" w:rsidP="00991232">
      <w:pPr>
        <w:rPr>
          <w:szCs w:val="24"/>
        </w:rPr>
      </w:pPr>
      <w:r w:rsidRPr="00991232">
        <w:rPr>
          <w:szCs w:val="24"/>
        </w:rPr>
        <w:t xml:space="preserve">Součástí AML balíčku je také nařízení Evropského parlamentu a Rady (EU) 2023/1113 ze dne 31. května 2023, o informacích doprovázejících převody peněžních prostředků a některých </w:t>
      </w:r>
      <w:proofErr w:type="spellStart"/>
      <w:r w:rsidRPr="00991232">
        <w:rPr>
          <w:szCs w:val="24"/>
        </w:rPr>
        <w:t>kryptoaktiv</w:t>
      </w:r>
      <w:proofErr w:type="spellEnd"/>
      <w:r w:rsidRPr="00991232">
        <w:rPr>
          <w:szCs w:val="24"/>
        </w:rPr>
        <w:t xml:space="preserve"> a o změně směrnice (EU) 2015/849, které je označované jako </w:t>
      </w:r>
      <w:r w:rsidR="00F2690E">
        <w:rPr>
          <w:szCs w:val="24"/>
        </w:rPr>
        <w:t>„TFR nařízení“</w:t>
      </w:r>
      <w:r w:rsidRPr="00991232">
        <w:rPr>
          <w:szCs w:val="24"/>
        </w:rPr>
        <w:t>.</w:t>
      </w:r>
    </w:p>
    <w:p w14:paraId="40FEB015" w14:textId="7774CC94" w:rsidR="00991232" w:rsidRPr="00991232" w:rsidRDefault="00CA59B7" w:rsidP="00991232">
      <w:pPr>
        <w:rPr>
          <w:szCs w:val="24"/>
        </w:rPr>
      </w:pPr>
      <w:r>
        <w:rPr>
          <w:szCs w:val="24"/>
        </w:rPr>
        <w:t>Cílem nových</w:t>
      </w:r>
      <w:r w:rsidR="00991232">
        <w:rPr>
          <w:szCs w:val="24"/>
        </w:rPr>
        <w:t xml:space="preserve"> unijních pravidel je obecně posílení systémů</w:t>
      </w:r>
      <w:r w:rsidR="00991232" w:rsidRPr="00991232">
        <w:rPr>
          <w:szCs w:val="24"/>
        </w:rPr>
        <w:t xml:space="preserve"> v boji proti praní peněz a</w:t>
      </w:r>
      <w:r w:rsidR="00970527">
        <w:rPr>
          <w:szCs w:val="24"/>
        </w:rPr>
        <w:t> </w:t>
      </w:r>
      <w:r w:rsidR="00991232" w:rsidRPr="00991232">
        <w:rPr>
          <w:szCs w:val="24"/>
        </w:rPr>
        <w:t xml:space="preserve">financování terorismu. </w:t>
      </w:r>
      <w:r w:rsidR="00991232">
        <w:rPr>
          <w:szCs w:val="24"/>
        </w:rPr>
        <w:t>Pravidla vztahující se na</w:t>
      </w:r>
      <w:r w:rsidR="00991232" w:rsidRPr="00991232">
        <w:rPr>
          <w:szCs w:val="24"/>
        </w:rPr>
        <w:t xml:space="preserve"> </w:t>
      </w:r>
      <w:r w:rsidR="00606CEE">
        <w:rPr>
          <w:szCs w:val="24"/>
        </w:rPr>
        <w:t xml:space="preserve">regulovaný </w:t>
      </w:r>
      <w:r w:rsidR="00991232" w:rsidRPr="00991232">
        <w:rPr>
          <w:szCs w:val="24"/>
        </w:rPr>
        <w:t xml:space="preserve">sektor </w:t>
      </w:r>
      <w:r w:rsidR="00991232">
        <w:rPr>
          <w:szCs w:val="24"/>
        </w:rPr>
        <w:t>jsou koncentrována v</w:t>
      </w:r>
      <w:r w:rsidR="00970527">
        <w:rPr>
          <w:szCs w:val="24"/>
        </w:rPr>
        <w:t> </w:t>
      </w:r>
      <w:r w:rsidR="00991232">
        <w:rPr>
          <w:szCs w:val="24"/>
        </w:rPr>
        <w:t xml:space="preserve">přímo použitelném AML </w:t>
      </w:r>
      <w:r w:rsidR="00991232" w:rsidRPr="00991232">
        <w:rPr>
          <w:szCs w:val="24"/>
        </w:rPr>
        <w:t xml:space="preserve">nařízení, zatímco </w:t>
      </w:r>
      <w:r w:rsidR="00991232">
        <w:rPr>
          <w:szCs w:val="24"/>
        </w:rPr>
        <w:t xml:space="preserve">6. AML směrnice </w:t>
      </w:r>
      <w:r w:rsidR="00606CEE">
        <w:rPr>
          <w:szCs w:val="24"/>
        </w:rPr>
        <w:t>upravuje požadavky na</w:t>
      </w:r>
      <w:r w:rsidR="00991232" w:rsidRPr="00991232">
        <w:rPr>
          <w:szCs w:val="24"/>
        </w:rPr>
        <w:t xml:space="preserve"> organizaci příslušných vnitrostátních orgánů pro boj proti praní peněz a financování terorismu</w:t>
      </w:r>
      <w:r w:rsidR="00F2690E">
        <w:rPr>
          <w:szCs w:val="24"/>
        </w:rPr>
        <w:t xml:space="preserve"> </w:t>
      </w:r>
      <w:r w:rsidR="00606CEE">
        <w:rPr>
          <w:szCs w:val="24"/>
        </w:rPr>
        <w:t xml:space="preserve">a fungování národních registrů skutečných majitelů.  </w:t>
      </w:r>
    </w:p>
    <w:p w14:paraId="4EE83338" w14:textId="7140A9E8" w:rsidR="00C8249D" w:rsidRDefault="00C8249D" w:rsidP="00C8249D">
      <w:r>
        <w:t xml:space="preserve">Ve vztahu k předkládanému návrhu je pak třeba zdůraznit, že 6. AML směrnice stanovuje podrobná pravidla pro přístup různých typů subjektů do registru. </w:t>
      </w:r>
      <w:r w:rsidR="00716555">
        <w:t xml:space="preserve">Tyto požadavky musí členské státy transponovat do národních právních úprav nejpozději do </w:t>
      </w:r>
      <w:r w:rsidR="00716555" w:rsidRPr="00716555">
        <w:t>10. července 2026</w:t>
      </w:r>
      <w:r w:rsidR="00716555">
        <w:t xml:space="preserve"> (čl. 78 </w:t>
      </w:r>
      <w:r w:rsidR="00564DB9">
        <w:t xml:space="preserve">odst. </w:t>
      </w:r>
      <w:r w:rsidR="00716555">
        <w:t xml:space="preserve">1 </w:t>
      </w:r>
      <w:r w:rsidR="00F2690E">
        <w:t xml:space="preserve">AML </w:t>
      </w:r>
      <w:r w:rsidR="00716555">
        <w:t>směrnice)</w:t>
      </w:r>
      <w:r w:rsidR="00716555" w:rsidRPr="00716555">
        <w:t>.</w:t>
      </w:r>
      <w:r w:rsidR="00CA59B7">
        <w:t xml:space="preserve"> Uvedená úprava je reakcí na rozsudek Soudního dvora Evropské unie, který je blíže rozebrán v kapitole 4.</w:t>
      </w:r>
    </w:p>
    <w:p w14:paraId="6E100693" w14:textId="4DFC679F" w:rsidR="00C8249D" w:rsidRPr="00C8249D" w:rsidRDefault="00C8249D" w:rsidP="0011141E">
      <w:pPr>
        <w:pStyle w:val="Odstavecseseznamem"/>
        <w:numPr>
          <w:ilvl w:val="0"/>
          <w:numId w:val="5"/>
        </w:numPr>
        <w:rPr>
          <w:rFonts w:eastAsiaTheme="minorHAnsi"/>
        </w:rPr>
      </w:pPr>
      <w:r>
        <w:t>Čl. 11</w:t>
      </w:r>
      <w:r w:rsidR="00F2690E" w:rsidRPr="00F2690E">
        <w:t xml:space="preserve"> </w:t>
      </w:r>
      <w:r w:rsidR="00F2690E">
        <w:t>AML</w:t>
      </w:r>
      <w:r>
        <w:t xml:space="preserve"> směrnice stanovuje typy subjektů s privilegovaným přístupem (příslušné národní i mezinárodní orgány, povinné osoby a další). </w:t>
      </w:r>
    </w:p>
    <w:p w14:paraId="669BA028" w14:textId="0A8F61CB" w:rsidR="00C8249D" w:rsidRPr="00C8249D" w:rsidRDefault="00C8249D" w:rsidP="0011141E">
      <w:pPr>
        <w:pStyle w:val="Odstavecseseznamem"/>
        <w:numPr>
          <w:ilvl w:val="0"/>
          <w:numId w:val="5"/>
        </w:numPr>
        <w:rPr>
          <w:rFonts w:eastAsiaTheme="minorHAnsi"/>
        </w:rPr>
      </w:pPr>
      <w:r>
        <w:t xml:space="preserve">Čl. 12 </w:t>
      </w:r>
      <w:r w:rsidR="00F2690E">
        <w:t xml:space="preserve">AML </w:t>
      </w:r>
      <w:r>
        <w:t>směrnice upravuje, komu náleží přístup na</w:t>
      </w:r>
      <w:r w:rsidRPr="00C8249D">
        <w:t xml:space="preserve"> základě </w:t>
      </w:r>
      <w:r w:rsidRPr="00C8249D">
        <w:rPr>
          <w:bCs/>
        </w:rPr>
        <w:t>tzv. oprávněného zájmu</w:t>
      </w:r>
      <w:r>
        <w:rPr>
          <w:bCs/>
        </w:rPr>
        <w:t>, včetně kategorií subjektů, u nichž existuje oprávněný zájem na přístupu vždy</w:t>
      </w:r>
      <w:r w:rsidRPr="00C8249D">
        <w:t>.</w:t>
      </w:r>
      <w:r>
        <w:t xml:space="preserve"> </w:t>
      </w:r>
      <w:r w:rsidR="00C9514D" w:rsidRPr="00C9514D">
        <w:t xml:space="preserve">Přístup se poskytuje primárně elektronickými prostředky. </w:t>
      </w:r>
      <w:r w:rsidR="00C9514D">
        <w:t>Je třeba vést záznamy o osobách, které přistoupily k informacím na základě oprávněného zájmu za účelem jejich zpřístupnění pro skutečné majitele</w:t>
      </w:r>
      <w:r w:rsidR="00F2690E">
        <w:t>, pokud podají žádost dle GDPR (</w:t>
      </w:r>
      <w:r w:rsidR="00C9514D">
        <w:t xml:space="preserve">čl. 12 </w:t>
      </w:r>
      <w:r w:rsidR="00564DB9">
        <w:t xml:space="preserve">odst. </w:t>
      </w:r>
      <w:r w:rsidR="00F2690E">
        <w:t>4 AML směrnice)</w:t>
      </w:r>
      <w:r w:rsidR="00C9514D">
        <w:t>; to neplatí v případě přistupujících novinářů</w:t>
      </w:r>
      <w:r w:rsidR="00945634">
        <w:t>,</w:t>
      </w:r>
      <w:r w:rsidR="00C9514D">
        <w:t xml:space="preserve"> nevládních organizací</w:t>
      </w:r>
      <w:r w:rsidR="003E6DB0">
        <w:t xml:space="preserve"> a</w:t>
      </w:r>
      <w:r w:rsidR="00970527">
        <w:t> </w:t>
      </w:r>
      <w:r w:rsidR="003E6DB0">
        <w:t>akademické obce.</w:t>
      </w:r>
    </w:p>
    <w:p w14:paraId="0427091E" w14:textId="0C953B41" w:rsidR="00C9514D" w:rsidRPr="00C9514D" w:rsidRDefault="007A422C" w:rsidP="0011141E">
      <w:pPr>
        <w:pStyle w:val="Odstavecseseznamem"/>
        <w:numPr>
          <w:ilvl w:val="0"/>
          <w:numId w:val="5"/>
        </w:numPr>
        <w:rPr>
          <w:rFonts w:eastAsiaTheme="minorHAnsi"/>
        </w:rPr>
      </w:pPr>
      <w:r>
        <w:t xml:space="preserve">Čl. </w:t>
      </w:r>
      <w:r w:rsidR="00C8249D">
        <w:t xml:space="preserve">13 </w:t>
      </w:r>
      <w:r w:rsidR="00F2690E">
        <w:t xml:space="preserve">AML </w:t>
      </w:r>
      <w:r w:rsidR="00C8249D">
        <w:t>směrnice upravuje relativně detailně p</w:t>
      </w:r>
      <w:r w:rsidR="00C8249D" w:rsidRPr="00C8249D">
        <w:t>ostup</w:t>
      </w:r>
      <w:r w:rsidR="00C8249D">
        <w:t>y a podmínky</w:t>
      </w:r>
      <w:r w:rsidR="00C8249D" w:rsidRPr="00C8249D">
        <w:t xml:space="preserve"> pro ověření oprávněného zájmu</w:t>
      </w:r>
      <w:r w:rsidR="00C8249D">
        <w:t xml:space="preserve"> </w:t>
      </w:r>
      <w:r w:rsidR="00C8249D" w:rsidRPr="00C8249D">
        <w:t xml:space="preserve">a </w:t>
      </w:r>
      <w:r w:rsidR="00C8249D">
        <w:t xml:space="preserve">také jeho </w:t>
      </w:r>
      <w:r w:rsidR="00C8249D" w:rsidRPr="00C8249D">
        <w:t xml:space="preserve">vzájemné uznávání </w:t>
      </w:r>
      <w:r w:rsidR="00C8249D">
        <w:t xml:space="preserve">mezi orgány členských států.  </w:t>
      </w:r>
    </w:p>
    <w:p w14:paraId="491D509C" w14:textId="504021FB" w:rsidR="00E80B26" w:rsidRDefault="00C9514D" w:rsidP="0011141E">
      <w:pPr>
        <w:pStyle w:val="Odstavecseseznamem"/>
        <w:numPr>
          <w:ilvl w:val="0"/>
          <w:numId w:val="5"/>
        </w:numPr>
      </w:pPr>
      <w:r>
        <w:t xml:space="preserve">Čl. 15 </w:t>
      </w:r>
      <w:r w:rsidR="00F2690E">
        <w:t xml:space="preserve">AML </w:t>
      </w:r>
      <w:r>
        <w:t xml:space="preserve">směrnice vyžaduje, aby členské státy stanovily výjimky </w:t>
      </w:r>
      <w:r w:rsidRPr="00C9514D">
        <w:t>z pravidel přístupu k údajům v registrech. Přístup k údajům pro povinné osoby a pro osoby na základě oprávněného zájmu musí být v konkrétních případech a na základě individuálního posouzení možné omezit.</w:t>
      </w:r>
      <w:r>
        <w:t xml:space="preserve"> Důvodem znepřístupnění </w:t>
      </w:r>
      <w:r w:rsidR="00F2690E">
        <w:t>má být</w:t>
      </w:r>
      <w:r>
        <w:t xml:space="preserve">, pokud by přístup vystavil skutečného majitele nepřiměřenému riziku podvodu, únosu, vydírání, obtěžování, násilí nebo zastrašování nebo pokud je skutečným majitelem nezletilá nebo jinak právně </w:t>
      </w:r>
      <w:r>
        <w:lastRenderedPageBreak/>
        <w:t>nezpůsobilá osoba. Musí být možné rozhodnutí přezkoumat. Je třeba vést statistiky o</w:t>
      </w:r>
      <w:r w:rsidR="00970527">
        <w:t> </w:t>
      </w:r>
      <w:r>
        <w:t>počtu udělených výjimek a uvedených důvodech.</w:t>
      </w:r>
    </w:p>
    <w:p w14:paraId="53D49E7E" w14:textId="60DCA18A" w:rsidR="006067FD" w:rsidRDefault="006067FD" w:rsidP="00606CEE">
      <w:r>
        <w:t>Ačkoli 6. AML směrnice explicitně nezakazuje umožnit veřejnosti širší přístup k ú</w:t>
      </w:r>
      <w:r w:rsidR="00CA59B7">
        <w:t>dajům o</w:t>
      </w:r>
      <w:r w:rsidR="00970527">
        <w:t> </w:t>
      </w:r>
      <w:r w:rsidR="00CA59B7">
        <w:t>skutečných majitelích, s</w:t>
      </w:r>
      <w:r>
        <w:t xml:space="preserve">tanovením velmi podrobných pravidel pro zjišťování oprávněného zájmu a administraci </w:t>
      </w:r>
      <w:r w:rsidR="00F2690E">
        <w:t>žádostí</w:t>
      </w:r>
      <w:r>
        <w:t xml:space="preserve"> </w:t>
      </w:r>
      <w:r w:rsidR="002746A5">
        <w:t xml:space="preserve">o přístup do evidence nová unijní úprava </w:t>
      </w:r>
      <w:r>
        <w:t>fakticky znemožňuje zachování stávajícího tuzemského režimu veřejnosti evidence skutečných majitelů</w:t>
      </w:r>
      <w:r w:rsidR="002746A5">
        <w:t>, kdy je část údaj</w:t>
      </w:r>
      <w:r w:rsidR="00F2690E">
        <w:t>ů</w:t>
      </w:r>
      <w:r w:rsidR="002746A5">
        <w:t xml:space="preserve"> komukoli volně dostupná na internetu</w:t>
      </w:r>
      <w:r>
        <w:t xml:space="preserve">. </w:t>
      </w:r>
    </w:p>
    <w:p w14:paraId="6D3BD6CF" w14:textId="0B301302" w:rsidR="00894861" w:rsidRPr="00FE1CE5" w:rsidRDefault="00894861" w:rsidP="00894861">
      <w:pPr>
        <w:pStyle w:val="Nadpis4"/>
        <w:rPr>
          <w:lang w:bidi="en-US"/>
        </w:rPr>
      </w:pPr>
      <w:r>
        <w:rPr>
          <w:lang w:bidi="en-US"/>
        </w:rPr>
        <w:t>GDPR</w:t>
      </w:r>
    </w:p>
    <w:p w14:paraId="59DD6784" w14:textId="7E6C9282" w:rsidR="00606CEE" w:rsidRDefault="00606CEE" w:rsidP="00606CEE">
      <w:r>
        <w:t xml:space="preserve">Vedle přímo transponovaných pravidel 6. AML směrnice je v rámci návrhu třeba zohledňovat úpravu přímo použitelného </w:t>
      </w:r>
      <w:r w:rsidR="00F2690E">
        <w:t>n</w:t>
      </w:r>
      <w:r w:rsidRPr="00606CEE">
        <w:t>ařízení Evropského parlamentu a Rady (EU) 2016/679 ze dne 27.</w:t>
      </w:r>
      <w:r w:rsidR="00970527">
        <w:t> </w:t>
      </w:r>
      <w:r w:rsidRPr="00606CEE">
        <w:t>dubna 2016 o ochraně fyzických osob v souvislosti se zpracováním osobních údajů a</w:t>
      </w:r>
      <w:r w:rsidR="00970527">
        <w:t> </w:t>
      </w:r>
      <w:r w:rsidRPr="00606CEE">
        <w:t>o</w:t>
      </w:r>
      <w:r w:rsidR="00970527">
        <w:t> </w:t>
      </w:r>
      <w:r w:rsidRPr="00606CEE">
        <w:t>volném pohybu těchto údajů a o zrušení směrnice 95/46/ES (Obecné na</w:t>
      </w:r>
      <w:r w:rsidR="00F2690E">
        <w:t>řízení o ochraně osobních údajů</w:t>
      </w:r>
      <w:r>
        <w:t xml:space="preserve">, dále </w:t>
      </w:r>
      <w:r w:rsidR="00F2690E">
        <w:t xml:space="preserve">jen </w:t>
      </w:r>
      <w:r>
        <w:t>„GDPR“</w:t>
      </w:r>
      <w:r w:rsidR="00F2690E">
        <w:t>)</w:t>
      </w:r>
      <w:r w:rsidRPr="00606CEE">
        <w:t>.</w:t>
      </w:r>
      <w:r>
        <w:t xml:space="preserve"> </w:t>
      </w:r>
    </w:p>
    <w:p w14:paraId="646F6B12" w14:textId="3A9B0B39" w:rsidR="00606CEE" w:rsidRDefault="00606CEE" w:rsidP="00606CEE">
      <w:r>
        <w:t>Na GDPR v řadě ustanovení 6. AML směrnice přímo odkazuje. Ochrana soukromí a osobních údajů skutečných majitelů jsou ostatně důvody změny koncepce veřejnosti re</w:t>
      </w:r>
      <w:r w:rsidR="00F2690E">
        <w:t>gistrů skutečných majitelů v</w:t>
      </w:r>
      <w:r>
        <w:t xml:space="preserve"> 6. AML směrnici. </w:t>
      </w:r>
      <w:r w:rsidR="00710E22">
        <w:t>V</w:t>
      </w:r>
      <w:r>
        <w:t> souladu s principy a pravidly GDPR bude třeba nově vést záznamy o osobách, které k údajů</w:t>
      </w:r>
      <w:r w:rsidR="00970527">
        <w:t>m</w:t>
      </w:r>
      <w:r>
        <w:t xml:space="preserve"> o sk</w:t>
      </w:r>
      <w:r w:rsidR="00710E22">
        <w:t>utečných majitelích přistupují a umožnit subjektům údajů (skutečných majitelům) na žádost zjistit informace o těch</w:t>
      </w:r>
      <w:r w:rsidR="00F2690E">
        <w:t>to přistupujících osobách (č</w:t>
      </w:r>
      <w:r w:rsidR="00710E22">
        <w:t xml:space="preserve">l. 12 </w:t>
      </w:r>
      <w:r w:rsidR="00564DB9">
        <w:t xml:space="preserve">odst. </w:t>
      </w:r>
      <w:r w:rsidR="00710E22">
        <w:t xml:space="preserve">4 </w:t>
      </w:r>
      <w:r w:rsidR="00F2690E">
        <w:t xml:space="preserve">AML </w:t>
      </w:r>
      <w:r w:rsidR="00710E22">
        <w:t xml:space="preserve">směrnice). Současně jsou však stanoveny výjimky za účelem ochrany některých skupin nahlížejících osob (např. novináři). </w:t>
      </w:r>
    </w:p>
    <w:p w14:paraId="3F4EF62D" w14:textId="6DB3EDD1" w:rsidR="00894861" w:rsidRDefault="00D07AFD" w:rsidP="00894861">
      <w:pPr>
        <w:pStyle w:val="Nadpis4"/>
        <w:rPr>
          <w:lang w:bidi="en-US"/>
        </w:rPr>
      </w:pPr>
      <w:r>
        <w:rPr>
          <w:lang w:bidi="en-US"/>
        </w:rPr>
        <w:t>Implementační akt</w:t>
      </w:r>
    </w:p>
    <w:p w14:paraId="1E55E85A" w14:textId="57DE7264" w:rsidR="00894861" w:rsidRDefault="003224D9" w:rsidP="00894861">
      <w:pPr>
        <w:rPr>
          <w:lang w:bidi="en-US"/>
        </w:rPr>
      </w:pPr>
      <w:r>
        <w:rPr>
          <w:lang w:bidi="en-US"/>
        </w:rPr>
        <w:t>Podle čl. 14 AML směrnice má Komise stanovit</w:t>
      </w:r>
      <w:r w:rsidRPr="003224D9">
        <w:rPr>
          <w:lang w:bidi="en-US"/>
        </w:rPr>
        <w:t xml:space="preserve"> prostřednictvím prováděcích aktů technické specifikace a postupy nezbytné pro zavedení přístupu na základě oprávněného zájmu ze strany </w:t>
      </w:r>
      <w:r>
        <w:rPr>
          <w:lang w:bidi="en-US"/>
        </w:rPr>
        <w:t xml:space="preserve">příslušných </w:t>
      </w:r>
      <w:r w:rsidRPr="003224D9">
        <w:rPr>
          <w:lang w:bidi="en-US"/>
        </w:rPr>
        <w:t xml:space="preserve">registrů </w:t>
      </w:r>
      <w:r>
        <w:rPr>
          <w:lang w:bidi="en-US"/>
        </w:rPr>
        <w:t>členských států. Měly by být upraveny tyto oblasti:</w:t>
      </w:r>
    </w:p>
    <w:p w14:paraId="6E80983A" w14:textId="7E82505C" w:rsidR="003224D9" w:rsidRDefault="003224D9" w:rsidP="003224D9">
      <w:pPr>
        <w:pStyle w:val="Odstavecseseznamem"/>
        <w:numPr>
          <w:ilvl w:val="0"/>
          <w:numId w:val="14"/>
        </w:numPr>
        <w:rPr>
          <w:lang w:bidi="en-US"/>
        </w:rPr>
      </w:pPr>
      <w:r>
        <w:rPr>
          <w:lang w:bidi="en-US"/>
        </w:rPr>
        <w:t>standardizované vzory pro žádosti o přístup k informacím o skutečných majitelích,</w:t>
      </w:r>
    </w:p>
    <w:p w14:paraId="554A97A5" w14:textId="284B7228" w:rsidR="003224D9" w:rsidRDefault="003224D9" w:rsidP="003224D9">
      <w:pPr>
        <w:pStyle w:val="Odstavecseseznamem"/>
        <w:numPr>
          <w:ilvl w:val="0"/>
          <w:numId w:val="14"/>
        </w:numPr>
        <w:rPr>
          <w:lang w:bidi="en-US"/>
        </w:rPr>
      </w:pPr>
      <w:r>
        <w:rPr>
          <w:lang w:bidi="en-US"/>
        </w:rPr>
        <w:t xml:space="preserve">standardizované vzory </w:t>
      </w:r>
      <w:bookmarkStart w:id="0" w:name="_Hlk210985381"/>
      <w:r>
        <w:rPr>
          <w:lang w:bidi="en-US"/>
        </w:rPr>
        <w:t>pro potvrzení nebo zamítnutí žádosti o přístup k informacím o</w:t>
      </w:r>
      <w:r w:rsidR="00970527">
        <w:rPr>
          <w:lang w:bidi="en-US"/>
        </w:rPr>
        <w:t> </w:t>
      </w:r>
      <w:r>
        <w:rPr>
          <w:lang w:bidi="en-US"/>
        </w:rPr>
        <w:t>skutečných majitelích</w:t>
      </w:r>
      <w:bookmarkEnd w:id="0"/>
      <w:r>
        <w:rPr>
          <w:lang w:bidi="en-US"/>
        </w:rPr>
        <w:t>,</w:t>
      </w:r>
    </w:p>
    <w:p w14:paraId="2F649926" w14:textId="3DA157CE" w:rsidR="003224D9" w:rsidRDefault="00F2690E" w:rsidP="003224D9">
      <w:pPr>
        <w:pStyle w:val="Odstavecseseznamem"/>
        <w:numPr>
          <w:ilvl w:val="0"/>
          <w:numId w:val="14"/>
        </w:numPr>
        <w:rPr>
          <w:lang w:bidi="en-US"/>
        </w:rPr>
      </w:pPr>
      <w:bookmarkStart w:id="1" w:name="_Hlk210995478"/>
      <w:r>
        <w:rPr>
          <w:lang w:bidi="en-US"/>
        </w:rPr>
        <w:t>postupy usnadňující</w:t>
      </w:r>
      <w:r w:rsidR="003224D9">
        <w:rPr>
          <w:lang w:bidi="en-US"/>
        </w:rPr>
        <w:t xml:space="preserve"> vzájemné uznávání oprávněného zájmu o přístup k informacím o</w:t>
      </w:r>
      <w:r w:rsidR="00970527">
        <w:rPr>
          <w:lang w:bidi="en-US"/>
        </w:rPr>
        <w:t> </w:t>
      </w:r>
      <w:r w:rsidR="003224D9">
        <w:rPr>
          <w:lang w:bidi="en-US"/>
        </w:rPr>
        <w:t>skutečných majitelích napříč registry v členských státech, včetně postupů pro zajištění bezpečného přenosu informací o žadateli,</w:t>
      </w:r>
      <w:bookmarkEnd w:id="1"/>
    </w:p>
    <w:p w14:paraId="7A03FF78" w14:textId="15756227" w:rsidR="003224D9" w:rsidRDefault="003224D9" w:rsidP="003224D9">
      <w:pPr>
        <w:pStyle w:val="Odstavecseseznamem"/>
        <w:numPr>
          <w:ilvl w:val="0"/>
          <w:numId w:val="14"/>
        </w:numPr>
        <w:rPr>
          <w:lang w:bidi="en-US"/>
        </w:rPr>
      </w:pPr>
      <w:bookmarkStart w:id="2" w:name="_Hlk211001339"/>
      <w:r>
        <w:rPr>
          <w:lang w:bidi="en-US"/>
        </w:rPr>
        <w:t>postupy pro registry za účelem vzájemného oznamování zrušení přístupu na základě oprávněného zájmu</w:t>
      </w:r>
      <w:bookmarkEnd w:id="2"/>
      <w:r>
        <w:rPr>
          <w:lang w:bidi="en-US"/>
        </w:rPr>
        <w:t xml:space="preserve">. </w:t>
      </w:r>
    </w:p>
    <w:p w14:paraId="711AECD1" w14:textId="68BE648D" w:rsidR="00894861" w:rsidRDefault="003224D9" w:rsidP="00606CEE">
      <w:pPr>
        <w:rPr>
          <w:lang w:bidi="en-US"/>
        </w:rPr>
      </w:pPr>
      <w:r>
        <w:rPr>
          <w:lang w:bidi="en-US"/>
        </w:rPr>
        <w:t>Dle předběžného sdělení Komise by všechny výše uvedené otázky měly být upraveny v jednom implementačním aktu</w:t>
      </w:r>
      <w:r w:rsidR="00F2690E">
        <w:rPr>
          <w:lang w:bidi="en-US"/>
        </w:rPr>
        <w:t>, který má být vydán až 10. července 2027 (čl. 78 AML směrnice)</w:t>
      </w:r>
      <w:r>
        <w:rPr>
          <w:lang w:bidi="en-US"/>
        </w:rPr>
        <w:t>,</w:t>
      </w:r>
      <w:r w:rsidR="00725F32">
        <w:rPr>
          <w:lang w:bidi="en-US"/>
        </w:rPr>
        <w:t xml:space="preserve"> takže předmětné oblasti budou po nějakou dobu nesjednocené, jelikož členské státy musí transponovat požadavky týkající se přístupu na základě oprávněného zájmu již 10. července </w:t>
      </w:r>
      <w:r w:rsidR="00725F32">
        <w:rPr>
          <w:lang w:bidi="en-US"/>
        </w:rPr>
        <w:lastRenderedPageBreak/>
        <w:t>2026. Podobu a obsah implementačního aktu začala Komise s členskými státy projednávat v říjnu 2025.</w:t>
      </w:r>
    </w:p>
    <w:p w14:paraId="372DF9D8" w14:textId="0575AC3B" w:rsidR="005A04B3" w:rsidRPr="00492DD8" w:rsidRDefault="008F6B09" w:rsidP="0011141E">
      <w:pPr>
        <w:pStyle w:val="Nadpis3"/>
        <w:numPr>
          <w:ilvl w:val="1"/>
          <w:numId w:val="3"/>
        </w:numPr>
        <w:ind w:left="851" w:hanging="792"/>
      </w:pPr>
      <w:r>
        <w:t>Související č</w:t>
      </w:r>
      <w:r w:rsidR="001676DB" w:rsidRPr="00492DD8">
        <w:t>eská</w:t>
      </w:r>
      <w:r w:rsidR="005A04B3" w:rsidRPr="00492DD8">
        <w:t xml:space="preserve"> právní úprava</w:t>
      </w:r>
    </w:p>
    <w:p w14:paraId="4F22EAC9" w14:textId="77777777" w:rsidR="008F6B09" w:rsidRPr="00177D1B" w:rsidRDefault="008F6B09" w:rsidP="008F6B09">
      <w:pPr>
        <w:pStyle w:val="Nadpis4"/>
        <w:ind w:left="59"/>
        <w:rPr>
          <w:b w:val="0"/>
        </w:rPr>
      </w:pPr>
      <w:r w:rsidRPr="00177D1B">
        <w:t xml:space="preserve">AML zákon </w:t>
      </w:r>
    </w:p>
    <w:p w14:paraId="42B57465" w14:textId="06EDBEC5" w:rsidR="008F6B09" w:rsidRDefault="008F6B09" w:rsidP="008F6B09">
      <w:r w:rsidRPr="001F044F">
        <w:t xml:space="preserve">AML zákon je </w:t>
      </w:r>
      <w:r w:rsidR="00C9514D">
        <w:t xml:space="preserve">v současnosti </w:t>
      </w:r>
      <w:r w:rsidRPr="001F044F">
        <w:t>hlavní</w:t>
      </w:r>
      <w:r w:rsidR="00F2690E">
        <w:t>m předpisem transponujícím</w:t>
      </w:r>
      <w:r w:rsidRPr="001F044F">
        <w:t xml:space="preserve"> </w:t>
      </w:r>
      <w:r w:rsidR="00F2690E">
        <w:t>unijní AML legislativu</w:t>
      </w:r>
      <w:r w:rsidRPr="001F044F">
        <w:t>.</w:t>
      </w:r>
      <w:r>
        <w:t xml:space="preserve"> </w:t>
      </w:r>
      <w:r w:rsidR="00661F33">
        <w:t>Z hlediska návrhu a obecně úpravy přístupu k údajům v evidenci skutečných majitelů AML zákon v § 2 stanovuje, kdo jsou tzv. povinné osoby, tj. subjekty, kterým je třeba zajistit plný, přímý a volný přístup k evidovaným údajům (čl. 11</w:t>
      </w:r>
      <w:r w:rsidR="00C0020D">
        <w:t xml:space="preserve"> AML</w:t>
      </w:r>
      <w:r w:rsidR="00661F33">
        <w:t xml:space="preserve"> směrnice).   </w:t>
      </w:r>
    </w:p>
    <w:p w14:paraId="2418EF41" w14:textId="02D96096" w:rsidR="00661F33" w:rsidRDefault="004C7D6F" w:rsidP="008F6B09">
      <w:r>
        <w:t xml:space="preserve">Návrh zákona tím, že zasáhne do </w:t>
      </w:r>
      <w:r w:rsidR="00661F33">
        <w:t xml:space="preserve">způsobu přístupu k údajům o skutečných majitelích, </w:t>
      </w:r>
      <w:r>
        <w:t>bude mít vliv i na postu</w:t>
      </w:r>
      <w:r w:rsidR="00D66A6D">
        <w:t>py dle AML zákona</w:t>
      </w:r>
      <w:r w:rsidR="00661F33">
        <w:t>, zejména na postupy kontroly klienta ze strany povinných osob</w:t>
      </w:r>
      <w:r w:rsidR="00D66A6D">
        <w:t xml:space="preserve">. </w:t>
      </w:r>
      <w:r w:rsidR="00661F33">
        <w:t xml:space="preserve">Ačkoli mají povinné osoby </w:t>
      </w:r>
      <w:r w:rsidR="00C0020D">
        <w:t>v současnosti</w:t>
      </w:r>
      <w:r w:rsidR="00661F33">
        <w:t>, stejně jako dle návrhu, privilegovaný přístup k údajů</w:t>
      </w:r>
      <w:r w:rsidR="00970527">
        <w:t>m</w:t>
      </w:r>
      <w:r w:rsidR="00661F33">
        <w:t xml:space="preserve"> v evidenci skutečných majitelů, často </w:t>
      </w:r>
      <w:r w:rsidR="00D24042">
        <w:t>v současnosti</w:t>
      </w:r>
      <w:r w:rsidR="00661F33">
        <w:t xml:space="preserve"> ke kontrole klienta postačuje vyjít pouze z veřejně dostupných údajů. </w:t>
      </w:r>
      <w:r w:rsidR="00D24042">
        <w:t>Jelikož však bude veřejný režim údajů zrušen, budou muset povinné osoby privilegovaný dálkový přístup využívat v zásadě vždy. S tím se pojí administrativ</w:t>
      </w:r>
      <w:r w:rsidR="00970527">
        <w:t>ní zátěž</w:t>
      </w:r>
      <w:r w:rsidR="00D24042">
        <w:t xml:space="preserve"> při zřizování, případně prodlužování dálkového přístupu.  </w:t>
      </w:r>
      <w:r w:rsidR="00661F33">
        <w:t xml:space="preserve"> </w:t>
      </w:r>
    </w:p>
    <w:p w14:paraId="423DADB3" w14:textId="77777777" w:rsidR="004C7D6F" w:rsidRPr="00177D1B" w:rsidRDefault="004C7D6F" w:rsidP="004C7D6F">
      <w:pPr>
        <w:pStyle w:val="Nadpis4"/>
        <w:rPr>
          <w:b w:val="0"/>
        </w:rPr>
      </w:pPr>
      <w:r w:rsidRPr="00177D1B">
        <w:t>Další zákony</w:t>
      </w:r>
    </w:p>
    <w:p w14:paraId="6C05BEFD" w14:textId="038B8495" w:rsidR="00CF7C26" w:rsidRDefault="00CF7C26" w:rsidP="00CF7C26">
      <w:r>
        <w:t xml:space="preserve">Některé další zákony využívají institut skutečného majitele, a to zejména při zjišťování potenciálního střetu zájmů. </w:t>
      </w:r>
    </w:p>
    <w:p w14:paraId="761C41F0" w14:textId="6AD0959D" w:rsidR="00CF7C26" w:rsidRPr="00CF7C26" w:rsidRDefault="00CF7C26" w:rsidP="00CF7C26">
      <w:r>
        <w:t>Podle § 122 z</w:t>
      </w:r>
      <w:r w:rsidRPr="00CF7C26">
        <w:t>ákon</w:t>
      </w:r>
      <w:r>
        <w:t>a</w:t>
      </w:r>
      <w:r w:rsidRPr="00CF7C26">
        <w:t xml:space="preserve"> č. 134/2016 Sb., o zadávání veřejných zakázek, ve znění pozdějších předpisů</w:t>
      </w:r>
      <w:r w:rsidR="00DC0310">
        <w:t xml:space="preserve"> (dále </w:t>
      </w:r>
      <w:r w:rsidR="00C0020D">
        <w:t xml:space="preserve">jen </w:t>
      </w:r>
      <w:r w:rsidR="00DC0310">
        <w:t>„zákon o zadávání veřejných zakázek“)</w:t>
      </w:r>
      <w:r>
        <w:t>, je z</w:t>
      </w:r>
      <w:r w:rsidRPr="00CF7C26">
        <w:rPr>
          <w:szCs w:val="24"/>
        </w:rPr>
        <w:t>adavatel povinen zjistit údaje o</w:t>
      </w:r>
      <w:r w:rsidR="00970527">
        <w:rPr>
          <w:szCs w:val="24"/>
        </w:rPr>
        <w:t> </w:t>
      </w:r>
      <w:r w:rsidRPr="00CF7C26">
        <w:rPr>
          <w:szCs w:val="24"/>
        </w:rPr>
        <w:t xml:space="preserve">skutečném majiteli vybraného dodavatele, je-li českou právnickou osobou (s výjimkou právnických osob, které skutečného majitele nemají), přímo z evidence skutečných majitelů. Zadavatelé mají zajištěn dálkový přístup ke všem údajům v evidenci skutečných majitelů. Údaje </w:t>
      </w:r>
      <w:r w:rsidR="00C0020D">
        <w:rPr>
          <w:szCs w:val="24"/>
        </w:rPr>
        <w:t xml:space="preserve">o skutečných majitelích </w:t>
      </w:r>
      <w:r w:rsidRPr="00CF7C26">
        <w:rPr>
          <w:szCs w:val="24"/>
        </w:rPr>
        <w:t>zjištěné z evidence je zadavatel povinen uvést v dokumentaci o</w:t>
      </w:r>
      <w:r w:rsidR="00970527">
        <w:rPr>
          <w:szCs w:val="24"/>
        </w:rPr>
        <w:t> </w:t>
      </w:r>
      <w:r w:rsidRPr="00CF7C26">
        <w:rPr>
          <w:szCs w:val="24"/>
        </w:rPr>
        <w:t>veřejné zakázce. Pokud dodavatel nesplnil svou evidenční povinnost vůči evidenci, má zadavatel povinnost vybraného dodavatele, který je českou právnickou osobou, ze za</w:t>
      </w:r>
      <w:r w:rsidR="00D24042">
        <w:rPr>
          <w:szCs w:val="24"/>
        </w:rPr>
        <w:t xml:space="preserve">dávacího řízení vyloučit. </w:t>
      </w:r>
    </w:p>
    <w:p w14:paraId="3DE5490D" w14:textId="1CE9B788" w:rsidR="00CF7C26" w:rsidRDefault="00CF7C26" w:rsidP="007A422C">
      <w:r w:rsidRPr="00CF7C26">
        <w:t xml:space="preserve">Zjišťování skutečného majitele probíhá u některých příjemců dotací ze strany poskytovatelů. Nezbytnou součástí žádosti o poskytnutí dotace je výpis z evidence skutečných majitelů [§ 14 odst. 3 písm. e) </w:t>
      </w:r>
      <w:r w:rsidR="00564DB9">
        <w:t xml:space="preserve">odst. </w:t>
      </w:r>
      <w:r w:rsidRPr="00CF7C26">
        <w:t xml:space="preserve">2. zákona </w:t>
      </w:r>
      <w:r w:rsidR="00C0020D">
        <w:t xml:space="preserve">č. </w:t>
      </w:r>
      <w:r w:rsidRPr="00CF7C26">
        <w:t>218/2000 Sb.</w:t>
      </w:r>
      <w:r w:rsidR="00C0020D">
        <w:t xml:space="preserve">, </w:t>
      </w:r>
      <w:r w:rsidR="00C0020D" w:rsidRPr="00DD2486">
        <w:t>o rozpočtových pravidlech a o změně některých souvisejících zákonů (rozpočtová pravidla)</w:t>
      </w:r>
      <w:r w:rsidR="00C0020D">
        <w:t>, ve znění pozdějších předpisů,</w:t>
      </w:r>
      <w:r w:rsidRPr="00CF7C26">
        <w:t xml:space="preserve"> a § 10a odst. 3 písm. f) </w:t>
      </w:r>
      <w:r w:rsidR="00564DB9">
        <w:t xml:space="preserve">odst. </w:t>
      </w:r>
      <w:r w:rsidR="00C0020D">
        <w:t>2. zákona č. 250/2000 Sb</w:t>
      </w:r>
      <w:r w:rsidR="00C0020D" w:rsidRPr="00CF7C26">
        <w:t>.</w:t>
      </w:r>
      <w:r w:rsidR="00C0020D">
        <w:t xml:space="preserve">, </w:t>
      </w:r>
      <w:r w:rsidR="00C0020D" w:rsidRPr="00DD2486">
        <w:t>o rozpočtových pravidlech územních rozpočtů</w:t>
      </w:r>
      <w:r w:rsidR="00C0020D">
        <w:t>, ve znění pozdějších předpisů</w:t>
      </w:r>
      <w:r w:rsidRPr="00CF7C26">
        <w:t>]. Nepředložení údajů o skutečném majiteli znemožňuje poskytnout dotaci.</w:t>
      </w:r>
    </w:p>
    <w:p w14:paraId="299855FC" w14:textId="5E011D4F" w:rsidR="00D24042" w:rsidRPr="00CF7C26" w:rsidRDefault="00D24042" w:rsidP="00CF7C26">
      <w:r>
        <w:rPr>
          <w:szCs w:val="24"/>
        </w:rPr>
        <w:t xml:space="preserve">Podobně jako v případě povinných osob dle AML zákona přináší návrh </w:t>
      </w:r>
      <w:r w:rsidR="00C0020D">
        <w:rPr>
          <w:szCs w:val="24"/>
        </w:rPr>
        <w:t>drobné zvýšení administrativní náročnosti</w:t>
      </w:r>
      <w:r>
        <w:rPr>
          <w:szCs w:val="24"/>
        </w:rPr>
        <w:t xml:space="preserve"> na straně zadavatelů veřejných zakázek a poskytovatelů některých dotací. Nově totiž nebudou moci využít veřejně dostupné informace, ale budou si muset zřídit dálkový přístup.</w:t>
      </w:r>
    </w:p>
    <w:p w14:paraId="6F4ACD52" w14:textId="07BA6E6D" w:rsidR="00CF7C26" w:rsidRPr="00CF7C26" w:rsidRDefault="00D24042" w:rsidP="00CF7C26">
      <w:pPr>
        <w:rPr>
          <w:szCs w:val="24"/>
        </w:rPr>
      </w:pPr>
      <w:r>
        <w:rPr>
          <w:szCs w:val="24"/>
        </w:rPr>
        <w:lastRenderedPageBreak/>
        <w:t xml:space="preserve">Byť </w:t>
      </w:r>
      <w:r w:rsidR="00C0020D">
        <w:rPr>
          <w:szCs w:val="24"/>
        </w:rPr>
        <w:t>návrh</w:t>
      </w:r>
      <w:r>
        <w:rPr>
          <w:szCs w:val="24"/>
        </w:rPr>
        <w:t xml:space="preserve"> má praktické </w:t>
      </w:r>
      <w:r w:rsidR="00C0020D">
        <w:rPr>
          <w:szCs w:val="24"/>
        </w:rPr>
        <w:t>dopady</w:t>
      </w:r>
      <w:r>
        <w:rPr>
          <w:szCs w:val="24"/>
        </w:rPr>
        <w:t xml:space="preserve"> na praxi řady subjektů, </w:t>
      </w:r>
      <w:r w:rsidR="003B0C4B">
        <w:rPr>
          <w:szCs w:val="24"/>
        </w:rPr>
        <w:t>nevyvo</w:t>
      </w:r>
      <w:r w:rsidR="00A85EC5">
        <w:rPr>
          <w:szCs w:val="24"/>
        </w:rPr>
        <w:t>lá potřebu úpravy jiných zákonů</w:t>
      </w:r>
      <w:r>
        <w:rPr>
          <w:szCs w:val="24"/>
        </w:rPr>
        <w:t>, které předpokládají přístup k údajům v evidenci skutečných majitelů</w:t>
      </w:r>
      <w:r w:rsidR="003B0C4B">
        <w:rPr>
          <w:szCs w:val="24"/>
        </w:rPr>
        <w:t>.</w:t>
      </w:r>
    </w:p>
    <w:p w14:paraId="3F2299AB" w14:textId="32BB531F" w:rsidR="005A04B3" w:rsidRPr="00BC5B6D" w:rsidRDefault="005A04B3" w:rsidP="00970D39">
      <w:pPr>
        <w:pStyle w:val="Nadpis4"/>
      </w:pPr>
      <w:r w:rsidRPr="00BC5B6D">
        <w:t>Podzákonné předpisy</w:t>
      </w:r>
    </w:p>
    <w:p w14:paraId="2C47AD65" w14:textId="5166D8CF" w:rsidR="008F6B09" w:rsidRDefault="008F6B09" w:rsidP="00970D39">
      <w:pPr>
        <w:rPr>
          <w:szCs w:val="24"/>
        </w:rPr>
      </w:pPr>
      <w:r>
        <w:rPr>
          <w:szCs w:val="24"/>
        </w:rPr>
        <w:t>N</w:t>
      </w:r>
      <w:r w:rsidR="00BC5B6D">
        <w:rPr>
          <w:szCs w:val="24"/>
        </w:rPr>
        <w:t xml:space="preserve">áležitosti formulářů </w:t>
      </w:r>
      <w:r>
        <w:rPr>
          <w:szCs w:val="24"/>
        </w:rPr>
        <w:t>využívaných v rámci fungování evidence skutečných majitelů jsou upraveny ve vyhlášce č. 180/2021 Sb.,</w:t>
      </w:r>
      <w:r w:rsidRPr="008F6B09">
        <w:rPr>
          <w:szCs w:val="24"/>
        </w:rPr>
        <w:t xml:space="preserve"> o náležitostech formulářů k evidenci skutečných majitelů a o změně souvisejících vyhlášek</w:t>
      </w:r>
      <w:r>
        <w:rPr>
          <w:szCs w:val="24"/>
        </w:rPr>
        <w:t>.</w:t>
      </w:r>
      <w:r w:rsidR="003B0C4B">
        <w:rPr>
          <w:szCs w:val="24"/>
        </w:rPr>
        <w:t xml:space="preserve"> </w:t>
      </w:r>
    </w:p>
    <w:p w14:paraId="322B3A7E" w14:textId="00100174" w:rsidR="004C7D6F" w:rsidRDefault="00C316F2" w:rsidP="00970D39">
      <w:pPr>
        <w:rPr>
          <w:szCs w:val="24"/>
        </w:rPr>
      </w:pPr>
      <w:r>
        <w:rPr>
          <w:szCs w:val="24"/>
        </w:rPr>
        <w:t>V důsledku n</w:t>
      </w:r>
      <w:r w:rsidR="004C7D6F">
        <w:rPr>
          <w:szCs w:val="24"/>
        </w:rPr>
        <w:t>ávrh</w:t>
      </w:r>
      <w:r w:rsidR="00C0020D">
        <w:rPr>
          <w:szCs w:val="24"/>
        </w:rPr>
        <w:t>u</w:t>
      </w:r>
      <w:r w:rsidR="004C7D6F">
        <w:rPr>
          <w:szCs w:val="24"/>
        </w:rPr>
        <w:t xml:space="preserve"> zákona </w:t>
      </w:r>
      <w:r>
        <w:rPr>
          <w:szCs w:val="24"/>
        </w:rPr>
        <w:t>pak bude třeba zmíněný prováděcí předpis doplnit, jelikož návrh počítá s novým typem formuláře a současně upravuje některé náležitosti těch stávajících</w:t>
      </w:r>
      <w:r w:rsidR="004C7D6F">
        <w:rPr>
          <w:szCs w:val="24"/>
        </w:rPr>
        <w:t>.</w:t>
      </w:r>
    </w:p>
    <w:p w14:paraId="74FC42E9" w14:textId="1BA46741" w:rsidR="005A04B3" w:rsidRPr="00492DD8" w:rsidRDefault="005A04B3" w:rsidP="0011141E">
      <w:pPr>
        <w:pStyle w:val="Nadpis3"/>
        <w:numPr>
          <w:ilvl w:val="1"/>
          <w:numId w:val="3"/>
        </w:numPr>
        <w:ind w:left="851" w:hanging="851"/>
        <w:rPr>
          <w:lang w:bidi="en-US"/>
        </w:rPr>
      </w:pPr>
      <w:r w:rsidRPr="00492DD8">
        <w:rPr>
          <w:lang w:bidi="en-US"/>
        </w:rPr>
        <w:t>Zhodnocení platného právního stavu ve vztahu k zákazu diskriminace a ve vztahu k rovnosti mužů a žen</w:t>
      </w:r>
    </w:p>
    <w:p w14:paraId="39F401CB" w14:textId="6755AA30" w:rsidR="00174B08" w:rsidRPr="00A46072" w:rsidRDefault="005A04B3" w:rsidP="005A04B3">
      <w:pPr>
        <w:rPr>
          <w:szCs w:val="24"/>
        </w:rPr>
      </w:pPr>
      <w:r w:rsidRPr="00492DD8">
        <w:rPr>
          <w:szCs w:val="24"/>
        </w:rPr>
        <w:t>Stávající právní úprava není v rozporu se zákazem diskriminace, ani nemá dopad na rovnost mužů a žen.</w:t>
      </w:r>
    </w:p>
    <w:p w14:paraId="6CA82FC0" w14:textId="4E2D745C" w:rsidR="00DE7F62" w:rsidRPr="00492DD8" w:rsidRDefault="00DE7F62" w:rsidP="002E35C1">
      <w:pPr>
        <w:pStyle w:val="Nadpis2"/>
        <w:rPr>
          <w:lang w:bidi="en-US"/>
        </w:rPr>
      </w:pPr>
      <w:r w:rsidRPr="00492DD8">
        <w:rPr>
          <w:lang w:bidi="en-US"/>
        </w:rPr>
        <w:t>Odůvodnění hlavních pr</w:t>
      </w:r>
      <w:r w:rsidR="005864E5">
        <w:rPr>
          <w:lang w:bidi="en-US"/>
        </w:rPr>
        <w:t>incipů návrhu</w:t>
      </w:r>
    </w:p>
    <w:p w14:paraId="2DA473FA" w14:textId="5CA92B14" w:rsidR="00A849A6" w:rsidRDefault="00C0020D" w:rsidP="00A849A6">
      <w:pPr>
        <w:rPr>
          <w:lang w:bidi="en-US"/>
        </w:rPr>
      </w:pPr>
      <w:r>
        <w:rPr>
          <w:lang w:bidi="en-US"/>
        </w:rPr>
        <w:t>Stávající právní úprava</w:t>
      </w:r>
      <w:r w:rsidR="00A849A6" w:rsidRPr="00716555">
        <w:rPr>
          <w:lang w:bidi="en-US"/>
        </w:rPr>
        <w:t xml:space="preserve"> zákona o ESM je založena na veřejnosti alespoň části evidovaných údajů o skutečných majitelích právnických osob. Tento režim je však s ohledem na nové požadavky 6. AML směrnice </w:t>
      </w:r>
      <w:r w:rsidR="00A849A6">
        <w:rPr>
          <w:lang w:bidi="en-US"/>
        </w:rPr>
        <w:t xml:space="preserve">a potřebu vyšší ochrany soukromí skutečných majitelů </w:t>
      </w:r>
      <w:r w:rsidR="00A849A6" w:rsidRPr="00716555">
        <w:rPr>
          <w:lang w:bidi="en-US"/>
        </w:rPr>
        <w:t>třeba opustit a přístup veřejnosti umožnit pouze na základě prokázání tzv. oprávněného zájmu</w:t>
      </w:r>
      <w:r w:rsidR="00A849A6">
        <w:rPr>
          <w:lang w:bidi="en-US"/>
        </w:rPr>
        <w:t xml:space="preserve">. </w:t>
      </w:r>
    </w:p>
    <w:p w14:paraId="566DB45E" w14:textId="4C29C7F2" w:rsidR="00A849A6" w:rsidRDefault="00A849A6" w:rsidP="00A849A6">
      <w:pPr>
        <w:rPr>
          <w:lang w:bidi="en-US"/>
        </w:rPr>
      </w:pPr>
      <w:r>
        <w:rPr>
          <w:lang w:bidi="en-US"/>
        </w:rPr>
        <w:t xml:space="preserve">Principy navrhované právní úpravy do značné míry následují hlavní východiska transponované 6. </w:t>
      </w:r>
      <w:r w:rsidR="00C0020D">
        <w:rPr>
          <w:lang w:bidi="en-US"/>
        </w:rPr>
        <w:t>AML</w:t>
      </w:r>
      <w:r>
        <w:rPr>
          <w:lang w:bidi="en-US"/>
        </w:rPr>
        <w:t xml:space="preserve"> směrnice. </w:t>
      </w:r>
      <w:r w:rsidR="007A422C">
        <w:rPr>
          <w:lang w:bidi="en-US"/>
        </w:rPr>
        <w:t>Těmi jsou ve vztahu k přístupnosti údajů o skutečných majitelích zejména:</w:t>
      </w:r>
    </w:p>
    <w:p w14:paraId="77C99738" w14:textId="0DE0D3BE" w:rsidR="007A422C" w:rsidRDefault="007A422C" w:rsidP="0011141E">
      <w:pPr>
        <w:pStyle w:val="Odstavecseseznamem"/>
        <w:numPr>
          <w:ilvl w:val="0"/>
          <w:numId w:val="6"/>
        </w:numPr>
        <w:rPr>
          <w:lang w:bidi="en-US"/>
        </w:rPr>
      </w:pPr>
      <w:r>
        <w:rPr>
          <w:lang w:bidi="en-US"/>
        </w:rPr>
        <w:t>B</w:t>
      </w:r>
      <w:r w:rsidRPr="007A422C">
        <w:rPr>
          <w:lang w:bidi="en-US"/>
        </w:rPr>
        <w:t>ezprostřední, plný, přímý a volný přístup k informacím o skutečných majitelích</w:t>
      </w:r>
      <w:r>
        <w:rPr>
          <w:lang w:bidi="en-US"/>
        </w:rPr>
        <w:t xml:space="preserve"> pro orgány příslušné k boji s praním špinavých peněz a financováním terorismu, jakož i pro povinné osoby (viz </w:t>
      </w:r>
      <w:r w:rsidR="00883B54">
        <w:rPr>
          <w:lang w:bidi="en-US"/>
        </w:rPr>
        <w:t>36. až 39. recitál</w:t>
      </w:r>
      <w:r>
        <w:rPr>
          <w:lang w:bidi="en-US"/>
        </w:rPr>
        <w:t xml:space="preserve"> </w:t>
      </w:r>
      <w:r w:rsidR="00C0020D">
        <w:rPr>
          <w:lang w:bidi="en-US"/>
        </w:rPr>
        <w:t xml:space="preserve">AML </w:t>
      </w:r>
      <w:r>
        <w:rPr>
          <w:lang w:bidi="en-US"/>
        </w:rPr>
        <w:t>směrnice).</w:t>
      </w:r>
    </w:p>
    <w:p w14:paraId="4FA63464" w14:textId="10E01BDD" w:rsidR="007A422C" w:rsidRDefault="007A422C" w:rsidP="0011141E">
      <w:pPr>
        <w:pStyle w:val="Odstavecseseznamem"/>
        <w:numPr>
          <w:ilvl w:val="0"/>
          <w:numId w:val="6"/>
        </w:numPr>
        <w:rPr>
          <w:lang w:bidi="en-US"/>
        </w:rPr>
      </w:pPr>
      <w:r>
        <w:rPr>
          <w:lang w:bidi="en-US"/>
        </w:rPr>
        <w:t>Omezení zásahů</w:t>
      </w:r>
      <w:r w:rsidRPr="007A422C">
        <w:rPr>
          <w:lang w:bidi="en-US"/>
        </w:rPr>
        <w:t xml:space="preserve"> do práva na respektování soukromého života a na ochranu osobních údajů</w:t>
      </w:r>
      <w:r w:rsidR="002422E1">
        <w:rPr>
          <w:lang w:bidi="en-US"/>
        </w:rPr>
        <w:t xml:space="preserve"> (viz </w:t>
      </w:r>
      <w:r w:rsidR="00883B54">
        <w:rPr>
          <w:lang w:bidi="en-US"/>
        </w:rPr>
        <w:t xml:space="preserve">40. a 56. </w:t>
      </w:r>
      <w:r w:rsidR="002422E1">
        <w:rPr>
          <w:lang w:bidi="en-US"/>
        </w:rPr>
        <w:t xml:space="preserve">recitál </w:t>
      </w:r>
      <w:r w:rsidR="00C0020D">
        <w:rPr>
          <w:lang w:bidi="en-US"/>
        </w:rPr>
        <w:t xml:space="preserve">AML </w:t>
      </w:r>
      <w:r w:rsidR="002422E1">
        <w:rPr>
          <w:lang w:bidi="en-US"/>
        </w:rPr>
        <w:t>směrnice)</w:t>
      </w:r>
      <w:r w:rsidR="00CF5A4E">
        <w:rPr>
          <w:lang w:bidi="en-US"/>
        </w:rPr>
        <w:t xml:space="preserve"> a ochrana skutečných majitelů v rizikových situacích (viz </w:t>
      </w:r>
      <w:r w:rsidR="00883B54">
        <w:rPr>
          <w:lang w:bidi="en-US"/>
        </w:rPr>
        <w:t>52. recitál</w:t>
      </w:r>
      <w:r w:rsidR="00CF5A4E">
        <w:rPr>
          <w:lang w:bidi="en-US"/>
        </w:rPr>
        <w:t xml:space="preserve"> </w:t>
      </w:r>
      <w:r w:rsidR="00C0020D">
        <w:rPr>
          <w:lang w:bidi="en-US"/>
        </w:rPr>
        <w:t xml:space="preserve">AML </w:t>
      </w:r>
      <w:r w:rsidR="00CF5A4E">
        <w:rPr>
          <w:lang w:bidi="en-US"/>
        </w:rPr>
        <w:t>směrnice)</w:t>
      </w:r>
      <w:r>
        <w:rPr>
          <w:lang w:bidi="en-US"/>
        </w:rPr>
        <w:t>.</w:t>
      </w:r>
    </w:p>
    <w:p w14:paraId="3A0F6B41" w14:textId="7105B8DF" w:rsidR="002422E1" w:rsidRDefault="002422E1" w:rsidP="0011141E">
      <w:pPr>
        <w:pStyle w:val="Odstavecseseznamem"/>
        <w:numPr>
          <w:ilvl w:val="0"/>
          <w:numId w:val="6"/>
        </w:numPr>
        <w:rPr>
          <w:lang w:bidi="en-US"/>
        </w:rPr>
      </w:pPr>
      <w:r>
        <w:rPr>
          <w:lang w:bidi="en-US"/>
        </w:rPr>
        <w:t>Zohlednění pozice ne</w:t>
      </w:r>
      <w:r w:rsidRPr="002422E1">
        <w:rPr>
          <w:lang w:bidi="en-US"/>
        </w:rPr>
        <w:t>vládníc</w:t>
      </w:r>
      <w:r>
        <w:rPr>
          <w:lang w:bidi="en-US"/>
        </w:rPr>
        <w:t>h organizací, akademické obce a</w:t>
      </w:r>
      <w:r w:rsidRPr="002422E1">
        <w:rPr>
          <w:lang w:bidi="en-US"/>
        </w:rPr>
        <w:t xml:space="preserve"> </w:t>
      </w:r>
      <w:r>
        <w:rPr>
          <w:lang w:bidi="en-US"/>
        </w:rPr>
        <w:t>novinářů, kteří</w:t>
      </w:r>
      <w:r w:rsidRPr="002422E1">
        <w:rPr>
          <w:lang w:bidi="en-US"/>
        </w:rPr>
        <w:t xml:space="preserve"> </w:t>
      </w:r>
      <w:r>
        <w:rPr>
          <w:lang w:bidi="en-US"/>
        </w:rPr>
        <w:t>svou činností napomáhají</w:t>
      </w:r>
      <w:r w:rsidRPr="002422E1">
        <w:rPr>
          <w:lang w:bidi="en-US"/>
        </w:rPr>
        <w:t xml:space="preserve"> v oblasti boje proti praní peněz, souvisejícím predikativním trestným činům a financování terorismu</w:t>
      </w:r>
      <w:r>
        <w:rPr>
          <w:lang w:bidi="en-US"/>
        </w:rPr>
        <w:t xml:space="preserve"> (viz </w:t>
      </w:r>
      <w:r w:rsidR="00883B54">
        <w:rPr>
          <w:lang w:bidi="en-US"/>
        </w:rPr>
        <w:t>40. a 41. recitál</w:t>
      </w:r>
      <w:r>
        <w:rPr>
          <w:lang w:bidi="en-US"/>
        </w:rPr>
        <w:t xml:space="preserve"> </w:t>
      </w:r>
      <w:r w:rsidR="00C0020D">
        <w:rPr>
          <w:lang w:bidi="en-US"/>
        </w:rPr>
        <w:t xml:space="preserve">AML </w:t>
      </w:r>
      <w:r>
        <w:rPr>
          <w:lang w:bidi="en-US"/>
        </w:rPr>
        <w:t>směrnice)</w:t>
      </w:r>
      <w:r w:rsidRPr="002422E1">
        <w:rPr>
          <w:lang w:bidi="en-US"/>
        </w:rPr>
        <w:t>.</w:t>
      </w:r>
    </w:p>
    <w:p w14:paraId="1B88C16D" w14:textId="7D515300" w:rsidR="00143A1B" w:rsidRDefault="00143A1B" w:rsidP="0011141E">
      <w:pPr>
        <w:pStyle w:val="Odstavecseseznamem"/>
        <w:numPr>
          <w:ilvl w:val="0"/>
          <w:numId w:val="6"/>
        </w:numPr>
        <w:rPr>
          <w:lang w:bidi="en-US"/>
        </w:rPr>
      </w:pPr>
      <w:r>
        <w:rPr>
          <w:lang w:bidi="en-US"/>
        </w:rPr>
        <w:t>Zohlednění pozice ne</w:t>
      </w:r>
      <w:r w:rsidRPr="002422E1">
        <w:rPr>
          <w:lang w:bidi="en-US"/>
        </w:rPr>
        <w:t>vládníc</w:t>
      </w:r>
      <w:r>
        <w:rPr>
          <w:lang w:bidi="en-US"/>
        </w:rPr>
        <w:t>h organizací, akademické obce a</w:t>
      </w:r>
      <w:r w:rsidRPr="002422E1">
        <w:rPr>
          <w:lang w:bidi="en-US"/>
        </w:rPr>
        <w:t xml:space="preserve"> </w:t>
      </w:r>
      <w:r>
        <w:rPr>
          <w:lang w:bidi="en-US"/>
        </w:rPr>
        <w:t>novinářů, kteří</w:t>
      </w:r>
      <w:r w:rsidRPr="002422E1">
        <w:rPr>
          <w:lang w:bidi="en-US"/>
        </w:rPr>
        <w:t xml:space="preserve"> </w:t>
      </w:r>
      <w:r>
        <w:rPr>
          <w:lang w:bidi="en-US"/>
        </w:rPr>
        <w:t>svou činností napomáhají</w:t>
      </w:r>
      <w:r w:rsidRPr="002422E1">
        <w:rPr>
          <w:lang w:bidi="en-US"/>
        </w:rPr>
        <w:t xml:space="preserve"> v</w:t>
      </w:r>
      <w:r w:rsidR="003B68D1">
        <w:rPr>
          <w:lang w:bidi="en-US"/>
        </w:rPr>
        <w:t> dalších oblastech veřejné kontroly. V tomto ohledu jde o</w:t>
      </w:r>
      <w:r w:rsidR="00970527">
        <w:rPr>
          <w:lang w:bidi="en-US"/>
        </w:rPr>
        <w:t> </w:t>
      </w:r>
      <w:r w:rsidR="003B68D1">
        <w:rPr>
          <w:lang w:bidi="en-US"/>
        </w:rPr>
        <w:t>netranspoziční, čistě národní úpravu.</w:t>
      </w:r>
    </w:p>
    <w:p w14:paraId="0CEE53A1" w14:textId="65BFB56F" w:rsidR="00CF5A4E" w:rsidRDefault="002422E1" w:rsidP="0011141E">
      <w:pPr>
        <w:pStyle w:val="Odstavecseseznamem"/>
        <w:numPr>
          <w:ilvl w:val="0"/>
          <w:numId w:val="6"/>
        </w:numPr>
        <w:rPr>
          <w:lang w:bidi="en-US"/>
        </w:rPr>
      </w:pPr>
      <w:r>
        <w:rPr>
          <w:lang w:bidi="en-US"/>
        </w:rPr>
        <w:t xml:space="preserve">Předvídatelnost a formalizace posuzování oprávněného zájmu </w:t>
      </w:r>
      <w:r>
        <w:t>o přístup k údajům o</w:t>
      </w:r>
      <w:r w:rsidR="00970527">
        <w:t> </w:t>
      </w:r>
      <w:r>
        <w:t xml:space="preserve">skutečném majiteli (viz </w:t>
      </w:r>
      <w:r w:rsidR="00883B54">
        <w:t>42. až 51. recitál</w:t>
      </w:r>
      <w:r>
        <w:t xml:space="preserve"> </w:t>
      </w:r>
      <w:r w:rsidR="00C0020D">
        <w:rPr>
          <w:lang w:bidi="en-US"/>
        </w:rPr>
        <w:t xml:space="preserve">AML </w:t>
      </w:r>
      <w:r>
        <w:t>směrnice</w:t>
      </w:r>
      <w:r w:rsidR="00CF5A4E">
        <w:rPr>
          <w:lang w:bidi="en-US"/>
        </w:rPr>
        <w:t>).</w:t>
      </w:r>
    </w:p>
    <w:p w14:paraId="7E86B65F" w14:textId="1EB66243" w:rsidR="00CF5A4E" w:rsidRDefault="00CF5A4E" w:rsidP="0011141E">
      <w:pPr>
        <w:pStyle w:val="Odstavecseseznamem"/>
        <w:numPr>
          <w:ilvl w:val="0"/>
          <w:numId w:val="6"/>
        </w:numPr>
        <w:rPr>
          <w:lang w:bidi="en-US"/>
        </w:rPr>
      </w:pPr>
      <w:r>
        <w:rPr>
          <w:lang w:bidi="en-US"/>
        </w:rPr>
        <w:t xml:space="preserve">Vzájemná spolupráce a efektivní výměna informací mezi příslušnými orgány zajišťujícími přístup do národních registrů skutečných majitelů (viz </w:t>
      </w:r>
      <w:r w:rsidR="00883B54">
        <w:rPr>
          <w:lang w:bidi="en-US"/>
        </w:rPr>
        <w:t xml:space="preserve">50. </w:t>
      </w:r>
      <w:r>
        <w:rPr>
          <w:lang w:bidi="en-US"/>
        </w:rPr>
        <w:t xml:space="preserve">recitál </w:t>
      </w:r>
      <w:r w:rsidR="00C0020D">
        <w:rPr>
          <w:lang w:bidi="en-US"/>
        </w:rPr>
        <w:t xml:space="preserve">AML </w:t>
      </w:r>
      <w:r>
        <w:rPr>
          <w:lang w:bidi="en-US"/>
        </w:rPr>
        <w:t xml:space="preserve">směrnice). </w:t>
      </w:r>
    </w:p>
    <w:p w14:paraId="43880F1A" w14:textId="77777777" w:rsidR="007C414B" w:rsidRDefault="007C414B" w:rsidP="007C414B">
      <w:pPr>
        <w:pStyle w:val="Odstavecseseznamem"/>
        <w:rPr>
          <w:lang w:bidi="en-US"/>
        </w:rPr>
      </w:pPr>
    </w:p>
    <w:p w14:paraId="0E7C14A3"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lang w:bidi="en-US"/>
        </w:rPr>
      </w:pPr>
    </w:p>
    <w:p w14:paraId="604EAF13"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lang w:bidi="en-US"/>
        </w:rPr>
      </w:pPr>
    </w:p>
    <w:p w14:paraId="0D84F632"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lang w:bidi="en-US"/>
        </w:rPr>
      </w:pPr>
    </w:p>
    <w:p w14:paraId="05F5BE70" w14:textId="459F5B78" w:rsidR="002422E1" w:rsidRDefault="002422E1" w:rsidP="007C414B">
      <w:pPr>
        <w:pStyle w:val="Nadpis3"/>
        <w:numPr>
          <w:ilvl w:val="1"/>
          <w:numId w:val="9"/>
        </w:numPr>
        <w:rPr>
          <w:lang w:bidi="en-US"/>
        </w:rPr>
      </w:pPr>
      <w:r>
        <w:rPr>
          <w:lang w:bidi="en-US"/>
        </w:rPr>
        <w:t>Privilegovaný přístup pro příslušné orgány a povinné osoby</w:t>
      </w:r>
    </w:p>
    <w:p w14:paraId="19B622EC" w14:textId="23ACED99" w:rsidR="002422E1" w:rsidRPr="002422E1" w:rsidRDefault="002422E1" w:rsidP="00976AF6">
      <w:pPr>
        <w:rPr>
          <w:lang w:bidi="en-US"/>
        </w:rPr>
      </w:pPr>
      <w:r w:rsidRPr="002422E1">
        <w:rPr>
          <w:lang w:bidi="en-US"/>
        </w:rPr>
        <w:t>Navrhovaná právní úprava</w:t>
      </w:r>
      <w:r w:rsidR="00F51081">
        <w:rPr>
          <w:lang w:bidi="en-US"/>
        </w:rPr>
        <w:t xml:space="preserve"> zásadně nemění způsob, jakým je zajišťován </w:t>
      </w:r>
      <w:r w:rsidR="00F51081" w:rsidRPr="007A422C">
        <w:rPr>
          <w:lang w:bidi="en-US"/>
        </w:rPr>
        <w:t>přístup k informacím o skutečných majitelích</w:t>
      </w:r>
      <w:r w:rsidR="00F51081">
        <w:rPr>
          <w:lang w:bidi="en-US"/>
        </w:rPr>
        <w:t xml:space="preserve"> pro příslušné státní orgány </w:t>
      </w:r>
      <w:r w:rsidR="00970527">
        <w:rPr>
          <w:lang w:bidi="en-US"/>
        </w:rPr>
        <w:t xml:space="preserve">a </w:t>
      </w:r>
      <w:r w:rsidR="00F51081">
        <w:rPr>
          <w:lang w:bidi="en-US"/>
        </w:rPr>
        <w:t xml:space="preserve">pro povinné osoby dle AML zákona. </w:t>
      </w:r>
      <w:r w:rsidR="00C52546">
        <w:rPr>
          <w:lang w:bidi="en-US"/>
        </w:rPr>
        <w:t xml:space="preserve">Režim tzv. dálkového přístupu (podle § 17 zákona o ESM) je i z hlediska požadavků 6. AML směrnice </w:t>
      </w:r>
      <w:r w:rsidR="000F2ECD">
        <w:rPr>
          <w:lang w:bidi="en-US"/>
        </w:rPr>
        <w:t xml:space="preserve">stále </w:t>
      </w:r>
      <w:r w:rsidR="00C52546">
        <w:rPr>
          <w:lang w:bidi="en-US"/>
        </w:rPr>
        <w:t xml:space="preserve">vyhovující. </w:t>
      </w:r>
      <w:r w:rsidR="000F2ECD">
        <w:rPr>
          <w:lang w:bidi="en-US"/>
        </w:rPr>
        <w:t>Nová unijní legislativa však rozšiřuje</w:t>
      </w:r>
      <w:r w:rsidR="00F51081">
        <w:rPr>
          <w:lang w:bidi="en-US"/>
        </w:rPr>
        <w:t xml:space="preserve"> okruh subjektů, kterým bude</w:t>
      </w:r>
      <w:r w:rsidR="000F2ECD">
        <w:rPr>
          <w:lang w:bidi="en-US"/>
        </w:rPr>
        <w:t xml:space="preserve"> dálkový</w:t>
      </w:r>
      <w:r w:rsidR="00C52546">
        <w:rPr>
          <w:lang w:bidi="en-US"/>
        </w:rPr>
        <w:t xml:space="preserve"> přístup</w:t>
      </w:r>
      <w:r w:rsidR="00F51081">
        <w:rPr>
          <w:lang w:bidi="en-US"/>
        </w:rPr>
        <w:t xml:space="preserve"> umožněn. </w:t>
      </w:r>
      <w:r w:rsidR="00F51081" w:rsidRPr="00197D27">
        <w:rPr>
          <w:lang w:bidi="en-US"/>
        </w:rPr>
        <w:t>Současně se chce vybraným státním orgánů</w:t>
      </w:r>
      <w:r w:rsidR="00F16D33" w:rsidRPr="00197D27">
        <w:rPr>
          <w:lang w:bidi="en-US"/>
        </w:rPr>
        <w:t>m</w:t>
      </w:r>
      <w:r w:rsidR="00F51081" w:rsidRPr="00197D27">
        <w:rPr>
          <w:lang w:bidi="en-US"/>
        </w:rPr>
        <w:t xml:space="preserve"> a povinným osobám umožnit k údajům také přistupovat prostřednictvím webové služby, což zásadně rozšíří možnosti analýzy dat a efektivního využití informací.</w:t>
      </w:r>
      <w:r w:rsidR="00F51081">
        <w:rPr>
          <w:lang w:bidi="en-US"/>
        </w:rPr>
        <w:t xml:space="preserve">   </w:t>
      </w:r>
    </w:p>
    <w:p w14:paraId="6D28216C" w14:textId="2DAA3D09" w:rsidR="00976AF6" w:rsidRPr="0005089C" w:rsidRDefault="00976AF6" w:rsidP="007C414B">
      <w:pPr>
        <w:pStyle w:val="Nadpis3"/>
        <w:numPr>
          <w:ilvl w:val="1"/>
          <w:numId w:val="9"/>
        </w:numPr>
        <w:rPr>
          <w:lang w:bidi="en-US"/>
        </w:rPr>
      </w:pPr>
      <w:r w:rsidRPr="0005089C">
        <w:rPr>
          <w:lang w:bidi="en-US"/>
        </w:rPr>
        <w:t>Ochrana soukromí a osobních údajů</w:t>
      </w:r>
      <w:r w:rsidR="00C52546">
        <w:rPr>
          <w:lang w:bidi="en-US"/>
        </w:rPr>
        <w:t xml:space="preserve"> skutečných majitelů</w:t>
      </w:r>
    </w:p>
    <w:p w14:paraId="47D49FF2" w14:textId="751FB77B" w:rsidR="00976AF6" w:rsidRDefault="00C52546" w:rsidP="00976AF6">
      <w:pPr>
        <w:rPr>
          <w:lang w:bidi="en-US"/>
        </w:rPr>
      </w:pPr>
      <w:r>
        <w:rPr>
          <w:lang w:bidi="en-US"/>
        </w:rPr>
        <w:t>Hlavní motivací změn týkajících se přístupu veřejnosti k </w:t>
      </w:r>
      <w:r w:rsidR="00C0020D">
        <w:rPr>
          <w:lang w:bidi="en-US"/>
        </w:rPr>
        <w:t>údajům o skutečných majitelích j</w:t>
      </w:r>
      <w:r>
        <w:rPr>
          <w:lang w:bidi="en-US"/>
        </w:rPr>
        <w:t xml:space="preserve">e snaha proporcionálně nakládat s osobními údaji skutečných majitelů. Úprava 6. AML směrnice v tomto směru reaguje </w:t>
      </w:r>
      <w:r w:rsidR="00976AF6">
        <w:rPr>
          <w:lang w:bidi="en-US"/>
        </w:rPr>
        <w:t xml:space="preserve">na rozsudek Soudního dvora EU </w:t>
      </w:r>
      <w:proofErr w:type="spellStart"/>
      <w:r w:rsidR="00C0020D">
        <w:rPr>
          <w:lang w:bidi="en-US"/>
        </w:rPr>
        <w:t>Sovim</w:t>
      </w:r>
      <w:proofErr w:type="spellEnd"/>
      <w:r>
        <w:rPr>
          <w:lang w:bidi="en-US"/>
        </w:rPr>
        <w:t xml:space="preserve"> (k tomu viz kapitola </w:t>
      </w:r>
      <w:r w:rsidR="00143A1B">
        <w:rPr>
          <w:lang w:bidi="en-US"/>
        </w:rPr>
        <w:t>4</w:t>
      </w:r>
      <w:r>
        <w:rPr>
          <w:lang w:bidi="en-US"/>
        </w:rPr>
        <w:t>)</w:t>
      </w:r>
      <w:r w:rsidR="00976AF6">
        <w:rPr>
          <w:lang w:bidi="en-US"/>
        </w:rPr>
        <w:t>.</w:t>
      </w:r>
    </w:p>
    <w:p w14:paraId="294454B2" w14:textId="7F6FC265" w:rsidR="00096E04" w:rsidRDefault="00C52546" w:rsidP="00976AF6">
      <w:pPr>
        <w:rPr>
          <w:lang w:bidi="en-US"/>
        </w:rPr>
      </w:pPr>
      <w:r>
        <w:rPr>
          <w:lang w:bidi="en-US"/>
        </w:rPr>
        <w:t>Cílem návrhu přitom není omezit přístup k údajům o skutečných majitelích ze strany veřejnosti bez dalšího, ale podmínit přístup existencí důvodů, které takovýto zásah do soukromí odůvodňují. Návrh proto přichází po</w:t>
      </w:r>
      <w:r w:rsidR="00976AF6">
        <w:rPr>
          <w:lang w:bidi="en-US"/>
        </w:rPr>
        <w:t xml:space="preserve"> vzoru 6. AML směrnice</w:t>
      </w:r>
      <w:r w:rsidR="006704EF">
        <w:rPr>
          <w:lang w:bidi="en-US"/>
        </w:rPr>
        <w:t xml:space="preserve"> s vymezením těchto důvodů, tj.</w:t>
      </w:r>
      <w:r w:rsidR="00970527">
        <w:rPr>
          <w:lang w:bidi="en-US"/>
        </w:rPr>
        <w:t> </w:t>
      </w:r>
      <w:r w:rsidR="006704EF">
        <w:rPr>
          <w:lang w:bidi="en-US"/>
        </w:rPr>
        <w:t>s požadavkem existence oprávněného zájmu o přístup k údajům v evidenci skutečných majitelů</w:t>
      </w:r>
      <w:r w:rsidR="00C0020D">
        <w:rPr>
          <w:lang w:bidi="en-US"/>
        </w:rPr>
        <w:t>. Současně jsou stanovena</w:t>
      </w:r>
      <w:r>
        <w:rPr>
          <w:lang w:bidi="en-US"/>
        </w:rPr>
        <w:t xml:space="preserve"> jasná pravidla toho, jaké údaje mohou být veřejnosti poskytovány a také po jak dlouhou dobu. </w:t>
      </w:r>
    </w:p>
    <w:p w14:paraId="5FCC24F0" w14:textId="109F87A2" w:rsidR="00096E04" w:rsidRDefault="00096E04" w:rsidP="00976AF6">
      <w:pPr>
        <w:rPr>
          <w:lang w:bidi="en-US"/>
        </w:rPr>
      </w:pPr>
      <w:r>
        <w:rPr>
          <w:lang w:bidi="en-US"/>
        </w:rPr>
        <w:t>Dále návrh pamatuje na situace, kdy by přístup veřejnosti k údajům v evidenci mohl skute</w:t>
      </w:r>
      <w:r w:rsidR="00C0020D">
        <w:rPr>
          <w:lang w:bidi="en-US"/>
        </w:rPr>
        <w:t>čné majitele vystavit významnému</w:t>
      </w:r>
      <w:r>
        <w:rPr>
          <w:lang w:bidi="en-US"/>
        </w:rPr>
        <w:t xml:space="preserve"> riziku, že se stanou obětí trestn</w:t>
      </w:r>
      <w:r w:rsidR="008F46D8">
        <w:rPr>
          <w:lang w:bidi="en-US"/>
        </w:rPr>
        <w:t xml:space="preserve">ého činu. Návrhem se tak chce snížit riziko zneužití veřejnosti citlivých údajů pro trestněprávní činnost. </w:t>
      </w:r>
      <w:r>
        <w:rPr>
          <w:lang w:bidi="en-US"/>
        </w:rPr>
        <w:t xml:space="preserve"> </w:t>
      </w:r>
    </w:p>
    <w:p w14:paraId="58A8F64B" w14:textId="46419A1E" w:rsidR="002A5326" w:rsidRDefault="00096E04" w:rsidP="007C414B">
      <w:pPr>
        <w:pStyle w:val="Nadpis3"/>
        <w:numPr>
          <w:ilvl w:val="1"/>
          <w:numId w:val="9"/>
        </w:numPr>
        <w:rPr>
          <w:lang w:bidi="en-US"/>
        </w:rPr>
      </w:pPr>
      <w:r>
        <w:rPr>
          <w:lang w:bidi="en-US"/>
        </w:rPr>
        <w:t>Oprávně</w:t>
      </w:r>
      <w:r w:rsidR="0053594D">
        <w:rPr>
          <w:lang w:bidi="en-US"/>
        </w:rPr>
        <w:t xml:space="preserve">ný zájem </w:t>
      </w:r>
      <w:r w:rsidR="003E6DB0">
        <w:rPr>
          <w:lang w:bidi="en-US"/>
        </w:rPr>
        <w:t xml:space="preserve">novinářů, </w:t>
      </w:r>
      <w:r w:rsidR="0053594D">
        <w:rPr>
          <w:lang w:bidi="en-US"/>
        </w:rPr>
        <w:t xml:space="preserve">nevládních organizací </w:t>
      </w:r>
      <w:r>
        <w:rPr>
          <w:lang w:bidi="en-US"/>
        </w:rPr>
        <w:t xml:space="preserve">a </w:t>
      </w:r>
      <w:r w:rsidR="003E6DB0">
        <w:rPr>
          <w:lang w:bidi="en-US"/>
        </w:rPr>
        <w:t>akademické obce</w:t>
      </w:r>
    </w:p>
    <w:p w14:paraId="6E09331F" w14:textId="5019E3A4" w:rsidR="008A7D8F" w:rsidRDefault="0053594D" w:rsidP="002A5326">
      <w:pPr>
        <w:rPr>
          <w:lang w:bidi="en-US"/>
        </w:rPr>
      </w:pPr>
      <w:r>
        <w:rPr>
          <w:lang w:bidi="en-US"/>
        </w:rPr>
        <w:t xml:space="preserve">Cílem návrhu není limitovat činnost občanské společnosti </w:t>
      </w:r>
      <w:r w:rsidR="008A7D8F">
        <w:rPr>
          <w:lang w:bidi="en-US"/>
        </w:rPr>
        <w:t>(nevládních organizací)</w:t>
      </w:r>
      <w:r w:rsidR="003E6DB0">
        <w:rPr>
          <w:lang w:bidi="en-US"/>
        </w:rPr>
        <w:t>, novinářů a</w:t>
      </w:r>
      <w:r w:rsidR="00970527">
        <w:rPr>
          <w:lang w:bidi="en-US"/>
        </w:rPr>
        <w:t> </w:t>
      </w:r>
      <w:r w:rsidR="003E6DB0">
        <w:rPr>
          <w:lang w:bidi="en-US"/>
        </w:rPr>
        <w:t>zástupců akademické obce,</w:t>
      </w:r>
      <w:r>
        <w:rPr>
          <w:lang w:bidi="en-US"/>
        </w:rPr>
        <w:t xml:space="preserve"> tj. aktérů, kteří v praxi často svou činností </w:t>
      </w:r>
      <w:r w:rsidR="00143A1B">
        <w:rPr>
          <w:lang w:bidi="en-US"/>
        </w:rPr>
        <w:t xml:space="preserve">napomáhají k transparentnosti a k předcházení různým negativním společenským a politickým vlivům. </w:t>
      </w:r>
      <w:r w:rsidR="008A7D8F">
        <w:rPr>
          <w:lang w:bidi="en-US"/>
        </w:rPr>
        <w:t>Návrh naopak vychází z toho, že tato aktivita je společensky důležitá a přínosná a současně pro zástupce nevládních organizací a novináře často nesnadná a potenciální riskantní.</w:t>
      </w:r>
    </w:p>
    <w:p w14:paraId="67E32C65" w14:textId="4184CC0A" w:rsidR="00143A1B" w:rsidRDefault="00143A1B" w:rsidP="002A5326">
      <w:pPr>
        <w:rPr>
          <w:lang w:bidi="en-US"/>
        </w:rPr>
      </w:pPr>
      <w:r>
        <w:rPr>
          <w:lang w:bidi="en-US"/>
        </w:rPr>
        <w:t xml:space="preserve">Návrh přitom </w:t>
      </w:r>
      <w:r w:rsidR="00C0020D">
        <w:rPr>
          <w:lang w:bidi="en-US"/>
        </w:rPr>
        <w:t>míří</w:t>
      </w:r>
      <w:r>
        <w:rPr>
          <w:lang w:bidi="en-US"/>
        </w:rPr>
        <w:t xml:space="preserve"> nejen na zástupce občanské společnosti, kteří přispívají v </w:t>
      </w:r>
      <w:r w:rsidRPr="0053594D">
        <w:rPr>
          <w:lang w:bidi="en-US"/>
        </w:rPr>
        <w:t>boj</w:t>
      </w:r>
      <w:r>
        <w:rPr>
          <w:lang w:bidi="en-US"/>
        </w:rPr>
        <w:t>i</w:t>
      </w:r>
      <w:r w:rsidRPr="0053594D">
        <w:rPr>
          <w:lang w:bidi="en-US"/>
        </w:rPr>
        <w:t xml:space="preserve"> proti praní peněz, souvisejícím predikativním trestným činům a financování terorismu</w:t>
      </w:r>
      <w:r>
        <w:rPr>
          <w:lang w:bidi="en-US"/>
        </w:rPr>
        <w:t xml:space="preserve">, ale i na ty působící v dalších oblastech, kde je kontrola ze strany občanské společnosti typičtější a </w:t>
      </w:r>
      <w:r w:rsidR="00C0020D">
        <w:rPr>
          <w:lang w:bidi="en-US"/>
        </w:rPr>
        <w:t>neméně důležitá</w:t>
      </w:r>
      <w:r w:rsidRPr="0053594D">
        <w:rPr>
          <w:lang w:bidi="en-US"/>
        </w:rPr>
        <w:t>.</w:t>
      </w:r>
    </w:p>
    <w:p w14:paraId="127E2B33" w14:textId="70E68E8B" w:rsidR="008A7D8F" w:rsidRDefault="008A7D8F" w:rsidP="002A5326">
      <w:pPr>
        <w:rPr>
          <w:lang w:bidi="en-US"/>
        </w:rPr>
      </w:pPr>
      <w:r>
        <w:rPr>
          <w:lang w:bidi="en-US"/>
        </w:rPr>
        <w:t xml:space="preserve">Dle navržené právní úpravy se proto u </w:t>
      </w:r>
      <w:r w:rsidR="003E6DB0">
        <w:rPr>
          <w:lang w:bidi="en-US"/>
        </w:rPr>
        <w:t xml:space="preserve">novinářů, </w:t>
      </w:r>
      <w:r>
        <w:rPr>
          <w:lang w:bidi="en-US"/>
        </w:rPr>
        <w:t xml:space="preserve">nevládních organizací a </w:t>
      </w:r>
      <w:r w:rsidR="003E6DB0">
        <w:rPr>
          <w:lang w:bidi="en-US"/>
        </w:rPr>
        <w:t xml:space="preserve">akademické obce </w:t>
      </w:r>
      <w:r>
        <w:rPr>
          <w:lang w:bidi="en-US"/>
        </w:rPr>
        <w:t>oprávněný zájem o přístup k údajům o skutečných majitelích předpokládá, aniž by bylo třeba dokládat vztah ke konkrétní právnické osobě nebo právnímu uspořádání. Současně je činnost těchto subjektů chráněna, jelikož informace o nich nikdy nemají být sdělovány zkoumaným skutečným majitelům. Chce se tak předejít vzniku bezpečnostních rizik pro</w:t>
      </w:r>
      <w:r w:rsidR="003E6DB0">
        <w:rPr>
          <w:lang w:bidi="en-US"/>
        </w:rPr>
        <w:t xml:space="preserve"> zástupce občanské společnosti,</w:t>
      </w:r>
      <w:r>
        <w:rPr>
          <w:lang w:bidi="en-US"/>
        </w:rPr>
        <w:t xml:space="preserve"> novináře </w:t>
      </w:r>
      <w:r w:rsidR="003E6DB0">
        <w:rPr>
          <w:lang w:bidi="en-US"/>
        </w:rPr>
        <w:t xml:space="preserve">a akademiky </w:t>
      </w:r>
      <w:r>
        <w:rPr>
          <w:lang w:bidi="en-US"/>
        </w:rPr>
        <w:t xml:space="preserve">angažované v </w:t>
      </w:r>
      <w:r w:rsidRPr="0053594D">
        <w:rPr>
          <w:lang w:bidi="en-US"/>
        </w:rPr>
        <w:t>boj</w:t>
      </w:r>
      <w:r>
        <w:rPr>
          <w:lang w:bidi="en-US"/>
        </w:rPr>
        <w:t>i</w:t>
      </w:r>
      <w:r w:rsidRPr="0053594D">
        <w:rPr>
          <w:lang w:bidi="en-US"/>
        </w:rPr>
        <w:t xml:space="preserve"> proti praní peněz a financování terorismu</w:t>
      </w:r>
      <w:r w:rsidR="00143A1B">
        <w:rPr>
          <w:lang w:bidi="en-US"/>
        </w:rPr>
        <w:t xml:space="preserve">, jakož i </w:t>
      </w:r>
      <w:r w:rsidR="00C0020D">
        <w:rPr>
          <w:lang w:bidi="en-US"/>
        </w:rPr>
        <w:t xml:space="preserve">v </w:t>
      </w:r>
      <w:r w:rsidR="00143A1B">
        <w:rPr>
          <w:lang w:bidi="en-US"/>
        </w:rPr>
        <w:t>dalších oblastech</w:t>
      </w:r>
      <w:r w:rsidR="006704EF">
        <w:rPr>
          <w:lang w:bidi="en-US"/>
        </w:rPr>
        <w:t>.</w:t>
      </w:r>
    </w:p>
    <w:p w14:paraId="3114F730" w14:textId="05107DDC" w:rsidR="008F46D8" w:rsidRDefault="008F46D8" w:rsidP="007C414B">
      <w:pPr>
        <w:pStyle w:val="Nadpis3"/>
        <w:numPr>
          <w:ilvl w:val="1"/>
          <w:numId w:val="9"/>
        </w:numPr>
        <w:rPr>
          <w:lang w:bidi="en-US"/>
        </w:rPr>
      </w:pPr>
      <w:r>
        <w:rPr>
          <w:lang w:bidi="en-US"/>
        </w:rPr>
        <w:lastRenderedPageBreak/>
        <w:t xml:space="preserve">Formalizace </w:t>
      </w:r>
      <w:r w:rsidR="00361E2E">
        <w:rPr>
          <w:lang w:bidi="en-US"/>
        </w:rPr>
        <w:t xml:space="preserve">a efektivita </w:t>
      </w:r>
      <w:r>
        <w:rPr>
          <w:lang w:bidi="en-US"/>
        </w:rPr>
        <w:t>ověřování oprávněného zájmu</w:t>
      </w:r>
    </w:p>
    <w:p w14:paraId="28C4A0D3" w14:textId="183ECB0A" w:rsidR="000F2ECD" w:rsidRDefault="000F2ECD" w:rsidP="00361E2E">
      <w:pPr>
        <w:rPr>
          <w:lang w:bidi="en-US"/>
        </w:rPr>
      </w:pPr>
      <w:r>
        <w:rPr>
          <w:lang w:bidi="en-US"/>
        </w:rPr>
        <w:t>Byť bude navrhovaný režim přístupu veřejnosti do evidence na základě prokázání oprávněn</w:t>
      </w:r>
      <w:r w:rsidR="00C0020D">
        <w:rPr>
          <w:lang w:bidi="en-US"/>
        </w:rPr>
        <w:t>ého zájmu spojen se vznikem nových administrativních povinností</w:t>
      </w:r>
      <w:r>
        <w:rPr>
          <w:lang w:bidi="en-US"/>
        </w:rPr>
        <w:t xml:space="preserve">, záměrem je nové procesy nastavit maximálně efektivně. </w:t>
      </w:r>
    </w:p>
    <w:p w14:paraId="4B2D580E" w14:textId="2E051F29" w:rsidR="000F2ECD" w:rsidRDefault="000F2ECD" w:rsidP="00361E2E">
      <w:pPr>
        <w:rPr>
          <w:lang w:bidi="en-US"/>
        </w:rPr>
      </w:pPr>
      <w:r>
        <w:rPr>
          <w:lang w:bidi="en-US"/>
        </w:rPr>
        <w:t xml:space="preserve">Posuzování existence </w:t>
      </w:r>
      <w:r w:rsidR="00C0020D">
        <w:rPr>
          <w:lang w:bidi="en-US"/>
        </w:rPr>
        <w:t>oprávněného</w:t>
      </w:r>
      <w:r>
        <w:rPr>
          <w:lang w:bidi="en-US"/>
        </w:rPr>
        <w:t xml:space="preserve"> zájmu by mělo být relativně rychlé </w:t>
      </w:r>
      <w:r w:rsidR="00C0020D">
        <w:rPr>
          <w:lang w:bidi="en-US"/>
        </w:rPr>
        <w:t>a zejména předvídatelné. Návrh</w:t>
      </w:r>
      <w:r>
        <w:rPr>
          <w:lang w:bidi="en-US"/>
        </w:rPr>
        <w:t xml:space="preserve"> stanovuje situace, ve kterých platí, že oprávněný zájem existuje, a to s ohledem na činnost žadatele a případně také vztah k právnické osobě, jejíž skutečný majitel je zjišťován. Dále </w:t>
      </w:r>
      <w:r w:rsidR="003D2B81">
        <w:rPr>
          <w:lang w:bidi="en-US"/>
        </w:rPr>
        <w:t>návrh</w:t>
      </w:r>
      <w:r>
        <w:rPr>
          <w:lang w:bidi="en-US"/>
        </w:rPr>
        <w:t xml:space="preserve"> stanov</w:t>
      </w:r>
      <w:r w:rsidR="003D2B81">
        <w:rPr>
          <w:lang w:bidi="en-US"/>
        </w:rPr>
        <w:t>uje</w:t>
      </w:r>
      <w:r>
        <w:rPr>
          <w:lang w:bidi="en-US"/>
        </w:rPr>
        <w:t xml:space="preserve"> </w:t>
      </w:r>
      <w:r w:rsidR="003D2B81">
        <w:rPr>
          <w:lang w:bidi="en-US"/>
        </w:rPr>
        <w:t xml:space="preserve">podrobná pravidla </w:t>
      </w:r>
      <w:r w:rsidR="00361E2E">
        <w:rPr>
          <w:lang w:bidi="en-US"/>
        </w:rPr>
        <w:t>(správní</w:t>
      </w:r>
      <w:r w:rsidR="003D2B81">
        <w:rPr>
          <w:lang w:bidi="en-US"/>
        </w:rPr>
        <w:t>ho</w:t>
      </w:r>
      <w:r w:rsidR="00361E2E">
        <w:rPr>
          <w:lang w:bidi="en-US"/>
        </w:rPr>
        <w:t xml:space="preserve">) řízení o přístupu a </w:t>
      </w:r>
      <w:r w:rsidR="003D2B81">
        <w:rPr>
          <w:lang w:bidi="en-US"/>
        </w:rPr>
        <w:t xml:space="preserve">pro </w:t>
      </w:r>
      <w:r w:rsidR="00361E2E">
        <w:rPr>
          <w:lang w:bidi="en-US"/>
        </w:rPr>
        <w:t xml:space="preserve">ověřování žadatelů, včetně </w:t>
      </w:r>
      <w:r>
        <w:rPr>
          <w:lang w:bidi="en-US"/>
        </w:rPr>
        <w:t xml:space="preserve">stanovení lhůt. </w:t>
      </w:r>
      <w:r w:rsidR="003D2B81">
        <w:rPr>
          <w:lang w:bidi="en-US"/>
        </w:rPr>
        <w:t>Standardizace posuzovaní existence oprávněného</w:t>
      </w:r>
      <w:r w:rsidR="00C0020D">
        <w:rPr>
          <w:lang w:bidi="en-US"/>
        </w:rPr>
        <w:t xml:space="preserve"> zájmu</w:t>
      </w:r>
      <w:r w:rsidR="003D2B81">
        <w:rPr>
          <w:lang w:bidi="en-US"/>
        </w:rPr>
        <w:t xml:space="preserve">, </w:t>
      </w:r>
      <w:r w:rsidR="00E30A7E">
        <w:rPr>
          <w:lang w:bidi="en-US"/>
        </w:rPr>
        <w:t>používání</w:t>
      </w:r>
      <w:r w:rsidR="003D2B81">
        <w:rPr>
          <w:lang w:bidi="en-US"/>
        </w:rPr>
        <w:t xml:space="preserve"> formulářů a </w:t>
      </w:r>
      <w:r w:rsidR="00E30A7E">
        <w:rPr>
          <w:lang w:bidi="en-US"/>
        </w:rPr>
        <w:t>důraz na</w:t>
      </w:r>
      <w:r w:rsidR="003D2B81">
        <w:rPr>
          <w:lang w:bidi="en-US"/>
        </w:rPr>
        <w:t xml:space="preserve"> využití elektronických prostředků napomůže k zajištění rychlého, efektivního a </w:t>
      </w:r>
      <w:r w:rsidR="00E30A7E">
        <w:rPr>
          <w:lang w:bidi="en-US"/>
        </w:rPr>
        <w:t xml:space="preserve">v důsledku uživatelsky komfortního přístupu veřejnosti. </w:t>
      </w:r>
    </w:p>
    <w:p w14:paraId="1BA78E5C" w14:textId="372A78E8" w:rsidR="00361E2E" w:rsidRPr="00361E2E" w:rsidRDefault="00361E2E" w:rsidP="007C414B">
      <w:pPr>
        <w:pStyle w:val="Nadpis3"/>
        <w:numPr>
          <w:ilvl w:val="1"/>
          <w:numId w:val="9"/>
        </w:numPr>
        <w:rPr>
          <w:lang w:bidi="en-US"/>
        </w:rPr>
      </w:pPr>
      <w:r>
        <w:rPr>
          <w:lang w:bidi="en-US"/>
        </w:rPr>
        <w:t>Spolupráce se zahraničními registry</w:t>
      </w:r>
    </w:p>
    <w:p w14:paraId="773C58E6" w14:textId="1BB82D28" w:rsidR="00871FEC" w:rsidRDefault="00F71B16" w:rsidP="00892D1E">
      <w:pPr>
        <w:rPr>
          <w:lang w:bidi="en-US"/>
        </w:rPr>
      </w:pPr>
      <w:r>
        <w:rPr>
          <w:lang w:bidi="en-US"/>
        </w:rPr>
        <w:t xml:space="preserve">Návrh zohledňuje skutečnost, že registry skutečných majitelů by ve všech členských státech měly naplňovat </w:t>
      </w:r>
      <w:r w:rsidR="00871FEC">
        <w:rPr>
          <w:lang w:bidi="en-US"/>
        </w:rPr>
        <w:t xml:space="preserve">společné </w:t>
      </w:r>
      <w:r>
        <w:rPr>
          <w:lang w:bidi="en-US"/>
        </w:rPr>
        <w:t>standardy stanovené 6. AML směrnicí.</w:t>
      </w:r>
      <w:r w:rsidR="00871FEC">
        <w:rPr>
          <w:lang w:bidi="en-US"/>
        </w:rPr>
        <w:t xml:space="preserve"> Je třeba vnímat, že uživatelé mohou registry využívat napříč Evropskou unií, což by mělo být zohledněno při posuzování žádostí o přístup, případně i při odebírání přístupu.   </w:t>
      </w:r>
    </w:p>
    <w:p w14:paraId="0A2732C0" w14:textId="0FA61EB5" w:rsidR="009722C9" w:rsidRDefault="00F71B16" w:rsidP="009722C9">
      <w:pPr>
        <w:rPr>
          <w:lang w:bidi="en-US"/>
        </w:rPr>
      </w:pPr>
      <w:r>
        <w:rPr>
          <w:lang w:bidi="en-US"/>
        </w:rPr>
        <w:t xml:space="preserve">Posuzování existence oprávněného zájmu by mělo být srovnatelné. Zejména by pak prokázání existence oprávněného zájmu </w:t>
      </w:r>
      <w:r w:rsidR="00C0020D">
        <w:rPr>
          <w:lang w:bidi="en-US"/>
        </w:rPr>
        <w:t xml:space="preserve">v jednom členském státě </w:t>
      </w:r>
      <w:r>
        <w:rPr>
          <w:lang w:bidi="en-US"/>
        </w:rPr>
        <w:t xml:space="preserve">ve stanovených případech mělo představovat důkaz pro zřízení přístupu v jiném členském státě. </w:t>
      </w:r>
    </w:p>
    <w:p w14:paraId="3CCF8648" w14:textId="2D4ED043" w:rsidR="009722C9" w:rsidRPr="009A7B68" w:rsidRDefault="009722C9" w:rsidP="009722C9">
      <w:pPr>
        <w:rPr>
          <w:lang w:bidi="en-US"/>
        </w:rPr>
      </w:pPr>
      <w:r>
        <w:rPr>
          <w:lang w:bidi="en-US"/>
        </w:rPr>
        <w:t>Registry z členských států by spolu měly komunikovat za účelem usnadnění a zefektivnění své činnosti, zejména při vzájemném uznávání oprávněného zájmu a vzájemném oznamování zrušení přístupu.</w:t>
      </w:r>
    </w:p>
    <w:p w14:paraId="715D9130" w14:textId="26FECDD2" w:rsidR="005A04B3" w:rsidRDefault="005A04B3" w:rsidP="005A04B3">
      <w:pPr>
        <w:pStyle w:val="Nadpis2"/>
      </w:pPr>
      <w:r w:rsidRPr="009A7B68">
        <w:t xml:space="preserve">Zhodnocení </w:t>
      </w:r>
      <w:r w:rsidR="00F25757" w:rsidRPr="009A7B68">
        <w:t>slučitelnosti</w:t>
      </w:r>
      <w:r w:rsidR="005864E5" w:rsidRPr="009A7B68">
        <w:t xml:space="preserve"> návrhu</w:t>
      </w:r>
      <w:r w:rsidRPr="009A7B68">
        <w:t xml:space="preserve"> s předpisy Evropské unie, judikaturou soudních orgánů EU nebo obecnými právními zásadami práva EU, popřípadě i</w:t>
      </w:r>
      <w:r w:rsidR="00970527">
        <w:t> </w:t>
      </w:r>
      <w:r w:rsidRPr="009A7B68">
        <w:t>s legislativními záměry a s návrhy předpisů EU</w:t>
      </w:r>
    </w:p>
    <w:p w14:paraId="20A14A47" w14:textId="77777777" w:rsidR="00871FEC" w:rsidRDefault="00871FEC" w:rsidP="00871FEC">
      <w:pPr>
        <w:rPr>
          <w:szCs w:val="24"/>
        </w:rPr>
      </w:pPr>
      <w:r w:rsidRPr="001F044F">
        <w:rPr>
          <w:szCs w:val="24"/>
        </w:rPr>
        <w:t xml:space="preserve">Návrh transponuje do českého právního řádu požadavky </w:t>
      </w:r>
      <w:r>
        <w:rPr>
          <w:szCs w:val="24"/>
        </w:rPr>
        <w:t xml:space="preserve">6. AML směrnice týkající se přístupu do evidence skutečných majitelů ze strany veřejnosti na základě prokázání oprávněného zájmu o přístup. </w:t>
      </w:r>
      <w:r w:rsidRPr="001F044F">
        <w:rPr>
          <w:szCs w:val="24"/>
        </w:rPr>
        <w:t xml:space="preserve">Všechna ustanovení návrhu mají za cíl účinně dosáhnout cílů směrnice a jsou v tomto směru ve zvláštní části důvodové zprávy k návrhu náležitě odůvodněna. </w:t>
      </w:r>
    </w:p>
    <w:p w14:paraId="44136F9D" w14:textId="6A4C0940" w:rsidR="00AA021D" w:rsidRPr="00AA021D" w:rsidRDefault="00871FEC" w:rsidP="00C0020D">
      <w:pPr>
        <w:rPr>
          <w:szCs w:val="24"/>
        </w:rPr>
      </w:pPr>
      <w:r>
        <w:rPr>
          <w:szCs w:val="24"/>
        </w:rPr>
        <w:t xml:space="preserve">K 6. AML </w:t>
      </w:r>
      <w:r w:rsidRPr="001F044F">
        <w:rPr>
          <w:szCs w:val="24"/>
        </w:rPr>
        <w:t xml:space="preserve">směrnici bude </w:t>
      </w:r>
      <w:r w:rsidR="00AA021D">
        <w:rPr>
          <w:szCs w:val="24"/>
        </w:rPr>
        <w:t>Evropskou komisí vydán</w:t>
      </w:r>
      <w:r w:rsidRPr="001F044F">
        <w:rPr>
          <w:szCs w:val="24"/>
        </w:rPr>
        <w:t xml:space="preserve"> </w:t>
      </w:r>
      <w:r>
        <w:rPr>
          <w:szCs w:val="24"/>
        </w:rPr>
        <w:t xml:space="preserve">ve vztahu k přístupu na </w:t>
      </w:r>
      <w:r w:rsidR="00AA021D">
        <w:rPr>
          <w:szCs w:val="24"/>
        </w:rPr>
        <w:t>základě oprávněného zájmu prováděcí akt, kterým se</w:t>
      </w:r>
      <w:r w:rsidR="00AA021D" w:rsidRPr="00AA021D">
        <w:rPr>
          <w:szCs w:val="24"/>
        </w:rPr>
        <w:t xml:space="preserve"> stanoví různé vzory pro administraci řízení o přístupu a posuzování oprávněného zájmu</w:t>
      </w:r>
      <w:r w:rsidR="00C0020D">
        <w:rPr>
          <w:szCs w:val="24"/>
        </w:rPr>
        <w:t xml:space="preserve"> (čl. 14 </w:t>
      </w:r>
      <w:r w:rsidR="00970527">
        <w:rPr>
          <w:szCs w:val="24"/>
        </w:rPr>
        <w:t xml:space="preserve">AML </w:t>
      </w:r>
      <w:r w:rsidR="00C0020D">
        <w:rPr>
          <w:szCs w:val="24"/>
        </w:rPr>
        <w:t>směrnice), viz kapitola 2.2.</w:t>
      </w:r>
      <w:r w:rsidR="00AA021D">
        <w:rPr>
          <w:szCs w:val="24"/>
        </w:rPr>
        <w:t xml:space="preserve"> </w:t>
      </w:r>
    </w:p>
    <w:p w14:paraId="016DA999" w14:textId="535EBA65" w:rsidR="00871FEC" w:rsidRPr="00871FEC" w:rsidRDefault="00AA021D" w:rsidP="00871FEC">
      <w:pPr>
        <w:rPr>
          <w:szCs w:val="24"/>
        </w:rPr>
      </w:pPr>
      <w:r>
        <w:rPr>
          <w:szCs w:val="24"/>
        </w:rPr>
        <w:t>P</w:t>
      </w:r>
      <w:r w:rsidRPr="001F044F">
        <w:rPr>
          <w:szCs w:val="24"/>
        </w:rPr>
        <w:t>rováděcí</w:t>
      </w:r>
      <w:r w:rsidR="00871FEC" w:rsidRPr="001F044F">
        <w:rPr>
          <w:szCs w:val="24"/>
        </w:rPr>
        <w:t xml:space="preserve"> legislativa Evropské komis</w:t>
      </w:r>
      <w:r>
        <w:rPr>
          <w:szCs w:val="24"/>
        </w:rPr>
        <w:t>e</w:t>
      </w:r>
      <w:r w:rsidR="00871FEC" w:rsidRPr="001F044F">
        <w:t xml:space="preserve"> </w:t>
      </w:r>
      <w:r>
        <w:t>upravující</w:t>
      </w:r>
      <w:r w:rsidR="00871FEC" w:rsidRPr="001F044F">
        <w:t xml:space="preserve"> technické specifikace a postupy </w:t>
      </w:r>
      <w:r w:rsidR="00C0020D">
        <w:t>má být</w:t>
      </w:r>
      <w:r>
        <w:t xml:space="preserve"> vydána až </w:t>
      </w:r>
      <w:r w:rsidRPr="00AA021D">
        <w:t>10. července 2027</w:t>
      </w:r>
      <w:r>
        <w:t xml:space="preserve"> (čl. 78 </w:t>
      </w:r>
      <w:r w:rsidR="00C0020D">
        <w:t xml:space="preserve">AML </w:t>
      </w:r>
      <w:r>
        <w:t>směrnice).</w:t>
      </w:r>
    </w:p>
    <w:p w14:paraId="79E21966" w14:textId="1C75363D" w:rsidR="009442B8" w:rsidRDefault="009442B8" w:rsidP="009442B8">
      <w:pPr>
        <w:rPr>
          <w:rFonts w:eastAsia="Times New Roman"/>
          <w:szCs w:val="24"/>
        </w:rPr>
      </w:pPr>
      <w:r w:rsidRPr="009C5E79">
        <w:rPr>
          <w:rFonts w:eastAsia="Times New Roman"/>
          <w:szCs w:val="24"/>
        </w:rPr>
        <w:lastRenderedPageBreak/>
        <w:t xml:space="preserve">K souladu s právy obsaženými v Listině </w:t>
      </w:r>
      <w:r w:rsidR="00C0020D">
        <w:rPr>
          <w:rFonts w:eastAsia="Times New Roman"/>
          <w:szCs w:val="24"/>
        </w:rPr>
        <w:t xml:space="preserve">EU </w:t>
      </w:r>
      <w:r>
        <w:rPr>
          <w:rFonts w:eastAsia="Times New Roman"/>
          <w:szCs w:val="24"/>
        </w:rPr>
        <w:t xml:space="preserve">se vyjadřuje </w:t>
      </w:r>
      <w:r w:rsidR="00883B54">
        <w:rPr>
          <w:rFonts w:eastAsia="Times New Roman"/>
          <w:szCs w:val="24"/>
        </w:rPr>
        <w:t xml:space="preserve">131. </w:t>
      </w:r>
      <w:r>
        <w:rPr>
          <w:rFonts w:eastAsia="Times New Roman"/>
          <w:szCs w:val="24"/>
        </w:rPr>
        <w:t xml:space="preserve">recitál </w:t>
      </w:r>
      <w:r w:rsidR="00C0020D">
        <w:rPr>
          <w:rFonts w:eastAsia="Times New Roman"/>
          <w:szCs w:val="24"/>
        </w:rPr>
        <w:t xml:space="preserve">AML </w:t>
      </w:r>
      <w:r w:rsidRPr="009C5E79">
        <w:rPr>
          <w:rFonts w:eastAsia="Times New Roman"/>
          <w:szCs w:val="24"/>
        </w:rPr>
        <w:t xml:space="preserve">směrnice tak, že </w:t>
      </w:r>
      <w:r w:rsidR="00C0020D">
        <w:rPr>
          <w:rFonts w:eastAsia="Times New Roman"/>
          <w:szCs w:val="24"/>
        </w:rPr>
        <w:t xml:space="preserve">AML </w:t>
      </w:r>
      <w:r w:rsidRPr="009C5E79">
        <w:rPr>
          <w:rFonts w:eastAsia="Times New Roman"/>
          <w:szCs w:val="24"/>
        </w:rPr>
        <w:t xml:space="preserve">směrnice dodržuje základní práva a ctí zásady uznávané Listinou </w:t>
      </w:r>
      <w:r w:rsidR="00C0020D">
        <w:rPr>
          <w:rFonts w:eastAsia="Times New Roman"/>
          <w:szCs w:val="24"/>
        </w:rPr>
        <w:t xml:space="preserve">EU </w:t>
      </w:r>
      <w:r w:rsidRPr="009C5E79">
        <w:rPr>
          <w:rFonts w:eastAsia="Times New Roman"/>
          <w:szCs w:val="24"/>
        </w:rPr>
        <w:t>zejména právo na respektování soukromého a rodinného života (článek 7 Listiny</w:t>
      </w:r>
      <w:r w:rsidRPr="007A325F">
        <w:rPr>
          <w:rFonts w:eastAsia="Times New Roman"/>
          <w:szCs w:val="24"/>
        </w:rPr>
        <w:t xml:space="preserve"> EU), právo na ochranu osobních údajů (článek 8 Listiny EU) a svobodu podnikání (článek 16 Listiny EU).</w:t>
      </w:r>
      <w:r>
        <w:rPr>
          <w:rFonts w:eastAsia="Times New Roman"/>
          <w:szCs w:val="24"/>
        </w:rPr>
        <w:t xml:space="preserve"> </w:t>
      </w:r>
    </w:p>
    <w:p w14:paraId="670FF5B9" w14:textId="76B84A72" w:rsidR="00871FEC" w:rsidRDefault="00871FEC" w:rsidP="00871FEC">
      <w:r>
        <w:t>Návrh</w:t>
      </w:r>
      <w:r w:rsidRPr="001F044F">
        <w:t xml:space="preserve"> se </w:t>
      </w:r>
      <w:r>
        <w:t>také</w:t>
      </w:r>
      <w:r w:rsidRPr="001F044F">
        <w:t xml:space="preserve"> dotýká </w:t>
      </w:r>
      <w:r w:rsidR="00C0020D">
        <w:t>otázek upravených GDPR. T</w:t>
      </w:r>
      <w:r>
        <w:t xml:space="preserve">ato problematika je </w:t>
      </w:r>
      <w:r w:rsidR="009442B8">
        <w:t>blíže</w:t>
      </w:r>
      <w:r>
        <w:t xml:space="preserve"> rozebrána v kapitole</w:t>
      </w:r>
      <w:r w:rsidRPr="001F044F">
        <w:t xml:space="preserve"> 8.</w:t>
      </w:r>
      <w:r w:rsidR="00C0020D">
        <w:t xml:space="preserve"> </w:t>
      </w:r>
      <w:r>
        <w:t xml:space="preserve">– </w:t>
      </w:r>
      <w:r w:rsidRPr="001F044F">
        <w:t>zhodnocení dopadů navrhovaného řešení ve vztahu k ochraně soukromí a</w:t>
      </w:r>
      <w:r w:rsidR="00970527">
        <w:t> </w:t>
      </w:r>
      <w:r w:rsidRPr="001F044F">
        <w:t>osobních údajů).</w:t>
      </w:r>
    </w:p>
    <w:p w14:paraId="4EEA8C3B" w14:textId="79ACBD28" w:rsidR="009442B8" w:rsidRDefault="00DF7F72" w:rsidP="009442B8">
      <w:pPr>
        <w:pStyle w:val="Nadpis3"/>
      </w:pPr>
      <w:r>
        <w:t xml:space="preserve">Rozsudek </w:t>
      </w:r>
      <w:proofErr w:type="spellStart"/>
      <w:r>
        <w:t>Sovim</w:t>
      </w:r>
      <w:proofErr w:type="spellEnd"/>
    </w:p>
    <w:p w14:paraId="00ECF847" w14:textId="5A27DD0F" w:rsidR="00871FEC" w:rsidRPr="00871FEC" w:rsidRDefault="009442B8" w:rsidP="00871FEC">
      <w:r>
        <w:t xml:space="preserve">Nový režim přístupu veřejnosti k informacím o skutečných majitelích je </w:t>
      </w:r>
      <w:r w:rsidR="00A54C54">
        <w:t xml:space="preserve">jak na úrovni návrhu, tak na úrovni transponované 6. AML směrnice, </w:t>
      </w:r>
      <w:r>
        <w:t>reakcí na r</w:t>
      </w:r>
      <w:r w:rsidRPr="009442B8">
        <w:t>ozsud</w:t>
      </w:r>
      <w:r>
        <w:t>ek</w:t>
      </w:r>
      <w:r w:rsidRPr="009442B8">
        <w:t xml:space="preserve"> </w:t>
      </w:r>
      <w:proofErr w:type="spellStart"/>
      <w:r w:rsidR="00C0020D">
        <w:t>Sovim</w:t>
      </w:r>
      <w:proofErr w:type="spellEnd"/>
      <w:r w:rsidR="00C0020D">
        <w:t>.</w:t>
      </w:r>
    </w:p>
    <w:p w14:paraId="53A7BCC1" w14:textId="086ECD0B" w:rsidR="009442B8" w:rsidRDefault="00E144D3" w:rsidP="009442B8">
      <w:pPr>
        <w:rPr>
          <w:rStyle w:val="affairetitle"/>
        </w:rPr>
      </w:pPr>
      <w:r>
        <w:t>SDEU</w:t>
      </w:r>
      <w:r w:rsidR="009442B8">
        <w:rPr>
          <w:rStyle w:val="affairetitle"/>
        </w:rPr>
        <w:t xml:space="preserve"> rozhodl o neplatnosti čl. 1 </w:t>
      </w:r>
      <w:r w:rsidR="00564DB9">
        <w:rPr>
          <w:rStyle w:val="affairetitle"/>
        </w:rPr>
        <w:t xml:space="preserve">odst. </w:t>
      </w:r>
      <w:r w:rsidR="009442B8">
        <w:rPr>
          <w:rStyle w:val="affairetitle"/>
        </w:rPr>
        <w:t xml:space="preserve">15 písm. c) </w:t>
      </w:r>
      <w:r w:rsidR="004D7A43">
        <w:t>páté</w:t>
      </w:r>
      <w:r w:rsidR="00C0020D">
        <w:t xml:space="preserve"> AML směrnice</w:t>
      </w:r>
      <w:r w:rsidR="004E746D">
        <w:t xml:space="preserve"> </w:t>
      </w:r>
      <w:r w:rsidR="009442B8">
        <w:t>v rozsahu</w:t>
      </w:r>
      <w:r w:rsidR="009442B8">
        <w:rPr>
          <w:rStyle w:val="affairetitle"/>
        </w:rPr>
        <w:t xml:space="preserve">, v němž byl tímto ustanovením změněn </w:t>
      </w:r>
      <w:r w:rsidR="009442B8" w:rsidRPr="00B46322">
        <w:rPr>
          <w:rStyle w:val="affairetitle"/>
        </w:rPr>
        <w:t xml:space="preserve">čl. 30 </w:t>
      </w:r>
      <w:r w:rsidR="00564DB9">
        <w:rPr>
          <w:rStyle w:val="affairetitle"/>
        </w:rPr>
        <w:t xml:space="preserve">odst. </w:t>
      </w:r>
      <w:r w:rsidR="009442B8" w:rsidRPr="00B46322">
        <w:rPr>
          <w:rStyle w:val="affairetitle"/>
        </w:rPr>
        <w:t xml:space="preserve">5 první pododstavec písm. c) </w:t>
      </w:r>
      <w:r w:rsidR="00C0020D">
        <w:rPr>
          <w:rStyle w:val="affairetitle"/>
        </w:rPr>
        <w:t xml:space="preserve">směrnice Evropského parlamentu a Rady (EU) </w:t>
      </w:r>
      <w:r w:rsidR="00C0020D" w:rsidRPr="009442B8">
        <w:t>2015/849</w:t>
      </w:r>
      <w:r w:rsidR="00C0020D">
        <w:rPr>
          <w:rStyle w:val="affairetitle"/>
        </w:rPr>
        <w:t xml:space="preserve"> ze dne 20. května 2015 o předcházení využívání finančního systému k praní peněz nebo financování terorismu, </w:t>
      </w:r>
      <w:r w:rsidR="00C0020D" w:rsidRPr="0046188A">
        <w:rPr>
          <w:rStyle w:val="affairetitle"/>
        </w:rPr>
        <w:t>o změně nařízení E</w:t>
      </w:r>
      <w:r w:rsidR="00C0020D">
        <w:rPr>
          <w:rStyle w:val="affairetitle"/>
        </w:rPr>
        <w:t>vropského parlamentu a </w:t>
      </w:r>
      <w:r w:rsidR="00C0020D" w:rsidRPr="0046188A">
        <w:rPr>
          <w:rStyle w:val="affairetitle"/>
        </w:rPr>
        <w:t>Rady (EU) č. 648/2012 a o zrušení směrnice Evropského</w:t>
      </w:r>
      <w:r w:rsidR="00C0020D">
        <w:rPr>
          <w:rStyle w:val="affairetitle"/>
        </w:rPr>
        <w:t xml:space="preserve"> parlamentu a Rady 2005/60/ES a </w:t>
      </w:r>
      <w:r w:rsidR="00C0020D" w:rsidRPr="0046188A">
        <w:rPr>
          <w:rStyle w:val="affairetitle"/>
        </w:rPr>
        <w:t>směrnice Komise 2006/70/ES</w:t>
      </w:r>
      <w:r w:rsidR="004D7A43">
        <w:rPr>
          <w:rStyle w:val="affairetitle"/>
        </w:rPr>
        <w:t xml:space="preserve"> (dále jen „</w:t>
      </w:r>
      <w:r w:rsidR="004D7A43">
        <w:t>čtvrtá</w:t>
      </w:r>
      <w:r w:rsidR="00C0020D">
        <w:rPr>
          <w:rStyle w:val="affairetitle"/>
        </w:rPr>
        <w:t> AML směrnice“)</w:t>
      </w:r>
      <w:r w:rsidR="004E746D">
        <w:rPr>
          <w:rStyle w:val="affairetitle"/>
        </w:rPr>
        <w:t xml:space="preserve">. Dotčené ustanovení měnilo </w:t>
      </w:r>
      <w:r w:rsidR="004D7A43">
        <w:t xml:space="preserve">čtvrtou </w:t>
      </w:r>
      <w:r w:rsidR="009442B8">
        <w:rPr>
          <w:rStyle w:val="affairetitle"/>
        </w:rPr>
        <w:t>AML směrnici v tom smyslu, že členským státům ukládalo zajistit, aby informace o</w:t>
      </w:r>
      <w:r w:rsidR="00970527">
        <w:rPr>
          <w:rStyle w:val="affairetitle"/>
        </w:rPr>
        <w:t> </w:t>
      </w:r>
      <w:r w:rsidR="009442B8">
        <w:rPr>
          <w:rStyle w:val="affairetitle"/>
        </w:rPr>
        <w:t xml:space="preserve">skutečných majitelích obchodních společností a jiných právnických osob byly dostupné jakékoliv osobě z široké veřejnosti. </w:t>
      </w:r>
      <w:r w:rsidR="004E746D">
        <w:rPr>
          <w:rStyle w:val="affairetitle"/>
        </w:rPr>
        <w:t xml:space="preserve">Podle předchozího znění </w:t>
      </w:r>
      <w:r w:rsidR="004D7A43">
        <w:t xml:space="preserve">čtvrté </w:t>
      </w:r>
      <w:r w:rsidR="009442B8">
        <w:rPr>
          <w:rStyle w:val="affairetitle"/>
        </w:rPr>
        <w:t>AML směrnice</w:t>
      </w:r>
      <w:r w:rsidR="004E746D">
        <w:rPr>
          <w:rStyle w:val="affairetitle"/>
        </w:rPr>
        <w:t>, tj. rozsudkem revokovaného,</w:t>
      </w:r>
      <w:r w:rsidR="009442B8">
        <w:rPr>
          <w:rStyle w:val="affairetitle"/>
        </w:rPr>
        <w:t xml:space="preserve"> </w:t>
      </w:r>
      <w:r w:rsidR="004E746D">
        <w:rPr>
          <w:rStyle w:val="affairetitle"/>
        </w:rPr>
        <w:t>má</w:t>
      </w:r>
      <w:r w:rsidR="009442B8">
        <w:rPr>
          <w:rStyle w:val="affairetitle"/>
        </w:rPr>
        <w:t xml:space="preserve"> být přístup k informacím zajištěn pouze pro osoby či organizace, které mohly prokázat oprávněný zájem. </w:t>
      </w:r>
    </w:p>
    <w:p w14:paraId="3CD30A0A" w14:textId="32ABEDD3" w:rsidR="004E746D" w:rsidRPr="004E746D" w:rsidRDefault="004E746D" w:rsidP="004E746D">
      <w:pPr>
        <w:rPr>
          <w:szCs w:val="24"/>
        </w:rPr>
      </w:pPr>
      <w:r w:rsidRPr="004E746D">
        <w:rPr>
          <w:szCs w:val="24"/>
        </w:rPr>
        <w:t>Podstatou rozsudku je vyhodnocení slučitelnosti požadavku na širokou veřejnost údajů o</w:t>
      </w:r>
      <w:r w:rsidR="00970527">
        <w:rPr>
          <w:szCs w:val="24"/>
        </w:rPr>
        <w:t> </w:t>
      </w:r>
      <w:r w:rsidRPr="004E746D">
        <w:rPr>
          <w:szCs w:val="24"/>
        </w:rPr>
        <w:t xml:space="preserve">skutečných majitelích s právem na soukromí a ochranu osobních údajů ve smyslu čl. 7 a 8 Listiny základních práv Evropské unie. SDEU uznává, že přístup veřejnosti je vhodným opatřením k dosahování legitimního cíle AML </w:t>
      </w:r>
      <w:r>
        <w:rPr>
          <w:szCs w:val="24"/>
        </w:rPr>
        <w:t>legislativy</w:t>
      </w:r>
      <w:r w:rsidRPr="004E746D">
        <w:rPr>
          <w:szCs w:val="24"/>
        </w:rPr>
        <w:t xml:space="preserve"> (</w:t>
      </w:r>
      <w:r w:rsidR="00564DB9">
        <w:rPr>
          <w:szCs w:val="24"/>
        </w:rPr>
        <w:t xml:space="preserve">odst. </w:t>
      </w:r>
      <w:r w:rsidRPr="004E746D">
        <w:rPr>
          <w:szCs w:val="24"/>
        </w:rPr>
        <w:t>67 rozsudku), avšak není přesvědčen o nezbytnosti tohoto opatření. Podle SDEU ne</w:t>
      </w:r>
      <w:r w:rsidR="00C0020D">
        <w:rPr>
          <w:szCs w:val="24"/>
        </w:rPr>
        <w:t>ní požadovaná veřejnost údajů v</w:t>
      </w:r>
      <w:r w:rsidR="00970527">
        <w:rPr>
          <w:szCs w:val="24"/>
        </w:rPr>
        <w:t> </w:t>
      </w:r>
      <w:r w:rsidRPr="004E746D">
        <w:rPr>
          <w:szCs w:val="24"/>
        </w:rPr>
        <w:t>registru proporcionálním, adekvátním opatřením v boji proti praní špinavých peněz a</w:t>
      </w:r>
      <w:r w:rsidR="00970527">
        <w:rPr>
          <w:szCs w:val="24"/>
        </w:rPr>
        <w:t> </w:t>
      </w:r>
      <w:r w:rsidRPr="004E746D">
        <w:rPr>
          <w:szCs w:val="24"/>
        </w:rPr>
        <w:t xml:space="preserve">financování terorismu (body 75 a 76 rozsudku). </w:t>
      </w:r>
    </w:p>
    <w:p w14:paraId="0734E359" w14:textId="2CCE02BC" w:rsidR="004E746D" w:rsidRPr="004E746D" w:rsidRDefault="004E746D" w:rsidP="004E746D">
      <w:pPr>
        <w:rPr>
          <w:szCs w:val="24"/>
        </w:rPr>
      </w:pPr>
      <w:r w:rsidRPr="004E746D">
        <w:rPr>
          <w:szCs w:val="24"/>
        </w:rPr>
        <w:t xml:space="preserve">Veřejnost údajů tedy musí být proporcionální, aby nedocházelo k nedůvodnému a excesivnímu zásahu do osobních údajů. Dle SDEU představuje AML </w:t>
      </w:r>
      <w:r w:rsidR="00A54C54">
        <w:rPr>
          <w:szCs w:val="24"/>
        </w:rPr>
        <w:t>legislativou</w:t>
      </w:r>
      <w:r w:rsidRPr="004E746D">
        <w:rPr>
          <w:szCs w:val="24"/>
        </w:rPr>
        <w:t xml:space="preserve"> požadované zpřístupnění údajů veřejnosti podstatně závažnější zásah do základních práv ve srovnání s předchozím režimem, aniž by však byl tento závažnější zásah kompenzován odpovídajícími výhodami, pokud jde o boj proti praní peněz a financování terorismu, či odpovídajícími zárukami umožňujícími subjektům údajů účinně chránit své osobní údaje před rizikem zneužití (body 83 a 85 rozsudku). Podle SDEU lze stejného cíle dosáhnout jinými vhodnými prostředky, které by více šetřily právo subjektů údajů na soukromí, konkrétně s využitím prokazování oprávněného zájmu na informace ze strany veřejnosti. Proporcionalitu (v kontextu zkoumaného cíle, tj. boje proti praní špinavých peněz a financování terorismu) nemůže zajistit ani předvídaná možnost </w:t>
      </w:r>
      <w:r w:rsidRPr="004E746D">
        <w:rPr>
          <w:szCs w:val="24"/>
        </w:rPr>
        <w:lastRenderedPageBreak/>
        <w:t>zavedení požadavku na registraci uživatelů informací či zpoplatnění přístupu (</w:t>
      </w:r>
      <w:r w:rsidR="00564DB9">
        <w:rPr>
          <w:szCs w:val="24"/>
        </w:rPr>
        <w:t xml:space="preserve">odst. </w:t>
      </w:r>
      <w:r w:rsidRPr="004E746D">
        <w:rPr>
          <w:szCs w:val="24"/>
        </w:rPr>
        <w:t xml:space="preserve">86 rozsudku). </w:t>
      </w:r>
    </w:p>
    <w:p w14:paraId="1D98457E" w14:textId="6FD76D79" w:rsidR="004E746D" w:rsidRPr="004E746D" w:rsidRDefault="004E746D" w:rsidP="004E746D">
      <w:pPr>
        <w:rPr>
          <w:szCs w:val="24"/>
        </w:rPr>
      </w:pPr>
      <w:r w:rsidRPr="004E746D">
        <w:rPr>
          <w:szCs w:val="24"/>
        </w:rPr>
        <w:t xml:space="preserve">Rozsudek navazuje na konstantní judikaturu SDEU ve věci ochrany osobních údajů. Soudní dvůr dlouhodobě klade důraz na ochranu osobních údajů, a to i na úkor jiných oprávněných zájmů. SDEU se vyjadřoval k proporcionalitě úpravy </w:t>
      </w:r>
      <w:r w:rsidR="004D7A43">
        <w:rPr>
          <w:lang w:bidi="en-US"/>
        </w:rPr>
        <w:t>páté</w:t>
      </w:r>
      <w:r w:rsidR="004D7A43" w:rsidRPr="00F85A48">
        <w:rPr>
          <w:lang w:bidi="en-US"/>
        </w:rPr>
        <w:t xml:space="preserve"> </w:t>
      </w:r>
      <w:r w:rsidRPr="004E746D">
        <w:rPr>
          <w:szCs w:val="24"/>
        </w:rPr>
        <w:t>AML směrnice, tzn. k podmínkám veřejnosti údajů v registru skutečných majitelů pro AML účely. Nepřímo se tím však vyjádřil i</w:t>
      </w:r>
      <w:r w:rsidR="00970527">
        <w:rPr>
          <w:szCs w:val="24"/>
        </w:rPr>
        <w:t> </w:t>
      </w:r>
      <w:r w:rsidRPr="004E746D">
        <w:rPr>
          <w:szCs w:val="24"/>
        </w:rPr>
        <w:t xml:space="preserve">k tomu, jaké jsou předpoklady úplné veřejnosti údajů o skutečném majiteli obecně. I ve vztahu k jiným účelům, pro které může být registr veřejný, je třeba zkoumat proporcionalitu tohoto opatření. </w:t>
      </w:r>
    </w:p>
    <w:p w14:paraId="75AEAE6A" w14:textId="44404D93" w:rsidR="004E746D" w:rsidRDefault="004E746D" w:rsidP="004E746D">
      <w:pPr>
        <w:rPr>
          <w:szCs w:val="24"/>
        </w:rPr>
      </w:pPr>
      <w:r w:rsidRPr="004E746D">
        <w:rPr>
          <w:szCs w:val="24"/>
        </w:rPr>
        <w:t xml:space="preserve">Zneplatněním příslušného ustanovení </w:t>
      </w:r>
      <w:r w:rsidR="004D7A43">
        <w:rPr>
          <w:lang w:bidi="en-US"/>
        </w:rPr>
        <w:t>páté</w:t>
      </w:r>
      <w:r w:rsidR="004D7A43" w:rsidRPr="00F85A48">
        <w:rPr>
          <w:lang w:bidi="en-US"/>
        </w:rPr>
        <w:t xml:space="preserve"> </w:t>
      </w:r>
      <w:r w:rsidRPr="004E746D">
        <w:rPr>
          <w:szCs w:val="24"/>
        </w:rPr>
        <w:t xml:space="preserve">AML směrnice požadujícího neomezený veřejný přístup se obnovil původní režim </w:t>
      </w:r>
      <w:r w:rsidR="004D7A43">
        <w:t xml:space="preserve">čtvrté </w:t>
      </w:r>
      <w:r w:rsidRPr="004E746D">
        <w:t>AML</w:t>
      </w:r>
      <w:r w:rsidRPr="004E746D">
        <w:rPr>
          <w:szCs w:val="24"/>
        </w:rPr>
        <w:t xml:space="preserve"> směrnice založený na prokázání tzv. oprávněného zájmu. Z hlediska souladu </w:t>
      </w:r>
      <w:r>
        <w:rPr>
          <w:szCs w:val="24"/>
        </w:rPr>
        <w:t xml:space="preserve">stávající národní úpravy </w:t>
      </w:r>
      <w:r w:rsidRPr="004E746D">
        <w:rPr>
          <w:szCs w:val="24"/>
        </w:rPr>
        <w:t>s</w:t>
      </w:r>
      <w:r>
        <w:rPr>
          <w:szCs w:val="24"/>
        </w:rPr>
        <w:t> </w:t>
      </w:r>
      <w:r w:rsidR="004D7A43" w:rsidRPr="00A64B5B">
        <w:rPr>
          <w:lang w:bidi="en-US"/>
        </w:rPr>
        <w:t>pát</w:t>
      </w:r>
      <w:r w:rsidR="00A64B5B">
        <w:rPr>
          <w:lang w:bidi="en-US"/>
        </w:rPr>
        <w:t>ou</w:t>
      </w:r>
      <w:r w:rsidR="004D7A43" w:rsidRPr="00F85A48">
        <w:rPr>
          <w:lang w:bidi="en-US"/>
        </w:rPr>
        <w:t xml:space="preserve"> </w:t>
      </w:r>
      <w:r>
        <w:rPr>
          <w:szCs w:val="24"/>
        </w:rPr>
        <w:t>AML směrnicí</w:t>
      </w:r>
      <w:r w:rsidRPr="004E746D">
        <w:rPr>
          <w:szCs w:val="24"/>
        </w:rPr>
        <w:t xml:space="preserve"> </w:t>
      </w:r>
      <w:r>
        <w:rPr>
          <w:szCs w:val="24"/>
        </w:rPr>
        <w:t xml:space="preserve">tuzemský </w:t>
      </w:r>
      <w:r w:rsidRPr="004E746D">
        <w:rPr>
          <w:szCs w:val="24"/>
        </w:rPr>
        <w:t xml:space="preserve">širší režim veřejnosti </w:t>
      </w:r>
      <w:r>
        <w:rPr>
          <w:szCs w:val="24"/>
        </w:rPr>
        <w:t xml:space="preserve">(bez ověřování oprávněného zájmu) </w:t>
      </w:r>
      <w:r w:rsidRPr="004E746D">
        <w:rPr>
          <w:szCs w:val="24"/>
        </w:rPr>
        <w:t xml:space="preserve">problém nepůsobí, protože směrnice </w:t>
      </w:r>
      <w:r w:rsidR="00C0020D">
        <w:rPr>
          <w:szCs w:val="24"/>
        </w:rPr>
        <w:t>je založena na principu</w:t>
      </w:r>
      <w:r w:rsidRPr="004E746D">
        <w:rPr>
          <w:szCs w:val="24"/>
        </w:rPr>
        <w:t xml:space="preserve"> minimální harmonizace</w:t>
      </w:r>
      <w:r w:rsidR="004D7A43">
        <w:rPr>
          <w:szCs w:val="24"/>
        </w:rPr>
        <w:t xml:space="preserve"> (čl. 5 </w:t>
      </w:r>
      <w:r w:rsidR="004D7A43">
        <w:rPr>
          <w:lang w:bidi="en-US"/>
        </w:rPr>
        <w:t>páté</w:t>
      </w:r>
      <w:r w:rsidR="004D7A43" w:rsidRPr="00F85A48">
        <w:rPr>
          <w:lang w:bidi="en-US"/>
        </w:rPr>
        <w:t xml:space="preserve"> </w:t>
      </w:r>
      <w:r>
        <w:rPr>
          <w:szCs w:val="24"/>
        </w:rPr>
        <w:t>AML směrnice)</w:t>
      </w:r>
      <w:r w:rsidRPr="004E746D">
        <w:rPr>
          <w:szCs w:val="24"/>
        </w:rPr>
        <w:t xml:space="preserve">, tj. je možné přijmout přísnější vnitrostátní právní úpravu v oblasti AML. </w:t>
      </w:r>
      <w:r>
        <w:rPr>
          <w:szCs w:val="24"/>
        </w:rPr>
        <w:t xml:space="preserve">Jak bylo však výše uvedeno, stávající </w:t>
      </w:r>
      <w:r w:rsidR="00B457A3">
        <w:rPr>
          <w:szCs w:val="24"/>
        </w:rPr>
        <w:t xml:space="preserve">úprava jednak není v souladu s požadavky nové 6. AML směrnice, jednak existuje riziko, že by mohla být </w:t>
      </w:r>
      <w:r w:rsidR="00312951">
        <w:rPr>
          <w:szCs w:val="24"/>
        </w:rPr>
        <w:t xml:space="preserve">na národní úrovni zpochybněna </w:t>
      </w:r>
      <w:r w:rsidR="00B457A3">
        <w:rPr>
          <w:szCs w:val="24"/>
        </w:rPr>
        <w:t xml:space="preserve">její ústavnost. </w:t>
      </w:r>
    </w:p>
    <w:p w14:paraId="18B12174" w14:textId="7FCFAAB9" w:rsidR="00292C09" w:rsidRDefault="00C0020D" w:rsidP="00A54C54">
      <w:r>
        <w:t>Přístup</w:t>
      </w:r>
      <w:r w:rsidR="00A54C54">
        <w:t xml:space="preserve"> k údajům v registru může mít dle SDEU ten, kdo prokáže svůj zájem na znalosti těchto údajů v souvislosti s danými cíli (</w:t>
      </w:r>
      <w:r w:rsidR="00564DB9">
        <w:t xml:space="preserve">odst. </w:t>
      </w:r>
      <w:r w:rsidR="00A54C54">
        <w:t xml:space="preserve">74 rozsudku). To, zda existuje </w:t>
      </w:r>
      <w:r>
        <w:t>u žadatele</w:t>
      </w:r>
      <w:r w:rsidR="00A54C54">
        <w:t xml:space="preserve"> oprávněný zájem, vyžaduje posouzení jednotlivých žadatelů v každém konkrétním případě. SDEU situaci částečně zjednodušil, když konstatoval oprávněný zájem u některých skupin veřejnosti, konkrétně novinářů a nevládních organizací, které se věnují prevenci a boji proti praní peněz a</w:t>
      </w:r>
      <w:r w:rsidR="00970527">
        <w:t> </w:t>
      </w:r>
      <w:r w:rsidR="00A54C54">
        <w:t>financová</w:t>
      </w:r>
      <w:r w:rsidR="00292C09">
        <w:t>ní terorismu (</w:t>
      </w:r>
      <w:r w:rsidR="00564DB9">
        <w:t xml:space="preserve">odst. </w:t>
      </w:r>
      <w:r w:rsidR="00292C09">
        <w:t>74 rozsudku).</w:t>
      </w:r>
    </w:p>
    <w:p w14:paraId="648190A6" w14:textId="0BCBCBB1" w:rsidR="00A54C54" w:rsidRPr="00945634" w:rsidRDefault="00292C09" w:rsidP="004E746D">
      <w:r>
        <w:t xml:space="preserve">SDEU shledal existenci oprávněného zájmu i u dalších skupin osob, přičemž jeho cílem rozhodně nebylo předložit jejich vyčerpávající výčet. </w:t>
      </w:r>
      <w:r w:rsidR="0076109F">
        <w:t>V</w:t>
      </w:r>
      <w:r>
        <w:t xml:space="preserve"> tomto ohledu </w:t>
      </w:r>
      <w:r w:rsidR="0076109F">
        <w:t xml:space="preserve">6. AML směrnice </w:t>
      </w:r>
      <w:r>
        <w:t>podmínku existence oprávněného zájmu zachovává a zpřesňuje</w:t>
      </w:r>
      <w:r w:rsidR="0076109F">
        <w:t xml:space="preserve"> a obsahuje</w:t>
      </w:r>
      <w:r>
        <w:t xml:space="preserve"> široký výčet skupin subjektů, u nichž oprávněný zájem o přístup</w:t>
      </w:r>
      <w:r w:rsidR="0076109F">
        <w:t xml:space="preserve"> k údajům existuje. Návrh zákona</w:t>
      </w:r>
      <w:r>
        <w:t xml:space="preserve"> přirozeně tuto </w:t>
      </w:r>
      <w:r w:rsidR="00945634">
        <w:t>úpravu</w:t>
      </w:r>
      <w:r>
        <w:t xml:space="preserve"> </w:t>
      </w:r>
      <w:r w:rsidR="0076109F">
        <w:t xml:space="preserve">6. AML </w:t>
      </w:r>
      <w:r>
        <w:t xml:space="preserve">směrnice následuje.  </w:t>
      </w:r>
    </w:p>
    <w:p w14:paraId="2D97C504" w14:textId="754EA59B" w:rsidR="005A04B3" w:rsidRDefault="005A04B3" w:rsidP="005A04B3">
      <w:pPr>
        <w:pStyle w:val="Nadpis2"/>
      </w:pPr>
      <w:r w:rsidRPr="00492DD8">
        <w:t xml:space="preserve">Zhodnocení </w:t>
      </w:r>
      <w:r w:rsidR="005864E5">
        <w:t>souladu návrhu</w:t>
      </w:r>
      <w:r w:rsidRPr="00492DD8">
        <w:t xml:space="preserve"> s mezinárodními smlouvami, jimiž je Česká republika vázána</w:t>
      </w:r>
    </w:p>
    <w:p w14:paraId="576721D0" w14:textId="3E4C8A3D" w:rsidR="00174B08" w:rsidRPr="00892D1E" w:rsidRDefault="00892D1E" w:rsidP="00892D1E">
      <w:pPr>
        <w:rPr>
          <w:szCs w:val="24"/>
        </w:rPr>
      </w:pPr>
      <w:r w:rsidRPr="00CD5CB2">
        <w:rPr>
          <w:szCs w:val="24"/>
        </w:rPr>
        <w:t>Návrh je v souladu s mezinárodními smlouvami, jimiž je Česká republika vázána. N</w:t>
      </w:r>
      <w:r w:rsidR="008C3E01">
        <w:rPr>
          <w:szCs w:val="24"/>
        </w:rPr>
        <w:t xml:space="preserve">ávrh je transpozicí </w:t>
      </w:r>
      <w:r w:rsidR="00B457A3">
        <w:rPr>
          <w:szCs w:val="24"/>
        </w:rPr>
        <w:t xml:space="preserve">6. </w:t>
      </w:r>
      <w:r w:rsidRPr="00CD5CB2">
        <w:rPr>
          <w:szCs w:val="24"/>
        </w:rPr>
        <w:t xml:space="preserve">AML směrnice, která </w:t>
      </w:r>
      <w:r w:rsidR="00B457A3">
        <w:rPr>
          <w:szCs w:val="24"/>
        </w:rPr>
        <w:t xml:space="preserve">ve vztahu k evidování skutečných majitelů </w:t>
      </w:r>
      <w:r w:rsidRPr="00CD5CB2">
        <w:rPr>
          <w:szCs w:val="24"/>
        </w:rPr>
        <w:t xml:space="preserve">vychází zejména z doporučení 24 a 25 </w:t>
      </w:r>
      <w:r w:rsidR="00B457A3">
        <w:rPr>
          <w:szCs w:val="24"/>
        </w:rPr>
        <w:t>Finančního akčního</w:t>
      </w:r>
      <w:r w:rsidR="00B457A3" w:rsidRPr="001F044F">
        <w:rPr>
          <w:szCs w:val="24"/>
        </w:rPr>
        <w:t xml:space="preserve"> výbor</w:t>
      </w:r>
      <w:r w:rsidR="0076109F">
        <w:rPr>
          <w:szCs w:val="24"/>
        </w:rPr>
        <w:t>u (</w:t>
      </w:r>
      <w:r w:rsidR="00B457A3">
        <w:rPr>
          <w:szCs w:val="24"/>
        </w:rPr>
        <w:t>„</w:t>
      </w:r>
      <w:r w:rsidR="00A85EC5" w:rsidRPr="001F044F">
        <w:rPr>
          <w:szCs w:val="24"/>
        </w:rPr>
        <w:t>FATF</w:t>
      </w:r>
      <w:r w:rsidR="00B457A3">
        <w:rPr>
          <w:szCs w:val="24"/>
        </w:rPr>
        <w:t>“)</w:t>
      </w:r>
      <w:r w:rsidR="00A85EC5">
        <w:rPr>
          <w:szCs w:val="24"/>
        </w:rPr>
        <w:t xml:space="preserve">. </w:t>
      </w:r>
      <w:r w:rsidR="00B457A3" w:rsidRPr="001F044F">
        <w:rPr>
          <w:szCs w:val="24"/>
        </w:rPr>
        <w:t>FATF</w:t>
      </w:r>
      <w:r w:rsidR="00B457A3">
        <w:rPr>
          <w:szCs w:val="24"/>
        </w:rPr>
        <w:t xml:space="preserve"> </w:t>
      </w:r>
      <w:r w:rsidR="00A85EC5">
        <w:rPr>
          <w:szCs w:val="24"/>
        </w:rPr>
        <w:t>je</w:t>
      </w:r>
      <w:r w:rsidRPr="00CD5CB2">
        <w:rPr>
          <w:szCs w:val="24"/>
        </w:rPr>
        <w:t xml:space="preserve"> </w:t>
      </w:r>
      <w:r w:rsidR="008C3E01" w:rsidRPr="00CD5CB2">
        <w:rPr>
          <w:szCs w:val="24"/>
        </w:rPr>
        <w:t>mezinárodní mezivládní organizace</w:t>
      </w:r>
      <w:r w:rsidR="008C3E01">
        <w:rPr>
          <w:szCs w:val="24"/>
        </w:rPr>
        <w:t>,</w:t>
      </w:r>
      <w:r w:rsidR="008C3E01" w:rsidRPr="00CD5CB2">
        <w:rPr>
          <w:szCs w:val="24"/>
        </w:rPr>
        <w:t xml:space="preserve"> </w:t>
      </w:r>
      <w:r w:rsidRPr="00CD5CB2">
        <w:rPr>
          <w:szCs w:val="24"/>
        </w:rPr>
        <w:t xml:space="preserve">která je obecně považována za nejvýznamnějšího tvůrce globálních standardů boje proti praní špinavých peněz. Členem FATF je i Evropská komise, přidruženým členem FATF je tzv. </w:t>
      </w:r>
      <w:proofErr w:type="spellStart"/>
      <w:proofErr w:type="gramStart"/>
      <w:r w:rsidRPr="00CD5CB2">
        <w:rPr>
          <w:szCs w:val="24"/>
        </w:rPr>
        <w:t>Moneyval</w:t>
      </w:r>
      <w:proofErr w:type="spellEnd"/>
      <w:r w:rsidRPr="00CD5CB2">
        <w:rPr>
          <w:szCs w:val="24"/>
        </w:rPr>
        <w:t>,</w:t>
      </w:r>
      <w:proofErr w:type="gramEnd"/>
      <w:r w:rsidRPr="00CD5CB2">
        <w:rPr>
          <w:szCs w:val="24"/>
        </w:rPr>
        <w:t xml:space="preserve"> neboli Výbor expertů pro hodnocení opatření proti praní špinavých peněz a</w:t>
      </w:r>
      <w:r w:rsidR="00970527">
        <w:rPr>
          <w:szCs w:val="24"/>
        </w:rPr>
        <w:t> </w:t>
      </w:r>
      <w:r w:rsidRPr="00CD5CB2">
        <w:rPr>
          <w:szCs w:val="24"/>
        </w:rPr>
        <w:t xml:space="preserve">financování terorismu. </w:t>
      </w:r>
      <w:proofErr w:type="spellStart"/>
      <w:r w:rsidRPr="00CD5CB2">
        <w:rPr>
          <w:szCs w:val="24"/>
        </w:rPr>
        <w:t>Moneyval</w:t>
      </w:r>
      <w:proofErr w:type="spellEnd"/>
      <w:r w:rsidRPr="00CD5CB2">
        <w:rPr>
          <w:szCs w:val="24"/>
        </w:rPr>
        <w:t xml:space="preserve"> byl založen v roce 1997 a v roce 2011 </w:t>
      </w:r>
      <w:r w:rsidR="002A441A">
        <w:rPr>
          <w:szCs w:val="24"/>
        </w:rPr>
        <w:t xml:space="preserve">byl přijat </w:t>
      </w:r>
      <w:r w:rsidRPr="00CD5CB2">
        <w:rPr>
          <w:szCs w:val="24"/>
        </w:rPr>
        <w:t xml:space="preserve">nový statut, kterým byl </w:t>
      </w:r>
      <w:proofErr w:type="spellStart"/>
      <w:r w:rsidRPr="00CD5CB2">
        <w:rPr>
          <w:szCs w:val="24"/>
        </w:rPr>
        <w:t>Moneyval</w:t>
      </w:r>
      <w:proofErr w:type="spellEnd"/>
      <w:r w:rsidRPr="00CD5CB2">
        <w:rPr>
          <w:szCs w:val="24"/>
        </w:rPr>
        <w:t xml:space="preserve"> povýšen na nezávislý monitorovací orgán v rámci Rady Evropy, jenž je přímo odpovědný Výboru ministrů. Při své činn</w:t>
      </w:r>
      <w:r w:rsidR="008C3E01">
        <w:rPr>
          <w:szCs w:val="24"/>
        </w:rPr>
        <w:t>osti vychází ze standardů FATF.</w:t>
      </w:r>
    </w:p>
    <w:p w14:paraId="326DF78E" w14:textId="1A9BF330" w:rsidR="00161E7A" w:rsidRPr="00492DD8" w:rsidRDefault="00161E7A" w:rsidP="008908DF">
      <w:pPr>
        <w:pStyle w:val="Nadpis2"/>
        <w:ind w:left="709" w:hanging="709"/>
        <w:rPr>
          <w:lang w:bidi="en-US"/>
        </w:rPr>
      </w:pPr>
      <w:r w:rsidRPr="00492DD8">
        <w:rPr>
          <w:lang w:bidi="en-US"/>
        </w:rPr>
        <w:lastRenderedPageBreak/>
        <w:t xml:space="preserve">Zhodnocení </w:t>
      </w:r>
      <w:r w:rsidR="005864E5">
        <w:rPr>
          <w:lang w:bidi="en-US"/>
        </w:rPr>
        <w:t>souladu návrhu</w:t>
      </w:r>
      <w:r w:rsidRPr="00492DD8">
        <w:rPr>
          <w:lang w:bidi="en-US"/>
        </w:rPr>
        <w:t xml:space="preserve"> s ústavním pořádkem České republiky </w:t>
      </w:r>
    </w:p>
    <w:p w14:paraId="0800AA16" w14:textId="3A52367C" w:rsidR="00034B43" w:rsidRPr="0053125A" w:rsidRDefault="00AF07B4" w:rsidP="00034B43">
      <w:pPr>
        <w:rPr>
          <w:rFonts w:eastAsiaTheme="majorEastAsia" w:cstheme="majorBidi"/>
          <w:b/>
          <w:bCs/>
          <w:vanish/>
        </w:rPr>
      </w:pPr>
      <w:r>
        <w:t>Návrhem se zásadně mění režim přístupu veřejnosti k údajům o skutečných majitelích. Jak bylo jíž výše popisováno, cílem je zvýšení úrovně ochrany soukromí a osob</w:t>
      </w:r>
      <w:r w:rsidR="0076109F">
        <w:t>ních údajů skutečných majitelů.</w:t>
      </w:r>
      <w:r>
        <w:t xml:space="preserve"> Z hlediska </w:t>
      </w:r>
      <w:r w:rsidRPr="007A325F">
        <w:t xml:space="preserve">Listiny základních práv a </w:t>
      </w:r>
      <w:r w:rsidR="0076109F">
        <w:t>svobod</w:t>
      </w:r>
      <w:r w:rsidR="00564DB9">
        <w:t xml:space="preserve"> </w:t>
      </w:r>
      <w:r w:rsidRPr="007A325F">
        <w:t>(dále jen „Listina“)</w:t>
      </w:r>
      <w:r>
        <w:t xml:space="preserve"> je relevantní vztah k</w:t>
      </w:r>
      <w:r w:rsidR="00970527">
        <w:t> </w:t>
      </w:r>
      <w:r w:rsidRPr="00AF07B4">
        <w:t>práv</w:t>
      </w:r>
      <w:r>
        <w:t>u</w:t>
      </w:r>
      <w:r w:rsidRPr="00AF07B4">
        <w:t xml:space="preserve"> na ochranu před neoprávněným zasahováním do soukromého a rodinného života</w:t>
      </w:r>
      <w:r>
        <w:t xml:space="preserve"> (čl.</w:t>
      </w:r>
      <w:r w:rsidR="00970527">
        <w:t> </w:t>
      </w:r>
      <w:r>
        <w:t xml:space="preserve">10 odst. 1 Listiny) a </w:t>
      </w:r>
      <w:r w:rsidRPr="00AF07B4">
        <w:t>práv</w:t>
      </w:r>
      <w:r>
        <w:t>u</w:t>
      </w:r>
      <w:r w:rsidRPr="00AF07B4">
        <w:t xml:space="preserve"> na ochranu před neoprávněným shromažďováním, zveřejňováním nebo jiným zneužíváním údajů o své osobě</w:t>
      </w:r>
      <w:r>
        <w:t xml:space="preserve"> (čl. 10 odst. 2 Listiny)</w:t>
      </w:r>
      <w:r w:rsidRPr="00AF07B4">
        <w:t>.</w:t>
      </w:r>
      <w:r>
        <w:t xml:space="preserve"> Uvedená úprava Listiny odpovídá </w:t>
      </w:r>
      <w:r w:rsidRPr="00AF07B4">
        <w:t>čl. 7 a 8 Listiny</w:t>
      </w:r>
      <w:r w:rsidR="00564DB9">
        <w:t xml:space="preserve"> </w:t>
      </w:r>
      <w:r w:rsidRPr="00AF07B4">
        <w:t>EU</w:t>
      </w:r>
      <w:r>
        <w:t>.</w:t>
      </w:r>
      <w:r w:rsidR="00034B43" w:rsidRPr="00034B43">
        <w:t xml:space="preserve"> </w:t>
      </w:r>
      <w:r w:rsidR="00034B43">
        <w:t xml:space="preserve">V jiných ohledem se návrh Listiny, ani jiných součástí ústavního pořádku, nedotýká. </w:t>
      </w:r>
    </w:p>
    <w:p w14:paraId="5F73AC17" w14:textId="42404BFC" w:rsidR="00AF07B4" w:rsidRDefault="00AF07B4" w:rsidP="00AF07B4"/>
    <w:p w14:paraId="0E362622" w14:textId="6B504ECB" w:rsidR="0053125A" w:rsidRPr="0053125A" w:rsidRDefault="00AF07B4" w:rsidP="00034B43">
      <w:pPr>
        <w:rPr>
          <w:rFonts w:eastAsiaTheme="majorEastAsia" w:cstheme="majorBidi"/>
          <w:b/>
          <w:bCs/>
          <w:vanish/>
        </w:rPr>
      </w:pPr>
      <w:r>
        <w:t xml:space="preserve">Jak bylo výše uvedeno, NSS </w:t>
      </w:r>
      <w:r w:rsidR="00A54F98">
        <w:t xml:space="preserve">i NS </w:t>
      </w:r>
      <w:r>
        <w:t>dovodil (viz kapitola 2.1), že stávající úprava § 14 zákona o</w:t>
      </w:r>
      <w:r w:rsidR="00970527">
        <w:t> </w:t>
      </w:r>
      <w:r>
        <w:t>ESM představuje neproporcionální</w:t>
      </w:r>
      <w:r w:rsidRPr="00AF07B4">
        <w:t xml:space="preserve"> zásah do ústavně zaručených práv skutečných majitelů na ochranu soukromého a rodinného života a osobních údajů</w:t>
      </w:r>
      <w:r>
        <w:t xml:space="preserve">. Návrh proto tento nežádoucí stav odstraňuje a na základě transponované </w:t>
      </w:r>
      <w:r w:rsidR="00F44605">
        <w:t xml:space="preserve">6. AML </w:t>
      </w:r>
      <w:r>
        <w:t>směrnice upravuje režim,</w:t>
      </w:r>
      <w:r w:rsidR="0076109F">
        <w:t xml:space="preserve"> kdy přístup k údajům v evidenci</w:t>
      </w:r>
      <w:r>
        <w:t xml:space="preserve"> bude možný obecně jen na základě zákonem předpokládaných důvodů, respektive jen za určitými zákonnými účely. </w:t>
      </w:r>
      <w:r w:rsidR="00F44605">
        <w:t>Zásah do zaručených práv by tak nově měl být proporcionální a odůvodněný, což je rozvedeno v dalších kapitolách.</w:t>
      </w:r>
    </w:p>
    <w:p w14:paraId="10267966" w14:textId="77777777" w:rsidR="0053125A" w:rsidRPr="0053125A" w:rsidRDefault="0053125A" w:rsidP="0011141E">
      <w:pPr>
        <w:pStyle w:val="Odstavecseseznamem"/>
        <w:keepNext/>
        <w:keepLines/>
        <w:numPr>
          <w:ilvl w:val="0"/>
          <w:numId w:val="3"/>
        </w:numPr>
        <w:spacing w:before="240"/>
        <w:contextualSpacing w:val="0"/>
        <w:outlineLvl w:val="2"/>
        <w:rPr>
          <w:rFonts w:eastAsiaTheme="majorEastAsia" w:cstheme="majorBidi"/>
          <w:b/>
          <w:bCs/>
          <w:vanish/>
        </w:rPr>
      </w:pPr>
    </w:p>
    <w:p w14:paraId="7A65A73F" w14:textId="77777777" w:rsidR="0053125A" w:rsidRPr="0053125A" w:rsidRDefault="0053125A" w:rsidP="0011141E">
      <w:pPr>
        <w:pStyle w:val="Odstavecseseznamem"/>
        <w:keepNext/>
        <w:keepLines/>
        <w:numPr>
          <w:ilvl w:val="0"/>
          <w:numId w:val="3"/>
        </w:numPr>
        <w:spacing w:before="240"/>
        <w:contextualSpacing w:val="0"/>
        <w:outlineLvl w:val="2"/>
        <w:rPr>
          <w:rFonts w:eastAsiaTheme="majorEastAsia" w:cstheme="majorBidi"/>
          <w:b/>
          <w:bCs/>
          <w:vanish/>
        </w:rPr>
      </w:pPr>
    </w:p>
    <w:p w14:paraId="2B548147" w14:textId="19F623DA" w:rsidR="00F44001" w:rsidRPr="00A403D3" w:rsidRDefault="00F44001" w:rsidP="00AB1123"/>
    <w:p w14:paraId="4F4BF737" w14:textId="28ECDB45" w:rsidR="000C150C" w:rsidRDefault="0053125A" w:rsidP="000821D1">
      <w:pPr>
        <w:pStyle w:val="Nadpis2"/>
      </w:pPr>
      <w:r w:rsidRPr="00492DD8">
        <w:t>Předpokládaný hospodářský a finančn</w:t>
      </w:r>
      <w:r w:rsidR="005864E5">
        <w:t>í dopad návrhu</w:t>
      </w:r>
      <w:r w:rsidRPr="00492DD8">
        <w:t xml:space="preserve"> na státní rozpočet, ostatní veřejné rozpočty a na podnikatelské prostředí České republiky</w:t>
      </w:r>
      <w:r w:rsidR="000821D1">
        <w:t xml:space="preserve">; zhodnocení, zda návrhem zákona není zakládána veřejná podpora </w:t>
      </w:r>
    </w:p>
    <w:p w14:paraId="569ED772" w14:textId="042BB28F" w:rsidR="000821D1" w:rsidRDefault="00C65B93" w:rsidP="000821D1">
      <w:r>
        <w:t xml:space="preserve">S návrhem jsou z hospodářského a finančního hlediska spojeny spíše negativní dopady. Primárně neveřejný režim evidence bude obecně </w:t>
      </w:r>
      <w:r w:rsidR="0076109F">
        <w:t>spojen s nárůstem administrativních povinností a s tím spojenými finančními náklady</w:t>
      </w:r>
      <w:r>
        <w:t xml:space="preserve"> jak na straně státu, tak na straně soukromých subjektů. V širším kontextu existuje riziko, že ztížení přístupu veřejnosti k údajů</w:t>
      </w:r>
      <w:r w:rsidR="0076109F">
        <w:t>m</w:t>
      </w:r>
      <w:r>
        <w:t xml:space="preserve"> v evidenci povede postupně k snížení transparentnosti právnických osob</w:t>
      </w:r>
      <w:r w:rsidR="00970527">
        <w:t xml:space="preserve"> </w:t>
      </w:r>
      <w:r>
        <w:t>a právních uspořádání</w:t>
      </w:r>
      <w:r w:rsidRPr="00C65B93">
        <w:t xml:space="preserve"> </w:t>
      </w:r>
      <w:r w:rsidR="00754C55">
        <w:t>v České republice.</w:t>
      </w:r>
      <w:r>
        <w:t xml:space="preserve"> </w:t>
      </w:r>
      <w:r w:rsidR="00754C55" w:rsidRPr="00754C55">
        <w:t>Z tohoto hlediska může mít změna negativní vliv na me</w:t>
      </w:r>
      <w:r w:rsidR="00754C55">
        <w:t xml:space="preserve">zinárodní konkurenceschopnost České republiky. Dále </w:t>
      </w:r>
      <w:r>
        <w:t xml:space="preserve">může </w:t>
      </w:r>
      <w:r w:rsidR="00754C55">
        <w:t xml:space="preserve">být </w:t>
      </w:r>
      <w:r>
        <w:t xml:space="preserve">negativně </w:t>
      </w:r>
      <w:r w:rsidR="00754C55">
        <w:t>ovlivněno</w:t>
      </w:r>
      <w:r>
        <w:t xml:space="preserve"> </w:t>
      </w:r>
      <w:r w:rsidR="00754C55">
        <w:t>tuzemské podnikatelské prostředí i důvěra</w:t>
      </w:r>
      <w:r>
        <w:t xml:space="preserve"> v něj, a to jak ze strany široké veřejnosti, tak potenciálních smluvních stran či investorů. </w:t>
      </w:r>
    </w:p>
    <w:p w14:paraId="002B1558" w14:textId="4438EB12" w:rsidR="000821D1" w:rsidRDefault="000821D1" w:rsidP="000821D1">
      <w:r>
        <w:t>Návrhem zákona není zakládána veřejná podpora. Návrh se věcně nedotýká ani nezavádí jakékoli přímé či nepřímé</w:t>
      </w:r>
      <w:r w:rsidRPr="000821D1">
        <w:t xml:space="preserve"> poskyt</w:t>
      </w:r>
      <w:r>
        <w:t>ování výhod</w:t>
      </w:r>
      <w:r w:rsidRPr="000821D1">
        <w:t xml:space="preserve"> financovan</w:t>
      </w:r>
      <w:r>
        <w:t>ých</w:t>
      </w:r>
      <w:r w:rsidRPr="000821D1">
        <w:t xml:space="preserve"> ze státních prostředků</w:t>
      </w:r>
      <w:r>
        <w:t>.</w:t>
      </w:r>
    </w:p>
    <w:p w14:paraId="037FDFBB"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rPr>
      </w:pPr>
    </w:p>
    <w:p w14:paraId="0C5B5A56"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rPr>
      </w:pPr>
    </w:p>
    <w:p w14:paraId="0D4AB0D8"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rPr>
      </w:pPr>
    </w:p>
    <w:p w14:paraId="0EAA7297" w14:textId="77777777" w:rsidR="007C414B" w:rsidRPr="007C414B" w:rsidRDefault="007C414B" w:rsidP="007C414B">
      <w:pPr>
        <w:pStyle w:val="Odstavecseseznamem"/>
        <w:keepNext/>
        <w:keepLines/>
        <w:numPr>
          <w:ilvl w:val="0"/>
          <w:numId w:val="9"/>
        </w:numPr>
        <w:spacing w:before="240"/>
        <w:contextualSpacing w:val="0"/>
        <w:outlineLvl w:val="2"/>
        <w:rPr>
          <w:rFonts w:eastAsiaTheme="majorEastAsia" w:cstheme="majorBidi"/>
          <w:b/>
          <w:bCs/>
          <w:vanish/>
        </w:rPr>
      </w:pPr>
    </w:p>
    <w:p w14:paraId="5B2D767D" w14:textId="056F01F3" w:rsidR="0053125A" w:rsidRPr="0053125A" w:rsidRDefault="0053125A" w:rsidP="007C414B">
      <w:pPr>
        <w:pStyle w:val="Nadpis3"/>
        <w:numPr>
          <w:ilvl w:val="1"/>
          <w:numId w:val="9"/>
        </w:numPr>
      </w:pPr>
      <w:r w:rsidRPr="007C414B">
        <w:t>Stát</w:t>
      </w:r>
    </w:p>
    <w:p w14:paraId="7679E832" w14:textId="59138AD9" w:rsidR="00C65B93" w:rsidRDefault="00C65B93" w:rsidP="00C65B93">
      <w:r>
        <w:t xml:space="preserve">Nová úprava neveřejnosti a podmíněné přístupnosti evidence bude spojena jednak s nutností úpravy informačního systému, jednak s potřebou výkonu nové administrativně náročné agendy. V tomto směru bude dotčeno zejména Ministerstvo spravedlnosti jakožto správce informačního systému evidence skutečných majitelů a také subjekt, který je návrhem pověřen vyřizováním žádostí o přístup na základě </w:t>
      </w:r>
      <w:r w:rsidR="000821D1">
        <w:t>oprávněného</w:t>
      </w:r>
      <w:r>
        <w:t xml:space="preserve"> zájmu (v současnosti tato agenda neexistuje). </w:t>
      </w:r>
    </w:p>
    <w:p w14:paraId="0D7167DE" w14:textId="71D4520B" w:rsidR="00E86BCC" w:rsidRDefault="00C65B93" w:rsidP="00C65B93">
      <w:r>
        <w:t xml:space="preserve">Navrhovaná právní úprava bude vyžadovat rozsáhlou technickou úpravu informačního systému evidence skutečných majitelů. Bude třeba zásadně technicky rozpracovat přístup do evidence </w:t>
      </w:r>
      <w:r>
        <w:lastRenderedPageBreak/>
        <w:t>pro veřejnost. Bude třeba vytvořit rozhraní pro veřejnost, prostřednictvím kterého bude možné o přístup žádat a současně k údajům přistupovat. Bude třeba vytvořit nové formuláře a umožnit přístup s využitím prostředků elektronické identifikace. Bude muset existovat databáze registrovaných uživatelů s přístupem z řad veřejnosti. Bude přitom několik typů a úrovní takového přístupu, a to s ohledem na odlišná pravidla plynoucí</w:t>
      </w:r>
      <w:r w:rsidR="000200A3">
        <w:t xml:space="preserve"> z</w:t>
      </w:r>
      <w:r>
        <w:t xml:space="preserve"> návrhu, respektive z transponované AML směrnice.</w:t>
      </w:r>
      <w:r w:rsidR="00E86BCC">
        <w:t xml:space="preserve"> </w:t>
      </w:r>
      <w:r>
        <w:t xml:space="preserve">Bude třeba vypracovat uživatelské rozhraní pro pracovníky Ministerstva spravedlnosti, které bude přístup udělovat (na základě posouzení v řízení). </w:t>
      </w:r>
    </w:p>
    <w:p w14:paraId="2597682B" w14:textId="550220F4" w:rsidR="00C65B93" w:rsidRDefault="00C65B93" w:rsidP="00C65B93">
      <w:r>
        <w:t xml:space="preserve">Náklady na úpravy </w:t>
      </w:r>
      <w:r w:rsidR="00E86BCC">
        <w:t xml:space="preserve">stávajícího </w:t>
      </w:r>
      <w:r w:rsidR="00754C55">
        <w:t xml:space="preserve">informačního systému </w:t>
      </w:r>
      <w:r>
        <w:t>lze odhadovat na 10 až 15 milionů Kč.</w:t>
      </w:r>
      <w:r w:rsidR="00E86BCC" w:rsidRPr="00E86BCC">
        <w:t xml:space="preserve"> </w:t>
      </w:r>
      <w:r w:rsidR="00E86BCC">
        <w:t>S</w:t>
      </w:r>
      <w:r w:rsidR="00970527">
        <w:t> </w:t>
      </w:r>
      <w:r w:rsidR="00E86BCC" w:rsidRPr="00E86BCC">
        <w:t xml:space="preserve">ohledem na rozsah změn </w:t>
      </w:r>
      <w:r w:rsidR="00E86BCC">
        <w:t xml:space="preserve">je však možné, že bude třeba provést kompletní přepis </w:t>
      </w:r>
      <w:r w:rsidR="00E86BCC" w:rsidRPr="00E86BCC">
        <w:t xml:space="preserve">a upgrade </w:t>
      </w:r>
      <w:r w:rsidR="00E86BCC">
        <w:t>systému evidence skutečných majitelů ja</w:t>
      </w:r>
      <w:r w:rsidR="00E86BCC" w:rsidRPr="00E86BCC">
        <w:t xml:space="preserve">ko </w:t>
      </w:r>
      <w:r w:rsidR="00E86BCC">
        <w:t>celku. Nové požadavky představují zásadní změny datového modelu, které lze jen omezeně a s riziky zapracovat do stávající aplikace. Pouhá úprava stávající</w:t>
      </w:r>
      <w:r w:rsidR="00970527">
        <w:t>ho</w:t>
      </w:r>
      <w:r w:rsidR="00E86BCC">
        <w:t xml:space="preserve"> systému </w:t>
      </w:r>
      <w:r w:rsidR="00E86BCC" w:rsidRPr="00E86BCC">
        <w:t xml:space="preserve">by byla spojena s rizikem </w:t>
      </w:r>
      <w:r w:rsidR="00E86BCC">
        <w:t xml:space="preserve">jeho </w:t>
      </w:r>
      <w:r w:rsidR="00E86BCC" w:rsidRPr="00E86BCC">
        <w:t xml:space="preserve">destabilizace a nefunkčnosti. </w:t>
      </w:r>
      <w:r w:rsidR="00E86BCC">
        <w:t xml:space="preserve">Předběžný odhad nákladů na přepis </w:t>
      </w:r>
      <w:r w:rsidR="00E86BCC" w:rsidRPr="00E86BCC">
        <w:t xml:space="preserve">systému </w:t>
      </w:r>
      <w:r w:rsidR="00E86BCC">
        <w:t>je 45 </w:t>
      </w:r>
      <w:r w:rsidR="00970527">
        <w:t>milionů</w:t>
      </w:r>
      <w:r w:rsidR="00E86BCC">
        <w:t xml:space="preserve"> Kč. </w:t>
      </w:r>
      <w:r>
        <w:t xml:space="preserve">V souvislosti s úpravou jsou spojeny také opakující se náklady na straně Ministerstva spravedlnosti jakožto správce informačního systému. </w:t>
      </w:r>
    </w:p>
    <w:p w14:paraId="64929F69" w14:textId="2405AB23" w:rsidR="00C65B93" w:rsidRDefault="00C65B93" w:rsidP="00C65B93">
      <w:r>
        <w:t>Vedle technických úprav vznikne nová agenda spojená s vyřizováním a posuzováním žádostí o</w:t>
      </w:r>
      <w:r w:rsidR="00970527">
        <w:t> </w:t>
      </w:r>
      <w:r>
        <w:t>přístup do evidence skutečných majitelů. Tato nová agenda bude plněna a její provoz financován</w:t>
      </w:r>
      <w:r w:rsidR="00754C55">
        <w:t xml:space="preserve"> Ministerstvem spravedlnosti</w:t>
      </w:r>
      <w:r>
        <w:t xml:space="preserve">. Lze odhadovat, že pro novou agendu bude nezbytné zajistit nová tabulková místa, a to minimálně 3 až 5. </w:t>
      </w:r>
    </w:p>
    <w:p w14:paraId="0E750E48" w14:textId="0815BAA6" w:rsidR="00E86BCC" w:rsidRDefault="00E86BCC" w:rsidP="00C65B93">
      <w:r>
        <w:t>Výše uvedené</w:t>
      </w:r>
      <w:r w:rsidRPr="00E86BCC">
        <w:t xml:space="preserve"> finanční náklady není Ministerstvo spravedlnosti za současné situace schopno pokrýt z vlastní rozpočtové kapitoly a zároveň nedisponuje ani požadovaný</w:t>
      </w:r>
      <w:r>
        <w:t>m počtem systemizovaných míst. P</w:t>
      </w:r>
      <w:r w:rsidRPr="00E86BCC">
        <w:t>roto je bude uplatňovat v rámci rozpočtových nadpožadavků na příslušný kalendářní rok</w:t>
      </w:r>
      <w:r>
        <w:t>.</w:t>
      </w:r>
    </w:p>
    <w:p w14:paraId="3F2E0458" w14:textId="3BF06938" w:rsidR="00FB05DA" w:rsidRDefault="00FB05DA" w:rsidP="00FB05DA">
      <w:r>
        <w:t xml:space="preserve">Kromě dopadu na státní rozpočet z hlediska zajištění nové agendy Ministerstvem spravedlnosti přinese neveřejnost evidence potenciálně nové náklady i na straně různorodých orgánů veřejné moci, které evidence využívají.  Mezi časté uživatele evidence skutečných majitelů patří např. územní samosprávné celky, když ověřují skutečné majitele uchazečů o veřejnou zakázku či žadatelů o dotace. Ačkoli i </w:t>
      </w:r>
      <w:r w:rsidR="0076109F">
        <w:t>v současnosti</w:t>
      </w:r>
      <w:r>
        <w:t xml:space="preserve"> mají orgány veřejné moci možnost do evidence přistupovat privilegovaně prostřednictvím tzv. dálkového přístupu, řada z nich využívá obecný veřejný přístup. Tento postup je totiž v řadě situací dostačující a prakticky jednodušší a</w:t>
      </w:r>
      <w:r w:rsidR="00970527">
        <w:t> </w:t>
      </w:r>
      <w:r>
        <w:t>rychlejší. V důsledku navrhovaného neveřejného režimu evidence si budou muset pro využití evidence územní samosprávné celky zřídit privilegovaný přístup do evidence. Minimálně v</w:t>
      </w:r>
      <w:r w:rsidR="00970527">
        <w:t> </w:t>
      </w:r>
      <w:r>
        <w:t xml:space="preserve">počátku </w:t>
      </w:r>
      <w:r w:rsidR="0076109F">
        <w:t xml:space="preserve">se </w:t>
      </w:r>
      <w:r>
        <w:t xml:space="preserve">tak </w:t>
      </w:r>
      <w:r w:rsidR="0076109F">
        <w:t>zvýší administrativní zátěž</w:t>
      </w:r>
      <w:r>
        <w:t xml:space="preserve">. Obecně bude ověřování údajů z evidence komplikovanější.  </w:t>
      </w:r>
    </w:p>
    <w:p w14:paraId="5F0A1E2E" w14:textId="0598F3B5" w:rsidR="00CB3893" w:rsidRDefault="00CB3893" w:rsidP="007C414B">
      <w:pPr>
        <w:pStyle w:val="Nadpis3"/>
        <w:numPr>
          <w:ilvl w:val="1"/>
          <w:numId w:val="9"/>
        </w:numPr>
      </w:pPr>
      <w:r>
        <w:t>P</w:t>
      </w:r>
      <w:r w:rsidRPr="00492DD8">
        <w:t>odnikat</w:t>
      </w:r>
      <w:r>
        <w:t>el</w:t>
      </w:r>
      <w:r w:rsidRPr="00492DD8">
        <w:t xml:space="preserve">é </w:t>
      </w:r>
    </w:p>
    <w:p w14:paraId="42A7CF14" w14:textId="286FE219" w:rsidR="00754C55" w:rsidRDefault="00754C55" w:rsidP="00754C55">
      <w:r>
        <w:t xml:space="preserve">Evidence skutečných majitelů představuje jeden z významných mechanismů zajišťujících transparentnost právnických osob, včetně podnikatelů (obchodních korporací). Společnosti rozkrývají vlastnickou strukturu, díky čemuž jsou transparentní vůči svým obchodním partnerům, zákazníkům, ale také státní správě a dalším partnerům (bankám atp.). Stávající </w:t>
      </w:r>
      <w:r>
        <w:lastRenderedPageBreak/>
        <w:t xml:space="preserve">široká veřejnost evidence přispívá k jednoduchému prokazování transparentnosti a má pro většinu podnikatelského prostředí spíše výhody, </w:t>
      </w:r>
      <w:r w:rsidR="0076109F">
        <w:t>spojené</w:t>
      </w:r>
      <w:r>
        <w:t xml:space="preserve"> s nižší administrativ</w:t>
      </w:r>
      <w:r w:rsidR="0076109F">
        <w:t xml:space="preserve">ní zátěží. </w:t>
      </w:r>
      <w:r>
        <w:t>V</w:t>
      </w:r>
      <w:r w:rsidR="00970527">
        <w:t> </w:t>
      </w:r>
      <w:r>
        <w:t>souvislosti s navrhovanou změnou pak nutně dojde ke zvýšení administrativní zátěže na straně podnikatelů, kteří budou muset častěji dokládat úplné údaje z evidence, které již nebudou veřejně přístupné. Současně nebudou moci podnikatelé jednoduše seznat údaje o skutečných majitelích svých obchodních parterů.</w:t>
      </w:r>
    </w:p>
    <w:p w14:paraId="334A8654" w14:textId="7BA1A5EA" w:rsidR="00CB3893" w:rsidRPr="00CB3893" w:rsidRDefault="00754C55" w:rsidP="00CB3893">
      <w:r>
        <w:t>Specifick</w:t>
      </w:r>
      <w:r w:rsidR="0076109F">
        <w:t>y pak návrh zvýší administrativní zátěž</w:t>
      </w:r>
      <w:r>
        <w:t xml:space="preserve"> a s tím spojené náklady na straně tzv. povinných osob podle AML zákona. Ačkoli mají povinné osoby privilegovaný přístup k údajů</w:t>
      </w:r>
      <w:r w:rsidR="0076109F">
        <w:t>m</w:t>
      </w:r>
      <w:r>
        <w:t xml:space="preserve"> v evidenci skutečných majitelů, často jim v současnosti ke kontrole klienta postačuje vyjít pouze z veřejně dostupných údajů. Nově budou muset povinné osoby privilegovaný dálkový přístup využívat v zásadě vždy</w:t>
      </w:r>
      <w:r w:rsidR="00FB05DA">
        <w:t xml:space="preserve">, což může obecně proces kontroly klienta prodloužit, </w:t>
      </w:r>
      <w:r w:rsidR="0076109F">
        <w:t>z</w:t>
      </w:r>
      <w:r w:rsidR="00FB05DA">
        <w:t>komplikovat a v důsledku zdražit</w:t>
      </w:r>
      <w:r w:rsidR="002C1676">
        <w:t xml:space="preserve">. </w:t>
      </w:r>
    </w:p>
    <w:p w14:paraId="6CE95FB5" w14:textId="29BC8A02" w:rsidR="00C64B3C" w:rsidRDefault="00CB3893" w:rsidP="007C414B">
      <w:pPr>
        <w:pStyle w:val="Nadpis3"/>
        <w:numPr>
          <w:ilvl w:val="1"/>
          <w:numId w:val="9"/>
        </w:numPr>
      </w:pPr>
      <w:r>
        <w:t>Nepodnikatelské subjekty</w:t>
      </w:r>
    </w:p>
    <w:p w14:paraId="485316EC" w14:textId="1943BFF8" w:rsidR="00921D1D" w:rsidRDefault="002C1676" w:rsidP="000C150C">
      <w:r w:rsidRPr="002C1676">
        <w:t xml:space="preserve">V důsledku navrhovaného neveřejného režimu evidence nebude </w:t>
      </w:r>
      <w:r w:rsidR="0076109F">
        <w:t xml:space="preserve">již </w:t>
      </w:r>
      <w:r w:rsidRPr="002C1676">
        <w:t xml:space="preserve">pro spotřebitele </w:t>
      </w:r>
      <w:r w:rsidR="00A54F98">
        <w:t>jednoduché si ověřit</w:t>
      </w:r>
      <w:r w:rsidRPr="002C1676">
        <w:t xml:space="preserve"> vlastnické</w:t>
      </w:r>
      <w:r w:rsidR="0076109F">
        <w:t xml:space="preserve"> pozadí a transparentnost podnika</w:t>
      </w:r>
      <w:r w:rsidRPr="002C1676">
        <w:t>tele. Ačkoli stále bude možné žádat o</w:t>
      </w:r>
      <w:r w:rsidR="00970527">
        <w:t> </w:t>
      </w:r>
      <w:r w:rsidRPr="002C1676">
        <w:t xml:space="preserve">přístup na základě prokázání tzv. </w:t>
      </w:r>
      <w:r w:rsidR="0076109F">
        <w:t>oprávněného</w:t>
      </w:r>
      <w:r w:rsidRPr="002C1676">
        <w:t xml:space="preserve"> </w:t>
      </w:r>
      <w:r w:rsidR="00970527">
        <w:t>zájmu</w:t>
      </w:r>
      <w:r w:rsidRPr="002C1676">
        <w:t>, administrativní požadavky celého procesu většinu běžných spotřebitelů (či z hlediska evidence uživatelů) od záměru zjišťovat skutečného majitele odradí.</w:t>
      </w:r>
    </w:p>
    <w:p w14:paraId="5FF0F833" w14:textId="37F1782F" w:rsidR="00F25757" w:rsidRDefault="00F25757" w:rsidP="00F25757">
      <w:pPr>
        <w:pStyle w:val="Nadpis2"/>
      </w:pPr>
      <w:r w:rsidRPr="00492DD8">
        <w:t>Zhodnocení dopadů navrhovaného řešení ve vztahu k ochraně soukromí a</w:t>
      </w:r>
      <w:r w:rsidR="00970527">
        <w:t> </w:t>
      </w:r>
      <w:r w:rsidRPr="00492DD8">
        <w:t>osobních údajů</w:t>
      </w:r>
    </w:p>
    <w:p w14:paraId="3023C680" w14:textId="09559A10" w:rsidR="006F154D" w:rsidRDefault="006F154D" w:rsidP="000C150C">
      <w:pPr>
        <w:rPr>
          <w:szCs w:val="24"/>
        </w:rPr>
      </w:pPr>
      <w:r>
        <w:rPr>
          <w:szCs w:val="24"/>
        </w:rPr>
        <w:t>V </w:t>
      </w:r>
      <w:r w:rsidR="003B7721">
        <w:rPr>
          <w:szCs w:val="24"/>
        </w:rPr>
        <w:t>ochraně</w:t>
      </w:r>
      <w:r w:rsidR="00BD31C2">
        <w:rPr>
          <w:szCs w:val="24"/>
        </w:rPr>
        <w:t xml:space="preserve"> osobních údajů </w:t>
      </w:r>
      <w:r w:rsidR="00123090">
        <w:rPr>
          <w:szCs w:val="24"/>
        </w:rPr>
        <w:t xml:space="preserve">dochází </w:t>
      </w:r>
      <w:r>
        <w:rPr>
          <w:szCs w:val="24"/>
        </w:rPr>
        <w:t xml:space="preserve">návrhem </w:t>
      </w:r>
      <w:r w:rsidR="00BD31C2">
        <w:rPr>
          <w:szCs w:val="24"/>
        </w:rPr>
        <w:t xml:space="preserve">oproti stávajícímu stavu </w:t>
      </w:r>
      <w:r w:rsidR="00123090">
        <w:rPr>
          <w:szCs w:val="24"/>
        </w:rPr>
        <w:t>k </w:t>
      </w:r>
      <w:r w:rsidR="00BD31C2">
        <w:rPr>
          <w:szCs w:val="24"/>
        </w:rPr>
        <w:t>významným</w:t>
      </w:r>
      <w:r w:rsidR="00123090">
        <w:rPr>
          <w:szCs w:val="24"/>
        </w:rPr>
        <w:t xml:space="preserve"> posunům</w:t>
      </w:r>
      <w:r>
        <w:rPr>
          <w:szCs w:val="24"/>
        </w:rPr>
        <w:t xml:space="preserve">. </w:t>
      </w:r>
    </w:p>
    <w:p w14:paraId="2ED31EDB" w14:textId="77777777" w:rsidR="007C414B" w:rsidRPr="007C414B" w:rsidRDefault="007C414B" w:rsidP="007C414B">
      <w:pPr>
        <w:pStyle w:val="Odstavecseseznamem"/>
        <w:keepNext/>
        <w:keepLines/>
        <w:numPr>
          <w:ilvl w:val="0"/>
          <w:numId w:val="3"/>
        </w:numPr>
        <w:spacing w:before="240"/>
        <w:contextualSpacing w:val="0"/>
        <w:outlineLvl w:val="2"/>
        <w:rPr>
          <w:rFonts w:eastAsiaTheme="majorEastAsia" w:cstheme="majorBidi"/>
          <w:b/>
          <w:bCs/>
          <w:vanish/>
        </w:rPr>
      </w:pPr>
    </w:p>
    <w:p w14:paraId="42E1600A" w14:textId="77777777" w:rsidR="007C414B" w:rsidRPr="007C414B" w:rsidRDefault="007C414B" w:rsidP="007C414B">
      <w:pPr>
        <w:pStyle w:val="Odstavecseseznamem"/>
        <w:keepNext/>
        <w:keepLines/>
        <w:numPr>
          <w:ilvl w:val="0"/>
          <w:numId w:val="3"/>
        </w:numPr>
        <w:spacing w:before="240"/>
        <w:contextualSpacing w:val="0"/>
        <w:outlineLvl w:val="2"/>
        <w:rPr>
          <w:rFonts w:eastAsiaTheme="majorEastAsia" w:cstheme="majorBidi"/>
          <w:b/>
          <w:bCs/>
          <w:vanish/>
        </w:rPr>
      </w:pPr>
    </w:p>
    <w:p w14:paraId="18739C37" w14:textId="77777777" w:rsidR="007C414B" w:rsidRPr="007C414B" w:rsidRDefault="007C414B" w:rsidP="007C414B">
      <w:pPr>
        <w:pStyle w:val="Odstavecseseznamem"/>
        <w:keepNext/>
        <w:keepLines/>
        <w:numPr>
          <w:ilvl w:val="0"/>
          <w:numId w:val="3"/>
        </w:numPr>
        <w:spacing w:before="240"/>
        <w:contextualSpacing w:val="0"/>
        <w:outlineLvl w:val="2"/>
        <w:rPr>
          <w:rFonts w:eastAsiaTheme="majorEastAsia" w:cstheme="majorBidi"/>
          <w:b/>
          <w:bCs/>
          <w:vanish/>
        </w:rPr>
      </w:pPr>
    </w:p>
    <w:p w14:paraId="0253F66F" w14:textId="77777777" w:rsidR="007C414B" w:rsidRPr="007C414B" w:rsidRDefault="007C414B" w:rsidP="007C414B">
      <w:pPr>
        <w:pStyle w:val="Odstavecseseznamem"/>
        <w:keepNext/>
        <w:keepLines/>
        <w:numPr>
          <w:ilvl w:val="0"/>
          <w:numId w:val="3"/>
        </w:numPr>
        <w:spacing w:before="240"/>
        <w:contextualSpacing w:val="0"/>
        <w:outlineLvl w:val="2"/>
        <w:rPr>
          <w:rFonts w:eastAsiaTheme="majorEastAsia" w:cstheme="majorBidi"/>
          <w:b/>
          <w:bCs/>
          <w:vanish/>
        </w:rPr>
      </w:pPr>
    </w:p>
    <w:p w14:paraId="3065B741" w14:textId="263CB762" w:rsidR="00BD31C2" w:rsidRDefault="00BD31C2" w:rsidP="007C414B">
      <w:pPr>
        <w:pStyle w:val="Nadpis3"/>
        <w:numPr>
          <w:ilvl w:val="1"/>
          <w:numId w:val="3"/>
        </w:numPr>
      </w:pPr>
      <w:r w:rsidRPr="00BD31C2">
        <w:t>Rozsah a účel zpracování osobních údajů</w:t>
      </w:r>
    </w:p>
    <w:p w14:paraId="7E9F5E13" w14:textId="7B6EA74E" w:rsidR="000C150C" w:rsidRDefault="002A7466" w:rsidP="000C150C">
      <w:pPr>
        <w:rPr>
          <w:szCs w:val="24"/>
        </w:rPr>
      </w:pPr>
      <w:r>
        <w:rPr>
          <w:szCs w:val="24"/>
        </w:rPr>
        <w:t xml:space="preserve">Rozsah evidovaných údajů o skutečných majitelích (§ 13 zákona o ESM) se </w:t>
      </w:r>
      <w:r w:rsidR="00A46072">
        <w:rPr>
          <w:szCs w:val="24"/>
        </w:rPr>
        <w:t>nemění</w:t>
      </w:r>
      <w:r w:rsidR="00BD31C2">
        <w:rPr>
          <w:szCs w:val="24"/>
        </w:rPr>
        <w:t>.</w:t>
      </w:r>
      <w:r>
        <w:rPr>
          <w:szCs w:val="24"/>
        </w:rPr>
        <w:t xml:space="preserve"> </w:t>
      </w:r>
      <w:r w:rsidR="00BD31C2">
        <w:rPr>
          <w:szCs w:val="24"/>
        </w:rPr>
        <w:t>Návrh se také nedotýká z</w:t>
      </w:r>
      <w:r>
        <w:rPr>
          <w:szCs w:val="24"/>
        </w:rPr>
        <w:t>pracová</w:t>
      </w:r>
      <w:r w:rsidR="00BD31C2">
        <w:rPr>
          <w:szCs w:val="24"/>
        </w:rPr>
        <w:t>vá</w:t>
      </w:r>
      <w:r>
        <w:rPr>
          <w:szCs w:val="24"/>
        </w:rPr>
        <w:t>ní osob</w:t>
      </w:r>
      <w:r w:rsidR="002C2214">
        <w:rPr>
          <w:szCs w:val="24"/>
        </w:rPr>
        <w:t xml:space="preserve">ních údajů </w:t>
      </w:r>
      <w:r w:rsidR="00BD31C2">
        <w:rPr>
          <w:szCs w:val="24"/>
        </w:rPr>
        <w:t xml:space="preserve">o skutečných majitelích. </w:t>
      </w:r>
      <w:r w:rsidR="000C150C" w:rsidRPr="00A9449A">
        <w:rPr>
          <w:szCs w:val="24"/>
        </w:rPr>
        <w:t>Osobní údaje, které se o</w:t>
      </w:r>
      <w:r w:rsidR="00970527">
        <w:rPr>
          <w:szCs w:val="24"/>
        </w:rPr>
        <w:t> </w:t>
      </w:r>
      <w:r w:rsidR="000C150C" w:rsidRPr="00A9449A">
        <w:rPr>
          <w:szCs w:val="24"/>
        </w:rPr>
        <w:t xml:space="preserve">fyzických osobách </w:t>
      </w:r>
      <w:r>
        <w:rPr>
          <w:szCs w:val="24"/>
        </w:rPr>
        <w:t xml:space="preserve">vedou </w:t>
      </w:r>
      <w:r w:rsidR="000C150C" w:rsidRPr="00A9449A">
        <w:rPr>
          <w:szCs w:val="24"/>
        </w:rPr>
        <w:t xml:space="preserve">v evidenci skutečných majitelů, </w:t>
      </w:r>
      <w:r w:rsidR="00A46072">
        <w:rPr>
          <w:szCs w:val="24"/>
        </w:rPr>
        <w:t>budou</w:t>
      </w:r>
      <w:r w:rsidR="000C150C" w:rsidRPr="00A9449A">
        <w:rPr>
          <w:szCs w:val="24"/>
        </w:rPr>
        <w:t xml:space="preserve"> </w:t>
      </w:r>
      <w:r w:rsidR="00A46072">
        <w:rPr>
          <w:szCs w:val="24"/>
        </w:rPr>
        <w:t xml:space="preserve">i nadále </w:t>
      </w:r>
      <w:r w:rsidR="000C150C" w:rsidRPr="00A9449A">
        <w:rPr>
          <w:szCs w:val="24"/>
        </w:rPr>
        <w:t xml:space="preserve">zpracovávány na základě právního důvodu uvedeného v čl. 6 </w:t>
      </w:r>
      <w:r w:rsidR="00564DB9">
        <w:rPr>
          <w:szCs w:val="24"/>
        </w:rPr>
        <w:t xml:space="preserve">odst. </w:t>
      </w:r>
      <w:r w:rsidR="000C150C" w:rsidRPr="00A9449A">
        <w:rPr>
          <w:szCs w:val="24"/>
        </w:rPr>
        <w:t xml:space="preserve">1 písm. c) </w:t>
      </w:r>
      <w:r w:rsidR="00A85EC5">
        <w:rPr>
          <w:szCs w:val="24"/>
        </w:rPr>
        <w:t>GDPR</w:t>
      </w:r>
      <w:r w:rsidR="00A46072">
        <w:rPr>
          <w:szCs w:val="24"/>
        </w:rPr>
        <w:t xml:space="preserve">, </w:t>
      </w:r>
      <w:r w:rsidR="000C150C" w:rsidRPr="00A9449A">
        <w:rPr>
          <w:szCs w:val="24"/>
        </w:rPr>
        <w:t>tj. za účelem splnění právní povinnosti</w:t>
      </w:r>
      <w:r w:rsidR="00BD31C2">
        <w:rPr>
          <w:szCs w:val="24"/>
        </w:rPr>
        <w:t>, která se na správce vztahuje,</w:t>
      </w:r>
      <w:r w:rsidR="00BD31C2" w:rsidRPr="00BD31C2">
        <w:rPr>
          <w:szCs w:val="24"/>
        </w:rPr>
        <w:t xml:space="preserve"> </w:t>
      </w:r>
      <w:r w:rsidR="00BD31C2" w:rsidRPr="00543253">
        <w:rPr>
          <w:szCs w:val="24"/>
        </w:rPr>
        <w:t>a pro vykonání úkolu ve veřejném zájmu nebo při výkonu veřejné moci, kterým je pověřen správce</w:t>
      </w:r>
      <w:r w:rsidR="00BD31C2" w:rsidRPr="001F044F">
        <w:rPr>
          <w:szCs w:val="24"/>
        </w:rPr>
        <w:t>.</w:t>
      </w:r>
    </w:p>
    <w:p w14:paraId="48057877" w14:textId="0CA69BFF" w:rsidR="007C414B" w:rsidRDefault="007C414B" w:rsidP="007C414B">
      <w:pPr>
        <w:rPr>
          <w:rFonts w:eastAsia="Times New Roman"/>
          <w:szCs w:val="24"/>
        </w:rPr>
      </w:pPr>
      <w:r w:rsidRPr="001F044F">
        <w:rPr>
          <w:szCs w:val="24"/>
        </w:rPr>
        <w:t xml:space="preserve">Právní povinností, kterou </w:t>
      </w:r>
      <w:r>
        <w:rPr>
          <w:szCs w:val="24"/>
        </w:rPr>
        <w:t>správce osobních</w:t>
      </w:r>
      <w:r w:rsidR="0076109F">
        <w:rPr>
          <w:szCs w:val="24"/>
        </w:rPr>
        <w:t xml:space="preserve"> údajů</w:t>
      </w:r>
      <w:r>
        <w:rPr>
          <w:szCs w:val="24"/>
        </w:rPr>
        <w:t xml:space="preserve"> plní</w:t>
      </w:r>
      <w:r w:rsidRPr="001F044F">
        <w:rPr>
          <w:szCs w:val="24"/>
        </w:rPr>
        <w:t xml:space="preserve">, je </w:t>
      </w:r>
      <w:r>
        <w:rPr>
          <w:szCs w:val="24"/>
        </w:rPr>
        <w:t>evidování</w:t>
      </w:r>
      <w:r w:rsidRPr="001F044F">
        <w:rPr>
          <w:szCs w:val="24"/>
        </w:rPr>
        <w:t xml:space="preserve"> údajů o skutečných majitelích, jež </w:t>
      </w:r>
      <w:r w:rsidR="00655CEA">
        <w:rPr>
          <w:szCs w:val="24"/>
        </w:rPr>
        <w:t>jsou vedeny na základě</w:t>
      </w:r>
      <w:r w:rsidRPr="001F044F">
        <w:rPr>
          <w:szCs w:val="24"/>
        </w:rPr>
        <w:t xml:space="preserve"> zákona</w:t>
      </w:r>
      <w:r w:rsidR="00655CEA">
        <w:rPr>
          <w:szCs w:val="24"/>
        </w:rPr>
        <w:t xml:space="preserve"> o ESM</w:t>
      </w:r>
      <w:r w:rsidRPr="001F044F">
        <w:rPr>
          <w:szCs w:val="24"/>
        </w:rPr>
        <w:t>.</w:t>
      </w:r>
      <w:r>
        <w:rPr>
          <w:szCs w:val="24"/>
        </w:rPr>
        <w:t xml:space="preserve"> </w:t>
      </w:r>
      <w:r w:rsidRPr="005D42DF">
        <w:rPr>
          <w:rFonts w:eastAsia="Times New Roman"/>
          <w:szCs w:val="24"/>
        </w:rPr>
        <w:t>Činnost orgánu veřejné moci spočívající v uchovávání údajů, které jsou společnosti povinny oznamovat na základě jejich zákonných povinností, v databázi, v umožnění zúčastněným osobám nahlížet do těchto údajů a</w:t>
      </w:r>
      <w:r w:rsidR="00970527">
        <w:rPr>
          <w:rFonts w:eastAsia="Times New Roman"/>
          <w:szCs w:val="24"/>
        </w:rPr>
        <w:t> </w:t>
      </w:r>
      <w:r w:rsidRPr="005D42DF">
        <w:rPr>
          <w:rFonts w:eastAsia="Times New Roman"/>
          <w:szCs w:val="24"/>
        </w:rPr>
        <w:t>v</w:t>
      </w:r>
      <w:r w:rsidR="00970527">
        <w:rPr>
          <w:rFonts w:eastAsia="Times New Roman"/>
          <w:szCs w:val="24"/>
        </w:rPr>
        <w:t> </w:t>
      </w:r>
      <w:r w:rsidRPr="005D42DF">
        <w:rPr>
          <w:rFonts w:eastAsia="Times New Roman"/>
          <w:szCs w:val="24"/>
        </w:rPr>
        <w:t>poskytování kopií těchto údajů</w:t>
      </w:r>
      <w:r w:rsidR="00655CEA">
        <w:rPr>
          <w:rFonts w:eastAsia="Times New Roman"/>
          <w:szCs w:val="24"/>
        </w:rPr>
        <w:t>,</w:t>
      </w:r>
      <w:r w:rsidRPr="005D42DF">
        <w:rPr>
          <w:rFonts w:eastAsia="Times New Roman"/>
          <w:szCs w:val="24"/>
        </w:rPr>
        <w:t xml:space="preserve"> spadá pod výkon výsad veřejné moci a představuje rovněž úkol ve veřejném zájmu.</w:t>
      </w:r>
      <w:r w:rsidRPr="005D42DF">
        <w:rPr>
          <w:rFonts w:eastAsia="Times New Roman"/>
          <w:szCs w:val="24"/>
          <w:vertAlign w:val="superscript"/>
        </w:rPr>
        <w:footnoteReference w:id="3"/>
      </w:r>
    </w:p>
    <w:p w14:paraId="4D8D03B3" w14:textId="2CC957A8" w:rsidR="0076668A" w:rsidRDefault="0076668A" w:rsidP="00CA2675">
      <w:pPr>
        <w:pStyle w:val="Nadpis4"/>
        <w:rPr>
          <w:rFonts w:eastAsia="Times New Roman"/>
        </w:rPr>
      </w:pPr>
      <w:r>
        <w:rPr>
          <w:rFonts w:eastAsia="Times New Roman"/>
        </w:rPr>
        <w:lastRenderedPageBreak/>
        <w:t>Neveřejný režim a přístup k údajů</w:t>
      </w:r>
      <w:r w:rsidR="0076109F">
        <w:rPr>
          <w:rFonts w:eastAsia="Times New Roman"/>
        </w:rPr>
        <w:t>m</w:t>
      </w:r>
      <w:r>
        <w:rPr>
          <w:rFonts w:eastAsia="Times New Roman"/>
        </w:rPr>
        <w:t xml:space="preserve"> na základě prokázání </w:t>
      </w:r>
      <w:r w:rsidR="000821D1">
        <w:t xml:space="preserve">oprávněného </w:t>
      </w:r>
      <w:r>
        <w:rPr>
          <w:rFonts w:eastAsia="Times New Roman"/>
        </w:rPr>
        <w:t>zájmu</w:t>
      </w:r>
    </w:p>
    <w:p w14:paraId="0FEC9B65" w14:textId="397AEE40" w:rsidR="00DD27A7" w:rsidRPr="00DD27A7" w:rsidRDefault="00DD27A7" w:rsidP="00DD27A7">
      <w:r>
        <w:t xml:space="preserve">Jak bylo již uvedeno, hlavní změnou návrhu je změna režimu veřejnosti celé evidence. Zavedení režimu přístupu veřejnosti na základě prokázání oprávněného zájmu je pak motivováno právě ochranou osobních údajů a soukromí skutečných majitelů. Nově navržený režim je založen na tom, že údaje budou dostupné veřejnosti pouze za předpokladu prokázání oprávněného zájmu o přístup. </w:t>
      </w:r>
    </w:p>
    <w:p w14:paraId="3D96B3DC" w14:textId="53C31071" w:rsidR="0076668A" w:rsidRDefault="0076668A" w:rsidP="0076668A">
      <w:pPr>
        <w:pStyle w:val="Nadpis4"/>
      </w:pPr>
      <w:r>
        <w:t xml:space="preserve">Posílení ochrany prostřednictvím znepřístupnění údajů </w:t>
      </w:r>
    </w:p>
    <w:p w14:paraId="260B8BAF" w14:textId="33AAB8E5" w:rsidR="008379C0" w:rsidRPr="008379C0" w:rsidRDefault="00F16D33" w:rsidP="008379C0">
      <w:r>
        <w:t xml:space="preserve">Specificky se návrhem posiluje ochrana soukromí a osobních údajů u zvlášť zranitelných osob </w:t>
      </w:r>
      <w:r w:rsidR="0076109F">
        <w:t>a osob, u nichž existuje zvýšené</w:t>
      </w:r>
      <w:r>
        <w:t xml:space="preserve"> riziko, že by je dostupnost údajů vystavila trestné činnosti. Podle § 32 a </w:t>
      </w:r>
      <w:proofErr w:type="gramStart"/>
      <w:r>
        <w:t>32a</w:t>
      </w:r>
      <w:proofErr w:type="gramEnd"/>
      <w:r>
        <w:t xml:space="preserve"> zákona o ESM ve znění návrhu bude možné údaje o skutečných majitelích znepřístupnit, pokud soud shledá, že v konkrétním případě jsou dány důvody zvýšené ochrany. </w:t>
      </w:r>
      <w:r w:rsidR="0076109F">
        <w:t>Takto znepřístupněné údaje neb</w:t>
      </w:r>
      <w:r>
        <w:t>udou dostupné ani veřejnost</w:t>
      </w:r>
      <w:r w:rsidR="00970527">
        <w:t>i</w:t>
      </w:r>
      <w:r>
        <w:t xml:space="preserve"> s prokázaným oprávněným zájmem, ani povinným osobám prostřednictvím tzv. dálkového přístup. V podrobnostech vi</w:t>
      </w:r>
      <w:r w:rsidR="0076109F">
        <w:t>z zvláštní část důvodové zprávy</w:t>
      </w:r>
      <w:r>
        <w:t xml:space="preserve"> </w:t>
      </w:r>
      <w:r w:rsidR="0076109F">
        <w:t xml:space="preserve">zejména ke změnám navrhovaným v </w:t>
      </w:r>
      <w:r>
        <w:t xml:space="preserve">§ 32 až </w:t>
      </w:r>
      <w:proofErr w:type="gramStart"/>
      <w:r>
        <w:t>32b</w:t>
      </w:r>
      <w:proofErr w:type="gramEnd"/>
      <w:r>
        <w:t xml:space="preserve"> zákona o ESM.</w:t>
      </w:r>
    </w:p>
    <w:p w14:paraId="1BFCF934" w14:textId="142AEB2E" w:rsidR="00CA2675" w:rsidRDefault="00CA2675" w:rsidP="00CA2675">
      <w:pPr>
        <w:pStyle w:val="Nadpis4"/>
        <w:rPr>
          <w:rFonts w:eastAsia="Times New Roman"/>
        </w:rPr>
      </w:pPr>
      <w:r>
        <w:rPr>
          <w:rFonts w:eastAsia="Times New Roman"/>
        </w:rPr>
        <w:t>Příjemci údajů a záznamy o nich</w:t>
      </w:r>
    </w:p>
    <w:p w14:paraId="0192FFB8" w14:textId="3CCA088F" w:rsidR="00713CD2" w:rsidRDefault="00713CD2" w:rsidP="007C414B">
      <w:pPr>
        <w:rPr>
          <w:rFonts w:eastAsia="Times New Roman"/>
          <w:szCs w:val="24"/>
        </w:rPr>
      </w:pPr>
      <w:r>
        <w:rPr>
          <w:rFonts w:eastAsia="Times New Roman"/>
          <w:szCs w:val="24"/>
        </w:rPr>
        <w:t xml:space="preserve">Vedle osobních údajů skutečných majitelů se nově dle návrhu budou zpracovávat také </w:t>
      </w:r>
      <w:r w:rsidR="0076109F">
        <w:rPr>
          <w:rFonts w:eastAsia="Times New Roman"/>
          <w:szCs w:val="24"/>
        </w:rPr>
        <w:t>osobní údaje o žadatelích, respektive osob</w:t>
      </w:r>
      <w:r>
        <w:rPr>
          <w:rFonts w:eastAsia="Times New Roman"/>
          <w:szCs w:val="24"/>
        </w:rPr>
        <w:t xml:space="preserve"> oprávněných k přístupu do evidence na základě oprávněného zájmu. </w:t>
      </w:r>
      <w:r w:rsidR="00E33656">
        <w:rPr>
          <w:rFonts w:eastAsia="Times New Roman"/>
          <w:szCs w:val="24"/>
        </w:rPr>
        <w:t>Z hlediska ochrany osobních údajů lze o těchto osobách hovořit jako o</w:t>
      </w:r>
      <w:r w:rsidR="00970527">
        <w:rPr>
          <w:rFonts w:eastAsia="Times New Roman"/>
          <w:szCs w:val="24"/>
        </w:rPr>
        <w:t> </w:t>
      </w:r>
      <w:r w:rsidR="00E33656">
        <w:rPr>
          <w:rFonts w:eastAsia="Times New Roman"/>
          <w:szCs w:val="24"/>
        </w:rPr>
        <w:t>příjemcích údajů. Ú</w:t>
      </w:r>
      <w:r>
        <w:rPr>
          <w:rFonts w:eastAsia="Times New Roman"/>
          <w:szCs w:val="24"/>
        </w:rPr>
        <w:t xml:space="preserve">daje </w:t>
      </w:r>
      <w:r w:rsidR="00E33656">
        <w:rPr>
          <w:rFonts w:eastAsia="Times New Roman"/>
          <w:szCs w:val="24"/>
        </w:rPr>
        <w:t xml:space="preserve">o příjemcích </w:t>
      </w:r>
      <w:r>
        <w:rPr>
          <w:rFonts w:eastAsia="Times New Roman"/>
          <w:szCs w:val="24"/>
        </w:rPr>
        <w:t>jsou zpracová</w:t>
      </w:r>
      <w:r w:rsidR="0076109F">
        <w:rPr>
          <w:rFonts w:eastAsia="Times New Roman"/>
          <w:szCs w:val="24"/>
        </w:rPr>
        <w:t>vá</w:t>
      </w:r>
      <w:r>
        <w:rPr>
          <w:rFonts w:eastAsia="Times New Roman"/>
          <w:szCs w:val="24"/>
        </w:rPr>
        <w:t>ny proto, aby bylo možné umožnit skutečným majitelům seznámit se s</w:t>
      </w:r>
      <w:r w:rsidR="0076109F">
        <w:rPr>
          <w:rFonts w:eastAsia="Times New Roman"/>
          <w:szCs w:val="24"/>
        </w:rPr>
        <w:t> informacemi o subjektech</w:t>
      </w:r>
      <w:r>
        <w:rPr>
          <w:rFonts w:eastAsia="Times New Roman"/>
          <w:szCs w:val="24"/>
        </w:rPr>
        <w:t xml:space="preserve">, které o nich údaje v evidenci skutečných majitelů poptávaly. </w:t>
      </w:r>
      <w:r w:rsidR="001939F4">
        <w:rPr>
          <w:rFonts w:eastAsia="Times New Roman"/>
          <w:szCs w:val="24"/>
        </w:rPr>
        <w:t>Vedení záznamů o nahlížejících z řad veřejnosti</w:t>
      </w:r>
      <w:r w:rsidR="004434E5">
        <w:rPr>
          <w:rFonts w:eastAsia="Times New Roman"/>
          <w:szCs w:val="24"/>
        </w:rPr>
        <w:t xml:space="preserve"> za uvedeným účelem</w:t>
      </w:r>
      <w:r w:rsidR="001939F4">
        <w:rPr>
          <w:rFonts w:eastAsia="Times New Roman"/>
          <w:szCs w:val="24"/>
        </w:rPr>
        <w:t xml:space="preserve"> je přitom explicitním požadavkem AML směrnice (čl. 12 </w:t>
      </w:r>
      <w:r w:rsidR="00564DB9">
        <w:rPr>
          <w:rFonts w:eastAsia="Times New Roman"/>
          <w:szCs w:val="24"/>
        </w:rPr>
        <w:t xml:space="preserve">odst. </w:t>
      </w:r>
      <w:r w:rsidR="001939F4">
        <w:rPr>
          <w:rFonts w:eastAsia="Times New Roman"/>
          <w:szCs w:val="24"/>
        </w:rPr>
        <w:t xml:space="preserve">4 AML směrnice). </w:t>
      </w:r>
      <w:r w:rsidR="0076668A">
        <w:rPr>
          <w:rFonts w:eastAsia="Times New Roman"/>
          <w:szCs w:val="24"/>
        </w:rPr>
        <w:t>Tato k</w:t>
      </w:r>
      <w:r w:rsidR="0076109F">
        <w:rPr>
          <w:rFonts w:eastAsia="Times New Roman"/>
          <w:szCs w:val="24"/>
        </w:rPr>
        <w:t>oncepce představuje další posíle</w:t>
      </w:r>
      <w:r w:rsidR="0076668A">
        <w:rPr>
          <w:rFonts w:eastAsia="Times New Roman"/>
          <w:szCs w:val="24"/>
        </w:rPr>
        <w:t>ní ochrany práv subjekt</w:t>
      </w:r>
      <w:r w:rsidR="0076109F">
        <w:rPr>
          <w:rFonts w:eastAsia="Times New Roman"/>
          <w:szCs w:val="24"/>
        </w:rPr>
        <w:t>ů</w:t>
      </w:r>
      <w:r w:rsidR="0076668A">
        <w:rPr>
          <w:rFonts w:eastAsia="Times New Roman"/>
          <w:szCs w:val="24"/>
        </w:rPr>
        <w:t xml:space="preserve"> údajů, protože jednak </w:t>
      </w:r>
      <w:r w:rsidR="0076109F">
        <w:rPr>
          <w:rFonts w:eastAsia="Times New Roman"/>
          <w:szCs w:val="24"/>
        </w:rPr>
        <w:t>jim</w:t>
      </w:r>
      <w:r w:rsidR="0076668A">
        <w:rPr>
          <w:rFonts w:eastAsia="Times New Roman"/>
          <w:szCs w:val="24"/>
        </w:rPr>
        <w:t xml:space="preserve"> zajišťuje bližší informace o konkrétním zpracování osobních údajů, jednak eliminuje neodůvodněné či anonymní zjišťování osobních údajů.  </w:t>
      </w:r>
    </w:p>
    <w:p w14:paraId="5532B283" w14:textId="4281BE3C" w:rsidR="00E33656" w:rsidRDefault="00E33656" w:rsidP="00E33656">
      <w:pPr>
        <w:autoSpaceDE w:val="0"/>
        <w:autoSpaceDN w:val="0"/>
        <w:adjustRightInd w:val="0"/>
      </w:pPr>
      <w:r>
        <w:t>Návrh po vzoru AML směrnice relativně podrobně upravuje přístup k informacím o příjemcích</w:t>
      </w:r>
      <w:r w:rsidR="0076109F">
        <w:t xml:space="preserve"> (žadatelích)</w:t>
      </w:r>
      <w:r w:rsidRPr="007E10AA">
        <w:t>, kterým osobní údaje</w:t>
      </w:r>
      <w:r w:rsidR="0076109F">
        <w:t xml:space="preserve"> skutečných majitelů</w:t>
      </w:r>
      <w:r w:rsidRPr="007E10AA">
        <w:t xml:space="preserve"> byly zpřístupněny</w:t>
      </w:r>
      <w:r>
        <w:t xml:space="preserve">. </w:t>
      </w:r>
      <w:r w:rsidR="00F16D33">
        <w:t>V podrobnostech viz zvláštní část důvodové zprávy zejména k</w:t>
      </w:r>
      <w:r w:rsidR="0076109F">
        <w:t>e změnám navrhovaným v</w:t>
      </w:r>
      <w:r w:rsidR="00F16D33">
        <w:t xml:space="preserve"> § 15b a 15e zákona o ESM</w:t>
      </w:r>
      <w:r w:rsidR="00D43FD1">
        <w:t>, kte</w:t>
      </w:r>
      <w:r w:rsidR="0076109F">
        <w:t>ré upravují</w:t>
      </w:r>
      <w:r w:rsidR="00D43FD1">
        <w:t xml:space="preserve"> vedení záznamů o osobách z řad veřejnosti</w:t>
      </w:r>
      <w:r>
        <w:t xml:space="preserve">. </w:t>
      </w:r>
    </w:p>
    <w:p w14:paraId="5C577589" w14:textId="25DC60F0" w:rsidR="00E33656" w:rsidRDefault="00D43FD1" w:rsidP="00CA2675">
      <w:pPr>
        <w:autoSpaceDE w:val="0"/>
        <w:autoSpaceDN w:val="0"/>
        <w:adjustRightInd w:val="0"/>
      </w:pPr>
      <w:r>
        <w:t xml:space="preserve">Pokud jde o další příjemce údajů, návrh stanovuje výjimky, kdy se o nich subjekt údajů (skutečný majitel) nemá dozvědět. Tento režim navazuje na čl. 11 </w:t>
      </w:r>
      <w:r w:rsidR="00564DB9">
        <w:t xml:space="preserve">odst. </w:t>
      </w:r>
      <w:r>
        <w:t>1 AML směrnice, podle kterého má být zajištěn neomezený</w:t>
      </w:r>
      <w:r w:rsidRPr="00EF6616">
        <w:t xml:space="preserve"> přístup pro příslušné orgány a finanční zpravodajské jednotky bez upozornění dotčeného subjektu</w:t>
      </w:r>
      <w:r>
        <w:t xml:space="preserve"> (tj. v daném kontextu i subjektu údajů)</w:t>
      </w:r>
      <w:r w:rsidRPr="00EF6616">
        <w:t xml:space="preserve">. </w:t>
      </w:r>
      <w:r>
        <w:t xml:space="preserve">Uvedené je i v souladu s </w:t>
      </w:r>
      <w:r w:rsidRPr="00675782">
        <w:t>§ 11 odst. 1</w:t>
      </w:r>
      <w:r w:rsidRPr="00D43FD1">
        <w:t xml:space="preserve"> </w:t>
      </w:r>
      <w:r w:rsidRPr="00675782">
        <w:t>zákona č. 110/2019 Sb., o zpracování osobních údajů</w:t>
      </w:r>
      <w:r w:rsidR="00524C08">
        <w:t>, ve znění pozdějších předpisů</w:t>
      </w:r>
      <w:r>
        <w:t xml:space="preserve"> (dále jen „zákon o ochraně osobních údajů“), který připouští omezení některých práv</w:t>
      </w:r>
      <w:r w:rsidR="00524C08">
        <w:t xml:space="preserve"> upravených v </w:t>
      </w:r>
      <w:r w:rsidRPr="00B21AF4">
        <w:t xml:space="preserve">čl. 12 až 22 </w:t>
      </w:r>
      <w:r>
        <w:t>GDPR</w:t>
      </w:r>
      <w:r w:rsidRPr="00B21AF4">
        <w:t>, je-li to nezbytné a svým rozsahem přiměřené k zajištění chráněného</w:t>
      </w:r>
      <w:r w:rsidRPr="008F6D12">
        <w:t xml:space="preserve"> zájmu uvedeného v § 6 odst. 2</w:t>
      </w:r>
      <w:r>
        <w:t xml:space="preserve"> zákona o ochraně osobních údajů</w:t>
      </w:r>
      <w:r w:rsidRPr="008F6D12">
        <w:t>.</w:t>
      </w:r>
      <w:r w:rsidR="00CA2675">
        <w:t xml:space="preserve"> </w:t>
      </w:r>
      <w:r w:rsidR="00E33656">
        <w:t>Tím</w:t>
      </w:r>
      <w:r w:rsidR="00CA2675">
        <w:t xml:space="preserve">to zájmem je pak </w:t>
      </w:r>
      <w:r w:rsidR="00E33656" w:rsidRPr="00675782">
        <w:t>chráněný zájem dle § 6 odst. 2 písm. b) zákona</w:t>
      </w:r>
      <w:r w:rsidR="00E33656">
        <w:t xml:space="preserve"> o ochraně osobních údajů, </w:t>
      </w:r>
      <w:r w:rsidR="00E33656">
        <w:lastRenderedPageBreak/>
        <w:t>tj.</w:t>
      </w:r>
      <w:r w:rsidR="00970527">
        <w:t> </w:t>
      </w:r>
      <w:r w:rsidR="00E33656" w:rsidRPr="00B21AF4">
        <w:t>veřejný pořádek a vnitřní bezpečnost, předcházení, vyhledávání nebo odhalování trestné činnosti, stíhání trestných činů, výkon trestů a ochranných opatření, zajišťování bezpečnosti České republiky nebo zajišťování veřejného pořádku a vnitřní bezpečnosti, včetně pátrání po osobách a věcech</w:t>
      </w:r>
      <w:r w:rsidR="00E33656">
        <w:t>.</w:t>
      </w:r>
      <w:r w:rsidR="00E33656" w:rsidRPr="00B21AF4">
        <w:t xml:space="preserve"> </w:t>
      </w:r>
    </w:p>
    <w:p w14:paraId="06678F04" w14:textId="77777777" w:rsidR="00655CEA" w:rsidRPr="00177D1B" w:rsidRDefault="00655CEA" w:rsidP="00655CEA">
      <w:pPr>
        <w:pStyle w:val="Nadpis3"/>
        <w:numPr>
          <w:ilvl w:val="1"/>
          <w:numId w:val="3"/>
        </w:numPr>
      </w:pPr>
      <w:r w:rsidRPr="00177D1B">
        <w:t xml:space="preserve">Správce </w:t>
      </w:r>
      <w:r w:rsidRPr="00655CEA">
        <w:t>osobních</w:t>
      </w:r>
      <w:r w:rsidRPr="00177D1B">
        <w:t xml:space="preserve"> údajů</w:t>
      </w:r>
    </w:p>
    <w:p w14:paraId="4679DB6B" w14:textId="038D19EF" w:rsidR="00655CEA" w:rsidRPr="001F044F" w:rsidRDefault="00655CEA" w:rsidP="00655CEA">
      <w:r>
        <w:t>S</w:t>
      </w:r>
      <w:r w:rsidRPr="001F044F">
        <w:t>právcem osobních údajů vedených v evidenci skutečných majitelů</w:t>
      </w:r>
      <w:r>
        <w:t xml:space="preserve"> jsou příslušné evidenční s</w:t>
      </w:r>
      <w:r w:rsidRPr="001F044F">
        <w:t>oudy a Ministerstvo spravedlnosti</w:t>
      </w:r>
      <w:r>
        <w:t>. Tito jsou</w:t>
      </w:r>
      <w:r w:rsidRPr="001F044F">
        <w:t xml:space="preserve"> v pozici tzv. společných správců osobních údajů (čl. 26 GDPR) vedených v evidenci skutečných majitel</w:t>
      </w:r>
      <w:r>
        <w:t xml:space="preserve">ů. </w:t>
      </w:r>
      <w:r w:rsidR="00D57451">
        <w:t xml:space="preserve">Správcem osobních údajů o do evidence přistupujících osobách je Ministerstvo spravedlnosti. </w:t>
      </w:r>
    </w:p>
    <w:p w14:paraId="146EC7CD" w14:textId="321CFE60" w:rsidR="00655CEA" w:rsidRPr="001F044F" w:rsidRDefault="00655CEA" w:rsidP="00655CEA">
      <w:r w:rsidRPr="001F044F">
        <w:t>Jak soudy, tak Ministerstvo spravedlnosti se podílejí na plnění zákonných úloh a určují účel a</w:t>
      </w:r>
      <w:r w:rsidR="00E54E5E">
        <w:t> </w:t>
      </w:r>
      <w:r w:rsidRPr="001F044F">
        <w:t>prostředky zpracování osobních údajů. Ministerstvo spravedlnosti stanovuje účel a prostředky zpracování osobních údajů v informačním systému evidence skutečných majitelů</w:t>
      </w:r>
      <w:r>
        <w:t>,</w:t>
      </w:r>
      <w:r w:rsidRPr="001F044F">
        <w:t xml:space="preserve"> především zajištěním informačního systému a jeho funkcí tak, aby odpovídal</w:t>
      </w:r>
      <w:r w:rsidR="00E54E5E">
        <w:t>y</w:t>
      </w:r>
      <w:r w:rsidRPr="001F044F">
        <w:t xml:space="preserve"> zákonným (zejm.</w:t>
      </w:r>
      <w:r w:rsidR="00970527">
        <w:t> </w:t>
      </w:r>
      <w:r w:rsidRPr="001F044F">
        <w:t xml:space="preserve">procesním) požadavkům. Soudy pak určují nástroje a postupy (včetně personálních postupů či delegací pravomocí) pro konkrétní operace k zajištění výkonových a správních agend.   </w:t>
      </w:r>
    </w:p>
    <w:p w14:paraId="78F3BE10" w14:textId="043E3BF9" w:rsidR="00655CEA" w:rsidRPr="001F044F" w:rsidRDefault="00655CEA" w:rsidP="00655CEA">
      <w:r w:rsidRPr="001F044F">
        <w:t xml:space="preserve">Vedení evidence skutečných majitelů věcně i místně příslušným soudem je nedílnou součástí výkonu rozhodovacích pravomocí soudů, neboť je to výlučně soud, který dle návrhu vede řízení o zápisu, rozhoduje o znepřístupnění údajů či vede řízení o nesrovnalostech, tedy vykonává typickou agendu svěřenou moci soudní, z čehož vyplývá autonomní postavení soudu coby správce osobních údajů. Soudy tak v rámci autonomního plnění rozhodovacích pravomocí stanovených zákonem </w:t>
      </w:r>
      <w:r w:rsidR="00524C08">
        <w:t>určují</w:t>
      </w:r>
      <w:r w:rsidRPr="001F044F">
        <w:t xml:space="preserve"> účel a prostředky zpracování k zajištění tohoto řádného plnění vlastním výkonem těchto pravomocí včetně souvisejícího nastavení organizačních a</w:t>
      </w:r>
      <w:r w:rsidR="00E54E5E">
        <w:t> </w:t>
      </w:r>
      <w:r w:rsidRPr="001F044F">
        <w:t>personálních opatření.</w:t>
      </w:r>
    </w:p>
    <w:p w14:paraId="39CF6DAA" w14:textId="08A84393" w:rsidR="00655CEA" w:rsidRPr="001F044F" w:rsidRDefault="00655CEA" w:rsidP="00655CEA">
      <w:r w:rsidRPr="001F044F">
        <w:t xml:space="preserve">Ministerstvo </w:t>
      </w:r>
      <w:r w:rsidR="00524C08">
        <w:t xml:space="preserve">spravedlnosti </w:t>
      </w:r>
      <w:r w:rsidRPr="001F044F">
        <w:t xml:space="preserve">na základě ustanovení § 123 odst. 1 písm. m) zákona č. 6/2002 Sb., o soudech a soudcích, </w:t>
      </w:r>
      <w:r w:rsidR="00524C08">
        <w:t xml:space="preserve">ve znění pozdějších předpisů, </w:t>
      </w:r>
      <w:r w:rsidRPr="001F044F">
        <w:t>usměrňuje a řídí využívání informačních technologií, tedy k zajištění autonomní činnosti soudů centrálně zajišťuje informační systémy, definuje dodavatelům jejich funkcionality, obstarává jejich provoz, bezpečnost i kontrolu, jakož i veškeré náležitosti stanovené zákonem č. 181/2014 Sb., o kybernetické bezpečnosti</w:t>
      </w:r>
      <w:r w:rsidR="00524C08">
        <w:t>,</w:t>
      </w:r>
      <w:r w:rsidR="00524C08" w:rsidRPr="00524C08">
        <w:t xml:space="preserve"> </w:t>
      </w:r>
      <w:r w:rsidR="00524C08">
        <w:t>ve znění pozdějších předpisů</w:t>
      </w:r>
      <w:r w:rsidRPr="001F044F">
        <w:t xml:space="preserve">. Současně </w:t>
      </w:r>
      <w:r w:rsidR="00524C08" w:rsidRPr="001F044F">
        <w:t xml:space="preserve">Ministerstvo </w:t>
      </w:r>
      <w:r w:rsidR="00524C08">
        <w:t xml:space="preserve">spravedlnosti </w:t>
      </w:r>
      <w:r w:rsidRPr="001F044F">
        <w:t>prostřednictví</w:t>
      </w:r>
      <w:r w:rsidR="00524C08">
        <w:t>m interních normativních aktů (i</w:t>
      </w:r>
      <w:r w:rsidRPr="001F044F">
        <w:t>nstrukcí) stanovuje centrálně způsoby administrace soudních agend jak v</w:t>
      </w:r>
      <w:r w:rsidR="00E54E5E">
        <w:t> </w:t>
      </w:r>
      <w:r w:rsidRPr="001F044F">
        <w:t>listinné, tak i elektronické podobě.</w:t>
      </w:r>
    </w:p>
    <w:p w14:paraId="65AEE45A" w14:textId="444C89AB" w:rsidR="00655CEA" w:rsidRPr="001F044F" w:rsidRDefault="00655CEA" w:rsidP="00655CEA">
      <w:r w:rsidRPr="001F044F">
        <w:t>Ministerstvo spravedlnosti a soudy při operacích s osobními údaji v evidenci vystupují autonomně dle zákonem svěřených pravomocí. Každý správce disponuje odlišným účelem zpracování. Ministerským účelem zpracování je především technické zajištění provozu informačního systému</w:t>
      </w:r>
      <w:r w:rsidR="00D57451">
        <w:t xml:space="preserve"> a také vedení informací o osobách nahlížejících do evidence</w:t>
      </w:r>
      <w:r w:rsidRPr="001F044F">
        <w:t xml:space="preserve">. Soudy pak zpracovávají osobní údaje za účelem zajištění soudních řízení a formálního dosažení vedení </w:t>
      </w:r>
      <w:r w:rsidRPr="001F044F">
        <w:lastRenderedPageBreak/>
        <w:t>evidence. Správci se přitom v rámci zákonem rozdělených pravomocí v nakládání s osobními údaji neovlivňují.</w:t>
      </w:r>
      <w:r w:rsidRPr="001F044F">
        <w:rPr>
          <w:rStyle w:val="Znakapoznpodarou"/>
        </w:rPr>
        <w:footnoteReference w:id="4"/>
      </w:r>
    </w:p>
    <w:p w14:paraId="017B497C" w14:textId="174147A2" w:rsidR="00655CEA" w:rsidRPr="001F044F" w:rsidRDefault="00655CEA" w:rsidP="00655CEA">
      <w:r w:rsidRPr="001F044F">
        <w:t>Vedení evidence skutečných majitelů nelze vnímat izolovaně od ostatních procesů, které jsou k zajištění jejího obsahu nezbytné a které tvoří souhrn technických, organizačních a</w:t>
      </w:r>
      <w:r w:rsidR="00E54E5E">
        <w:t> </w:t>
      </w:r>
      <w:r w:rsidRPr="001F044F">
        <w:t xml:space="preserve">personálních faktorů, na kterém se v důsledku kompetenční dělby mezi výkonem rozhodovacích pravomocí a státní správou rovnocenným dílem podílí obě kategorie orgánů veřejné moci (ministerstvo a soudy) ve vzájemném konsenzu.  </w:t>
      </w:r>
    </w:p>
    <w:p w14:paraId="71BEC607" w14:textId="0029D603" w:rsidR="00655CEA" w:rsidRPr="001F044F" w:rsidRDefault="00655CEA" w:rsidP="00655CEA">
      <w:r w:rsidRPr="001F044F">
        <w:t>Koncept společného správcovství i vzhledem k dalším justičním informačním systémům (veřejného rejstřík</w:t>
      </w:r>
      <w:r w:rsidR="00524C08">
        <w:t>u</w:t>
      </w:r>
      <w:r w:rsidRPr="001F044F">
        <w:t xml:space="preserve"> či insolvenčního rejstříku) byl </w:t>
      </w:r>
      <w:r w:rsidR="00524C08">
        <w:t>po široké diskusi mezi soudy a</w:t>
      </w:r>
      <w:r w:rsidR="00E54E5E">
        <w:t> </w:t>
      </w:r>
      <w:r w:rsidR="00524C08">
        <w:t>M</w:t>
      </w:r>
      <w:r w:rsidRPr="001F044F">
        <w:t xml:space="preserve">inisterstvem </w:t>
      </w:r>
      <w:r w:rsidR="00524C08">
        <w:t xml:space="preserve">spravedlnosti </w:t>
      </w:r>
      <w:r w:rsidRPr="001F044F">
        <w:t>zvolen jako nejpřípadnější a takto akceptován rovněž specializovanou akademickou obcí. Z pohledu obecného zájmu na ochraně osobních údajů je nutno institut společného správcovství coby společně a koordinovaně garantované kontroly vnímat jako optimální.</w:t>
      </w:r>
    </w:p>
    <w:p w14:paraId="5E7C1145" w14:textId="2CC8AE77" w:rsidR="00D27F2D" w:rsidRDefault="00655CEA" w:rsidP="00655CEA">
      <w:pPr>
        <w:autoSpaceDE w:val="0"/>
        <w:autoSpaceDN w:val="0"/>
        <w:adjustRightInd w:val="0"/>
      </w:pPr>
      <w:r w:rsidRPr="001F044F">
        <w:t>Případné vyřizování žádostí subjektů údajů (ve smyslu GDPR) se nebude lišit od současného stavu. Žádost vyřizuje ten, komu byla doručena, případně si vyžádá součinnost druhého správce</w:t>
      </w:r>
      <w:r w:rsidR="00D27F2D">
        <w:t xml:space="preserve">. </w:t>
      </w:r>
      <w:r w:rsidR="00D27F2D" w:rsidRPr="001F044F">
        <w:t xml:space="preserve">Čl. 26 </w:t>
      </w:r>
      <w:r w:rsidR="00564DB9">
        <w:t xml:space="preserve">odst. </w:t>
      </w:r>
      <w:r w:rsidR="00D27F2D" w:rsidRPr="001F044F">
        <w:t>3 GDPR umožňuje, aby si společní správci vzájemně nastavili kritéria pro vyřizování žádostí.</w:t>
      </w:r>
      <w:r w:rsidR="00D27F2D">
        <w:t xml:space="preserve"> J</w:t>
      </w:r>
      <w:r w:rsidRPr="001F044F">
        <w:t xml:space="preserve">e-li předmětem podnětu vysloveně rozhodovací činnost soudů, vyřizuje žádost soud. </w:t>
      </w:r>
      <w:r w:rsidR="00D27F2D">
        <w:t xml:space="preserve">Ve vztahu k žádostem skutečných majitelů, které se týkají osob nahlížejících do evidence, vyřizuje žádosti </w:t>
      </w:r>
      <w:r w:rsidR="00F20F20">
        <w:t>[</w:t>
      </w:r>
      <w:r w:rsidR="00D27F2D">
        <w:t xml:space="preserve">ve smyslu čl. 15 </w:t>
      </w:r>
      <w:r w:rsidR="00564DB9">
        <w:t xml:space="preserve">odst. </w:t>
      </w:r>
      <w:r w:rsidR="00D27F2D">
        <w:t>1 písm. c) GDPR</w:t>
      </w:r>
      <w:r w:rsidR="00F20F20">
        <w:t>]</w:t>
      </w:r>
      <w:r w:rsidR="00D27F2D">
        <w:t xml:space="preserve"> </w:t>
      </w:r>
      <w:r w:rsidR="00524C08" w:rsidRPr="001F044F">
        <w:t xml:space="preserve">Ministerstvo </w:t>
      </w:r>
      <w:r w:rsidR="00524C08">
        <w:t>spravedlnosti</w:t>
      </w:r>
      <w:r w:rsidR="00D27F2D">
        <w:t xml:space="preserve">, což se ostatně i výslovně upravuje v návrhu (viz § 15g zákona o ESM ve znění návrhu). </w:t>
      </w:r>
    </w:p>
    <w:p w14:paraId="7525FAA4" w14:textId="77777777" w:rsidR="008747C7" w:rsidRDefault="008747C7" w:rsidP="008747C7">
      <w:pPr>
        <w:pStyle w:val="Nadpis2"/>
      </w:pPr>
      <w:r>
        <w:t>Zhodnocení dopadů na práva a povinnosti fyzických a právnických osob</w:t>
      </w:r>
    </w:p>
    <w:p w14:paraId="4D0D6AE0" w14:textId="4F3D3DD4" w:rsidR="008747C7" w:rsidRDefault="008747C7" w:rsidP="008747C7">
      <w:r>
        <w:t>Návrh upravuje režim přístupnosti údajů o skutečném majiteli v evidenci skutečných maj</w:t>
      </w:r>
      <w:r w:rsidR="00524C08">
        <w:t>itelů, a to s cílem ochrany jejich</w:t>
      </w:r>
      <w:r>
        <w:t xml:space="preserve"> soukromí. V podrobnostech viz výše kapitolu 8 a dále příslušné části zvláštní části důvodové zprávy (zejména k</w:t>
      </w:r>
      <w:r w:rsidR="00524C08">
        <w:t>e změnám navrhovaným</w:t>
      </w:r>
      <w:r>
        <w:t xml:space="preserve"> </w:t>
      </w:r>
      <w:r w:rsidR="00524C08">
        <w:t xml:space="preserve">v </w:t>
      </w:r>
      <w:r>
        <w:t xml:space="preserve">§ 32 a </w:t>
      </w:r>
      <w:proofErr w:type="gramStart"/>
      <w:r>
        <w:t>32a</w:t>
      </w:r>
      <w:proofErr w:type="gramEnd"/>
      <w:r>
        <w:t xml:space="preserve"> zákona o ESM). Současně návrh podrobně upravuje, kdo, za jakých podmínek a jakým způsobem může údaje z evidence </w:t>
      </w:r>
      <w:r w:rsidR="00E54E5E">
        <w:t xml:space="preserve">skutečných majitelů </w:t>
      </w:r>
      <w:r>
        <w:t>získáv</w:t>
      </w:r>
      <w:r w:rsidR="005E003F">
        <w:t>at</w:t>
      </w:r>
      <w:r>
        <w:t xml:space="preserve">; viz v podrobnostech příslušné pasáže zvláštní části důvodové zprávy. </w:t>
      </w:r>
    </w:p>
    <w:p w14:paraId="69E7E458" w14:textId="74C0F72A" w:rsidR="008747C7" w:rsidRDefault="008747C7" w:rsidP="008747C7">
      <w:r>
        <w:t>Návrh stanovuje minimum povinností pro fyzické a právnické osoby. Zmínit lze povinnost subjektů, u nichž byl ověřen oprávněn</w:t>
      </w:r>
      <w:r w:rsidR="00E54E5E">
        <w:t>ý</w:t>
      </w:r>
      <w:r>
        <w:t xml:space="preserve"> zájem, </w:t>
      </w:r>
      <w:r w:rsidR="00524C08">
        <w:t>sdělit</w:t>
      </w:r>
      <w:r w:rsidRPr="008747C7">
        <w:t xml:space="preserve"> bez zbytečného odkladu </w:t>
      </w:r>
      <w:r w:rsidR="00524C08">
        <w:t>M</w:t>
      </w:r>
      <w:r w:rsidRPr="008747C7">
        <w:t>inisterstvu</w:t>
      </w:r>
      <w:r w:rsidR="00524C08">
        <w:t xml:space="preserve"> spravedlnosti</w:t>
      </w:r>
      <w:r w:rsidRPr="008747C7">
        <w:t xml:space="preserve">, </w:t>
      </w:r>
      <w:r w:rsidR="005E003F">
        <w:t>že za ně do evidence přistupující konkrétní uživatel</w:t>
      </w:r>
      <w:r w:rsidR="00E54E5E">
        <w:t>é</w:t>
      </w:r>
      <w:r w:rsidR="005E003F">
        <w:t xml:space="preserve"> již nadále přistupovat nemají (</w:t>
      </w:r>
      <w:r w:rsidR="00E54E5E">
        <w:t xml:space="preserve">viz navrhovaný </w:t>
      </w:r>
      <w:r w:rsidR="005E003F">
        <w:t>§ 15e odst. 5 zákona</w:t>
      </w:r>
      <w:r w:rsidR="00524C08">
        <w:t xml:space="preserve"> o ESM). Obdobnou povinnost se navrhuje stanovit</w:t>
      </w:r>
      <w:r w:rsidR="005E003F">
        <w:t xml:space="preserve"> </w:t>
      </w:r>
      <w:r w:rsidR="00524C08">
        <w:t xml:space="preserve">změnami v </w:t>
      </w:r>
      <w:r w:rsidR="005E003F">
        <w:t>§ 17 odst. 4 zákona o ESM v případě privilegovaných uživatelů (např. některých orgánů veřejné moci).</w:t>
      </w:r>
    </w:p>
    <w:p w14:paraId="2A1CA424" w14:textId="7331FFD7" w:rsidR="005864E5" w:rsidRDefault="005864E5" w:rsidP="00F25757">
      <w:pPr>
        <w:pStyle w:val="Nadpis2"/>
      </w:pPr>
      <w:r>
        <w:lastRenderedPageBreak/>
        <w:t>Zhodnocení souladu návrhu se zásadami pro tvorbu digitálně přívětivé legislativy</w:t>
      </w:r>
      <w:r w:rsidR="00524C08">
        <w:t>, včetně zhodnocení rizika vyloučení nebo omezení možnosti přístupu specifických skupin osob k některým službám v důsledku digitalizace jejich poskytování (digitální vyloučení)</w:t>
      </w:r>
    </w:p>
    <w:p w14:paraId="0F1BB860" w14:textId="30269D2B" w:rsidR="00ED6BBF" w:rsidRDefault="00B06B31" w:rsidP="00ED6BBF">
      <w:r>
        <w:t xml:space="preserve">Návrh ve vztahu k oblasti elektronizace veřejné </w:t>
      </w:r>
      <w:r w:rsidR="00486DB8">
        <w:t>s</w:t>
      </w:r>
      <w:r>
        <w:t>právy následuje principy novelizovaného zákona o ESM a vyhovuje zásadám pro tvorbu digitálně přívětivé legislativy.</w:t>
      </w:r>
      <w:r w:rsidR="00210237">
        <w:t xml:space="preserve"> Z relevantních zásad lze zmínit (1) přednost digitálních služeb při dodržování vícekanálového principu, (2)</w:t>
      </w:r>
      <w:r w:rsidR="00E54E5E">
        <w:t> </w:t>
      </w:r>
      <w:r w:rsidR="00210237">
        <w:t>maximální opakovatelnost a opětovná použitelnost údajů a služeb</w:t>
      </w:r>
      <w:r w:rsidR="00DB56D2">
        <w:t>, (3) s</w:t>
      </w:r>
      <w:r w:rsidR="00DB56D2" w:rsidRPr="00DB56D2">
        <w:t>dílen</w:t>
      </w:r>
      <w:r w:rsidR="00DB56D2">
        <w:t>í</w:t>
      </w:r>
      <w:r w:rsidR="00DB56D2" w:rsidRPr="00DB56D2">
        <w:t xml:space="preserve"> služ</w:t>
      </w:r>
      <w:r w:rsidR="00DB56D2">
        <w:t>e</w:t>
      </w:r>
      <w:r w:rsidR="00DB56D2" w:rsidRPr="00DB56D2">
        <w:t>b veřejné správy</w:t>
      </w:r>
      <w:r w:rsidR="00DB56D2">
        <w:t>, (4) konsolidace a propojování informačních systémů veřejné správy, (5) m</w:t>
      </w:r>
      <w:r w:rsidR="00DB56D2" w:rsidRPr="00DB56D2">
        <w:t>ezinárodní interoperabilita</w:t>
      </w:r>
      <w:r w:rsidR="00DB56D2">
        <w:t xml:space="preserve"> a (6) uživatelská přívětivos</w:t>
      </w:r>
      <w:r w:rsidR="00446A84">
        <w:t>t.</w:t>
      </w:r>
    </w:p>
    <w:p w14:paraId="362AB31C"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10F97FAE"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0456B370"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4B178331"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7CFFA37E"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2B276401"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6D4A7AAF"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1AA037BC"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4591B7EF" w14:textId="77777777" w:rsidR="00ED6BBF" w:rsidRPr="00ED6BBF" w:rsidRDefault="00ED6BBF" w:rsidP="00ED6BBF">
      <w:pPr>
        <w:pStyle w:val="Odstavecseseznamem"/>
        <w:keepNext/>
        <w:keepLines/>
        <w:numPr>
          <w:ilvl w:val="0"/>
          <w:numId w:val="16"/>
        </w:numPr>
        <w:spacing w:before="240"/>
        <w:contextualSpacing w:val="0"/>
        <w:outlineLvl w:val="2"/>
        <w:rPr>
          <w:rFonts w:eastAsiaTheme="majorEastAsia" w:cstheme="majorBidi"/>
          <w:b/>
          <w:bCs/>
          <w:vanish/>
        </w:rPr>
      </w:pPr>
    </w:p>
    <w:p w14:paraId="75433394" w14:textId="6609C048" w:rsidR="00586175" w:rsidRPr="00ED6BBF" w:rsidRDefault="00327F40" w:rsidP="00327F40">
      <w:r>
        <w:t>Ž</w:t>
      </w:r>
      <w:r w:rsidR="00ED6BBF">
        <w:t xml:space="preserve">adatelé o přístup na základě oprávněného zájmu by měli primárně využívat </w:t>
      </w:r>
      <w:r w:rsidR="00130B7D">
        <w:t>digitální nástroje (</w:t>
      </w:r>
      <w:r w:rsidR="00ED6BBF">
        <w:t>elektronická podání</w:t>
      </w:r>
      <w:r w:rsidR="00130B7D">
        <w:t>)</w:t>
      </w:r>
      <w:r w:rsidR="00ED6BBF">
        <w:t xml:space="preserve">. K dispozici bude také formulář žádosti, který se bude vyplňovat na internetu. Obdobně </w:t>
      </w:r>
      <w:r w:rsidR="00130B7D">
        <w:t xml:space="preserve">bude primárně elektronicky probíhat vlastní přístup k údajům, a to s využitím elektronické identifikace. Návrh současně umožňuje podat žádost a získat výpis v listinné podobě, pokud je pro žadatele elektronická komunikace problematická.  </w:t>
      </w:r>
      <w:r w:rsidR="00586175">
        <w:t>V podrobnostech viz zvláštní část důvodové zprávy zejména k</w:t>
      </w:r>
      <w:r w:rsidR="00524C08">
        <w:t>e změnám navrhovaným</w:t>
      </w:r>
      <w:r w:rsidR="00586175">
        <w:t xml:space="preserve"> </w:t>
      </w:r>
      <w:r w:rsidR="00E54E5E">
        <w:t xml:space="preserve">v </w:t>
      </w:r>
      <w:r w:rsidR="00586175">
        <w:t>§ 15b a</w:t>
      </w:r>
      <w:r w:rsidR="00E54E5E">
        <w:t> </w:t>
      </w:r>
      <w:r w:rsidR="00586175">
        <w:t>15e zákona o ESM.</w:t>
      </w:r>
    </w:p>
    <w:p w14:paraId="2F90C661" w14:textId="0D4EBB9B" w:rsidR="00130B7D" w:rsidRPr="00130B7D" w:rsidRDefault="00130B7D" w:rsidP="00130B7D">
      <w:r>
        <w:t xml:space="preserve">Návrh počítá s tím, že v případě již ověřených žadatelů bude jejich následné ověření při další žádosti zásadně zjednodušeno. </w:t>
      </w:r>
      <w:r w:rsidR="00586175">
        <w:t xml:space="preserve">Současně se počítá se vznikem uživatelských profilů, které umožní osobě oprávněné k přístupu administraci za ni přistupujících osob. </w:t>
      </w:r>
      <w:r>
        <w:t xml:space="preserve">Toho bude dosaženo prostřednictvím aplikačního vybavení informačního systému evidence skutečných majitelů. </w:t>
      </w:r>
      <w:r w:rsidR="00586175">
        <w:t>V podrobnostech viz zvláštní část důvodové zprávy zejména k 15e zákona o ESM ve znění návrhu.</w:t>
      </w:r>
      <w:r w:rsidR="00320F77">
        <w:t xml:space="preserve"> </w:t>
      </w:r>
      <w:r w:rsidR="00586175">
        <w:t>Podle § 17a zákona o ESM ve znění návrhu se dále počítá se zřízení webové služby pro vybrané subjekty, což zásadně zvýší efektivitu využití evidovaných údajů.</w:t>
      </w:r>
    </w:p>
    <w:p w14:paraId="77930533" w14:textId="13A9B734" w:rsidR="00327F40" w:rsidRPr="00327F40" w:rsidRDefault="00586175" w:rsidP="00327F40">
      <w:r>
        <w:t>Návrh v mnoha ohledech před</w:t>
      </w:r>
      <w:r w:rsidR="00524C08">
        <w:t>po</w:t>
      </w:r>
      <w:r>
        <w:t xml:space="preserve">kládá napojení informačního systému evidence skutečných majitelů na další informační systémy veřejné správy. </w:t>
      </w:r>
      <w:r w:rsidR="00327F40">
        <w:t xml:space="preserve">Žadatelé budou ztotožňováni vůči registru osob, konkrétní uživatelé vůči registru obyvatel či cizinců. </w:t>
      </w:r>
    </w:p>
    <w:p w14:paraId="0053A4F7" w14:textId="7FE29599" w:rsidR="00320F77" w:rsidRDefault="00320F77" w:rsidP="00320F77">
      <w:r>
        <w:t xml:space="preserve">Uživatelské přívětivosti se dosahuje na více úrovních. Především se </w:t>
      </w:r>
      <w:r w:rsidR="00524C08">
        <w:t>v návrhu zamýšlí</w:t>
      </w:r>
      <w:r>
        <w:t xml:space="preserve"> zachovat alespoň část informací nadále veřejně dostupných. To se týká údajů, které jsou do evidence přejímány z jiných veřejných zdrojů a dále informací, které nemohou zasahovat do práva na soukromí (údaj o tom, zda byla splněna evidenční povinnosti). Dále lze zmínit využití sofistikovaných formulářů pro žádost o přístup na základě oprávněného zájmu, které budou uživatele navádět prostřednictvím pře</w:t>
      </w:r>
      <w:r w:rsidR="00524C08">
        <w:t>dpři</w:t>
      </w:r>
      <w:r>
        <w:t xml:space="preserve">pravených nabídek. </w:t>
      </w:r>
    </w:p>
    <w:p w14:paraId="62029C4A" w14:textId="77647587" w:rsidR="00320F77" w:rsidRDefault="00320F77" w:rsidP="00320F77">
      <w:r>
        <w:t xml:space="preserve">Vlastní přístup do evidence by měl fungovat s využitím uživatelského profilu. Registrovaný uživatel se po přihlášení s využitím elektronické identity bude moci okamžitě dostat ke kýženým údajům, a to v rámci přehledného a uživatelsky srozumitelného aplikačního rozhraní internetové stránky evidence. </w:t>
      </w:r>
    </w:p>
    <w:p w14:paraId="6EC951B9" w14:textId="21E9F91C" w:rsidR="00327F40" w:rsidRPr="00B06B31" w:rsidRDefault="00327F40" w:rsidP="00327F40">
      <w:r>
        <w:lastRenderedPageBreak/>
        <w:t xml:space="preserve">Řada částí návrhu explicitně zakotvuje výměnu informací s registry jiných členských států. V návaznosti na požadavky AML směrnice jsou </w:t>
      </w:r>
      <w:r w:rsidR="00524C08">
        <w:t>upravena</w:t>
      </w:r>
      <w:r>
        <w:t xml:space="preserve"> osvědčení oprávněného zájmu, která mají zjednodušit jeho prokazování napříč registry členských států. Dále se počítá s výměnou různých informací s registry, a </w:t>
      </w:r>
      <w:r w:rsidR="00524C08">
        <w:t>to na základě pravidel</w:t>
      </w:r>
      <w:r>
        <w:t xml:space="preserve"> implementačního aktu</w:t>
      </w:r>
      <w:r w:rsidR="00F20F20">
        <w:t xml:space="preserve">. V podrobnostech viz příslušné pasáže zvláštní části důvodové zprávy. Ve vztahu k mezinárodní interoperabilitě lze také odkázat na úpravu § 17b zákona ESM ve znění návrhu, který upravuje </w:t>
      </w:r>
      <w:r>
        <w:t>sdílení dat z evidence skutečných majitelů prostřednictvím systému propojení evropských registrů skutečných majitelů</w:t>
      </w:r>
      <w:r w:rsidR="00F20F20">
        <w:t>; t</w:t>
      </w:r>
      <w:r>
        <w:t xml:space="preserve">ento technický projekt je koordinován ze strany Komise a je postupně zprovozňován.  </w:t>
      </w:r>
    </w:p>
    <w:p w14:paraId="5E3D25F6" w14:textId="5904D999" w:rsidR="00F25757" w:rsidRPr="00492DD8" w:rsidRDefault="00F25757" w:rsidP="00F25757">
      <w:pPr>
        <w:pStyle w:val="Nadpis2"/>
      </w:pPr>
      <w:r w:rsidRPr="00492DD8">
        <w:t>Zhodnocení korupčních rizik</w:t>
      </w:r>
    </w:p>
    <w:p w14:paraId="3DF64B34" w14:textId="5CD3A5C8" w:rsidR="008C12EA" w:rsidRDefault="008C12EA" w:rsidP="008C12EA">
      <w:r>
        <w:t xml:space="preserve">Návrh nemá zásadní vliv na korupční rizika. Fakticky však může dojít ke snížení transparentnosti právnických osob, jelikož údaje o </w:t>
      </w:r>
      <w:r w:rsidR="00524C08">
        <w:t xml:space="preserve">jejich </w:t>
      </w:r>
      <w:r>
        <w:t>skutečných majitelích nebudou veřejné a bude nutné o přístup k nim žádat, včetně prokazování oprávněného zájmu. Nižší transparentnost a složitější veřejná kontrolovatelnost pak z povahy věci nepřispívá k</w:t>
      </w:r>
      <w:r w:rsidR="00E54E5E">
        <w:t> </w:t>
      </w:r>
      <w:r>
        <w:t xml:space="preserve">protikorupční politice. </w:t>
      </w:r>
    </w:p>
    <w:p w14:paraId="7606B47A" w14:textId="3AF55CC1" w:rsidR="008461C3" w:rsidRDefault="008C12EA" w:rsidP="008461C3">
      <w:r>
        <w:t xml:space="preserve">Nový proces posuzování žádostí o přístup </w:t>
      </w:r>
      <w:r w:rsidR="00524C08">
        <w:t xml:space="preserve">na základě oprávněného zájmu </w:t>
      </w:r>
      <w:r>
        <w:t>bude správním řízením, přičemž nelze očekávat, že by u něj byl</w:t>
      </w:r>
      <w:r w:rsidR="00E54E5E">
        <w:t>a</w:t>
      </w:r>
      <w:r>
        <w:t xml:space="preserve"> specifická korupční rizika. Proces posuzování žádostí je dle pravidel AML směrnice značně formalizovaný a prostor pro správní uvážení je relativně malý, čímž se v řízení i snižuje korupční riziko.</w:t>
      </w:r>
    </w:p>
    <w:p w14:paraId="736143F8" w14:textId="77777777" w:rsidR="008461C3" w:rsidRPr="00492DD8" w:rsidRDefault="008461C3" w:rsidP="008461C3">
      <w:pPr>
        <w:pStyle w:val="Nadpis2"/>
      </w:pPr>
      <w:r w:rsidRPr="00492DD8">
        <w:t>Zhodnocení dopadů na bezpečnost nebo obranu státu</w:t>
      </w:r>
    </w:p>
    <w:p w14:paraId="3C7879C0" w14:textId="33BF4129" w:rsidR="008461C3" w:rsidRDefault="008461C3" w:rsidP="008461C3">
      <w:r w:rsidRPr="00492DD8">
        <w:t>Návrh neobsahuje ustanovení se vztah</w:t>
      </w:r>
      <w:r>
        <w:t>em</w:t>
      </w:r>
      <w:r w:rsidRPr="00492DD8">
        <w:t xml:space="preserve"> k bezpečnosti nebo obraně státu.</w:t>
      </w:r>
    </w:p>
    <w:p w14:paraId="74E38587" w14:textId="13EF7D24" w:rsidR="008461C3" w:rsidRDefault="008461C3" w:rsidP="008461C3">
      <w:pPr>
        <w:pStyle w:val="Nadpis2"/>
      </w:pPr>
      <w:r>
        <w:t xml:space="preserve">Zhodnocení územních dopadů, včetně dopadů na územní samosprávné celky </w:t>
      </w:r>
    </w:p>
    <w:p w14:paraId="65A09389" w14:textId="1DDBA58A" w:rsidR="008747C7" w:rsidRPr="008747C7" w:rsidRDefault="008747C7" w:rsidP="008747C7">
      <w:r>
        <w:t>Navrhovaná úprava není spojena s územními dopady a nemá ani dopad na územní samosprávné celky.</w:t>
      </w:r>
    </w:p>
    <w:p w14:paraId="585DBC0A" w14:textId="32B992FD" w:rsidR="008461C3" w:rsidRDefault="008461C3" w:rsidP="008461C3">
      <w:pPr>
        <w:pStyle w:val="Nadpis2"/>
      </w:pPr>
      <w:r>
        <w:t>Zhodnocení sociálních dopadů, včetně dopadů na specifické skupiny obyvatel, zejména osoby sociálně slabé, osoby se zdravotním postižením a národnostní menšiny, dopadů na ochranu práv dětí a dopadů na životní prostředí</w:t>
      </w:r>
      <w:r w:rsidR="009E7835" w:rsidRPr="00492DD8">
        <w:t xml:space="preserve">, </w:t>
      </w:r>
      <w:r w:rsidR="009E7835">
        <w:t>z</w:t>
      </w:r>
      <w:r w:rsidR="009E7835" w:rsidRPr="00492DD8">
        <w:t xml:space="preserve">hodnocení </w:t>
      </w:r>
      <w:r w:rsidR="009E7835">
        <w:rPr>
          <w:lang w:bidi="en-US"/>
        </w:rPr>
        <w:t xml:space="preserve">dopadů </w:t>
      </w:r>
      <w:r w:rsidR="009E7835" w:rsidRPr="00492DD8">
        <w:rPr>
          <w:lang w:bidi="en-US"/>
        </w:rPr>
        <w:t>ve vztahu k zákazu diskriminace a ve vztahu k rovnosti mužů a žen</w:t>
      </w:r>
      <w:r>
        <w:t xml:space="preserve"> </w:t>
      </w:r>
    </w:p>
    <w:p w14:paraId="506071F3" w14:textId="0FBE6EB0" w:rsidR="008461C3" w:rsidRPr="00492DD8" w:rsidRDefault="008461C3" w:rsidP="008461C3">
      <w:r w:rsidRPr="00492DD8">
        <w:t>U navrhované úpravy nelze předpokládat jakýkoli vliv v oblasti sociální</w:t>
      </w:r>
      <w:r w:rsidR="00524C08">
        <w:t>, ochrany práv dětí</w:t>
      </w:r>
      <w:r w:rsidRPr="00492DD8">
        <w:t xml:space="preserve"> či životního prostředí. Navrhovaná právní úprava nestanovuje odchylky ve vztahu k zákazu diskriminace, nezavádí žádné rozdíly na základě pohlaví, rasy, barvy pleti, jazyka, víry a náboženství, politického či jiného smýšlení, národního nebo sociálního původu, příslušnosti k národnostní nebo etnické menšině, majetku, rodu nebo jiného postavení. Navrhovaná právní úprava není rovněž v rozporu se zákonem č. 198/2009 Sb., o rovném zacházení a o právních prostředcích ochrany před diskriminací a o změně některých zákonů (antidiskriminační zákon)</w:t>
      </w:r>
      <w:r w:rsidR="00E54E5E">
        <w:t>,</w:t>
      </w:r>
      <w:r w:rsidR="009E7835" w:rsidRPr="009E7835">
        <w:t xml:space="preserve"> </w:t>
      </w:r>
      <w:r w:rsidR="009E7835">
        <w:t>ve znění pozdějších předpisů</w:t>
      </w:r>
      <w:r w:rsidRPr="00492DD8">
        <w:t>.</w:t>
      </w:r>
    </w:p>
    <w:p w14:paraId="3A9947CF" w14:textId="3B245AAF" w:rsidR="008461C3" w:rsidRPr="008461C3" w:rsidRDefault="008461C3" w:rsidP="008461C3">
      <w:r w:rsidRPr="00492DD8">
        <w:lastRenderedPageBreak/>
        <w:t xml:space="preserve">Navrhovaná právní úprava nemá bezprostřední, ani sekundární dopady na rovnost mužů a žen a nevede k diskriminaci </w:t>
      </w:r>
      <w:r>
        <w:t xml:space="preserve">žádného </w:t>
      </w:r>
      <w:r w:rsidRPr="00492DD8">
        <w:t xml:space="preserve">z pohlaví, neboť </w:t>
      </w:r>
      <w:r>
        <w:t xml:space="preserve">je </w:t>
      </w:r>
      <w:r w:rsidR="009E7835">
        <w:t>nijak nerozlišuje</w:t>
      </w:r>
      <w:r w:rsidRPr="00492DD8">
        <w:t xml:space="preserve"> ani nezvýhodňuje a</w:t>
      </w:r>
      <w:r w:rsidR="00E54E5E">
        <w:t> </w:t>
      </w:r>
      <w:r w:rsidRPr="00492DD8">
        <w:t>nestanoví pro ně odlišné podmínky</w:t>
      </w:r>
      <w:r>
        <w:t>.</w:t>
      </w:r>
    </w:p>
    <w:p w14:paraId="5EE7E977" w14:textId="77777777" w:rsidR="008461C3" w:rsidRDefault="008461C3" w:rsidP="008461C3">
      <w:pPr>
        <w:pStyle w:val="Nadpis2"/>
      </w:pPr>
      <w:r>
        <w:t>Zhodnocení dopadů na rodiny, zejména s ohledem na plnění funkcí rodiny</w:t>
      </w:r>
    </w:p>
    <w:p w14:paraId="09D4377F" w14:textId="22FDBED6" w:rsidR="008461C3" w:rsidRDefault="008461C3" w:rsidP="008461C3">
      <w:r>
        <w:t>Návrh zákona se nijak nedotýká sociálních ani rodinných otázek. Návrh na plnění funkce rodiny, na posílení integrity a stability rodiny a posílení rodinné harmonie, na lepší rovnováh</w:t>
      </w:r>
      <w:r w:rsidR="003D161B">
        <w:t>u</w:t>
      </w:r>
      <w:r>
        <w:t xml:space="preserve"> mezi prací a rodinou a na posílení mezigeneračních a širších příbuzenských vztahů nemá vliv.</w:t>
      </w:r>
    </w:p>
    <w:p w14:paraId="13212F41" w14:textId="4DEBC5FE" w:rsidR="000376E6" w:rsidRDefault="000376E6" w:rsidP="000376E6">
      <w:pPr>
        <w:pStyle w:val="Nadpis2"/>
      </w:pPr>
      <w:r>
        <w:t>Zhodnocení návrhu z</w:t>
      </w:r>
      <w:r w:rsidR="00334B52">
        <w:t xml:space="preserve"> hlediska </w:t>
      </w:r>
      <w:r>
        <w:t xml:space="preserve">požadavků zákona o lobbování </w:t>
      </w:r>
    </w:p>
    <w:p w14:paraId="78C1411B" w14:textId="121BB931" w:rsidR="005E003F" w:rsidRDefault="000376E6" w:rsidP="009E7835">
      <w:pPr>
        <w:spacing w:after="200"/>
      </w:pPr>
      <w:r>
        <w:t>V rámci příprav návrhu nedošlo vůči předkladateli k lobbování ve smyslu zákona č. 168/2025 Sb., zákona o regulaci lobbingu. Nelze proto ve vztahu k návrhu identifikovat ani lobované</w:t>
      </w:r>
      <w:r w:rsidR="003D161B">
        <w:t xml:space="preserve"> osoby</w:t>
      </w:r>
      <w:r>
        <w:t xml:space="preserve">, ani lobbisty.  </w:t>
      </w:r>
      <w:r w:rsidR="005E003F">
        <w:br w:type="page"/>
      </w:r>
    </w:p>
    <w:p w14:paraId="2AC0A599" w14:textId="77777777" w:rsidR="002E35C1" w:rsidRPr="00492DD8" w:rsidRDefault="00F03079" w:rsidP="00F03079">
      <w:pPr>
        <w:pStyle w:val="Nadpis1"/>
      </w:pPr>
      <w:r w:rsidRPr="00492DD8">
        <w:lastRenderedPageBreak/>
        <w:t>II. ZVLÁŠTNÍ ČÁST</w:t>
      </w:r>
    </w:p>
    <w:p w14:paraId="0E3C858B" w14:textId="409C87B9" w:rsidR="00EF7253" w:rsidRDefault="008511FC" w:rsidP="00EF7253">
      <w:pPr>
        <w:pStyle w:val="Nadpis3"/>
      </w:pPr>
      <w:r w:rsidRPr="00492DD8">
        <w:t>K</w:t>
      </w:r>
      <w:r>
        <w:t> článku I</w:t>
      </w:r>
      <w:r w:rsidR="00D70C9B">
        <w:t xml:space="preserve"> (změna zákona o evidenci skutečných majitelů</w:t>
      </w:r>
      <w:r w:rsidR="006708F5">
        <w:t>)</w:t>
      </w:r>
    </w:p>
    <w:p w14:paraId="011F21C6" w14:textId="2523629C" w:rsidR="00AA3EEB" w:rsidRDefault="00E56EFD" w:rsidP="001B3E19">
      <w:pPr>
        <w:pStyle w:val="Nadpis5"/>
      </w:pPr>
      <w:r w:rsidRPr="00492DD8">
        <w:t>K</w:t>
      </w:r>
      <w:r w:rsidR="001B3E19">
        <w:t> bodu</w:t>
      </w:r>
      <w:r w:rsidR="00B90C65">
        <w:t xml:space="preserve"> 1</w:t>
      </w:r>
      <w:r w:rsidR="00AA3EEB">
        <w:t xml:space="preserve"> </w:t>
      </w:r>
      <w:r w:rsidR="00AA3EEB" w:rsidRPr="001D7237">
        <w:t>[poznámka pod čarou č.</w:t>
      </w:r>
      <w:r w:rsidR="00AA3EEB">
        <w:t xml:space="preserve"> 1</w:t>
      </w:r>
      <w:r w:rsidR="00AA3EEB" w:rsidRPr="001D7237">
        <w:t>]</w:t>
      </w:r>
      <w:r w:rsidR="00D70C9B">
        <w:t xml:space="preserve"> </w:t>
      </w:r>
    </w:p>
    <w:p w14:paraId="5C28A16F" w14:textId="78629CBB" w:rsidR="00AA3EEB" w:rsidRPr="00AA3EEB" w:rsidRDefault="00AA3EEB" w:rsidP="001D7237">
      <w:r>
        <w:t xml:space="preserve">Jedná se o technickou změnu související s výkaznictvím transpozice unijních předpisů, doplňuje se AML směrnice do výčtu transponovaných unijních předpisů. </w:t>
      </w:r>
    </w:p>
    <w:p w14:paraId="4CDB7B2B" w14:textId="61710A71" w:rsidR="001B3E19" w:rsidRDefault="00AA3EEB" w:rsidP="001B3E19">
      <w:pPr>
        <w:pStyle w:val="Nadpis5"/>
      </w:pPr>
      <w:r>
        <w:t xml:space="preserve">K bodu 2 </w:t>
      </w:r>
      <w:r w:rsidR="00E13F3D">
        <w:t xml:space="preserve">[§ 2 písm. </w:t>
      </w:r>
      <w:r w:rsidR="001B3E19">
        <w:t>k</w:t>
      </w:r>
      <w:r w:rsidR="00E13F3D">
        <w:t>)]</w:t>
      </w:r>
    </w:p>
    <w:p w14:paraId="7EFF7038" w14:textId="0E0FB33B" w:rsidR="001B3E19" w:rsidRPr="001B3E19" w:rsidRDefault="00C97FEA" w:rsidP="001B3E19">
      <w:r>
        <w:t>Cílem je</w:t>
      </w:r>
      <w:r w:rsidR="001B3E19">
        <w:t xml:space="preserve"> postavit na jisto, že automatickým průpisem se rozumí i situace, kdy jsou informace o</w:t>
      </w:r>
      <w:r w:rsidR="00E65E58">
        <w:t> </w:t>
      </w:r>
      <w:r w:rsidR="001B3E19">
        <w:t xml:space="preserve">skutečných majitelích přebírány v rámci databáze evidence skutečných majitelů, tzn. nikoli z externího zdroje. Takto ostatně systém již v současnosti funguje, což odpovídá bližším pravidlům automatického průpisu stanoveným v § 37 a 38 zákona o ESM. Systém v současnosti přebírá informace o skutečných majitelích zapsaných v evidenci např. od mateřské společnosti k dceřiné, přičemž využívá do evidence manuálně zapsaná data. </w:t>
      </w:r>
    </w:p>
    <w:p w14:paraId="04DBAD65" w14:textId="64D68560" w:rsidR="001B3E19" w:rsidRDefault="001B3E19" w:rsidP="001B3E19">
      <w:pPr>
        <w:pStyle w:val="Nadpis5"/>
      </w:pPr>
      <w:r w:rsidRPr="00492DD8">
        <w:t>K</w:t>
      </w:r>
      <w:r>
        <w:t> bod</w:t>
      </w:r>
      <w:r w:rsidR="002E50AF">
        <w:t>ům</w:t>
      </w:r>
      <w:r>
        <w:t xml:space="preserve"> </w:t>
      </w:r>
      <w:r w:rsidR="00AA3EEB">
        <w:t>3</w:t>
      </w:r>
      <w:r w:rsidR="008832FD">
        <w:t xml:space="preserve"> až 9</w:t>
      </w:r>
      <w:r>
        <w:t xml:space="preserve"> [§ 14]</w:t>
      </w:r>
    </w:p>
    <w:p w14:paraId="344777DD" w14:textId="67D1043B" w:rsidR="001B3E19" w:rsidRDefault="001B3E19" w:rsidP="001B3E19">
      <w:r>
        <w:t xml:space="preserve">Ustanovení § 14 zákona o ESM stanovuje, jaké údaje v evidenci skutečných majitelů jsou dostupné veřejnosti. S ohledem na </w:t>
      </w:r>
      <w:r w:rsidR="00A0397E">
        <w:t xml:space="preserve">požadavky </w:t>
      </w:r>
      <w:r w:rsidR="00F4022F">
        <w:t xml:space="preserve">AML </w:t>
      </w:r>
      <w:r>
        <w:t xml:space="preserve">směrnice se pak </w:t>
      </w:r>
      <w:r w:rsidR="00A0397E">
        <w:t xml:space="preserve">v odstavci 1 </w:t>
      </w:r>
      <w:r>
        <w:t xml:space="preserve">dosavadní primárně veřejný režim mění na režim neveřejný. </w:t>
      </w:r>
    </w:p>
    <w:p w14:paraId="5FA37B9A" w14:textId="196E1A55" w:rsidR="001B3E19" w:rsidRDefault="001B3E19" w:rsidP="001B3E19">
      <w:r>
        <w:t>Navrhuje se však zachovat stávají</w:t>
      </w:r>
      <w:r w:rsidR="00C97FEA">
        <w:t>cí možnost, aby údaje o skutečném majiteli byly v evidenci</w:t>
      </w:r>
      <w:r>
        <w:t xml:space="preserve"> veřejnosti dostupné, pokud s tím skutečný majitel souhlasí. Tento souhlas se přitom dokládá v rámci řízení o zápisu (viz § 23 odst. 5 zákona o ESM). Souhlas skutečný majitel také může odvolat, a to podle § 33 zákona o ESM.</w:t>
      </w:r>
    </w:p>
    <w:p w14:paraId="19A70BB2" w14:textId="6C9FC090" w:rsidR="00A0397E" w:rsidRDefault="00A0397E" w:rsidP="001B3E19">
      <w:r>
        <w:t>Do odstavce 1 se doplňuj</w:t>
      </w:r>
      <w:r w:rsidR="00610E4B">
        <w:t>e písmeno</w:t>
      </w:r>
      <w:r>
        <w:t xml:space="preserve"> d), </w:t>
      </w:r>
      <w:r w:rsidR="00C97FEA">
        <w:t xml:space="preserve">které odpovídá stávajícímu písmeni c), </w:t>
      </w:r>
      <w:r>
        <w:t>podle kter</w:t>
      </w:r>
      <w:r w:rsidR="00610E4B">
        <w:t>ého</w:t>
      </w:r>
      <w:r>
        <w:t xml:space="preserve"> mají být veřejné identifikační údaje o </w:t>
      </w:r>
      <w:r w:rsidR="00C97FEA">
        <w:t xml:space="preserve">právnické </w:t>
      </w:r>
      <w:r>
        <w:t>osobě</w:t>
      </w:r>
      <w:r w:rsidR="00C97FEA">
        <w:t xml:space="preserve"> nebo</w:t>
      </w:r>
      <w:r>
        <w:t xml:space="preserve"> právním uspořádání. </w:t>
      </w:r>
      <w:r w:rsidR="00610E4B">
        <w:t xml:space="preserve">Neveřejnost evidence nebude znamenat, že by v evidenci nebylo možné veřejně vyhledávat subjekty s evidenční povinností. I nadále tak budou moci neregistrovaní uživatelé </w:t>
      </w:r>
      <w:r w:rsidR="00A21301">
        <w:t xml:space="preserve">volně </w:t>
      </w:r>
      <w:r w:rsidR="00610E4B">
        <w:t>vyhled</w:t>
      </w:r>
      <w:r w:rsidR="00A21301">
        <w:t>ávat</w:t>
      </w:r>
      <w:r w:rsidR="00610E4B">
        <w:t xml:space="preserve"> v evidenci skutečných majitelů jednotlivé právnické osoby nebo právní uspořádání, byť již bez dalšího nezjistí, kdo j</w:t>
      </w:r>
      <w:r w:rsidR="000426CB">
        <w:t>s</w:t>
      </w:r>
      <w:r w:rsidR="00610E4B">
        <w:t xml:space="preserve">ou jejich skutečnými majiteli. </w:t>
      </w:r>
    </w:p>
    <w:p w14:paraId="109B5599" w14:textId="4FCD04D3" w:rsidR="00A0397E" w:rsidRDefault="002E50AF" w:rsidP="001B3E19">
      <w:r>
        <w:t>Odstavec 2 se reformuluje a</w:t>
      </w:r>
      <w:r w:rsidR="00610E4B">
        <w:t xml:space="preserve"> doplňuje </w:t>
      </w:r>
      <w:r>
        <w:t xml:space="preserve">se </w:t>
      </w:r>
      <w:r w:rsidR="00610E4B">
        <w:t>možnost získ</w:t>
      </w:r>
      <w:r w:rsidR="00C97FEA">
        <w:t xml:space="preserve">at </w:t>
      </w:r>
      <w:r w:rsidR="00563CB2">
        <w:t>potvrzení</w:t>
      </w:r>
      <w:r w:rsidR="00610E4B">
        <w:t xml:space="preserve"> o </w:t>
      </w:r>
      <w:r w:rsidR="00C97FEA">
        <w:t xml:space="preserve">splnění povinnosti zapsat skutečného majitele do evidence </w:t>
      </w:r>
      <w:r w:rsidR="00610E4B">
        <w:t xml:space="preserve">skutečných majitelů. </w:t>
      </w:r>
      <w:r w:rsidR="00A0397E">
        <w:t>Ačkoli údaje o skutečných majitelích budou obecně neveřejné, kdokoli</w:t>
      </w:r>
      <w:r w:rsidR="00563CB2">
        <w:t xml:space="preserve"> i nadále</w:t>
      </w:r>
      <w:r w:rsidR="00A0397E">
        <w:t xml:space="preserve"> </w:t>
      </w:r>
      <w:r w:rsidR="00C97FEA">
        <w:t xml:space="preserve">bude </w:t>
      </w:r>
      <w:r w:rsidR="00A0397E">
        <w:t>moci z evidence bez nutnosti přihlášení zjistit, zda právnická osoba nebo právní uspořádání skutečného majitele zapsaného mají, či nikoli. Již údaj, zda je evidenční povinnost plněna, či nikoli, je v řadě situací důležitý (např. při uzavírání veřejných zakázek nebo udělování dotací) a je záhodno jej učinit jednoduše dostupným. Současně zveřejněním tohoto údaje nijak nedochází k zásahu do soukromí skutečných majitelů.</w:t>
      </w:r>
    </w:p>
    <w:p w14:paraId="68186B5B" w14:textId="7D6AF653" w:rsidR="00F4022F" w:rsidRDefault="00F4022F" w:rsidP="001B3E19">
      <w:r>
        <w:t>Navrhuje se zrušit odstav</w:t>
      </w:r>
      <w:r w:rsidR="005316E3">
        <w:t>ec</w:t>
      </w:r>
      <w:r>
        <w:t xml:space="preserve"> 3 a současně</w:t>
      </w:r>
      <w:r w:rsidR="00C97FEA">
        <w:t xml:space="preserve"> pravidlo věcně nahradit v nově navrhovaném</w:t>
      </w:r>
      <w:r>
        <w:t xml:space="preserve"> § 17b </w:t>
      </w:r>
      <w:r w:rsidR="002B193B">
        <w:t>zákona o ESM</w:t>
      </w:r>
      <w:r>
        <w:t xml:space="preserve">. S ohledem na zrušení veřejnosti evidence skutečných majitelů i na unijní úrovni </w:t>
      </w:r>
      <w:r>
        <w:lastRenderedPageBreak/>
        <w:t xml:space="preserve">již nemá docházet k zveřejňování údajů prostřednictvím tzv. </w:t>
      </w:r>
      <w:r w:rsidRPr="00F4022F">
        <w:t>systému propojení rejstříků</w:t>
      </w:r>
      <w:r>
        <w:t xml:space="preserve"> (tzv.</w:t>
      </w:r>
      <w:r w:rsidR="00E65E58">
        <w:t> </w:t>
      </w:r>
      <w:r>
        <w:t xml:space="preserve">BORIS – </w:t>
      </w:r>
      <w:proofErr w:type="spellStart"/>
      <w:r>
        <w:rPr>
          <w:i/>
        </w:rPr>
        <w:t>Beneficial</w:t>
      </w:r>
      <w:proofErr w:type="spellEnd"/>
      <w:r>
        <w:rPr>
          <w:i/>
        </w:rPr>
        <w:t xml:space="preserve"> </w:t>
      </w:r>
      <w:proofErr w:type="spellStart"/>
      <w:r>
        <w:rPr>
          <w:i/>
        </w:rPr>
        <w:t>Ownership</w:t>
      </w:r>
      <w:proofErr w:type="spellEnd"/>
      <w:r w:rsidRPr="001F044F">
        <w:rPr>
          <w:i/>
        </w:rPr>
        <w:t xml:space="preserve"> </w:t>
      </w:r>
      <w:proofErr w:type="spellStart"/>
      <w:r w:rsidRPr="001F044F">
        <w:rPr>
          <w:i/>
        </w:rPr>
        <w:t>Registers</w:t>
      </w:r>
      <w:proofErr w:type="spellEnd"/>
      <w:r w:rsidRPr="001F044F">
        <w:rPr>
          <w:i/>
        </w:rPr>
        <w:t xml:space="preserve"> </w:t>
      </w:r>
      <w:proofErr w:type="spellStart"/>
      <w:r w:rsidRPr="001F044F">
        <w:rPr>
          <w:i/>
        </w:rPr>
        <w:t>Interconnection</w:t>
      </w:r>
      <w:proofErr w:type="spellEnd"/>
      <w:r w:rsidRPr="001F044F">
        <w:rPr>
          <w:i/>
        </w:rPr>
        <w:t xml:space="preserve"> </w:t>
      </w:r>
      <w:proofErr w:type="spellStart"/>
      <w:r>
        <w:rPr>
          <w:i/>
        </w:rPr>
        <w:t>System</w:t>
      </w:r>
      <w:proofErr w:type="spellEnd"/>
      <w:r>
        <w:t xml:space="preserve">), byť údaje budou nadále do BORIS předávány. Blíže viz zvláštní část důvodové zprávy k § 17b </w:t>
      </w:r>
      <w:r w:rsidR="00A21301">
        <w:t>zákona o ESM</w:t>
      </w:r>
      <w:r>
        <w:t xml:space="preserve">.  </w:t>
      </w:r>
    </w:p>
    <w:p w14:paraId="07256D91" w14:textId="74D9B4CD" w:rsidR="005316E3" w:rsidRDefault="005316E3" w:rsidP="001B3E19">
      <w:r>
        <w:t xml:space="preserve">S ohledem na změnu režimu veřejnosti evidence se navrhuje zrušit odstavec 4, který v současnosti stanovuje výjimky z veřejnosti údajů. </w:t>
      </w:r>
    </w:p>
    <w:p w14:paraId="1F66995E" w14:textId="32205E98" w:rsidR="0062445D" w:rsidRDefault="0062445D" w:rsidP="0062445D">
      <w:pPr>
        <w:pStyle w:val="Nadpis5"/>
      </w:pPr>
      <w:r w:rsidRPr="00492DD8">
        <w:t>K</w:t>
      </w:r>
      <w:r>
        <w:t xml:space="preserve"> bodu </w:t>
      </w:r>
      <w:r w:rsidR="008832FD">
        <w:t>10</w:t>
      </w:r>
      <w:r>
        <w:t xml:space="preserve"> [§ 15]</w:t>
      </w:r>
    </w:p>
    <w:p w14:paraId="650BE7C2" w14:textId="07CA3420" w:rsidR="00A54F98" w:rsidRDefault="0062445D" w:rsidP="0062445D">
      <w:r>
        <w:t xml:space="preserve">Stávající pravidla pro přístup k údajům o skutečných majitelích právních uspořádání se navrhuje nahradit pravidly pro přístup k údajům na základě prokázání </w:t>
      </w:r>
      <w:r w:rsidR="000821D1">
        <w:t xml:space="preserve">oprávněného </w:t>
      </w:r>
      <w:r>
        <w:t xml:space="preserve">zájmu. Dosavadní úprava, vztahující se však specifiky k právním upořádáním, zůstává částečně zachována, byť nově je jednak podrobnější, jednak se uplatní obecně, tj. i ve vztahu k přístupu k údajům o skutečných majitelích právnických osob. Navržené ustanovení je transpozicí zejména čl. 12 </w:t>
      </w:r>
      <w:r w:rsidR="00564DB9">
        <w:t xml:space="preserve">odst. </w:t>
      </w:r>
      <w:r>
        <w:t xml:space="preserve">1 AML směrnice. </w:t>
      </w:r>
    </w:p>
    <w:p w14:paraId="3A3572B6" w14:textId="5228B7A5" w:rsidR="00A54F98" w:rsidRDefault="00A54F98" w:rsidP="0062445D">
      <w:r>
        <w:t xml:space="preserve">Spolu s transpozičními pravidly se </w:t>
      </w:r>
      <w:r w:rsidR="00C97FEA">
        <w:t>navrhuje</w:t>
      </w:r>
      <w:r>
        <w:t xml:space="preserve"> upravit i ta ryze národní. Tím se </w:t>
      </w:r>
      <w:r w:rsidR="00C97FEA">
        <w:t>reflektuje existence</w:t>
      </w:r>
      <w:r>
        <w:t xml:space="preserve"> další</w:t>
      </w:r>
      <w:r w:rsidR="00555504">
        <w:t>ch</w:t>
      </w:r>
      <w:r>
        <w:t xml:space="preserve"> oprávněných zájmů o přístup do evidence nad rámec těch plynoucích z AML směrnice. </w:t>
      </w:r>
    </w:p>
    <w:p w14:paraId="05F38FE8" w14:textId="75B0F359" w:rsidR="0062445D" w:rsidRDefault="0062445D" w:rsidP="0062445D">
      <w:r>
        <w:t xml:space="preserve">Návrh mění stávající veřejný režim evidence a zavádí přístup na základě tzv. oprávněného zájmu. Na základě oprávněného zájmu bude možné získat pouze některé údaje z evidence. </w:t>
      </w:r>
    </w:p>
    <w:p w14:paraId="3A035FC9" w14:textId="053C7246" w:rsidR="00E628F3" w:rsidRDefault="00E628F3" w:rsidP="00E628F3">
      <w:pPr>
        <w:pStyle w:val="Nadpis6"/>
      </w:pPr>
      <w:r>
        <w:t>K odstavci 1</w:t>
      </w:r>
    </w:p>
    <w:p w14:paraId="73798DD2" w14:textId="0A3419EA" w:rsidR="002B193B" w:rsidRDefault="0062445D" w:rsidP="0062445D">
      <w:r>
        <w:t>Odstavec 1 stan</w:t>
      </w:r>
      <w:r w:rsidR="002B193B">
        <w:t>ovuje rozsah údajů, které mohou být na základě oprávněného zájmu získány. Obecně lze získat pouze aktuálně zapsa</w:t>
      </w:r>
      <w:r w:rsidR="00C97FEA">
        <w:t>né informace, tj. platný výpis.</w:t>
      </w:r>
      <w:r w:rsidR="002B193B">
        <w:t xml:space="preserve"> K historickým údajům prostřednictvím prokázání oprávněného zájmu nebude standardně možné přistupovat. Přístup k historickým údajům je vyhrazen pouze pro určité kategorie </w:t>
      </w:r>
      <w:proofErr w:type="spellStart"/>
      <w:r w:rsidR="002B193B">
        <w:t>nahl</w:t>
      </w:r>
      <w:r w:rsidR="002C30EB">
        <w:t>ížitelů</w:t>
      </w:r>
      <w:proofErr w:type="spellEnd"/>
      <w:r w:rsidR="002C30EB">
        <w:t>, a to podle § 15 odst.</w:t>
      </w:r>
      <w:r w:rsidR="00E65E58">
        <w:t> </w:t>
      </w:r>
      <w:r w:rsidR="002C30EB">
        <w:t>4</w:t>
      </w:r>
      <w:r w:rsidR="002B193B">
        <w:t xml:space="preserve"> </w:t>
      </w:r>
      <w:r w:rsidR="00E628F3">
        <w:t xml:space="preserve">zákona o ESM </w:t>
      </w:r>
      <w:r w:rsidR="002B193B">
        <w:t xml:space="preserve">ve znění návrhu (viz dále). </w:t>
      </w:r>
    </w:p>
    <w:p w14:paraId="2E816DD1" w14:textId="18600A06" w:rsidR="0062445D" w:rsidRDefault="002B193B" w:rsidP="0062445D">
      <w:r>
        <w:t xml:space="preserve">Dle návrhu bude možné získat jen část zapsaných údajů. Rozsah poskytovaných osobních údajů je stanoven tak, aby bylo co nejméně zasahováno do soukromí skutečných majitelů. </w:t>
      </w:r>
      <w:r w:rsidR="00265281">
        <w:t>Ačkoli návrh oproti stávajícímu stavu podmiňuje přístup veřejnosti prokázáním oprávněného zájmu, rozsah údajů, které lze získat, se oproti stávajícímu stavu rozšiřuje. S ohledem na formulaci čl.</w:t>
      </w:r>
      <w:r w:rsidR="00E65E58">
        <w:t> </w:t>
      </w:r>
      <w:r w:rsidR="00265281">
        <w:t xml:space="preserve">12 </w:t>
      </w:r>
      <w:r w:rsidR="00564DB9">
        <w:t xml:space="preserve">odst. </w:t>
      </w:r>
      <w:r w:rsidR="00265281">
        <w:t xml:space="preserve">1 písm. d) AML směrnice bude dle návrhu po prokázání oprávněného zájmu zpřístupněn i </w:t>
      </w:r>
      <w:r w:rsidR="00265281" w:rsidRPr="00FA2250">
        <w:t>údaj o skutečnosti zakládající postavení skutečného majitele, není-li založeno podílem</w:t>
      </w:r>
      <w:r w:rsidR="00265281">
        <w:t xml:space="preserve"> [tj. podle § 13 písm. d) zákona o ESM], který je v současnosti </w:t>
      </w:r>
      <w:r w:rsidR="00C97FEA">
        <w:t xml:space="preserve">v případě skutečných majitelů právnických osob </w:t>
      </w:r>
      <w:r w:rsidR="00265281">
        <w:t xml:space="preserve">neveřejný. </w:t>
      </w:r>
      <w:r>
        <w:t xml:space="preserve">Některé kategorie </w:t>
      </w:r>
      <w:proofErr w:type="spellStart"/>
      <w:r>
        <w:t>nahlížitelů</w:t>
      </w:r>
      <w:proofErr w:type="spellEnd"/>
      <w:r>
        <w:t xml:space="preserve"> mají pak dle návrhu </w:t>
      </w:r>
      <w:r w:rsidR="001A6A77">
        <w:t xml:space="preserve">odstavce 4 </w:t>
      </w:r>
      <w:r>
        <w:t>přiznán přístup k širšímu okruhu údajů, a to k údajům o struktuře vztahů a trvání postavení skutečného majitele</w:t>
      </w:r>
      <w:r w:rsidR="00FE5134">
        <w:t xml:space="preserve"> [tj. podle § 13 písm. e) až g) zákona o ESM]</w:t>
      </w:r>
      <w:r>
        <w:t xml:space="preserve">. Navržený rozsah odpovídá požadavkům čl. 12 </w:t>
      </w:r>
      <w:r w:rsidR="00564DB9">
        <w:t xml:space="preserve">odst. </w:t>
      </w:r>
      <w:r>
        <w:t xml:space="preserve">1 AML směrnice. </w:t>
      </w:r>
    </w:p>
    <w:p w14:paraId="754C18F6" w14:textId="40697CCC" w:rsidR="00E52984" w:rsidRDefault="00FE5134" w:rsidP="00E52984">
      <w:r>
        <w:t>Z</w:t>
      </w:r>
      <w:r w:rsidR="00E628F3">
        <w:t>ajištění přístupu formálně spočívá v získání výpisu</w:t>
      </w:r>
      <w:r w:rsidR="00E52984">
        <w:t xml:space="preserve">. Fakticky bude přístup probíhat </w:t>
      </w:r>
      <w:r w:rsidR="004911E6">
        <w:t>ve</w:t>
      </w:r>
      <w:r w:rsidR="00E52984">
        <w:t xml:space="preserve"> dvou fázích, a to (1) ověřování oprávněného zájmu a následně (2) přístup do evidence, respektive </w:t>
      </w:r>
      <w:r w:rsidR="00E52984">
        <w:lastRenderedPageBreak/>
        <w:t>získání výpisu. Obě tyto fáze jsou podrobně upraveny v § 15a až 15f zákona o ESM ve znění návrhu.</w:t>
      </w:r>
    </w:p>
    <w:p w14:paraId="56BABEDC" w14:textId="415168CC" w:rsidR="00E628F3" w:rsidRDefault="00E52984" w:rsidP="0062445D">
      <w:r>
        <w:t xml:space="preserve">Návrh svěřuje zajišťování přístupu na základě </w:t>
      </w:r>
      <w:r w:rsidR="007A2668">
        <w:t>oprávněného</w:t>
      </w:r>
      <w:r>
        <w:t xml:space="preserve"> zájmu</w:t>
      </w:r>
      <w:r w:rsidR="00E628F3">
        <w:t xml:space="preserve"> Ministerstvu spravedlnosti. </w:t>
      </w:r>
      <w:r>
        <w:t>Administraci to</w:t>
      </w:r>
      <w:r w:rsidR="00FE5134">
        <w:t>ho</w:t>
      </w:r>
      <w:r>
        <w:t>to přístupu se navrhuje</w:t>
      </w:r>
      <w:r w:rsidR="00FE5134">
        <w:t xml:space="preserve"> svěřit</w:t>
      </w:r>
      <w:r>
        <w:t xml:space="preserve"> do agendy Ministerstva spravedlnosti s ohledem na jeho stávající zkušenost </w:t>
      </w:r>
      <w:r w:rsidR="00FE5134">
        <w:t xml:space="preserve">s </w:t>
      </w:r>
      <w:r>
        <w:t xml:space="preserve">administrací žádostí o tzv. dálkový přístup do evidence podle § 17 zákona o ESM. V rámci řízení o žádost o dálkový přístup v současnosti </w:t>
      </w:r>
      <w:r w:rsidR="004911E6">
        <w:t>ministerstvo</w:t>
      </w:r>
      <w:r>
        <w:t xml:space="preserve"> posuzuje pouze to, zda žadatel je subjektem, který je podle zákona k přístupu oprávněn. </w:t>
      </w:r>
      <w:r w:rsidR="00541937">
        <w:t xml:space="preserve">S obdobnou logikou by měly být posuzovány i žádosti o přístup na základě </w:t>
      </w:r>
      <w:r w:rsidR="000821D1">
        <w:t xml:space="preserve">oprávněného </w:t>
      </w:r>
      <w:r w:rsidR="00541937">
        <w:t>zájmu. Proces ověření oprávněného zájmu však bude věcně i administrativně o</w:t>
      </w:r>
      <w:r>
        <w:t>bsáhlejší a náročnější než s</w:t>
      </w:r>
      <w:r w:rsidR="00541937">
        <w:t xml:space="preserve">távající činnost ministerstva. </w:t>
      </w:r>
    </w:p>
    <w:p w14:paraId="37700811" w14:textId="1E84198E" w:rsidR="00E628F3" w:rsidRDefault="00E628F3" w:rsidP="00E628F3">
      <w:pPr>
        <w:pStyle w:val="Nadpis6"/>
      </w:pPr>
      <w:r>
        <w:t>K odstavci 2</w:t>
      </w:r>
    </w:p>
    <w:p w14:paraId="3F03687A" w14:textId="672A809B" w:rsidR="000E432C" w:rsidRDefault="00541937" w:rsidP="0062445D">
      <w:r>
        <w:t xml:space="preserve">Ustanovení po vzoru čl. 12 </w:t>
      </w:r>
      <w:r w:rsidR="00564DB9">
        <w:t xml:space="preserve">odst. </w:t>
      </w:r>
      <w:r>
        <w:t>1 AML směrnice vymezuje, kdo má oprávněný zájem o přístup k údajům</w:t>
      </w:r>
      <w:r w:rsidR="002C30EB">
        <w:t xml:space="preserve"> v evidenci skutečných majitelů, </w:t>
      </w:r>
      <w:r w:rsidR="00555504">
        <w:t>přičemž formulace</w:t>
      </w:r>
      <w:r w:rsidR="00243D61">
        <w:t xml:space="preserve"> odpovídá vymezení oprávněného zájmu podle stávajícího § 16 odst. 1 písm. a) zákona o ESM. </w:t>
      </w:r>
    </w:p>
    <w:p w14:paraId="747742EF" w14:textId="2318B911" w:rsidR="00196B61" w:rsidRDefault="000E432C" w:rsidP="000E432C">
      <w:r w:rsidRPr="001F044F">
        <w:t xml:space="preserve">Oprávněný zájem </w:t>
      </w:r>
      <w:r w:rsidR="00196B61">
        <w:t xml:space="preserve">o přístup </w:t>
      </w:r>
      <w:r w:rsidRPr="001F044F">
        <w:t xml:space="preserve">nelze ztotožnit ani připodobnit k zájmu právnímu. Případnější je vnímat oprávněný zájem </w:t>
      </w:r>
      <w:r>
        <w:t xml:space="preserve">jako </w:t>
      </w:r>
      <w:r w:rsidRPr="001F044F">
        <w:t>veřejně důležitý a prospěšný</w:t>
      </w:r>
      <w:r>
        <w:t xml:space="preserve"> ve vztahu k určitému účelu</w:t>
      </w:r>
      <w:r w:rsidR="00196B61">
        <w:t>, a to obecně předcházení uvedeným trestným činům</w:t>
      </w:r>
      <w:r w:rsidR="00FE5134">
        <w:t xml:space="preserve"> a boji proti nim</w:t>
      </w:r>
      <w:r w:rsidRPr="001F044F">
        <w:t xml:space="preserve">. </w:t>
      </w:r>
      <w:r>
        <w:t xml:space="preserve">Oprávněný </w:t>
      </w:r>
      <w:r w:rsidRPr="001F044F">
        <w:t>zájem může mít potenciálně kdokoli. Oprávněnost je vždy třeba posuzovat ve vztahu ke konkrétní situaci</w:t>
      </w:r>
      <w:r w:rsidR="00196B61">
        <w:t>, tj. ve vztahu k žadateli a požadovaným údajům, což blíže upravují další navržená ustanoveni.</w:t>
      </w:r>
    </w:p>
    <w:p w14:paraId="40EB34B9" w14:textId="665BBAE2" w:rsidR="00D011D8" w:rsidRDefault="006C3FAF" w:rsidP="000E432C">
      <w:r>
        <w:t>Jak návrh,</w:t>
      </w:r>
      <w:r w:rsidR="00FE5134">
        <w:t xml:space="preserve"> tak transponovaná AML směrnice</w:t>
      </w:r>
      <w:r>
        <w:t xml:space="preserve"> použí</w:t>
      </w:r>
      <w:r w:rsidR="007A2668">
        <w:t>vají jednak pojem oprávněný záj</w:t>
      </w:r>
      <w:r>
        <w:t>em o</w:t>
      </w:r>
      <w:r w:rsidR="00E65E58">
        <w:t> </w:t>
      </w:r>
      <w:r>
        <w:t xml:space="preserve">přístup, jednak oprávněný zájem na předcházení určité trestné činnosti. Tyto pojmy nejsou zcela totožné. Osvědčení existence zájmu na předcházení určité trestné činnosti je obecným předpokladem pro umožnění přístupu veřejnosti do evidence. </w:t>
      </w:r>
      <w:r w:rsidR="00FE5134">
        <w:t>Jinými slovy</w:t>
      </w:r>
      <w:r>
        <w:t xml:space="preserve"> záj</w:t>
      </w:r>
      <w:r w:rsidR="00FE5134">
        <w:t>em</w:t>
      </w:r>
      <w:r>
        <w:t xml:space="preserve"> na předcházení trestné činnosti plyne existence zájmu o přístup do evidence. Avšak vedle toho existují i jiné účely, pro které může někdo mít oprávněný zájem o přístup k údajům v evidenci. Tyto situace jsou pak stanoveny v § 15 odst. 3</w:t>
      </w:r>
      <w:r w:rsidR="00D011D8">
        <w:t xml:space="preserve"> zákona o ESM ve znění návrhu. </w:t>
      </w:r>
    </w:p>
    <w:p w14:paraId="03660352" w14:textId="0337E9DE" w:rsidR="00196B61" w:rsidRDefault="00D011D8" w:rsidP="000E432C">
      <w:r>
        <w:t>Je třeba zdůraznit</w:t>
      </w:r>
      <w:r w:rsidR="00FE5134">
        <w:t xml:space="preserve">, že přístup může být umožněn jen </w:t>
      </w:r>
      <w:r>
        <w:t>na základě prokázání zájmu ve smyslu navrženého ustanovení. Jde o obecný důvod, respektive účel, který opravňuje k přístupu do evidence</w:t>
      </w:r>
      <w:r w:rsidR="00B55687">
        <w:t xml:space="preserve"> (viz čl. 12 </w:t>
      </w:r>
      <w:r w:rsidR="00564DB9">
        <w:t xml:space="preserve">odst. </w:t>
      </w:r>
      <w:r w:rsidR="00B55687">
        <w:t xml:space="preserve">2 </w:t>
      </w:r>
      <w:r w:rsidR="00002B8E">
        <w:t xml:space="preserve">druhý pododstavec </w:t>
      </w:r>
      <w:r w:rsidR="00B55687">
        <w:t>AML směrnice)</w:t>
      </w:r>
      <w:r>
        <w:t>. Není nutné, aby žadatel spadal do některé z kategorií v</w:t>
      </w:r>
      <w:r w:rsidR="00810A2F">
        <w:t>ymezených v navržené druhé větě</w:t>
      </w:r>
      <w:r w:rsidR="00FE5134">
        <w:t>, u těchto se pouze oprávněný zájem předpokládá</w:t>
      </w:r>
      <w:r w:rsidR="00B55687">
        <w:t xml:space="preserve"> (viz dále)</w:t>
      </w:r>
      <w:r>
        <w:t xml:space="preserve">. </w:t>
      </w:r>
    </w:p>
    <w:p w14:paraId="1F036B67" w14:textId="36C9CC8A" w:rsidR="006C3FAF" w:rsidRDefault="006C3FAF" w:rsidP="00196B61">
      <w:r>
        <w:t xml:space="preserve">Oprávněný zájem o přístup je vázán na možnost (potenci) </w:t>
      </w:r>
      <w:r w:rsidR="00281C4D">
        <w:t>osvědčení</w:t>
      </w:r>
      <w:r>
        <w:t xml:space="preserve"> zájmu na předcházení trestné činnosti.</w:t>
      </w:r>
      <w:r w:rsidR="00281C4D">
        <w:rPr>
          <w:rStyle w:val="Znakapoznpodarou"/>
        </w:rPr>
        <w:footnoteReference w:id="5"/>
      </w:r>
      <w:r>
        <w:t xml:space="preserve"> Tomu je třeba rozumět tak, že není třeba prokazovat existenci konkrétního podezření z páchání trestné činnosti. Osvědčována má být povaha činnosti žadatele (čím se zabývá), případně vztah k určité osobě, o níž jsou údaje požadovány. Oprávněný zájem se pak odvíjí od toho, zda (1) se osoba zabývá problematikou předcházení trestné činnosti, nebo zda </w:t>
      </w:r>
      <w:r>
        <w:lastRenderedPageBreak/>
        <w:t xml:space="preserve">(2) </w:t>
      </w:r>
      <w:r w:rsidR="00281C4D">
        <w:t xml:space="preserve">se </w:t>
      </w:r>
      <w:r>
        <w:t xml:space="preserve">v konkrétním případě chce </w:t>
      </w:r>
      <w:r w:rsidR="00281C4D">
        <w:t>předejít tomu</w:t>
      </w:r>
      <w:r>
        <w:t xml:space="preserve">, </w:t>
      </w:r>
      <w:r w:rsidR="00281C4D">
        <w:t>aby</w:t>
      </w:r>
      <w:r>
        <w:t xml:space="preserve"> zamýšlený </w:t>
      </w:r>
      <w:r w:rsidR="00FE5134">
        <w:t xml:space="preserve">právní </w:t>
      </w:r>
      <w:r>
        <w:t>vztah</w:t>
      </w:r>
      <w:r w:rsidR="00281C4D">
        <w:t xml:space="preserve"> byl uzavřen s</w:t>
      </w:r>
      <w:r w:rsidR="00E65E58">
        <w:t> </w:t>
      </w:r>
      <w:r w:rsidR="00281C4D">
        <w:t xml:space="preserve">určitou právnickou osobou nebo právním uspořádáním s vazbou na trestnou činnost. </w:t>
      </w:r>
      <w:r>
        <w:t xml:space="preserve">     </w:t>
      </w:r>
    </w:p>
    <w:p w14:paraId="33FEBBE3" w14:textId="750BFEB6" w:rsidR="003619A1" w:rsidRDefault="003619A1" w:rsidP="0062445D">
      <w:r>
        <w:t xml:space="preserve">Za účelem zjednodušení identifikace a prokazování oprávněného zájmu se </w:t>
      </w:r>
      <w:r w:rsidR="002C30EB">
        <w:t xml:space="preserve">dále </w:t>
      </w:r>
      <w:r>
        <w:t>navrhuje upravit taxativní výčet subjektů, o nichž platí, že oprávněný zá</w:t>
      </w:r>
      <w:r w:rsidR="007A2668">
        <w:t>jem</w:t>
      </w:r>
      <w:r>
        <w:t xml:space="preserve"> na přístup mají</w:t>
      </w:r>
      <w:r w:rsidR="00FE5134">
        <w:t xml:space="preserve"> (nevyvratitelná domněnka)</w:t>
      </w:r>
      <w:r>
        <w:t xml:space="preserve">. Jde o režim, který plyne přímo z čl. 12 </w:t>
      </w:r>
      <w:r w:rsidR="00564DB9">
        <w:t xml:space="preserve">odst. </w:t>
      </w:r>
      <w:r>
        <w:t xml:space="preserve">2 AML směrnice. Jsou vymezeny určité kategorie subjektů, u nichž je oprávněný zájem o přístup dán ze zákona. Lze přitom kategorie pomyslně rozdělit na dvě skupiny. </w:t>
      </w:r>
    </w:p>
    <w:p w14:paraId="78AFCAAE" w14:textId="460EF705" w:rsidR="00473AF5" w:rsidRDefault="003619A1" w:rsidP="00473AF5">
      <w:r>
        <w:t>Oprávněný zájem první části vymezen</w:t>
      </w:r>
      <w:r w:rsidR="00555504">
        <w:t>ých kategorií</w:t>
      </w:r>
      <w:r w:rsidR="00FE5134">
        <w:t xml:space="preserve"> subjektů</w:t>
      </w:r>
      <w:r w:rsidR="00555504">
        <w:t xml:space="preserve"> [písmena a) až f) a písm. k) </w:t>
      </w:r>
      <w:r>
        <w:t xml:space="preserve">navrženého ustanovení] přímo souvisí s účelem předcházení trestným činům legalizace výnosů z trestné činnosti. </w:t>
      </w:r>
      <w:r w:rsidR="00473AF5">
        <w:t xml:space="preserve">Tato část kategorií </w:t>
      </w:r>
      <w:r w:rsidR="00FE5134">
        <w:t xml:space="preserve">subjektů </w:t>
      </w:r>
      <w:r w:rsidR="00473AF5">
        <w:t>vychází nejen z AML směrnice, ale částečně také již z </w:t>
      </w:r>
      <w:r w:rsidR="00473AF5">
        <w:rPr>
          <w:lang w:bidi="en-US"/>
        </w:rPr>
        <w:t xml:space="preserve">rozsudku </w:t>
      </w:r>
      <w:proofErr w:type="spellStart"/>
      <w:r w:rsidR="00DF7F72">
        <w:rPr>
          <w:lang w:bidi="en-US"/>
        </w:rPr>
        <w:t>Sovim</w:t>
      </w:r>
      <w:proofErr w:type="spellEnd"/>
      <w:r w:rsidR="00473AF5">
        <w:rPr>
          <w:lang w:bidi="en-US"/>
        </w:rPr>
        <w:t xml:space="preserve">. </w:t>
      </w:r>
      <w:r w:rsidR="00473AF5">
        <w:t>SDEU konstatoval</w:t>
      </w:r>
      <w:r w:rsidR="00DF7F72">
        <w:t>, že</w:t>
      </w:r>
      <w:r w:rsidR="00473AF5">
        <w:t xml:space="preserve"> oprávněný zájem existuje u některých skupin veřejnosti, konkrétně u novinářů a nevládních organizací, kteří se věnují prevenci a boji proti praní peněz a financování terorismu (</w:t>
      </w:r>
      <w:r w:rsidR="00564DB9">
        <w:t xml:space="preserve">odst. </w:t>
      </w:r>
      <w:r w:rsidR="00473AF5">
        <w:t>74 rozsudku</w:t>
      </w:r>
      <w:r w:rsidR="00FE5134">
        <w:t xml:space="preserve"> </w:t>
      </w:r>
      <w:proofErr w:type="spellStart"/>
      <w:r w:rsidR="00FE5134">
        <w:t>Sovim</w:t>
      </w:r>
      <w:proofErr w:type="spellEnd"/>
      <w:r w:rsidR="00473AF5">
        <w:t xml:space="preserve">). </w:t>
      </w:r>
    </w:p>
    <w:p w14:paraId="26BF51EC" w14:textId="2DA9BB11" w:rsidR="00555504" w:rsidRDefault="003619A1" w:rsidP="0062445D">
      <w:r>
        <w:t xml:space="preserve">U druhé skupiny kategorií </w:t>
      </w:r>
      <w:r w:rsidR="00FE5134">
        <w:t xml:space="preserve">subjektů </w:t>
      </w:r>
      <w:r>
        <w:t>[písmena g) až j)</w:t>
      </w:r>
      <w:r w:rsidRPr="003619A1">
        <w:t xml:space="preserve"> </w:t>
      </w:r>
      <w:r>
        <w:t>navrženého ustanovení] oprávněný zájem o přístup není explicitně vázán na obecný účel předcházení pran</w:t>
      </w:r>
      <w:r w:rsidR="00555504">
        <w:t>í peněz a financování terorismu, respektive není výslovně vázán na žádný úč</w:t>
      </w:r>
      <w:r w:rsidR="00FE5134">
        <w:t>el. Čl. 12 odst. 2 AML směrnice</w:t>
      </w:r>
      <w:r w:rsidR="00810A2F">
        <w:t xml:space="preserve"> </w:t>
      </w:r>
      <w:r w:rsidR="00555504">
        <w:t xml:space="preserve">je koncipován jako právní fikce; vyjmenované subjekty se považují za osoby, u nichž je zájem na předcházení praní peněz a financování terorismu. Není však rozhodné, zda tento účel skutečně sledují, byť minimálně sekundárně tomu tak nejspíše bude. </w:t>
      </w:r>
      <w:r w:rsidR="00FE5134">
        <w:t>Navržené ustanovení tuto logiku v zásadě následuje, pouze je koncipováno jako nevyvratitelná domněnka, což lépe odpovídá jeho povaze.</w:t>
      </w:r>
    </w:p>
    <w:p w14:paraId="599F2E03" w14:textId="673B0A11" w:rsidR="00E628F3" w:rsidRDefault="003619A1" w:rsidP="00473AF5">
      <w:pPr>
        <w:pStyle w:val="Nadpis7"/>
      </w:pPr>
      <w:r>
        <w:t xml:space="preserve">K písmeni a) </w:t>
      </w:r>
    </w:p>
    <w:p w14:paraId="3FF92C07" w14:textId="7105907A" w:rsidR="006B2C09" w:rsidRDefault="00473AF5" w:rsidP="00473AF5">
      <w:r>
        <w:t xml:space="preserve">První kategorií </w:t>
      </w:r>
      <w:r w:rsidR="00FE5134">
        <w:t xml:space="preserve">subjektů </w:t>
      </w:r>
      <w:r>
        <w:t>s oprávněn</w:t>
      </w:r>
      <w:r w:rsidR="00FE5134">
        <w:t xml:space="preserve">ým zájmem o </w:t>
      </w:r>
      <w:r>
        <w:t>přístup do evidence jsou obecně novináři</w:t>
      </w:r>
      <w:r w:rsidR="00C17D65">
        <w:t xml:space="preserve"> a</w:t>
      </w:r>
      <w:r w:rsidR="00E65E58">
        <w:t> </w:t>
      </w:r>
      <w:r w:rsidR="00C17D65">
        <w:t>zástupci médií, kteří se věnují problematice praní špinavých peněz a financování terorismu.</w:t>
      </w:r>
      <w:r w:rsidR="006B2C09">
        <w:t xml:space="preserve"> Přístup těchto osob je podstatný z důvodu veřejné kontroly. </w:t>
      </w:r>
      <w:r w:rsidR="00536595">
        <w:t>Jejich činnost obecně může přispívat k </w:t>
      </w:r>
      <w:r w:rsidR="00536595" w:rsidRPr="00536595">
        <w:t>cílům</w:t>
      </w:r>
      <w:r w:rsidR="00536595">
        <w:t xml:space="preserve"> </w:t>
      </w:r>
      <w:r w:rsidR="00536595" w:rsidRPr="00536595">
        <w:t>v oblasti boje proti praní peněz, souvisejícím predikativním trestným činům a financování terorismu</w:t>
      </w:r>
      <w:r w:rsidR="00536595">
        <w:t xml:space="preserve"> (</w:t>
      </w:r>
      <w:r w:rsidR="00883B54">
        <w:t xml:space="preserve">41. recitál </w:t>
      </w:r>
      <w:r w:rsidR="00536595">
        <w:t>AML směrnice).</w:t>
      </w:r>
    </w:p>
    <w:p w14:paraId="0B827EC6" w14:textId="1614AB47" w:rsidR="007B29B2" w:rsidRDefault="007B29B2" w:rsidP="00473AF5">
      <w:r>
        <w:t xml:space="preserve">Navržené ustanovení transponuje čl. 12 odst. 2 písm. a) AML směrnice. </w:t>
      </w:r>
    </w:p>
    <w:p w14:paraId="421EF74C" w14:textId="6E82945F" w:rsidR="00C17D65" w:rsidRDefault="00536595" w:rsidP="00473AF5">
      <w:r>
        <w:t>Pro e</w:t>
      </w:r>
      <w:r w:rsidR="003E6DB0">
        <w:t>xistenc</w:t>
      </w:r>
      <w:r w:rsidR="007C2EC0">
        <w:t>i</w:t>
      </w:r>
      <w:r w:rsidR="003E6DB0">
        <w:t xml:space="preserve"> oprávněného zájmu není</w:t>
      </w:r>
      <w:r w:rsidR="00C17D65">
        <w:t xml:space="preserve"> podstatné, zda se </w:t>
      </w:r>
      <w:r w:rsidR="00FE5134">
        <w:t>daný</w:t>
      </w:r>
      <w:r>
        <w:t xml:space="preserve"> novinář </w:t>
      </w:r>
      <w:r w:rsidR="00C17D65">
        <w:t xml:space="preserve">tématu </w:t>
      </w:r>
      <w:r>
        <w:t xml:space="preserve">praní špinavých peněz a financování terorismu </w:t>
      </w:r>
      <w:r w:rsidR="00C17D65">
        <w:t>věnuj</w:t>
      </w:r>
      <w:r>
        <w:t>e</w:t>
      </w:r>
      <w:r w:rsidR="00C17D65">
        <w:t xml:space="preserve"> dlouhodobě, poprvé či výjimečně. Vztah k účelu, tj.</w:t>
      </w:r>
      <w:r w:rsidR="00E65E58">
        <w:t> </w:t>
      </w:r>
      <w:r w:rsidR="00C17D65">
        <w:t>spojení s např. investigac</w:t>
      </w:r>
      <w:r w:rsidR="00FA42A0">
        <w:t>í</w:t>
      </w:r>
      <w:r w:rsidR="00C17D65">
        <w:t xml:space="preserve"> praní peněz</w:t>
      </w:r>
      <w:r w:rsidR="00FA42A0">
        <w:t>,</w:t>
      </w:r>
      <w:r w:rsidR="00C17D65">
        <w:t xml:space="preserve"> by nemělo být třeba ze strany novinářů jakkoli dokládat. Pokud novinář bude žádat určité informace, postačí jeho prohlášení, že tak činí v souvislosti se svou novinářskou činností. </w:t>
      </w:r>
    </w:p>
    <w:p w14:paraId="7427AB31" w14:textId="740A63DB" w:rsidR="00A20686" w:rsidRDefault="00C17D65" w:rsidP="00473AF5">
      <w:r>
        <w:t xml:space="preserve">Pojmy novinářská činnost, poskytování zpravodajství či projevy v médiích, </w:t>
      </w:r>
      <w:r w:rsidR="00FE5134">
        <w:t xml:space="preserve">by </w:t>
      </w:r>
      <w:r>
        <w:t>měly být interpretovány široce.</w:t>
      </w:r>
      <w:r w:rsidR="00A819E3">
        <w:rPr>
          <w:rStyle w:val="Znakapoznpodarou"/>
        </w:rPr>
        <w:footnoteReference w:id="6"/>
      </w:r>
      <w:r>
        <w:t xml:space="preserve"> S ohledem na to, že nelze formálně definovat, kdo je novinář, je třeba vycházet z prohlášení a vlastní identifikace žadatelů. Z hlediska oprávněného zájmu o přístup </w:t>
      </w:r>
      <w:r>
        <w:lastRenderedPageBreak/>
        <w:t xml:space="preserve">není rozhodné, zda </w:t>
      </w:r>
      <w:r w:rsidR="00FE5134">
        <w:t xml:space="preserve">a </w:t>
      </w:r>
      <w:r>
        <w:t xml:space="preserve">v jaké formě je činnost provozována (jako závislá činnost, podnikatelsky nebo i ve volném čase), ani jakou podobu mají výstupy dané činnosti. Novinářská činnost nemusí být výhradní či primární činností žadatelů. Zpravodajskou a novinářskou činnost </w:t>
      </w:r>
      <w:r w:rsidR="00FA42A0">
        <w:t>ve smyslu návrhu nevykonávají</w:t>
      </w:r>
      <w:r>
        <w:t xml:space="preserve"> </w:t>
      </w:r>
      <w:r w:rsidR="00FA42A0">
        <w:t xml:space="preserve">tedy </w:t>
      </w:r>
      <w:r w:rsidR="00FE5134">
        <w:t>pouze profesionální novináři</w:t>
      </w:r>
      <w:r>
        <w:t xml:space="preserve"> (ať už zaměstnanci médií či fungující osamoceně), ale lze ji shledat u </w:t>
      </w:r>
      <w:r w:rsidR="00FA42A0">
        <w:t xml:space="preserve">řady </w:t>
      </w:r>
      <w:r>
        <w:t xml:space="preserve">dalších osob, jako jsou např. dokumentaristé, umělci, </w:t>
      </w:r>
      <w:r w:rsidR="00FA42A0">
        <w:t xml:space="preserve">blogeři, </w:t>
      </w:r>
      <w:proofErr w:type="spellStart"/>
      <w:r w:rsidR="00FA42A0">
        <w:t>influenceři</w:t>
      </w:r>
      <w:proofErr w:type="spellEnd"/>
      <w:r w:rsidR="00FA42A0">
        <w:t xml:space="preserve"> atp.</w:t>
      </w:r>
      <w:r w:rsidR="00A20686" w:rsidRPr="00A20686">
        <w:rPr>
          <w:rStyle w:val="Znakapoznpodarou"/>
          <w:i/>
          <w:iCs/>
        </w:rPr>
        <w:t xml:space="preserve"> </w:t>
      </w:r>
      <w:r w:rsidR="00A20686" w:rsidRPr="00A20686">
        <w:rPr>
          <w:rStyle w:val="Znakapoznpodarou"/>
        </w:rPr>
        <w:footnoteReference w:id="7"/>
      </w:r>
      <w:r w:rsidR="00FA42A0" w:rsidRPr="00A20686">
        <w:t xml:space="preserve"> </w:t>
      </w:r>
    </w:p>
    <w:p w14:paraId="0A778F82" w14:textId="0B62014C" w:rsidR="00790A6A" w:rsidRDefault="00790A6A" w:rsidP="00473AF5">
      <w:r>
        <w:t>Do předmětné kategorie spadají jak osoby fyzické, tak právnické a jak osoby tuzemské, tak zahraniční.</w:t>
      </w:r>
    </w:p>
    <w:p w14:paraId="32E8216E" w14:textId="1AB48994" w:rsidR="003619A1" w:rsidRDefault="003619A1" w:rsidP="003619A1">
      <w:pPr>
        <w:pStyle w:val="Nadpis7"/>
      </w:pPr>
      <w:r>
        <w:t xml:space="preserve">K písmeni b)      </w:t>
      </w:r>
    </w:p>
    <w:p w14:paraId="1224FE41" w14:textId="4094C86B" w:rsidR="00A20686" w:rsidRDefault="00790A6A" w:rsidP="00FA42A0">
      <w:r>
        <w:t xml:space="preserve">Druhá kategorie </w:t>
      </w:r>
      <w:r w:rsidR="00FE5134">
        <w:t xml:space="preserve">subjektů </w:t>
      </w:r>
      <w:r>
        <w:t xml:space="preserve">míří na </w:t>
      </w:r>
      <w:r w:rsidR="00205544">
        <w:t>organizace</w:t>
      </w:r>
      <w:r w:rsidR="00D31BA4">
        <w:t xml:space="preserve"> </w:t>
      </w:r>
      <w:r>
        <w:t>občansk</w:t>
      </w:r>
      <w:r w:rsidR="00D31BA4">
        <w:t>é</w:t>
      </w:r>
      <w:r>
        <w:t xml:space="preserve"> společnosti a na nevládní organizace</w:t>
      </w:r>
      <w:r w:rsidR="006B2C09">
        <w:rPr>
          <w:rStyle w:val="Znakapoznpodarou"/>
        </w:rPr>
        <w:footnoteReference w:id="8"/>
      </w:r>
      <w:r>
        <w:t xml:space="preserve"> věnující se problematice praní špinavých peněz a financování terorismu.</w:t>
      </w:r>
      <w:r w:rsidR="00D31BA4">
        <w:t xml:space="preserve"> </w:t>
      </w:r>
      <w:r w:rsidR="00A20686">
        <w:t>Přístup těchto subjektů je důležitý obdobně jako v případě novinářů. J</w:t>
      </w:r>
      <w:r w:rsidR="00747CF2">
        <w:t>d</w:t>
      </w:r>
      <w:r w:rsidR="00A20686">
        <w:t xml:space="preserve">e o formu veřejné kontroly.   </w:t>
      </w:r>
    </w:p>
    <w:p w14:paraId="26D990A2" w14:textId="6257183C" w:rsidR="007B29B2" w:rsidRDefault="007B29B2" w:rsidP="00FA42A0">
      <w:r>
        <w:t xml:space="preserve">Navržené ustanovení transponuje čl. 12 odst. 2 písm. b) AML směrnice. </w:t>
      </w:r>
    </w:p>
    <w:p w14:paraId="16A5E16C" w14:textId="35701A7E" w:rsidR="00316437" w:rsidRDefault="00A20686" w:rsidP="00FA42A0">
      <w:r>
        <w:t>AML směrnice používá obecn</w:t>
      </w:r>
      <w:r w:rsidR="00747CF2">
        <w:t>á</w:t>
      </w:r>
      <w:r>
        <w:t xml:space="preserve"> vymezení</w:t>
      </w:r>
      <w:r w:rsidR="00316437">
        <w:t xml:space="preserve"> </w:t>
      </w:r>
      <w:r w:rsidR="00316437" w:rsidRPr="00747CF2">
        <w:rPr>
          <w:i/>
          <w:iCs/>
        </w:rPr>
        <w:t>organizace občanské společnosti</w:t>
      </w:r>
      <w:r w:rsidR="00316437">
        <w:t xml:space="preserve"> a </w:t>
      </w:r>
      <w:r w:rsidR="00316437" w:rsidRPr="00747CF2">
        <w:rPr>
          <w:i/>
          <w:iCs/>
        </w:rPr>
        <w:t>nevládní organizace</w:t>
      </w:r>
      <w:r w:rsidR="00316437">
        <w:t xml:space="preserve">, která jsou dobře srozumitelná, v praxi užívaná a lze </w:t>
      </w:r>
      <w:r w:rsidR="00FE5134">
        <w:t xml:space="preserve">je </w:t>
      </w:r>
      <w:r w:rsidR="00316437">
        <w:t>vyložit výkladem</w:t>
      </w:r>
      <w:r>
        <w:t xml:space="preserve">. </w:t>
      </w:r>
      <w:r w:rsidR="00316437">
        <w:t xml:space="preserve">Proto se navrhuje tyto pojmy </w:t>
      </w:r>
      <w:r w:rsidR="00557323">
        <w:t xml:space="preserve">ve velké míře </w:t>
      </w:r>
      <w:r w:rsidR="00316437">
        <w:t xml:space="preserve">převzít. Případná snaha o opis těchto pojmů prostřednictvím existujících </w:t>
      </w:r>
      <w:r w:rsidR="008600DC">
        <w:t xml:space="preserve">právních </w:t>
      </w:r>
      <w:r w:rsidR="00316437">
        <w:t xml:space="preserve">institutů </w:t>
      </w:r>
      <w:r w:rsidR="008600DC">
        <w:t xml:space="preserve">a </w:t>
      </w:r>
      <w:r w:rsidR="00316437">
        <w:t>vymezení by byla spojena s</w:t>
      </w:r>
      <w:r w:rsidR="008600DC">
        <w:t> </w:t>
      </w:r>
      <w:r w:rsidR="00316437">
        <w:t>rizik</w:t>
      </w:r>
      <w:r w:rsidR="008600DC">
        <w:t>em nepřesnosti,</w:t>
      </w:r>
      <w:r w:rsidR="00316437">
        <w:t xml:space="preserve"> dezinterpretace a zúženého</w:t>
      </w:r>
      <w:r w:rsidR="00FE5134">
        <w:t xml:space="preserve"> či naopak extenzivního</w:t>
      </w:r>
      <w:r w:rsidR="00316437">
        <w:t xml:space="preserve"> výkladu. </w:t>
      </w:r>
    </w:p>
    <w:p w14:paraId="3D6114FE" w14:textId="58037322" w:rsidR="005F6F8B" w:rsidRDefault="008C3D2F" w:rsidP="00FA42A0">
      <w:r>
        <w:t>Obecně lze o</w:t>
      </w:r>
      <w:r w:rsidRPr="008C3D2F">
        <w:t>bčansk</w:t>
      </w:r>
      <w:r>
        <w:t>ou</w:t>
      </w:r>
      <w:r w:rsidRPr="008C3D2F">
        <w:t xml:space="preserve"> společnost </w:t>
      </w:r>
      <w:r>
        <w:t>chápat jako jakékoli</w:t>
      </w:r>
      <w:r w:rsidRPr="008C3D2F">
        <w:t xml:space="preserve"> formy společenských činností prováděných jednotlivci nebo skupinami, které nemají spojitost se státními orgány ani jimi nejsou řízeni.</w:t>
      </w:r>
      <w:r>
        <w:t xml:space="preserve"> </w:t>
      </w:r>
      <w:r w:rsidRPr="008C3D2F">
        <w:t xml:space="preserve">Organizace občanské společnosti </w:t>
      </w:r>
      <w:r>
        <w:t>pak představuje</w:t>
      </w:r>
      <w:r w:rsidRPr="008C3D2F">
        <w:t xml:space="preserve"> </w:t>
      </w:r>
      <w:r>
        <w:t xml:space="preserve">formálně </w:t>
      </w:r>
      <w:r w:rsidRPr="008C3D2F">
        <w:t>orga</w:t>
      </w:r>
      <w:r>
        <w:t xml:space="preserve">nizovaný útvar (právnickou osobu), jejímž prostřednictvím </w:t>
      </w:r>
      <w:r w:rsidR="00506F6A">
        <w:t xml:space="preserve">se </w:t>
      </w:r>
      <w:r>
        <w:t>občanská společnost</w:t>
      </w:r>
      <w:r w:rsidR="00506F6A">
        <w:t xml:space="preserve"> manifestuje. V tuzemském kontextu půjde zejména o korporace, které neslouží</w:t>
      </w:r>
      <w:r w:rsidR="00FE5134">
        <w:t xml:space="preserve"> primárně </w:t>
      </w:r>
      <w:r w:rsidR="00E65E58">
        <w:t xml:space="preserve">k </w:t>
      </w:r>
      <w:r w:rsidR="00506F6A">
        <w:t>podnikání, tj. spolky</w:t>
      </w:r>
      <w:r w:rsidR="00316437">
        <w:t>.</w:t>
      </w:r>
      <w:r w:rsidR="00557323">
        <w:t xml:space="preserve"> </w:t>
      </w:r>
    </w:p>
    <w:p w14:paraId="1B7E894A" w14:textId="19DAF7AB" w:rsidR="000F455E" w:rsidRDefault="00557323" w:rsidP="00FA42A0">
      <w:r>
        <w:t xml:space="preserve">V ustanovení se dále s ohledem na znění čl. 12 </w:t>
      </w:r>
      <w:r w:rsidR="00564DB9">
        <w:t xml:space="preserve">odst. </w:t>
      </w:r>
      <w:r>
        <w:t>2 písm. b) AML směrnice navrhuje specifi</w:t>
      </w:r>
      <w:r w:rsidR="00E65E58">
        <w:t>c</w:t>
      </w:r>
      <w:r>
        <w:t xml:space="preserve">ky uvést nevládní neziskové právnické osoby. </w:t>
      </w:r>
      <w:r w:rsidR="004D6B73">
        <w:t xml:space="preserve">Tyto subjekty by přitom bylo možné podřadit i pod pojem organizace občanské společnosti. </w:t>
      </w:r>
      <w:r w:rsidR="000F455E">
        <w:t>Ačkoli pojem nevládní neziskové právnické osoby (nevládní organizace) nemá zákonnou definici, v praxi i teorii se s ním pracuje standardně.</w:t>
      </w:r>
      <w:r w:rsidR="00E00A74">
        <w:rPr>
          <w:rStyle w:val="Znakapoznpodarou"/>
        </w:rPr>
        <w:footnoteReference w:id="9"/>
      </w:r>
    </w:p>
    <w:p w14:paraId="54053E35" w14:textId="0ECC6F06" w:rsidR="000F455E" w:rsidRDefault="000F455E" w:rsidP="000F455E">
      <w:r>
        <w:t>Obecně jsou za znaky nevládních organizací považovány:</w:t>
      </w:r>
      <w:r w:rsidR="009E048C">
        <w:rPr>
          <w:rStyle w:val="Znakapoznpodarou"/>
        </w:rPr>
        <w:footnoteReference w:id="10"/>
      </w:r>
    </w:p>
    <w:p w14:paraId="316954ED" w14:textId="4CCC260F" w:rsidR="000F455E" w:rsidRDefault="00FE5134" w:rsidP="000F455E">
      <w:pPr>
        <w:pStyle w:val="Odstavecseseznamem"/>
        <w:numPr>
          <w:ilvl w:val="0"/>
          <w:numId w:val="11"/>
        </w:numPr>
      </w:pPr>
      <w:r>
        <w:t>o</w:t>
      </w:r>
      <w:r w:rsidR="000F455E">
        <w:t>rganizovanost (stálá, formalizovaná struktura)</w:t>
      </w:r>
      <w:r>
        <w:t>,</w:t>
      </w:r>
    </w:p>
    <w:p w14:paraId="0E630888" w14:textId="00122AAD" w:rsidR="000F455E" w:rsidRDefault="00FE5134" w:rsidP="000F455E">
      <w:pPr>
        <w:pStyle w:val="Odstavecseseznamem"/>
        <w:numPr>
          <w:ilvl w:val="0"/>
          <w:numId w:val="11"/>
        </w:numPr>
      </w:pPr>
      <w:r>
        <w:lastRenderedPageBreak/>
        <w:t>s</w:t>
      </w:r>
      <w:r w:rsidR="000F455E">
        <w:t>oukromý c</w:t>
      </w:r>
      <w:r>
        <w:t>harakter a nezávislost na státu,</w:t>
      </w:r>
    </w:p>
    <w:p w14:paraId="5099787B" w14:textId="00651860" w:rsidR="000F455E" w:rsidRDefault="00FE5134" w:rsidP="000F455E">
      <w:pPr>
        <w:pStyle w:val="Odstavecseseznamem"/>
        <w:numPr>
          <w:ilvl w:val="0"/>
          <w:numId w:val="11"/>
        </w:numPr>
      </w:pPr>
      <w:r>
        <w:t>n</w:t>
      </w:r>
      <w:r w:rsidR="000F455E">
        <w:t>erozdělování zisku (mezi členy a rozhodující osoby)</w:t>
      </w:r>
      <w:r>
        <w:t>,</w:t>
      </w:r>
    </w:p>
    <w:p w14:paraId="66CA69B1" w14:textId="4E76325A" w:rsidR="000F455E" w:rsidRDefault="00FE5134" w:rsidP="000F455E">
      <w:pPr>
        <w:pStyle w:val="Odstavecseseznamem"/>
        <w:numPr>
          <w:ilvl w:val="0"/>
          <w:numId w:val="11"/>
        </w:numPr>
      </w:pPr>
      <w:r>
        <w:t>s</w:t>
      </w:r>
      <w:r w:rsidR="000F455E">
        <w:t>amosprávnost (vnitřní struktura)</w:t>
      </w:r>
      <w:r>
        <w:t>,</w:t>
      </w:r>
    </w:p>
    <w:p w14:paraId="2851B11A" w14:textId="6F62D8A3" w:rsidR="000F455E" w:rsidRDefault="00FE5134" w:rsidP="000F455E">
      <w:pPr>
        <w:pStyle w:val="Odstavecseseznamem"/>
        <w:numPr>
          <w:ilvl w:val="0"/>
          <w:numId w:val="11"/>
        </w:numPr>
      </w:pPr>
      <w:r>
        <w:t>d</w:t>
      </w:r>
      <w:r w:rsidR="000F455E">
        <w:t>obrovolnost (ve s</w:t>
      </w:r>
      <w:r>
        <w:t>myslu „s účastí dobrovolníků“).</w:t>
      </w:r>
    </w:p>
    <w:p w14:paraId="1D787F83" w14:textId="059364FF" w:rsidR="00FA42A0" w:rsidRDefault="003D6144" w:rsidP="009E048C">
      <w:r>
        <w:t>V tuzemském kontextu se za nevládní organizace považují spolky a pobočné spolky, nadace a</w:t>
      </w:r>
      <w:r w:rsidR="00E65E58">
        <w:t> </w:t>
      </w:r>
      <w:r>
        <w:t>nadační fondy, ústavy, obecně prospěšné společnosti, církevní právnické osoby a školské právnické osoby.</w:t>
      </w:r>
    </w:p>
    <w:p w14:paraId="7DF22E49" w14:textId="02CBE839" w:rsidR="00922C4B" w:rsidRPr="00FA42A0" w:rsidRDefault="00922C4B" w:rsidP="009E048C">
      <w:r>
        <w:t>Spojení nevládních organizací s definovaným účelem, tj. předcházení praní špinavých peněz a</w:t>
      </w:r>
      <w:r w:rsidR="00E65E58">
        <w:t> </w:t>
      </w:r>
      <w:r>
        <w:t>financování terorismu, bude třeba vyhodnocovat individuálně na základě žadatelem předložených dokumentů. K tomu dále viz zvláštní část důvodové zprávy k</w:t>
      </w:r>
      <w:r w:rsidR="00FE5134">
        <w:t xml:space="preserve"> nově navrhovanému </w:t>
      </w:r>
      <w:r>
        <w:t>§ 15b odst. 2 zákona o ESM.</w:t>
      </w:r>
    </w:p>
    <w:p w14:paraId="0E573C8D" w14:textId="551F8A38" w:rsidR="003619A1" w:rsidRDefault="003619A1" w:rsidP="003619A1">
      <w:pPr>
        <w:pStyle w:val="Nadpis7"/>
      </w:pPr>
      <w:r>
        <w:t xml:space="preserve">K písmeni c)      </w:t>
      </w:r>
    </w:p>
    <w:p w14:paraId="05FDBE65" w14:textId="1DB2B40D" w:rsidR="007B29B2" w:rsidRDefault="007B29B2" w:rsidP="007B29B2">
      <w:r>
        <w:t xml:space="preserve">Navržené ustanovení transponuje čl. 12 odst. 2 písm. b) AML směrnice. </w:t>
      </w:r>
    </w:p>
    <w:p w14:paraId="337A4471" w14:textId="77777777" w:rsidR="005B579E" w:rsidRDefault="005B579E" w:rsidP="005B579E">
      <w:r>
        <w:t xml:space="preserve">Členy akademické obce se ve smyslu § 3 zákona </w:t>
      </w:r>
      <w:r w:rsidRPr="005B579E">
        <w:t>č. 111/1998 Sb</w:t>
      </w:r>
      <w:r>
        <w:t xml:space="preserve">., </w:t>
      </w:r>
      <w:r w:rsidRPr="005B579E">
        <w:t>o vysokých školách a o změně a doplnění dalších zákonů (zákon o vysokých školách)</w:t>
      </w:r>
      <w:r>
        <w:t xml:space="preserve">, ve znění pozdějších předpisů, rozumí </w:t>
      </w:r>
      <w:r w:rsidRPr="005B579E">
        <w:t>akademičtí pracovníci a studenti vysoké školy</w:t>
      </w:r>
      <w:r>
        <w:t xml:space="preserve">. V tomto úzkém smyslu jde výhradně o fyzické osoby. Transponované pravidlo AML směrnice přitom hovoří obecně o „akademické obci“, což je pojem právně nevymezený. </w:t>
      </w:r>
    </w:p>
    <w:p w14:paraId="2419586C" w14:textId="3C0AA60E" w:rsidR="00783789" w:rsidRDefault="005B579E" w:rsidP="005B579E">
      <w:r>
        <w:t xml:space="preserve">Lze se domnívat, že smyslem </w:t>
      </w:r>
      <w:r w:rsidR="00783789">
        <w:t>unijní</w:t>
      </w:r>
      <w:r>
        <w:t xml:space="preserve"> úpravy je poskytnout údaje </w:t>
      </w:r>
      <w:r w:rsidR="00783789">
        <w:t>o</w:t>
      </w:r>
      <w:r>
        <w:t xml:space="preserve"> skutečných</w:t>
      </w:r>
      <w:r w:rsidR="00783789">
        <w:t xml:space="preserve"> majitelích</w:t>
      </w:r>
      <w:r>
        <w:t xml:space="preserve"> </w:t>
      </w:r>
      <w:r w:rsidR="00783789">
        <w:t xml:space="preserve">pro účely </w:t>
      </w:r>
      <w:r>
        <w:t>vědeck</w:t>
      </w:r>
      <w:r w:rsidR="00783789">
        <w:t>ých</w:t>
      </w:r>
      <w:r>
        <w:t>, výzkumn</w:t>
      </w:r>
      <w:r w:rsidR="00783789">
        <w:t>ých</w:t>
      </w:r>
      <w:r>
        <w:t>, edukační</w:t>
      </w:r>
      <w:r w:rsidR="00783789">
        <w:t>ch</w:t>
      </w:r>
      <w:r>
        <w:t xml:space="preserve"> nebo i tvůrčí</w:t>
      </w:r>
      <w:r w:rsidR="00783789">
        <w:t>ch</w:t>
      </w:r>
      <w:r>
        <w:t xml:space="preserve"> činnost</w:t>
      </w:r>
      <w:r w:rsidR="00783789">
        <w:t>í</w:t>
      </w:r>
      <w:r>
        <w:t xml:space="preserve">, pokud </w:t>
      </w:r>
      <w:r w:rsidR="00783789">
        <w:t>mají</w:t>
      </w:r>
      <w:r>
        <w:t xml:space="preserve"> souvislost s definovaným účelem, tj. předcházení praní špinavých peněz a financování terorismu. </w:t>
      </w:r>
      <w:r w:rsidR="00783789">
        <w:t xml:space="preserve">Nelze patrně přístup úzce vázat pouze </w:t>
      </w:r>
      <w:r w:rsidR="007A2668">
        <w:t>n</w:t>
      </w:r>
      <w:r w:rsidR="00783789">
        <w:t>a subjekty, které se těmto činnostem, zejména výzkumu, věnují pouze v rámci akademické obce. Pojem akademické obce je tak vhodné interpretovat šířeji a zahrnout pod něj také zástupce vědy a výzkumu obecně.</w:t>
      </w:r>
    </w:p>
    <w:p w14:paraId="2D5DADD7" w14:textId="0F21B7B5" w:rsidR="005B579E" w:rsidRDefault="00783789" w:rsidP="005B579E">
      <w:r>
        <w:t>Vědeckou (akademickou) činnost proto v daném kontextu dává smysl</w:t>
      </w:r>
      <w:r w:rsidR="005B579E">
        <w:t xml:space="preserve"> identifikovat nejen na straně konkrétních fyzických osob</w:t>
      </w:r>
      <w:r>
        <w:t xml:space="preserve"> (které striktně vzato tvoří akademickou obec)</w:t>
      </w:r>
      <w:r w:rsidR="00FE5134">
        <w:t>, ale také na straně institucí</w:t>
      </w:r>
      <w:r w:rsidR="005B579E">
        <w:t xml:space="preserve"> samých</w:t>
      </w:r>
      <w:r>
        <w:t xml:space="preserve">, tj. vysokých škol či veřejných vědeckých institucí. Je přitom třeba pamatovat na to, že oprávněný zájem o přístup do české evidence může být i na straně zahraničních subjektů zahraniční akademické obce. </w:t>
      </w:r>
    </w:p>
    <w:p w14:paraId="1D0E42C9" w14:textId="56124497" w:rsidR="00783789" w:rsidRDefault="00922C4B" w:rsidP="005B579E">
      <w:r>
        <w:t>P</w:t>
      </w:r>
      <w:r w:rsidR="00783789">
        <w:t xml:space="preserve">říslušnost </w:t>
      </w:r>
      <w:r>
        <w:t xml:space="preserve">žadatelů </w:t>
      </w:r>
      <w:r w:rsidR="00783789">
        <w:t>k akademické obci bude patrně v praxi velmi dobře do</w:t>
      </w:r>
      <w:r>
        <w:t xml:space="preserve">ložitelná. V případě zaměstnanců vysokých škol již jen např. odkazem na internetové stránky, v případě studentů např. potvrzením o studiu. U institucí samých pak bude jejich povaha zjevná z veřejně dostupných zdrojů. </w:t>
      </w:r>
    </w:p>
    <w:p w14:paraId="360666B4" w14:textId="4BDE3292" w:rsidR="005B579E" w:rsidRPr="005B579E" w:rsidRDefault="002472E6" w:rsidP="005B579E">
      <w:r>
        <w:t xml:space="preserve">Spojení žadatele z řad akademické obce s definovaným účelem, tj. předcházení praní špinavých peněz a financování terorismu, bude třeba vyhodnocovat individuálně na základě žadatelem předložených dokumentů, např. prohlášení o určitém tematicky souvisejícím výzkumu. </w:t>
      </w:r>
    </w:p>
    <w:p w14:paraId="316203A0" w14:textId="1C228BF9" w:rsidR="009421FE" w:rsidRDefault="009421FE" w:rsidP="009421FE">
      <w:pPr>
        <w:pStyle w:val="Nadpis7"/>
      </w:pPr>
      <w:r>
        <w:lastRenderedPageBreak/>
        <w:t xml:space="preserve">K písmeni d)      </w:t>
      </w:r>
    </w:p>
    <w:p w14:paraId="1831CF51" w14:textId="77777777" w:rsidR="009421FE" w:rsidRDefault="009421FE" w:rsidP="009421FE">
      <w:r>
        <w:t>Příslušnými orgány ve smyslu transponovaného čl. 12 odst. 2 písm. e) AML směrnice je třeba rozumět příslušné orgány členských států definované v čl. 2 odst. 1 bodu 44 AML nařízení. To potvrzuje i 43. recitál AML směrnice, jakož i formulace čl. 12 odst. 4 třetího pododstavce AML směrnice, který na příslušné ustanovení AML nařízení přímo odkazuje.</w:t>
      </w:r>
    </w:p>
    <w:p w14:paraId="49EB2720" w14:textId="0449168D" w:rsidR="009421FE" w:rsidRPr="00A740E3" w:rsidRDefault="009421FE" w:rsidP="00E65E58">
      <w:r>
        <w:t>Oprávněný zájem tak bude na straně orgánů, které jsou ve třetích zemích obdobou či protějškem finanční zpravodajské jednotky, orgánu dohledu, orgánu veřejné moci pověřeného vyšetřováním nebo stíháním praní peněz a zajišťováním nebo zmrazováním a zabavováním majetku pocházejícího z trestné činnosti a orgánu veřejné moci pověřeného bojem proti praní peněz nebo financování terorismu. V českém kontextu jde o protějšky orgánů uvedených v §</w:t>
      </w:r>
      <w:r w:rsidR="00E65E58">
        <w:t> </w:t>
      </w:r>
      <w:r>
        <w:t xml:space="preserve">16 odst. 2 písm. c), d) a g) zákona o ESM. </w:t>
      </w:r>
    </w:p>
    <w:p w14:paraId="43BA9A8E" w14:textId="7A707004" w:rsidR="003619A1" w:rsidRDefault="009421FE" w:rsidP="003619A1">
      <w:pPr>
        <w:pStyle w:val="Nadpis7"/>
      </w:pPr>
      <w:r>
        <w:t>K písmeni e</w:t>
      </w:r>
      <w:r w:rsidR="003619A1">
        <w:t xml:space="preserve">)      </w:t>
      </w:r>
    </w:p>
    <w:p w14:paraId="4F883BB2" w14:textId="07273E21" w:rsidR="00F97880" w:rsidRDefault="00F97880" w:rsidP="00F97880">
      <w:r>
        <w:t>Ustanovení zajišťuje přístup pro povinné osoby z třetích zemí</w:t>
      </w:r>
      <w:r w:rsidR="00702AFF">
        <w:t xml:space="preserve"> při </w:t>
      </w:r>
      <w:r w:rsidR="00883B54">
        <w:t>provádě</w:t>
      </w:r>
      <w:r w:rsidR="00702AFF" w:rsidRPr="00702AFF">
        <w:t>ní hloubkové kontroly klienta nebo potenciálního klienta podle požadavků v oblasti boje proti praní peněz a</w:t>
      </w:r>
      <w:r w:rsidR="00E65E58">
        <w:t> </w:t>
      </w:r>
      <w:r w:rsidR="00702AFF" w:rsidRPr="00702AFF">
        <w:t>financování terorismu v těchto třetích zemích</w:t>
      </w:r>
      <w:r w:rsidR="00883B54">
        <w:t xml:space="preserve">. Srov. také 43. recitál </w:t>
      </w:r>
      <w:r w:rsidR="00702AFF">
        <w:t>AML směrnice.</w:t>
      </w:r>
    </w:p>
    <w:p w14:paraId="09F9ACA8" w14:textId="56134F29" w:rsidR="007B29B2" w:rsidRDefault="007B29B2" w:rsidP="007B29B2">
      <w:r>
        <w:t xml:space="preserve">Navržené ustanovení transponuje čl. 12 odst. 2 písm. d) AML směrnice. </w:t>
      </w:r>
    </w:p>
    <w:p w14:paraId="61C6EEED" w14:textId="2D792CEE" w:rsidR="002472E6" w:rsidRPr="00F97880" w:rsidRDefault="002472E6" w:rsidP="00F97880">
      <w:r>
        <w:t>Ve vztahu k vyhodnocování žadatelů půjde v praxi patrně o nejsložitější kategorii, protože bude třeba ze strany žadatele doložit, že je osobou, na kterou se vztahují obdobné požadavky jako na tuzemské povinné osoby (kontrola klienta)</w:t>
      </w:r>
      <w:r w:rsidR="00883B54">
        <w:t>,</w:t>
      </w:r>
      <w:r>
        <w:t xml:space="preserve"> a že je v situaci, kdy potřebuje ve vztahu ke svému klientovi nebo potenciálnímu klientovi nahlédnout do tuzemské evidence. Bude především praktickou otázkou, jak budou</w:t>
      </w:r>
      <w:r w:rsidR="007A2668">
        <w:t xml:space="preserve"> tyto skutečnosti dokládány a na</w:t>
      </w:r>
      <w:r>
        <w:t xml:space="preserve">kolik bude např. nutné spoléhat na čestné prohlášení žadatele.  </w:t>
      </w:r>
    </w:p>
    <w:p w14:paraId="4497CDAF" w14:textId="35106DBF" w:rsidR="00702AFF" w:rsidRDefault="009421FE" w:rsidP="00702AFF">
      <w:pPr>
        <w:pStyle w:val="Nadpis7"/>
      </w:pPr>
      <w:r>
        <w:t>K písmeni f</w:t>
      </w:r>
      <w:r w:rsidR="00702AFF">
        <w:t xml:space="preserve">)      </w:t>
      </w:r>
    </w:p>
    <w:p w14:paraId="57C19177" w14:textId="68944737" w:rsidR="007B29B2" w:rsidRDefault="007B29B2" w:rsidP="007B29B2">
      <w:r>
        <w:t xml:space="preserve">Navržené ustanovení transponuje čl. 12 odst. 2 písm. c) AML směrnice. </w:t>
      </w:r>
    </w:p>
    <w:p w14:paraId="2788FBAF" w14:textId="3DA70767" w:rsidR="00401D69" w:rsidRDefault="00401D69" w:rsidP="00401D69">
      <w:r>
        <w:t>Ustanovení garantuje přístup v zásadě komukol</w:t>
      </w:r>
      <w:r w:rsidR="00883B54">
        <w:t>i z řad široké veřejnosti, u něhož</w:t>
      </w:r>
      <w:r>
        <w:t xml:space="preserve"> je </w:t>
      </w:r>
      <w:r w:rsidR="00883B54">
        <w:t>pravděpodobné</w:t>
      </w:r>
      <w:r>
        <w:t xml:space="preserve">, že vstoupí do </w:t>
      </w:r>
      <w:r w:rsidR="00883B54">
        <w:t xml:space="preserve">právního </w:t>
      </w:r>
      <w:r>
        <w:t>vztahu s evidující osobou a současně chce prostřednictvím ověření jejího skutečného majitele předejít tomu, aby daný vztah byl spojován s trestnými činy legaliz</w:t>
      </w:r>
      <w:r w:rsidR="00124C25">
        <w:t xml:space="preserve">ace výnosů z trestné činnosti. </w:t>
      </w:r>
      <w:r>
        <w:t>Daná konstrukce v</w:t>
      </w:r>
      <w:r w:rsidR="00883B54">
        <w:t>ycházející z AML směrnice, která</w:t>
      </w:r>
      <w:r>
        <w:t xml:space="preserve"> navazuje na argumentaci z rozsudku </w:t>
      </w:r>
      <w:proofErr w:type="spellStart"/>
      <w:r>
        <w:t>S</w:t>
      </w:r>
      <w:r w:rsidR="00883B54">
        <w:t>ovim</w:t>
      </w:r>
      <w:proofErr w:type="spellEnd"/>
      <w:r>
        <w:t xml:space="preserve">. Lze mít za to, že jak SDEU, tak unijní zákonodárce poněkud uměle konstruují spíše nereálné motivace soukromých subjektů. </w:t>
      </w:r>
    </w:p>
    <w:p w14:paraId="26554109" w14:textId="693CF430" w:rsidR="00401D69" w:rsidRPr="00401D69" w:rsidRDefault="00401D69" w:rsidP="00401D69">
      <w:r>
        <w:t>SDEU oprávněný zájem shledal u osob, které</w:t>
      </w:r>
      <w:r w:rsidRPr="00B51938">
        <w:t xml:space="preserve"> </w:t>
      </w:r>
      <w:r>
        <w:t>„…</w:t>
      </w:r>
      <w:r w:rsidRPr="00B51938">
        <w:rPr>
          <w:i/>
        </w:rPr>
        <w:t>chtějí znát totožnost skutečných majitelů společnosti nebo jiné právnické osoby z důvodu, že s</w:t>
      </w:r>
      <w:r>
        <w:rPr>
          <w:i/>
        </w:rPr>
        <w:t xml:space="preserve"> nimi mohou uzavírat transakce…“</w:t>
      </w:r>
      <w:r>
        <w:t xml:space="preserve"> (bod 74 rozsudku). V citaci uvedená skupina osob, které chtějí uzavírat transakce, je významově minimálně nejasná. SDEU se přitom odvolává na 30. recitál </w:t>
      </w:r>
      <w:r w:rsidR="004D7A43">
        <w:rPr>
          <w:lang w:bidi="en-US"/>
        </w:rPr>
        <w:t>páté</w:t>
      </w:r>
      <w:r w:rsidR="004D7A43" w:rsidRPr="00F85A48">
        <w:rPr>
          <w:lang w:bidi="en-US"/>
        </w:rPr>
        <w:t xml:space="preserve"> </w:t>
      </w:r>
      <w:r>
        <w:t xml:space="preserve">AML směrnice, podle kterého veřejný přístup „… </w:t>
      </w:r>
      <w:r w:rsidRPr="00A97B88">
        <w:rPr>
          <w:i/>
        </w:rPr>
        <w:t xml:space="preserve">může přispět k boji proti zneužívání společností a jiných právnických osob a právních uspořádání k praní peněz a financování terorismu, a to jednak tím, že napomůže </w:t>
      </w:r>
      <w:r w:rsidRPr="00A97B88">
        <w:rPr>
          <w:i/>
        </w:rPr>
        <w:lastRenderedPageBreak/>
        <w:t>vyšetřování, a jednak z hlediska reputačních účinků, vzhledem k tomu že každý, kdo by s nimi mohl uzavřít transakce, bude znát totožnost jejich skutečných majitelů.</w:t>
      </w:r>
      <w:r>
        <w:rPr>
          <w:i/>
        </w:rPr>
        <w:t>“</w:t>
      </w:r>
      <w:r>
        <w:rPr>
          <w:iCs/>
        </w:rPr>
        <w:t>.</w:t>
      </w:r>
    </w:p>
    <w:p w14:paraId="097E9363" w14:textId="21D1BCBD" w:rsidR="00401D69" w:rsidRDefault="00401D69" w:rsidP="00401D69">
      <w:r>
        <w:t>Oprávněný zájem je na straně toho, kdo chce vstoupit do právního vztahu (transakce) s evidující osobou. V tomto ohledu je vztah k cílům AML směrnice pouze nepřímý, jestli vůbec nějaký. Zmíněný recitál totiž neváže veřejný přístup potenciálních obchodních partnerů na AML cíle, ale spíše poukazuje na funkci transparentnosti v soukromých vztazích. Je zdůrazněn preventivní a reputační účinek veřejnosti údaje.</w:t>
      </w:r>
      <w:r w:rsidRPr="002D558A">
        <w:t xml:space="preserve"> </w:t>
      </w:r>
      <w:r>
        <w:t>Transparentnost právnických osob zne</w:t>
      </w:r>
      <w:r w:rsidR="00883B54">
        <w:t>snadňuje jejich zneužívání. Skutečnost</w:t>
      </w:r>
      <w:r>
        <w:t>, že si každý může veřejně dohledat skutečného majitele potenciálního obchodního partnera, znesnadňuje zneužití právnických osob.</w:t>
      </w:r>
    </w:p>
    <w:p w14:paraId="286F0DCD" w14:textId="0BFC20C5" w:rsidR="00401D69" w:rsidRDefault="00401D69" w:rsidP="00401D69">
      <w:r>
        <w:t xml:space="preserve">Transponovaná AML směrnice je v tomto směru vcelku jasná, protože motivaci potenciálních kontrahentů </w:t>
      </w:r>
      <w:r w:rsidR="00124C25">
        <w:t>přímo</w:t>
      </w:r>
      <w:r>
        <w:t xml:space="preserve"> pojmenovává. Je však otázkou, nakolik tento konstrukt odpovídá realitě. Byť platí, že obchodní partner nechce uzavírat transakci s někým, kdo by mohl být napojen na trestnou činnost (praní peněz a financování terorismu), při nahlížení do registru není motivován veřejným zájmem (např. jako novinář), ale svým soukromým zájmem. Potenciální obchodní partner má oprávněný zájem na tom vědět, kdo stojí za danou entitou čistě proto, ab</w:t>
      </w:r>
      <w:r w:rsidR="00124C25">
        <w:t>y ochránil sv</w:t>
      </w:r>
      <w:r w:rsidR="00883B54">
        <w:t>oje obchodní zájmy, a to obecně</w:t>
      </w:r>
      <w:r w:rsidR="00124C25">
        <w:t xml:space="preserve">. </w:t>
      </w:r>
      <w:r>
        <w:t xml:space="preserve"> </w:t>
      </w:r>
    </w:p>
    <w:p w14:paraId="11572F44" w14:textId="5D66ECD3" w:rsidR="00401D69" w:rsidRDefault="00401D69" w:rsidP="00401D69">
      <w:r>
        <w:t>Důvodem lustrace potenciálního obchodního partnera ze strany jiného soukromého subjektu není předcházení pran</w:t>
      </w:r>
      <w:r w:rsidR="00124C25">
        <w:t>í peněz a financování terorismu</w:t>
      </w:r>
      <w:r>
        <w:t>. Není zřejmé, zda si tento rozdíl mezi důvodem a důsledkem veřejného přístupu uvědomuje</w:t>
      </w:r>
      <w:r w:rsidR="00124C25" w:rsidRPr="00124C25">
        <w:t xml:space="preserve"> </w:t>
      </w:r>
      <w:r w:rsidR="00124C25">
        <w:t>SDEU</w:t>
      </w:r>
      <w:r>
        <w:t>, když konstatuje oprávněný zájem na straně potenciálních kontrahentů. Takový závěr jde totiž proti vlastní argumentaci rozsudku, podle kterého má být přístup vyhrazen pro subjekty (i z řad veřejnosti), které se zabývají předcházení praní peněz a financování terorismu (viz body 74, 75 a 83 rozsudku</w:t>
      </w:r>
      <w:r w:rsidR="00124C25">
        <w:t xml:space="preserve"> </w:t>
      </w:r>
      <w:proofErr w:type="spellStart"/>
      <w:r w:rsidR="00883B54">
        <w:t>Sovim</w:t>
      </w:r>
      <w:proofErr w:type="spellEnd"/>
      <w:r>
        <w:t xml:space="preserve">).      </w:t>
      </w:r>
    </w:p>
    <w:p w14:paraId="2EE53658" w14:textId="4B491DE5" w:rsidR="00B86A42" w:rsidRDefault="00124C25" w:rsidP="00401D69">
      <w:r>
        <w:t xml:space="preserve">Bez ohledu na nekoherentní argumentaci </w:t>
      </w:r>
      <w:r w:rsidR="00883B54">
        <w:t xml:space="preserve">v </w:t>
      </w:r>
      <w:r>
        <w:t xml:space="preserve">rozsudku </w:t>
      </w:r>
      <w:proofErr w:type="spellStart"/>
      <w:r w:rsidR="00883B54">
        <w:t>Sovim</w:t>
      </w:r>
      <w:proofErr w:type="spellEnd"/>
      <w:r w:rsidR="00883B54">
        <w:t xml:space="preserve"> </w:t>
      </w:r>
      <w:r>
        <w:t>a jeho promítnutí do AML směrnice platí, že v praxi patrně budou potenciální kontrahenti moci vyžadovat údaje o</w:t>
      </w:r>
      <w:r w:rsidR="00E65E58">
        <w:t> </w:t>
      </w:r>
      <w:r>
        <w:t xml:space="preserve">evidujících osobách s odkazem na prevenci před praním špinavých peněz a financováním terorismu, byť jejich zájem bude ve skutečnosti jiný, </w:t>
      </w:r>
      <w:r w:rsidR="00B86A42">
        <w:t>respektive</w:t>
      </w:r>
      <w:r>
        <w:t xml:space="preserve"> širší.</w:t>
      </w:r>
      <w:r w:rsidR="00B86A42">
        <w:t xml:space="preserve"> </w:t>
      </w:r>
    </w:p>
    <w:p w14:paraId="6E9E27D3" w14:textId="44969B04" w:rsidR="0056731C" w:rsidRDefault="00B86A42" w:rsidP="00401D69">
      <w:r>
        <w:t xml:space="preserve">Pokud jde </w:t>
      </w:r>
      <w:r w:rsidR="00883B54">
        <w:t xml:space="preserve">o </w:t>
      </w:r>
      <w:r>
        <w:t xml:space="preserve">používané pojmy </w:t>
      </w:r>
      <w:r w:rsidR="00883B54">
        <w:t>„</w:t>
      </w:r>
      <w:r>
        <w:t>obchodu</w:t>
      </w:r>
      <w:r w:rsidR="00883B54">
        <w:t>“</w:t>
      </w:r>
      <w:r>
        <w:t xml:space="preserve"> nebo </w:t>
      </w:r>
      <w:r w:rsidR="00883B54">
        <w:t>„</w:t>
      </w:r>
      <w:r>
        <w:t>jiného právního vztahu</w:t>
      </w:r>
      <w:r w:rsidR="00883B54">
        <w:t>“</w:t>
      </w:r>
      <w:r>
        <w:t xml:space="preserve">, reaguje se jednak </w:t>
      </w:r>
      <w:r w:rsidR="0056731C">
        <w:t>na terminologii</w:t>
      </w:r>
      <w:r>
        <w:t xml:space="preserve"> AML směrnice, jednak </w:t>
      </w:r>
      <w:r w:rsidR="0056731C">
        <w:t xml:space="preserve">na </w:t>
      </w:r>
      <w:r>
        <w:t>širší kontext možných situací, na které má úprava dopadat. AML směrnice, obdobně jako AML zákon, obecně hovoří o tzv. obchodech („transakcích“)</w:t>
      </w:r>
      <w:r>
        <w:rPr>
          <w:rStyle w:val="Znakapoznpodarou"/>
        </w:rPr>
        <w:footnoteReference w:id="11"/>
      </w:r>
      <w:r>
        <w:t xml:space="preserve">, kterými jsou obecně především vztahy mezi klienty a povinnými osobami. Tento pojem, respektive s ním spojené AML konotace, je třeba </w:t>
      </w:r>
      <w:r w:rsidR="0056731C">
        <w:t>doplnit i o</w:t>
      </w:r>
      <w:r>
        <w:t xml:space="preserve"> jiné právní vztahy, protože cílem úpravy není postihnout pouze vztahy mezi povinnými osobami a jejich klienty, ale potenciálně jakékoli pr</w:t>
      </w:r>
      <w:r w:rsidR="0056731C">
        <w:t>á</w:t>
      </w:r>
      <w:r>
        <w:t xml:space="preserve">vní vztahy (včetně obchodních vztahů v širokém smyslu slova).  </w:t>
      </w:r>
    </w:p>
    <w:p w14:paraId="5B2D14D1" w14:textId="0C041809" w:rsidR="0056731C" w:rsidRDefault="0056731C" w:rsidP="00401D69">
      <w:r>
        <w:t>Široký význam pojmu obchod (trans</w:t>
      </w:r>
      <w:r w:rsidR="00883B54">
        <w:t xml:space="preserve">akce) potvrzuje i 42. recitál </w:t>
      </w:r>
      <w:r>
        <w:t>AML směrnice:</w:t>
      </w:r>
    </w:p>
    <w:p w14:paraId="1418E028" w14:textId="60021CC3" w:rsidR="00124C25" w:rsidRPr="00946684" w:rsidRDefault="0056731C" w:rsidP="00401D69">
      <w:pPr>
        <w:rPr>
          <w:i/>
        </w:rPr>
      </w:pPr>
      <w:r w:rsidRPr="00946684">
        <w:rPr>
          <w:i/>
        </w:rPr>
        <w:t xml:space="preserve">„…Transakce se neomezuje na obchodní činnosti nebo poskytování nebo nákup produktů či služeb, ale může zahrnovat také situace, kdy je pravděpodobné, že určitá osoba investuje peněžní prostředky </w:t>
      </w:r>
      <w:r w:rsidR="00946684" w:rsidRPr="00946684">
        <w:rPr>
          <w:i/>
        </w:rPr>
        <w:t>[…]</w:t>
      </w:r>
      <w:r w:rsidRPr="00946684">
        <w:rPr>
          <w:i/>
        </w:rPr>
        <w:t xml:space="preserve"> nebo </w:t>
      </w:r>
      <w:proofErr w:type="spellStart"/>
      <w:r w:rsidRPr="00946684">
        <w:rPr>
          <w:i/>
        </w:rPr>
        <w:t>kryptoaktiva</w:t>
      </w:r>
      <w:proofErr w:type="spellEnd"/>
      <w:r w:rsidRPr="00946684">
        <w:rPr>
          <w:i/>
        </w:rPr>
        <w:t xml:space="preserve"> do dané právnické osoby nebo daného právního </w:t>
      </w:r>
      <w:r w:rsidRPr="00946684">
        <w:rPr>
          <w:i/>
        </w:rPr>
        <w:lastRenderedPageBreak/>
        <w:t>uspořádání nebo nabude danou právnickou osobu. Nemělo by se tedy mít za to, že požadavek oprávněného zájmu o přístup k informacím o skutečných majitelích splňují pouze osoby vykonávající hospodářské nebo obchodní činnosti.“</w:t>
      </w:r>
      <w:r w:rsidR="00E65E58">
        <w:rPr>
          <w:i/>
        </w:rPr>
        <w:t>.</w:t>
      </w:r>
    </w:p>
    <w:p w14:paraId="4EF353E1" w14:textId="36B0BFFD" w:rsidR="00946684" w:rsidRDefault="00946684" w:rsidP="006E334F">
      <w:r>
        <w:t xml:space="preserve">Oprávněný zájem se odvíjí od toho, že žadatel pravděpodobně s evidující </w:t>
      </w:r>
      <w:r w:rsidR="006E334F">
        <w:t xml:space="preserve">osobou </w:t>
      </w:r>
      <w:r w:rsidR="00883B54">
        <w:t>vstoupí do</w:t>
      </w:r>
      <w:r w:rsidR="006E334F">
        <w:t xml:space="preserve"> právní</w:t>
      </w:r>
      <w:r w:rsidR="00883B54">
        <w:t>ho</w:t>
      </w:r>
      <w:r w:rsidR="006E334F">
        <w:t xml:space="preserve"> vztah</w:t>
      </w:r>
      <w:r w:rsidR="00883B54">
        <w:t>u</w:t>
      </w:r>
      <w:r w:rsidR="006E334F">
        <w:t>. Míru</w:t>
      </w:r>
      <w:r>
        <w:t xml:space="preserve"> pravděpodobnosti</w:t>
      </w:r>
      <w:r w:rsidR="006E334F">
        <w:t xml:space="preserve"> však v praxi nelze vnímat jako objektivní kritérium. Nebylo by reálné vyžadovat po žadatelích např. potvrzení o existenci </w:t>
      </w:r>
      <w:r w:rsidR="00883B54">
        <w:t xml:space="preserve">určitých předsmluvních kroků. Pravděpodobnost vztahu je tak </w:t>
      </w:r>
      <w:r w:rsidR="006E334F">
        <w:t xml:space="preserve">dána čistě záměrem potenciálního kontrahenta. Již to, že o obchodu uvažuje, by </w:t>
      </w:r>
      <w:r w:rsidR="009421FE">
        <w:t>mělo být</w:t>
      </w:r>
      <w:r w:rsidR="006E334F">
        <w:t xml:space="preserve"> z hlediska posouzení oprávněného zájmu </w:t>
      </w:r>
      <w:r w:rsidR="009421FE">
        <w:t>považováno za pravděpodobné</w:t>
      </w:r>
      <w:r w:rsidR="006E334F">
        <w:t xml:space="preserve">. Pro doložení tohoto záměru patrně nelze požadovat více než čestné prohlášení. </w:t>
      </w:r>
    </w:p>
    <w:p w14:paraId="7FAF3F4D" w14:textId="3D147EC6" w:rsidR="00883B54" w:rsidRDefault="00883B54" w:rsidP="00883B54">
      <w:pPr>
        <w:spacing w:after="120" w:line="240" w:lineRule="auto"/>
      </w:pPr>
      <w:r>
        <w:t>Do předmětné kategorie spadají jak osoby fyzické, tak právnické a jak osoby tuzemské, tak zahraniční.</w:t>
      </w:r>
    </w:p>
    <w:p w14:paraId="633055D9" w14:textId="74C48318" w:rsidR="003619A1" w:rsidRDefault="00D353D1" w:rsidP="003619A1">
      <w:pPr>
        <w:pStyle w:val="Nadpis7"/>
      </w:pPr>
      <w:r>
        <w:t>K písmeni</w:t>
      </w:r>
      <w:r w:rsidR="003619A1">
        <w:t xml:space="preserve"> g)</w:t>
      </w:r>
    </w:p>
    <w:p w14:paraId="33FFAB91" w14:textId="2826A672" w:rsidR="00810A2F" w:rsidRDefault="00D353D1" w:rsidP="00555504">
      <w:r>
        <w:t>V</w:t>
      </w:r>
      <w:r w:rsidR="00555504">
        <w:t xml:space="preserve"> případě </w:t>
      </w:r>
      <w:r>
        <w:t xml:space="preserve">předmětné kategorie </w:t>
      </w:r>
      <w:r w:rsidR="009421FE">
        <w:t xml:space="preserve">subjektů </w:t>
      </w:r>
      <w:r w:rsidR="00555504">
        <w:t xml:space="preserve">není zájem explicitně vázán na obecný účel </w:t>
      </w:r>
      <w:r w:rsidR="00810A2F">
        <w:t xml:space="preserve">předcházení vyjmenované trestné činnosti, ale je třeba jej spíše dosadit zákonnou </w:t>
      </w:r>
      <w:r w:rsidR="009421FE">
        <w:t>nevyvratitelnou domněnkou</w:t>
      </w:r>
      <w:r w:rsidR="00810A2F">
        <w:t xml:space="preserve">. </w:t>
      </w:r>
    </w:p>
    <w:p w14:paraId="6CAF145E" w14:textId="20BBBE55" w:rsidR="007B29B2" w:rsidRDefault="007B29B2" w:rsidP="007B29B2">
      <w:r>
        <w:t xml:space="preserve">Navržené ustanovení transponuje čl. 12 odst. 2 písm. f) AML směrnice. </w:t>
      </w:r>
    </w:p>
    <w:p w14:paraId="27CA3A93" w14:textId="562278EC" w:rsidR="00555504" w:rsidRDefault="00346CE2" w:rsidP="00555504">
      <w:r>
        <w:t>K</w:t>
      </w:r>
      <w:r w:rsidR="00810A2F">
        <w:t xml:space="preserve">ategorie </w:t>
      </w:r>
      <w:r w:rsidR="009421FE">
        <w:t xml:space="preserve">subjektů </w:t>
      </w:r>
      <w:r>
        <w:t xml:space="preserve">podle navrhovaného písmene g) </w:t>
      </w:r>
      <w:r w:rsidR="00810A2F">
        <w:t xml:space="preserve">míří na orgány, které mají dle </w:t>
      </w:r>
      <w:r w:rsidR="004F344E">
        <w:t>příslušné unijní směrnice</w:t>
      </w:r>
      <w:r w:rsidR="004F344E">
        <w:rPr>
          <w:rStyle w:val="Znakapoznpodarou"/>
        </w:rPr>
        <w:footnoteReference w:id="12"/>
      </w:r>
      <w:r w:rsidR="00810A2F">
        <w:t xml:space="preserve"> provádět zápisy do obchodních rejstříků a kontrolovat zákonnost přemístění sídla, fúzí a rozdělení kapitálových společností. V českém kontextu půjde o rejstříkové soudy a notáře, avšak je třeba vnímat, že na základě předmětného ustanovení mohou zájem prokázat i su</w:t>
      </w:r>
      <w:r>
        <w:t xml:space="preserve">bjekty z jiných členských zemí. </w:t>
      </w:r>
      <w:r w:rsidR="00810A2F">
        <w:t xml:space="preserve">Lze pak podotknout, že rejstříkový soud při zápisu </w:t>
      </w:r>
      <w:r w:rsidR="009421FE">
        <w:t>do</w:t>
      </w:r>
      <w:r w:rsidR="00810A2F">
        <w:t xml:space="preserve"> obchodního rejstříku i notář v rámci přeměn</w:t>
      </w:r>
      <w:r w:rsidR="009421FE">
        <w:t xml:space="preserve"> kapitálových společností</w:t>
      </w:r>
      <w:r w:rsidR="00810A2F">
        <w:t xml:space="preserve"> reálně nezohledňují AML aspekty. Zájem na přístupu k údajům v evidenci skutečných majitelů je </w:t>
      </w:r>
      <w:r>
        <w:t xml:space="preserve">tak materiálně vázán na obecný účel spíše velmi vzdáleně. </w:t>
      </w:r>
      <w:r w:rsidR="004F344E">
        <w:t>To v zásadě potvrzuje i</w:t>
      </w:r>
      <w:r w:rsidR="00883B54">
        <w:t xml:space="preserve"> 45.</w:t>
      </w:r>
      <w:r w:rsidR="004F344E">
        <w:t xml:space="preserve"> recitál AML směrnice, když zmiňuje pachatele trestné činnosti obecně, nikoli specificky pachatele praní špinavých peněz a</w:t>
      </w:r>
      <w:r w:rsidR="00E65E58">
        <w:t> </w:t>
      </w:r>
      <w:r w:rsidR="004F344E">
        <w:t>financování terorismu:</w:t>
      </w:r>
    </w:p>
    <w:p w14:paraId="73107AF0" w14:textId="162857F3" w:rsidR="004F344E" w:rsidRPr="004F344E" w:rsidRDefault="004F344E" w:rsidP="004F344E">
      <w:pPr>
        <w:rPr>
          <w:i/>
        </w:rPr>
      </w:pPr>
      <w:r w:rsidRPr="004F344E">
        <w:rPr>
          <w:i/>
        </w:rPr>
        <w:t>„Pachatelé trestné činnosti mohou zneužít právnické osoby v jakémkoli okamžiku. Některé fáze životního cyklu právnických osob však jsou spojeny s vyššími riziky, například při zakládání obchodní společnosti nebo v případě změn ve struktuře obchodní společnosti, jako je přemístění sídla, fúze nebo rozdělení, které pachatelům trestné činnosti umožňují právnickou osobou ovládnout.“</w:t>
      </w:r>
      <w:r w:rsidR="00E65E58">
        <w:rPr>
          <w:i/>
        </w:rPr>
        <w:t>.</w:t>
      </w:r>
    </w:p>
    <w:p w14:paraId="44DD09FD" w14:textId="488DEA58" w:rsidR="00D353D1" w:rsidRDefault="00D353D1" w:rsidP="00D353D1">
      <w:pPr>
        <w:pStyle w:val="Nadpis7"/>
      </w:pPr>
      <w:r>
        <w:lastRenderedPageBreak/>
        <w:t xml:space="preserve">K písmenům h) a i) </w:t>
      </w:r>
    </w:p>
    <w:p w14:paraId="6ED4F7F6" w14:textId="5D46CCD6" w:rsidR="00D353D1" w:rsidRDefault="00D353D1" w:rsidP="00D353D1">
      <w:r>
        <w:t xml:space="preserve">V případě předmětných kategorií </w:t>
      </w:r>
      <w:r w:rsidR="009421FE">
        <w:t xml:space="preserve">subjektů </w:t>
      </w:r>
      <w:r>
        <w:t xml:space="preserve">není zájem explicitně vázán na obecný účel předcházení vyjmenované trestné činnosti, ale je třeba jej spíše dosadit zákonnou </w:t>
      </w:r>
      <w:r w:rsidR="009421FE">
        <w:t>nevyvratitelnou domněnkou</w:t>
      </w:r>
      <w:r>
        <w:t xml:space="preserve">. </w:t>
      </w:r>
    </w:p>
    <w:p w14:paraId="002D23FC" w14:textId="13384688" w:rsidR="007B29B2" w:rsidRDefault="007B29B2" w:rsidP="00D353D1">
      <w:r>
        <w:t xml:space="preserve">Navržená ustanovení transponují čl. 12 odst. 2 písm. g) a h) AML směrnice. </w:t>
      </w:r>
    </w:p>
    <w:p w14:paraId="6921DE32" w14:textId="03C03D79" w:rsidR="00422C41" w:rsidRDefault="00346CE2" w:rsidP="00346CE2">
      <w:r>
        <w:t xml:space="preserve">Kategorie </w:t>
      </w:r>
      <w:r w:rsidR="009421FE">
        <w:t xml:space="preserve">subjektů </w:t>
      </w:r>
      <w:r>
        <w:t xml:space="preserve">podle navrhovaného písmene h) míří </w:t>
      </w:r>
      <w:r w:rsidR="00E62A7E">
        <w:t xml:space="preserve">na </w:t>
      </w:r>
      <w:r>
        <w:t>tzv. programové orgány, což jsou podle příslušného unijního nařízení</w:t>
      </w:r>
      <w:r>
        <w:rPr>
          <w:rStyle w:val="Znakapoznpodarou"/>
        </w:rPr>
        <w:footnoteReference w:id="13"/>
      </w:r>
      <w:r>
        <w:t xml:space="preserve"> řídící a auditní orgány. Těmito orgány jsou v České republice příslušná ministerstva, zejména pak Ministerstvo pro místní rozvoj. Kategorie </w:t>
      </w:r>
      <w:r w:rsidR="009421FE">
        <w:t xml:space="preserve">subjektů </w:t>
      </w:r>
      <w:r>
        <w:t xml:space="preserve">podle navrhovaného písmene i) míří </w:t>
      </w:r>
      <w:r w:rsidR="00422C41">
        <w:t>na orgány veřejné moci provádějící Nástroj pro oživení a odolnost podle příslušného unijního nařízení</w:t>
      </w:r>
      <w:r w:rsidR="00422C41">
        <w:rPr>
          <w:rStyle w:val="Znakapoznpodarou"/>
        </w:rPr>
        <w:footnoteReference w:id="14"/>
      </w:r>
      <w:r w:rsidR="00422C41">
        <w:t>, kdy těmito orgány jsou opět jednotlivé resorty, ale i další ústřední orgány státní správy</w:t>
      </w:r>
      <w:r w:rsidR="00422C41">
        <w:rPr>
          <w:rFonts w:ascii="Roboto" w:hAnsi="Roboto"/>
          <w:color w:val="001D35"/>
          <w:shd w:val="clear" w:color="auto" w:fill="FFFFFF"/>
        </w:rPr>
        <w:t>. </w:t>
      </w:r>
    </w:p>
    <w:p w14:paraId="1D96B8AE" w14:textId="658D66E4" w:rsidR="00D353D1" w:rsidRDefault="00D353D1" w:rsidP="00D353D1">
      <w:pPr>
        <w:pStyle w:val="Nadpis7"/>
      </w:pPr>
      <w:r>
        <w:t xml:space="preserve">K písmeni j) </w:t>
      </w:r>
    </w:p>
    <w:p w14:paraId="3A37B850" w14:textId="49A2B288" w:rsidR="00D353D1" w:rsidRDefault="00D353D1" w:rsidP="00D353D1">
      <w:r>
        <w:t xml:space="preserve">V případě předmětné kategorie </w:t>
      </w:r>
      <w:r w:rsidR="009421FE">
        <w:t xml:space="preserve">subjektů </w:t>
      </w:r>
      <w:r>
        <w:t xml:space="preserve">není zájem explicitně vázán na obecný účel předcházení vyjmenované trestné činnosti, ale je třeba jej spíše dosadit zákonnou </w:t>
      </w:r>
      <w:r w:rsidR="009421FE">
        <w:t>nevyvratitelnou domněnkou</w:t>
      </w:r>
      <w:r>
        <w:t xml:space="preserve">. </w:t>
      </w:r>
    </w:p>
    <w:p w14:paraId="49058C66" w14:textId="6FF6FA92" w:rsidR="007B29B2" w:rsidRDefault="007B29B2" w:rsidP="007B29B2">
      <w:r>
        <w:t xml:space="preserve">Navržené ustanovení transponuje čl. 12 odst. 2 písm. i) AML směrnice. </w:t>
      </w:r>
    </w:p>
    <w:p w14:paraId="1A961CDF" w14:textId="3DA57759" w:rsidR="004F344E" w:rsidRDefault="00422C41" w:rsidP="004F344E">
      <w:r>
        <w:t xml:space="preserve">Kategorie </w:t>
      </w:r>
      <w:r w:rsidR="009421FE">
        <w:t xml:space="preserve">subjektů </w:t>
      </w:r>
      <w:r>
        <w:t>podle navrhovaného písmene j) míří na veřejné zadavatele veřejných zakázek</w:t>
      </w:r>
      <w:r w:rsidR="00D353D1">
        <w:t xml:space="preserve">, avšak </w:t>
      </w:r>
      <w:r w:rsidR="00BF3AA7">
        <w:t>s</w:t>
      </w:r>
      <w:r w:rsidR="00D353D1">
        <w:t xml:space="preserve"> ohledem na konstrukci zákona o ESM zejména </w:t>
      </w:r>
      <w:r w:rsidR="009421FE">
        <w:t xml:space="preserve">na </w:t>
      </w:r>
      <w:r w:rsidR="00D353D1">
        <w:t xml:space="preserve">ty </w:t>
      </w:r>
      <w:r w:rsidR="009421FE">
        <w:t xml:space="preserve">z </w:t>
      </w:r>
      <w:r w:rsidR="00D353D1">
        <w:t>jiných členských států</w:t>
      </w:r>
      <w:r>
        <w:t xml:space="preserve">. V tomto směru </w:t>
      </w:r>
      <w:r w:rsidR="00D353D1">
        <w:t>je třeba</w:t>
      </w:r>
      <w:r>
        <w:t xml:space="preserve"> vnímat, že podle § 122</w:t>
      </w:r>
      <w:r w:rsidRPr="00422C41">
        <w:t xml:space="preserve"> </w:t>
      </w:r>
      <w:r>
        <w:t>zákon</w:t>
      </w:r>
      <w:r w:rsidR="009421FE">
        <w:t>a</w:t>
      </w:r>
      <w:r>
        <w:t xml:space="preserve"> o zadávání veřejných zakázek již </w:t>
      </w:r>
      <w:r w:rsidR="009421FE">
        <w:t>v</w:t>
      </w:r>
      <w:r w:rsidR="00E65E58">
        <w:t> </w:t>
      </w:r>
      <w:r w:rsidR="009421FE">
        <w:t>současnosti</w:t>
      </w:r>
      <w:r>
        <w:t xml:space="preserve"> mají tuzemští zadavatelé zajištěn dálkový přístup do evidence, tj. přístup širší než požadovaný </w:t>
      </w:r>
      <w:r w:rsidR="00D353D1">
        <w:t xml:space="preserve">podle </w:t>
      </w:r>
      <w:r>
        <w:t>čl. 12 odst. 2 písm. i) AML směrnice. Na národní úrovni je přitom účelem tohoto přístupu zejm</w:t>
      </w:r>
      <w:r w:rsidR="009421FE">
        <w:t>éna snaha pře</w:t>
      </w:r>
      <w:r w:rsidR="00E65E58">
        <w:t>d</w:t>
      </w:r>
      <w:r w:rsidR="009421FE">
        <w:t>cházet střetu zájmů</w:t>
      </w:r>
      <w:r>
        <w:t xml:space="preserve"> při zadávání veřejných zakázek</w:t>
      </w:r>
      <w:r w:rsidR="004F344E">
        <w:t>, s tím spojen</w:t>
      </w:r>
      <w:r w:rsidR="00E65E58">
        <w:t>é</w:t>
      </w:r>
      <w:r w:rsidR="004F344E">
        <w:t xml:space="preserve"> korupci</w:t>
      </w:r>
      <w:r>
        <w:t xml:space="preserve"> a obecně </w:t>
      </w:r>
      <w:r w:rsidR="004F344E">
        <w:t xml:space="preserve">podpora </w:t>
      </w:r>
      <w:r>
        <w:t>hospodárné</w:t>
      </w:r>
      <w:r w:rsidR="004F344E">
        <w:t>ho</w:t>
      </w:r>
      <w:r>
        <w:t xml:space="preserve"> nakládání s majetkem státu</w:t>
      </w:r>
      <w:r w:rsidR="00E63F1D">
        <w:t xml:space="preserve"> (což plyne z úpravy zákona o zadávání veřejných zakázek)</w:t>
      </w:r>
      <w:r>
        <w:t xml:space="preserve">. </w:t>
      </w:r>
      <w:r w:rsidR="004F344E">
        <w:t xml:space="preserve">Tento účel </w:t>
      </w:r>
      <w:r w:rsidR="00146075">
        <w:t xml:space="preserve">pak také potvrzuje </w:t>
      </w:r>
      <w:r w:rsidR="00883B54">
        <w:t xml:space="preserve">48. </w:t>
      </w:r>
      <w:r w:rsidR="00146075">
        <w:t xml:space="preserve">recitál </w:t>
      </w:r>
      <w:r w:rsidR="004F344E">
        <w:t>AML směrnice:</w:t>
      </w:r>
    </w:p>
    <w:p w14:paraId="75BD13B8" w14:textId="0F870D1E" w:rsidR="004F344E" w:rsidRPr="004F344E" w:rsidRDefault="004F344E" w:rsidP="004F344E">
      <w:pPr>
        <w:rPr>
          <w:i/>
        </w:rPr>
      </w:pPr>
      <w:r w:rsidRPr="004F344E">
        <w:rPr>
          <w:i/>
        </w:rPr>
        <w:t>„Korupce při zadávání veřejných zakázek poškozuje veřejný zájem, podkopává důvěru veřejnosti a má nepříznivý dopad na životy občanů. Vzhledem k tomu, že zadávací řízení jsou ohrožena korupcí, podvody a jinými predikativními trestnými činy, by vnitrostátní orgány s</w:t>
      </w:r>
      <w:r w:rsidR="00E65E58">
        <w:rPr>
          <w:i/>
        </w:rPr>
        <w:t> </w:t>
      </w:r>
      <w:r w:rsidRPr="004F344E">
        <w:rPr>
          <w:i/>
        </w:rPr>
        <w:t>pravomocemi v oblasti zadávacích řízení měly mít možnost nahlížet do centrálních registrů s</w:t>
      </w:r>
      <w:r w:rsidR="00E65E58">
        <w:rPr>
          <w:i/>
        </w:rPr>
        <w:t> </w:t>
      </w:r>
      <w:r w:rsidRPr="004F344E">
        <w:rPr>
          <w:i/>
        </w:rPr>
        <w:t xml:space="preserve">cílem zjistit totožnost fyzických osob, které v konečném důsledku vlastní nebo ovládají </w:t>
      </w:r>
      <w:r w:rsidRPr="004F344E">
        <w:rPr>
          <w:i/>
        </w:rPr>
        <w:lastRenderedPageBreak/>
        <w:t>uchazeče, a identifikovat případy, kdy existuje riziko, že do zadávacího řízení mohou být zapojeni pachatelé trestné činnosti.“</w:t>
      </w:r>
    </w:p>
    <w:p w14:paraId="0C3577C2" w14:textId="63173812" w:rsidR="003619A1" w:rsidRDefault="003619A1" w:rsidP="003619A1">
      <w:pPr>
        <w:pStyle w:val="Nadpis7"/>
      </w:pPr>
      <w:r>
        <w:t xml:space="preserve">K písmeni </w:t>
      </w:r>
      <w:r w:rsidR="000F51AD">
        <w:t>k</w:t>
      </w:r>
      <w:r>
        <w:t xml:space="preserve">)      </w:t>
      </w:r>
    </w:p>
    <w:p w14:paraId="0CCF0101" w14:textId="2926E7C4" w:rsidR="00146075" w:rsidRDefault="00146075" w:rsidP="00146075">
      <w:r>
        <w:t>Samostatnou kategorií subjektů s oprávněným zájmem jsou osoby, které poskytují (i na komerční bázi) služby povinným osobám nebo příslušným orgánům v souvislosti s plněním povinností plynoucích z AML legislativy. Důvodnost takového přístupu je vysvětlena v</w:t>
      </w:r>
      <w:r w:rsidR="00883B54">
        <w:t> 49.</w:t>
      </w:r>
      <w:r w:rsidR="00E65E58">
        <w:t> </w:t>
      </w:r>
      <w:r>
        <w:t>recitál</w:t>
      </w:r>
      <w:r w:rsidR="00E65E58">
        <w:t>u</w:t>
      </w:r>
      <w:r>
        <w:t xml:space="preserve"> AML směrnice:</w:t>
      </w:r>
    </w:p>
    <w:p w14:paraId="0859341C" w14:textId="3CDC9CB1" w:rsidR="00146075" w:rsidRDefault="00146075" w:rsidP="00146075">
      <w:pPr>
        <w:rPr>
          <w:i/>
        </w:rPr>
      </w:pPr>
      <w:r w:rsidRPr="00146075">
        <w:rPr>
          <w:i/>
        </w:rPr>
        <w:t>„Produkty, jako je prověřování klientů nabízené poskytovateli, kteří jsou třetími stranami, podporují povinné osoby při provádění hloubkové kontroly klientů. Tyto produkty jim poskytují ucelený pohled na klienta, který jim umožňuje činit informovaná rozhodnutí ohledně jejich klasifikace z hlediska rizik, uplatnění zmírňujících opatření a případných podezření týkajících se činnosti zákazníků. Tyto produkty rovněž přispívají k práci příslušných orgánů při analýze podezřelých transakcí a vyšetřování možných případů praní peněz, souvisejících predikativních trestných činů a financování terorismu tím, že doplňují informace o skutečných majitelích dalšími technickými řešeními, která příslušným orgánům umožňují získat širší představu o</w:t>
      </w:r>
      <w:r w:rsidR="00D703CC">
        <w:rPr>
          <w:i/>
        </w:rPr>
        <w:t> </w:t>
      </w:r>
      <w:r w:rsidRPr="00146075">
        <w:rPr>
          <w:i/>
        </w:rPr>
        <w:t>složitých zločinných systémech, mimo jiné prostřednictvím lokalizace pachatelů. Tato řešení proto hrají zásadní úlohu při sledování stále složitějších a rychlých pohybů, které charakterizují systémy praní peněz.“</w:t>
      </w:r>
      <w:r w:rsidR="00E65E58">
        <w:rPr>
          <w:i/>
        </w:rPr>
        <w:t>.</w:t>
      </w:r>
    </w:p>
    <w:p w14:paraId="3C3182F2" w14:textId="5D10CC6F" w:rsidR="00146075" w:rsidRDefault="00146075" w:rsidP="00146075">
      <w:r>
        <w:t xml:space="preserve">Podmínkou přístupu je jednak to, že produkt či služba, pro </w:t>
      </w:r>
      <w:r w:rsidR="009421FE">
        <w:t>kterou jsou údaje vyžadovány, jsou</w:t>
      </w:r>
      <w:r>
        <w:t xml:space="preserve"> poskytován</w:t>
      </w:r>
      <w:r w:rsidR="00D703CC">
        <w:t>y</w:t>
      </w:r>
      <w:r>
        <w:t xml:space="preserve"> výhradně povinné osobě nebo příslušnému orgánu [k pojmu „příslušný orgán“ viz výše zvláštní část důvodové zprávy k</w:t>
      </w:r>
      <w:r w:rsidR="009421FE">
        <w:t xml:space="preserve"> navrhovanému </w:t>
      </w:r>
      <w:r>
        <w:t xml:space="preserve">§ 15 </w:t>
      </w:r>
      <w:r w:rsidR="009421FE">
        <w:t>odst. 2 písm. f) zákona o ESM</w:t>
      </w:r>
      <w:r>
        <w:t xml:space="preserve">], </w:t>
      </w:r>
      <w:r w:rsidR="009421FE">
        <w:t>a že</w:t>
      </w:r>
      <w:r>
        <w:t xml:space="preserve"> </w:t>
      </w:r>
      <w:r w:rsidR="00BD30C8">
        <w:t>žadatel může doložit, že existuje nebo má existovat smlouva (vztah) s </w:t>
      </w:r>
      <w:r w:rsidR="009421FE">
        <w:t>povinnou osobou nebo příslušným orgánem</w:t>
      </w:r>
      <w:r w:rsidR="00BD30C8">
        <w:t>. Oprávněný zájem poskytovatele produktu tak neex</w:t>
      </w:r>
      <w:r w:rsidR="009421FE">
        <w:t xml:space="preserve">istuje bez vazby na konkrétní </w:t>
      </w:r>
      <w:r w:rsidR="00BD30C8">
        <w:t>povi</w:t>
      </w:r>
      <w:r w:rsidR="009421FE">
        <w:t>nnou osobu nebo příslušný orgán</w:t>
      </w:r>
      <w:r w:rsidR="00BD30C8">
        <w:t xml:space="preserve">, respektive na službu, která pro něj je nebo má být poskytována.   </w:t>
      </w:r>
    </w:p>
    <w:p w14:paraId="62700561" w14:textId="122ED34E" w:rsidR="00D353D1" w:rsidRDefault="00D353D1" w:rsidP="00146075">
      <w:r>
        <w:t xml:space="preserve">Je třeba zdůraznit, že na daný </w:t>
      </w:r>
      <w:r w:rsidR="009421FE">
        <w:t>důvod oprávněného záj</w:t>
      </w:r>
      <w:r>
        <w:t>m</w:t>
      </w:r>
      <w:r w:rsidR="009421FE">
        <w:t>u</w:t>
      </w:r>
      <w:r>
        <w:t xml:space="preserve"> se budou zpravidla o</w:t>
      </w:r>
      <w:r w:rsidR="009421FE">
        <w:t>d</w:t>
      </w:r>
      <w:r>
        <w:t xml:space="preserve">kazovat pouze poskytovatelé předmětných produktů pro zahraniční povinné osoby a zahraniční příslušné orgány. Je totiž třeba vnímat, že v případě tuzemských povinných osob a příslušných orgánů tito mají širší přístup prostřednictvím tzv. dálkového přístupu podle § 16 odst. 2 zákona o ESM. Současně se navrhuje, aby těmto subjektům bylo možné zřídit přístup do evidence prostřednictvím webové služby. </w:t>
      </w:r>
      <w:r w:rsidR="009421FE">
        <w:t>Tento</w:t>
      </w:r>
      <w:r>
        <w:t xml:space="preserve"> žadatel pak pro přístup (webovou službou) bude moci využít i služeb komerčních produktů. Jiné řešení ostatně není s ohledem na reálné možnosti </w:t>
      </w:r>
      <w:r w:rsidR="006D06E6">
        <w:t>většiny</w:t>
      </w:r>
      <w:r>
        <w:t xml:space="preserve"> povinných osob a </w:t>
      </w:r>
      <w:r w:rsidR="006D06E6">
        <w:t xml:space="preserve">příslušných orgánů možné. </w:t>
      </w:r>
      <w:r>
        <w:t xml:space="preserve"> </w:t>
      </w:r>
    </w:p>
    <w:p w14:paraId="296D11A2" w14:textId="57A692DE" w:rsidR="007B29B2" w:rsidRPr="00146075" w:rsidRDefault="007B29B2" w:rsidP="00146075">
      <w:r>
        <w:t>Navržené ustanovení transponuje čl. 12 odst. 2 písm. j) AML směrnice.</w:t>
      </w:r>
    </w:p>
    <w:p w14:paraId="0F3866CB" w14:textId="77777777" w:rsidR="002C30EB" w:rsidRDefault="002C30EB" w:rsidP="002C30EB">
      <w:pPr>
        <w:pStyle w:val="Nadpis6"/>
      </w:pPr>
      <w:r>
        <w:t>K odstavci 3</w:t>
      </w:r>
    </w:p>
    <w:p w14:paraId="470C3826" w14:textId="156744AB" w:rsidR="00946684" w:rsidRDefault="002C30EB" w:rsidP="002C30EB">
      <w:r>
        <w:t>Navrhuje se mimo rámec požadavků AML směrnice umožnit přístup i na základě jiného oprávněného zájmu než toho souvisejícího s předcházením specifické trestné činnosti</w:t>
      </w:r>
      <w:r w:rsidR="00973ED5">
        <w:t xml:space="preserve"> spočívající v praní špinavých peněz a financování terorismu</w:t>
      </w:r>
      <w:r>
        <w:t xml:space="preserve">. V tomto ohledu jde o národní </w:t>
      </w:r>
      <w:r>
        <w:lastRenderedPageBreak/>
        <w:t>úpravu, n</w:t>
      </w:r>
      <w:r w:rsidR="00973ED5">
        <w:t xml:space="preserve">ikoli transpozici </w:t>
      </w:r>
      <w:r w:rsidR="00001FBB">
        <w:t>AML</w:t>
      </w:r>
      <w:r w:rsidR="00973ED5">
        <w:t xml:space="preserve"> směrnice, byť jsou sledovány principy ochrany soukromí osobních údajů vytyčené AML sm</w:t>
      </w:r>
      <w:r w:rsidR="00DF0C2A">
        <w:t xml:space="preserve">ěrnicí a také rozsudkem </w:t>
      </w:r>
      <w:proofErr w:type="spellStart"/>
      <w:r w:rsidR="00001FBB">
        <w:t>Sovim</w:t>
      </w:r>
      <w:proofErr w:type="spellEnd"/>
      <w:r w:rsidR="00DF0C2A">
        <w:t xml:space="preserve">. </w:t>
      </w:r>
      <w:r w:rsidR="00973ED5">
        <w:t xml:space="preserve">Navržený přístup je ostatně výslovně AML směrnicí umožněn. </w:t>
      </w:r>
      <w:r w:rsidR="00D703CC">
        <w:t xml:space="preserve">Konkrétně </w:t>
      </w:r>
      <w:r w:rsidR="00883B54">
        <w:t xml:space="preserve">36. recitál </w:t>
      </w:r>
      <w:r w:rsidR="00946684">
        <w:t>AML směr</w:t>
      </w:r>
      <w:r w:rsidR="006E334F">
        <w:t>nice</w:t>
      </w:r>
      <w:r w:rsidR="00973ED5">
        <w:t xml:space="preserve"> stanoví:</w:t>
      </w:r>
    </w:p>
    <w:p w14:paraId="45A5C00A" w14:textId="78339F67" w:rsidR="00973ED5" w:rsidRDefault="00973ED5" w:rsidP="002C30EB">
      <w:r>
        <w:rPr>
          <w:i/>
        </w:rPr>
        <w:t>„</w:t>
      </w:r>
      <w:r w:rsidRPr="00973ED5">
        <w:rPr>
          <w:i/>
        </w:rPr>
        <w:t xml:space="preserve">Členské státy by měly mít možnost stanovit v právních předpisech další důvody pro zpracovávání informací o skutečných majitelích </w:t>
      </w:r>
      <w:proofErr w:type="gramStart"/>
      <w:r w:rsidRPr="00973ED5">
        <w:rPr>
          <w:i/>
        </w:rPr>
        <w:t>jiné</w:t>
      </w:r>
      <w:proofErr w:type="gramEnd"/>
      <w:r w:rsidRPr="00973ED5">
        <w:rPr>
          <w:i/>
        </w:rPr>
        <w:t xml:space="preserve"> než boj proti praní peněz a financování terorismu, pokud toto zpracovávání splňuje cíl veřejného zájmu a představuje nezbytné a</w:t>
      </w:r>
      <w:r w:rsidR="00D703CC">
        <w:rPr>
          <w:i/>
        </w:rPr>
        <w:t> </w:t>
      </w:r>
      <w:r w:rsidRPr="00973ED5">
        <w:rPr>
          <w:i/>
        </w:rPr>
        <w:t>přiměřené opatření pro sledování legitimního cíle v demokratické společnosti.</w:t>
      </w:r>
      <w:r>
        <w:rPr>
          <w:i/>
        </w:rPr>
        <w:t>“</w:t>
      </w:r>
      <w:r w:rsidR="00D703CC">
        <w:rPr>
          <w:i/>
        </w:rPr>
        <w:t>.</w:t>
      </w:r>
    </w:p>
    <w:p w14:paraId="7A81B26E" w14:textId="40474898" w:rsidR="00973ED5" w:rsidRDefault="00CA7F00" w:rsidP="002C30EB">
      <w:r>
        <w:t xml:space="preserve">Současně i AML směrnice v důsledku zakládá přístup k údajům o skutečných majitelích na základě </w:t>
      </w:r>
      <w:r w:rsidR="00001FBB">
        <w:t>jiných účelů</w:t>
      </w:r>
      <w:r>
        <w:t xml:space="preserve"> než těch souvisejících s oblastí AML. Tak tomu je v případě </w:t>
      </w:r>
      <w:r w:rsidR="000821D1">
        <w:t xml:space="preserve">oprávněného </w:t>
      </w:r>
      <w:r>
        <w:t>zájmu na základě čl. 12 odst. 2 písm. f) až i AML směrnice [tomu odpovídá § 15 odst. 2 písm.</w:t>
      </w:r>
      <w:r w:rsidR="00D703CC">
        <w:t> </w:t>
      </w:r>
      <w:r>
        <w:t>g) až j) zákona o ESM ve znění návrhu].</w:t>
      </w:r>
      <w:r w:rsidR="00194A2A">
        <w:t xml:space="preserve"> </w:t>
      </w:r>
    </w:p>
    <w:p w14:paraId="4F620737" w14:textId="341059A6" w:rsidR="00B01463" w:rsidRDefault="00194A2A" w:rsidP="002C30EB">
      <w:r>
        <w:t>Je třeba vnímat, že účel předcházení trestné činnosti spočívající v praní špinavých peněz a</w:t>
      </w:r>
      <w:r w:rsidR="00D703CC">
        <w:t> </w:t>
      </w:r>
      <w:r>
        <w:t xml:space="preserve">financování terorismu je specifický a byť je závažný, nesubsumuje ostatní </w:t>
      </w:r>
      <w:r w:rsidR="00B01463">
        <w:t xml:space="preserve">možné </w:t>
      </w:r>
      <w:r>
        <w:t>účely</w:t>
      </w:r>
      <w:r w:rsidR="00B01463">
        <w:t xml:space="preserve"> odůvodněného přístupu k údajům o skutečných majitelích</w:t>
      </w:r>
      <w:r>
        <w:t xml:space="preserve">. </w:t>
      </w:r>
      <w:r w:rsidR="00B01463">
        <w:t>Existují i jiné relevantní účely, u</w:t>
      </w:r>
      <w:r w:rsidR="00D703CC">
        <w:t> </w:t>
      </w:r>
      <w:r w:rsidR="00B01463">
        <w:t xml:space="preserve">nichž je zásadní umožnit kontrolu i ze strany zástupců veřejnosti. </w:t>
      </w:r>
    </w:p>
    <w:p w14:paraId="24794E31" w14:textId="50FE06CE" w:rsidR="00194A2A" w:rsidRDefault="00B01463" w:rsidP="002C30EB">
      <w:r>
        <w:t>Účely spočívající v předcházení korupce a střetu zájmů, v usilování o</w:t>
      </w:r>
      <w:r w:rsidRPr="005E7BE4">
        <w:t xml:space="preserve"> hospodárn</w:t>
      </w:r>
      <w:r>
        <w:t>é</w:t>
      </w:r>
      <w:r w:rsidRPr="005E7BE4">
        <w:t xml:space="preserve"> nakládání </w:t>
      </w:r>
      <w:r>
        <w:t>s</w:t>
      </w:r>
      <w:r w:rsidR="00D703CC">
        <w:t> </w:t>
      </w:r>
      <w:r>
        <w:t>majetkem státu a o tra</w:t>
      </w:r>
      <w:r w:rsidR="00001FBB">
        <w:t>nsparentní výkon státní správy, jakož i související činnosti,</w:t>
      </w:r>
      <w:r>
        <w:t xml:space="preserve"> jsou obdobně významné jako účel upravený AML směrnicí. V praxi je činnost příslušných kategorií subjektů (novináři</w:t>
      </w:r>
      <w:r w:rsidR="00001FBB">
        <w:t>, nevládní organizace a akademické obce</w:t>
      </w:r>
      <w:r>
        <w:t>) daleko typičtěji za</w:t>
      </w:r>
      <w:r w:rsidR="002231E0">
        <w:t xml:space="preserve">měřena na ochranu těchto zájmů </w:t>
      </w:r>
      <w:r>
        <w:t xml:space="preserve">než na boj s praním špinavých peněz a financováním terorismu. </w:t>
      </w:r>
      <w:r w:rsidR="002231E0">
        <w:t xml:space="preserve">Pokud např. novináři zkoumají vazby politických činitelů na různé společnosti, činí tak typicky ve snaze odhalit střet zájmů, nikoli financování terorismu. </w:t>
      </w:r>
    </w:p>
    <w:p w14:paraId="118FFE6A" w14:textId="6EFB6EE9" w:rsidR="002231E0" w:rsidRDefault="00B01463" w:rsidP="002C30EB">
      <w:r>
        <w:t>Praní špinavých peněz a financování terorismu představuje</w:t>
      </w:r>
      <w:r w:rsidR="00001FBB">
        <w:t xml:space="preserve"> jednu z nejzávaznějších trestný</w:t>
      </w:r>
      <w:r>
        <w:t>ch činností. Primárně jsou tyto jevy potírány a řeš</w:t>
      </w:r>
      <w:r w:rsidR="00001FBB">
        <w:t>eny ze strany státní moci, která</w:t>
      </w:r>
      <w:r>
        <w:t xml:space="preserve"> by k těmto úkolům měla být vybavena a zabezpečena. Trestnou činnost má stát stíhat a snažit se jí předcházet. Toto je primárně jeho úkol. Role občanské společnosti, jakkoli může být přínosná, není a nemá být v boji s praním</w:t>
      </w:r>
      <w:r w:rsidR="001819B2">
        <w:t xml:space="preserve"> peněz a financováním </w:t>
      </w:r>
      <w:r w:rsidR="002231E0">
        <w:t xml:space="preserve">terorismu tou hlavní a nosnou. Naopak v některých jiných oblastech je role občanské společnosti z podstaty věci významnější, protože právě zajišťuje veřejnou kontrolu činností státní moci. </w:t>
      </w:r>
      <w:r w:rsidR="00001FBB">
        <w:t>Občanská</w:t>
      </w:r>
      <w:r w:rsidR="002231E0">
        <w:t xml:space="preserve"> společnost </w:t>
      </w:r>
      <w:r w:rsidR="00001FBB">
        <w:t>v nich</w:t>
      </w:r>
      <w:r w:rsidR="002231E0">
        <w:t xml:space="preserve"> může působit jako protiváha státnímu dohledu, který může být z různých důvodů oslaben. </w:t>
      </w:r>
    </w:p>
    <w:p w14:paraId="05CA3324" w14:textId="22FF2FCD" w:rsidR="002231E0" w:rsidRDefault="002231E0" w:rsidP="002C30EB">
      <w:r>
        <w:t>Je proto zásadní, aby byl oprávněný zájem v návrhu identifikován i na straně novinářů, kteří k údajům o skutečných majitelích chtějí přistupov</w:t>
      </w:r>
      <w:r w:rsidR="00001FBB">
        <w:t xml:space="preserve">at za jinými účely, než je </w:t>
      </w:r>
      <w:r>
        <w:t>předcházení praní špinavých peněz a financová</w:t>
      </w:r>
      <w:r w:rsidR="00AA6C92">
        <w:t xml:space="preserve">ní terorismu. Jiný přistup by </w:t>
      </w:r>
      <w:r>
        <w:t xml:space="preserve">byl </w:t>
      </w:r>
      <w:r w:rsidR="00AA6C92">
        <w:t>ne</w:t>
      </w:r>
      <w:r>
        <w:t>koncepční</w:t>
      </w:r>
      <w:r w:rsidR="00001FBB">
        <w:t>m</w:t>
      </w:r>
      <w:r>
        <w:t xml:space="preserve"> a nedůvodně by limitoval přirozené kontrolní mechanismy</w:t>
      </w:r>
      <w:r w:rsidR="00001FBB">
        <w:t xml:space="preserve"> v</w:t>
      </w:r>
      <w:r>
        <w:t xml:space="preserve"> demokratické společnosti. </w:t>
      </w:r>
    </w:p>
    <w:p w14:paraId="659FB845" w14:textId="1860F675" w:rsidR="00B01463" w:rsidRPr="00973ED5" w:rsidRDefault="00AA6C92" w:rsidP="002C30EB">
      <w:r>
        <w:t>V případě</w:t>
      </w:r>
      <w:r w:rsidR="002231E0">
        <w:t xml:space="preserve"> zástupců občanské </w:t>
      </w:r>
      <w:r>
        <w:t>společnosti</w:t>
      </w:r>
      <w:r w:rsidR="002231E0">
        <w:t xml:space="preserve"> s </w:t>
      </w:r>
      <w:r>
        <w:t>jiným oprávněným</w:t>
      </w:r>
      <w:r w:rsidR="00001FBB">
        <w:t xml:space="preserve"> zájmem</w:t>
      </w:r>
      <w:r w:rsidR="002231E0">
        <w:t xml:space="preserve"> než tím </w:t>
      </w:r>
      <w:r>
        <w:t>související</w:t>
      </w:r>
      <w:r w:rsidR="00001FBB">
        <w:t>m</w:t>
      </w:r>
      <w:r w:rsidR="002231E0">
        <w:t xml:space="preserve"> s </w:t>
      </w:r>
      <w:r>
        <w:t>oblastí</w:t>
      </w:r>
      <w:r w:rsidR="00001FBB">
        <w:t xml:space="preserve"> AML se</w:t>
      </w:r>
      <w:r>
        <w:t xml:space="preserve"> z hlediska prokazov</w:t>
      </w:r>
      <w:r w:rsidR="00001FBB">
        <w:t xml:space="preserve">ání oprávněného zájmu a </w:t>
      </w:r>
      <w:r>
        <w:t>podoby přístupu do evidence uplatní stejná pravidla, jako v případě subjektů podle § 15 odst. 2 písm. a) až) c) zákon</w:t>
      </w:r>
      <w:r w:rsidR="00001FBB">
        <w:t>a</w:t>
      </w:r>
      <w:r>
        <w:t xml:space="preserve"> o ESM ve znění návrhu.</w:t>
      </w:r>
    </w:p>
    <w:p w14:paraId="2F92EF03" w14:textId="38BAD9DD" w:rsidR="003619A1" w:rsidRDefault="009E048C" w:rsidP="009E048C">
      <w:pPr>
        <w:pStyle w:val="Nadpis6"/>
      </w:pPr>
      <w:r>
        <w:lastRenderedPageBreak/>
        <w:t>K odstavci 4</w:t>
      </w:r>
    </w:p>
    <w:p w14:paraId="30C61E93" w14:textId="59B56D9F" w:rsidR="009E048C" w:rsidRDefault="009E048C" w:rsidP="009E048C">
      <w:r>
        <w:t xml:space="preserve">Ustanovení transponuje čl. 12 </w:t>
      </w:r>
      <w:r w:rsidR="00564DB9">
        <w:t xml:space="preserve">odst. </w:t>
      </w:r>
      <w:r w:rsidR="00E00A74">
        <w:t>1</w:t>
      </w:r>
      <w:r>
        <w:t xml:space="preserve"> </w:t>
      </w:r>
      <w:r w:rsidR="00002B8E">
        <w:t>druhý pododstavec</w:t>
      </w:r>
      <w:r>
        <w:t xml:space="preserve"> AML směrnice a zajišťuje tak některým kategoriím subjektů rozšířený přístup k údajů</w:t>
      </w:r>
      <w:r w:rsidR="00D703CC">
        <w:t>m</w:t>
      </w:r>
      <w:r>
        <w:t xml:space="preserve"> v evidenci skutečných majitelů. V případě novinářů, nevládních neziskových právnických osob</w:t>
      </w:r>
      <w:r w:rsidR="00E00A74">
        <w:t xml:space="preserve">, akademické obce a </w:t>
      </w:r>
      <w:r w:rsidR="00001FBB">
        <w:t>protějšků</w:t>
      </w:r>
      <w:r w:rsidR="00E00A74">
        <w:t xml:space="preserve"> </w:t>
      </w:r>
      <w:r w:rsidR="00001FBB">
        <w:t>příslušných orgánů</w:t>
      </w:r>
      <w:r w:rsidR="00E00A74">
        <w:t xml:space="preserve"> ze třetích zemí </w:t>
      </w:r>
      <w:r w:rsidR="002C30EB">
        <w:t>[tj. subjektů podle § 15 odst. 2</w:t>
      </w:r>
      <w:r w:rsidR="00E00A74">
        <w:t xml:space="preserve"> písm. a) až d) zákona o ESM ve znění návrhu] má být zajištěn přístup</w:t>
      </w:r>
      <w:r w:rsidR="002261B9">
        <w:t xml:space="preserve"> i k historickým (již vymazaným) údajům.</w:t>
      </w:r>
      <w:r w:rsidR="00E00A74">
        <w:t xml:space="preserve"> </w:t>
      </w:r>
      <w:r w:rsidR="002261B9">
        <w:t xml:space="preserve">Nad rámec informací, které jsou na základě prokázání oprávněného zájmu poskytovány, je těmto skupinám umožněn přístup i k informacím o struktuře vztahů </w:t>
      </w:r>
      <w:r w:rsidR="001A6A77">
        <w:t xml:space="preserve">[§ 13 písm. e) zákona o ESM] </w:t>
      </w:r>
      <w:r w:rsidR="002261B9">
        <w:t>a trvání postavení skutečného majitele</w:t>
      </w:r>
      <w:r w:rsidR="001A6A77">
        <w:t xml:space="preserve"> [§ 13 písm. f) a g) zákona o ESM]</w:t>
      </w:r>
      <w:r w:rsidR="00265281">
        <w:t xml:space="preserve">. Tyto údaje </w:t>
      </w:r>
      <w:r w:rsidR="00001FBB">
        <w:t xml:space="preserve">o skutečném majiteli právnické osoby </w:t>
      </w:r>
      <w:r w:rsidR="00265281">
        <w:t>jsou dle stávající právní úpravy veřejnosti nepřístupné.</w:t>
      </w:r>
    </w:p>
    <w:p w14:paraId="73D11526" w14:textId="6B82C4D7" w:rsidR="002C30EB" w:rsidRDefault="002C30EB" w:rsidP="009E048C">
      <w:r>
        <w:t>Širší přístup se umožňuje i pro neziskové organizace, novináře a akademickou obec podle § 15 odst. 3 z</w:t>
      </w:r>
      <w:r w:rsidR="00001FBB">
        <w:t>ákona o ESM ve znění návrhu, kteří mají oprávněný zájem v souvislosti s</w:t>
      </w:r>
      <w:r>
        <w:t xml:space="preserve"> dalšími vyjmenovanými účely, </w:t>
      </w:r>
      <w:r w:rsidR="00001FBB">
        <w:t xml:space="preserve">jinými </w:t>
      </w:r>
      <w:r>
        <w:t xml:space="preserve">než pouze </w:t>
      </w:r>
      <w:r w:rsidR="00001FBB">
        <w:t xml:space="preserve">předcházení a boj </w:t>
      </w:r>
      <w:r>
        <w:t>s praním špinavých peněz</w:t>
      </w:r>
      <w:r w:rsidR="00001FBB">
        <w:t xml:space="preserve"> a</w:t>
      </w:r>
      <w:r w:rsidR="00D703CC">
        <w:t> </w:t>
      </w:r>
      <w:r w:rsidR="00001FBB">
        <w:t>financováním terorismu</w:t>
      </w:r>
      <w:r>
        <w:t>. Jde o koncepční řešení, které reflektuje, že povaha činnosti a</w:t>
      </w:r>
      <w:r w:rsidR="00D703CC">
        <w:t> </w:t>
      </w:r>
      <w:r>
        <w:t>důležitosti těchto subjektů je stejná jak ve vztahu k účelu přístupu vázanému na AML oblast, tak ve vztahu k dalším vyjmenovaným účelům.</w:t>
      </w:r>
    </w:p>
    <w:p w14:paraId="552E046C" w14:textId="531DF9C1" w:rsidR="00265281" w:rsidRDefault="00265281" w:rsidP="00265281">
      <w:pPr>
        <w:pStyle w:val="Nadpis6"/>
      </w:pPr>
      <w:r>
        <w:t>K odstavci 5</w:t>
      </w:r>
    </w:p>
    <w:p w14:paraId="52A99C5B" w14:textId="29BE773E" w:rsidR="00265281" w:rsidRPr="00265281" w:rsidRDefault="00265281" w:rsidP="00265281">
      <w:r>
        <w:t xml:space="preserve">Ustanovení </w:t>
      </w:r>
      <w:r w:rsidR="009F4088">
        <w:t xml:space="preserve">částečně </w:t>
      </w:r>
      <w:r>
        <w:t xml:space="preserve">transponuje čl. 15 AML směrnice. Budou-li údaje o skutečném majiteli postupem podle § </w:t>
      </w:r>
      <w:r w:rsidR="00251D6A">
        <w:t>32 nebo §32</w:t>
      </w:r>
      <w:r w:rsidR="00001FBB">
        <w:t>a</w:t>
      </w:r>
      <w:r w:rsidR="00251D6A">
        <w:t xml:space="preserve"> zákona o ESM ve znění návrhu znepřístupněny, nemohou být získány ani při prokázání oprávněného zájmu. </w:t>
      </w:r>
    </w:p>
    <w:p w14:paraId="616C9307" w14:textId="5A2F8F53" w:rsidR="00265281" w:rsidRDefault="00265281" w:rsidP="00265281">
      <w:pPr>
        <w:pStyle w:val="Nadpis6"/>
      </w:pPr>
      <w:r>
        <w:t>K odstavci 6</w:t>
      </w:r>
    </w:p>
    <w:p w14:paraId="3751B8DF" w14:textId="795FDF53" w:rsidR="00265281" w:rsidRPr="009E048C" w:rsidRDefault="00C348CD" w:rsidP="009E048C">
      <w:r>
        <w:t>Obecně b</w:t>
      </w:r>
      <w:r w:rsidRPr="001F044F">
        <w:t>ude možné získat pouze elektronický výpis, a to s cílem zjednodušení, zefektivnění a</w:t>
      </w:r>
      <w:r w:rsidR="00D703CC">
        <w:t> </w:t>
      </w:r>
      <w:r w:rsidRPr="001F044F">
        <w:t xml:space="preserve">zrychlení administrace </w:t>
      </w:r>
      <w:r w:rsidR="00001FBB">
        <w:t xml:space="preserve">výpisů z </w:t>
      </w:r>
      <w:r w:rsidRPr="001F044F">
        <w:t xml:space="preserve">evidence skutečných majitelů. </w:t>
      </w:r>
      <w:r>
        <w:t xml:space="preserve">Z tohoto pravidla </w:t>
      </w:r>
      <w:r w:rsidR="00001FBB">
        <w:t>je pak stanovena v § 15e odst. 6</w:t>
      </w:r>
      <w:r>
        <w:t xml:space="preserve"> zákona o ESM ve znění návrhu výjimka, a to s ohledem na požadavek čl. 12 </w:t>
      </w:r>
      <w:r w:rsidR="00564DB9">
        <w:t xml:space="preserve">odst. </w:t>
      </w:r>
      <w:r>
        <w:t xml:space="preserve">1 </w:t>
      </w:r>
      <w:r w:rsidR="00002B8E">
        <w:t>třetí pododstavec</w:t>
      </w:r>
      <w:r w:rsidR="00001FBB">
        <w:t xml:space="preserve"> AML směrnice</w:t>
      </w:r>
      <w:r w:rsidR="00FA3055">
        <w:t>.</w:t>
      </w:r>
    </w:p>
    <w:p w14:paraId="0B01CA2E" w14:textId="17B867DB" w:rsidR="009F4088" w:rsidRDefault="009F4088" w:rsidP="009F4088">
      <w:pPr>
        <w:pStyle w:val="Nadpis5"/>
      </w:pPr>
      <w:r w:rsidRPr="00492DD8">
        <w:t>K</w:t>
      </w:r>
      <w:r>
        <w:t xml:space="preserve"> bodu </w:t>
      </w:r>
      <w:r w:rsidR="008832FD">
        <w:t>11</w:t>
      </w:r>
      <w:r>
        <w:t xml:space="preserve"> [§ 15a]</w:t>
      </w:r>
    </w:p>
    <w:p w14:paraId="148E27CE" w14:textId="604EF427" w:rsidR="00A20753" w:rsidRDefault="009F4088" w:rsidP="009F4088">
      <w:r>
        <w:t xml:space="preserve">Ustanovení transponuje čl. 13 </w:t>
      </w:r>
      <w:r w:rsidR="00776000">
        <w:t>odst.</w:t>
      </w:r>
      <w:r>
        <w:t xml:space="preserve"> 1 a 2 AML směrnice</w:t>
      </w:r>
      <w:r w:rsidR="007F68D8">
        <w:t xml:space="preserve">, který specifikuje, na </w:t>
      </w:r>
      <w:proofErr w:type="gramStart"/>
      <w:r w:rsidR="00E51321">
        <w:t>základě</w:t>
      </w:r>
      <w:proofErr w:type="gramEnd"/>
      <w:r w:rsidR="00E51321">
        <w:t xml:space="preserve"> </w:t>
      </w:r>
      <w:r w:rsidR="007F68D8">
        <w:t xml:space="preserve">čeho lze </w:t>
      </w:r>
      <w:r w:rsidR="0088702C">
        <w:t>posuzovat</w:t>
      </w:r>
      <w:r w:rsidR="007F68D8">
        <w:t xml:space="preserve"> existenci oprávněného zájmu o přístup</w:t>
      </w:r>
      <w:r w:rsidR="008832FD">
        <w:t xml:space="preserve"> do evidence</w:t>
      </w:r>
      <w:r w:rsidR="007F68D8">
        <w:t xml:space="preserve">. </w:t>
      </w:r>
      <w:r w:rsidR="008E3D87">
        <w:t>Obecně lze konstatovat, že nová koncepce přístupu veřejnosti na základě ověření oprávněného zájmu není motivována snahou zásadně zamezit přístupu veřejnosti k údajům v evidenci. Naopak veřejnost má k údajům mít přístup i nadále. Podstatné však je, že přistupující osoby z řad veřejnosti jsou identifikovány a</w:t>
      </w:r>
      <w:r w:rsidR="00D703CC">
        <w:t> </w:t>
      </w:r>
      <w:r w:rsidR="008E3D87">
        <w:t xml:space="preserve">jsou známy motivy jejich přístupu. </w:t>
      </w:r>
      <w:r w:rsidR="00A20753">
        <w:t>S ohledem na širokou škálu oprávněných důvodů a jejich koncepci (plynoucí z AML směrnice) bude proces ov</w:t>
      </w:r>
      <w:r w:rsidR="00001FBB">
        <w:t>ěření oprávněného zájmu do znač</w:t>
      </w:r>
      <w:r w:rsidR="00A20753">
        <w:t>né míry formální</w:t>
      </w:r>
      <w:r w:rsidR="00001FBB">
        <w:t>m</w:t>
      </w:r>
      <w:r w:rsidR="00A20753">
        <w:t xml:space="preserve">. </w:t>
      </w:r>
      <w:r w:rsidR="00D36027">
        <w:t xml:space="preserve">Cílem nové úpravy není zavést podrobné nebo materiální ověřování oprávněného zájmu; takový režim by nebyl proporcionální a ostatně ani realizovatelný. </w:t>
      </w:r>
    </w:p>
    <w:p w14:paraId="26A3A30F" w14:textId="2DAE6A81" w:rsidR="00716ED7" w:rsidRDefault="00A20753" w:rsidP="009F4088">
      <w:r>
        <w:t xml:space="preserve">Skutečnosti, které oprávněný zájem o přístup konstituují, z povahy věci postačuje ze strany žadatelů toliko tvrdit. V rámci posuzování žádostí standardně nebude možné tvrzený oprávněný </w:t>
      </w:r>
      <w:r>
        <w:lastRenderedPageBreak/>
        <w:t xml:space="preserve">zájem příliš rozporovat; rozhodně pak ne u nových žadatelů. Kritéria jsou totiž již unijním právem stanovena velmi volně. Je tak třeba vnímat, že proces ověření oprávněného zájmu fakticky spíše slouží k identifikaci a kategorizaci jednotlivých uživatelů přístupu na základě jimi tvrzených skutečností. </w:t>
      </w:r>
    </w:p>
    <w:p w14:paraId="530E140D" w14:textId="02D10612" w:rsidR="0088702C" w:rsidRDefault="0088702C" w:rsidP="0088702C">
      <w:pPr>
        <w:pStyle w:val="Nadpis6"/>
      </w:pPr>
      <w:r>
        <w:t>K odstavci 1</w:t>
      </w:r>
    </w:p>
    <w:p w14:paraId="29D20E3F" w14:textId="7FDD478E" w:rsidR="0088702C" w:rsidRDefault="0088702C" w:rsidP="009F4088">
      <w:r>
        <w:t xml:space="preserve">Obecně se oprávněnost zájmu posuzuje s přihlédnutím jednak k osobě žadatele, tj. k jeho činnosti, </w:t>
      </w:r>
      <w:r w:rsidR="00001FBB">
        <w:t xml:space="preserve">funkci nebo povolání, </w:t>
      </w:r>
      <w:r>
        <w:t xml:space="preserve">jednak ke vztahu žadatele a </w:t>
      </w:r>
      <w:r w:rsidR="00001FBB">
        <w:t>právnické osoby nebo právního uspořádání</w:t>
      </w:r>
      <w:r>
        <w:t xml:space="preserve">, o </w:t>
      </w:r>
      <w:r w:rsidR="00001FBB">
        <w:t>jejichž</w:t>
      </w:r>
      <w:r>
        <w:t xml:space="preserve"> skutečném majiteli jsou údaje poptávány. Ověření oprávněného zájmu probíhá primárně na žádost, tj. z iniciativy subjektů požadujících informace.  </w:t>
      </w:r>
    </w:p>
    <w:p w14:paraId="38131A39" w14:textId="00C26F8F" w:rsidR="007B4C44" w:rsidRPr="003619A1" w:rsidRDefault="007B4C44" w:rsidP="007B4C44">
      <w:pPr>
        <w:pStyle w:val="Nadpis7"/>
      </w:pPr>
      <w:r>
        <w:t xml:space="preserve">K písmeni a)      </w:t>
      </w:r>
    </w:p>
    <w:p w14:paraId="48210EEF" w14:textId="63628A6C" w:rsidR="00D011D8" w:rsidRDefault="0088702C" w:rsidP="009F4088">
      <w:r>
        <w:t xml:space="preserve">Ministerstvo </w:t>
      </w:r>
      <w:r w:rsidR="007D44C3">
        <w:t>posuzuje činnosti nebo funkci žadatele, aby mohlo vyhodnotit, zda spadá do někter</w:t>
      </w:r>
      <w:r w:rsidR="002C30EB">
        <w:t>é z kategorií podle § 15 odst. 2</w:t>
      </w:r>
      <w:r w:rsidR="007D44C3">
        <w:t xml:space="preserve"> zákona o ESM ve znění návrhu</w:t>
      </w:r>
      <w:r w:rsidR="00001FBB">
        <w:t xml:space="preserve">, </w:t>
      </w:r>
      <w:r w:rsidR="002A54A1">
        <w:t xml:space="preserve">případně podle obecného důvodu podle § 15 odst. 2 </w:t>
      </w:r>
      <w:r w:rsidR="002C30EB">
        <w:t xml:space="preserve">první věty </w:t>
      </w:r>
      <w:r w:rsidR="00001FBB">
        <w:t>zákona o ESM ve znění návrhu</w:t>
      </w:r>
      <w:r w:rsidR="002A54A1">
        <w:t>, tedy zda žádá o přístup v rámci zákonem rozpoznaného účelu</w:t>
      </w:r>
      <w:r w:rsidR="007D44C3">
        <w:t>. Transponované ustanovení směrnice hovoří o „funkci nebo povolání“, přičemž návrh tyto pojmy rozvádí a zobecňuje, aby lépe přiléhaly na různé t</w:t>
      </w:r>
      <w:r w:rsidR="002C30EB">
        <w:t>ypy žadatelů. Podle § 15 odst. 2</w:t>
      </w:r>
      <w:r w:rsidR="007D44C3">
        <w:t xml:space="preserve"> zákona o ESM oprávněný zájem existuje u řady právnických osob a orgánů veřejné moci. Proto je vhodné v ustanovení hovořit obecně i o předmětu činnosti žadatele. Pojem funkce je třeba interpretovat široce, tj. nejen jako funkci např. v rámci určité organizace (ať už veřejné</w:t>
      </w:r>
      <w:r w:rsidR="00D011D8">
        <w:t xml:space="preserve"> či soukromé), ale i </w:t>
      </w:r>
      <w:r w:rsidR="00001FBB">
        <w:t xml:space="preserve">obecně </w:t>
      </w:r>
      <w:r w:rsidR="00D011D8">
        <w:t xml:space="preserve">jako činnost či účel. </w:t>
      </w:r>
    </w:p>
    <w:p w14:paraId="1DE96A5B" w14:textId="6A8046DE" w:rsidR="007B4C44" w:rsidRPr="003619A1" w:rsidRDefault="007B4C44" w:rsidP="007B4C44">
      <w:pPr>
        <w:pStyle w:val="Nadpis7"/>
      </w:pPr>
      <w:r>
        <w:t xml:space="preserve">K písmeni b)      </w:t>
      </w:r>
    </w:p>
    <w:p w14:paraId="0A19942A" w14:textId="1692B425" w:rsidR="0088702C" w:rsidRDefault="00001FBB" w:rsidP="009F4088">
      <w:r>
        <w:t xml:space="preserve">Vztahem žadatele k určité právnické osobě nebo právnímu uspořádání </w:t>
      </w:r>
      <w:r w:rsidR="00D011D8">
        <w:t xml:space="preserve">(o </w:t>
      </w:r>
      <w:r>
        <w:t>jejichž skutečném majiteli</w:t>
      </w:r>
      <w:r w:rsidR="00D011D8">
        <w:t xml:space="preserve"> jsou údaje zjišťovány) je třeba rozumět obecně okolnosti, pro které jsou údaje požadovány. Nejde tedy v úzkém smyslu slova o posuzování právního vztahu či vazby. V konkrétních případech bude povaha vztahu zpravidla plynout již z osoby žadatele</w:t>
      </w:r>
      <w:r w:rsidR="00B55687">
        <w:t>. Např. u</w:t>
      </w:r>
      <w:r w:rsidR="00D703CC">
        <w:t> </w:t>
      </w:r>
      <w:r w:rsidR="00B55687">
        <w:t xml:space="preserve">orgánů státní správy bude vztahem skutečnost, že s určitým subjektem je vedeno nebo má být vedeno nějaké řízení, nebo že subjekt je v rámci plnění úkolů daného úřadu prověřován. V případě osob podle § 15 odst. </w:t>
      </w:r>
      <w:r w:rsidR="002C30EB">
        <w:t>2</w:t>
      </w:r>
      <w:r w:rsidR="00B55687">
        <w:t>) písm. e) zákona o ESM ve znění návrhu bude vztahem např. skutečnost, že žadatel uvažuje o tom, že do subjektu</w:t>
      </w:r>
      <w:r w:rsidR="007D44C3">
        <w:t xml:space="preserve"> </w:t>
      </w:r>
      <w:r w:rsidR="00B55687">
        <w:t xml:space="preserve">investuje. </w:t>
      </w:r>
    </w:p>
    <w:p w14:paraId="16FDBC08" w14:textId="15287DDC" w:rsidR="00C772C4" w:rsidRDefault="00B55687" w:rsidP="009F4088">
      <w:r>
        <w:t>V souladu s čl. 13</w:t>
      </w:r>
      <w:r w:rsidR="00E87B79">
        <w:t xml:space="preserve"> </w:t>
      </w:r>
      <w:r w:rsidR="002C30EB">
        <w:t>odst.</w:t>
      </w:r>
      <w:r>
        <w:t xml:space="preserve"> 2 písm. b) AML směrnice se stanovuje, že v případě žadat</w:t>
      </w:r>
      <w:r w:rsidR="00511AC2">
        <w:t>elů spadajících pod § 15 odst. 2</w:t>
      </w:r>
      <w:r>
        <w:t xml:space="preserve"> písm. a) až c) zákona o ESM (novináři, nevládní organizace a</w:t>
      </w:r>
      <w:r w:rsidR="00D703CC">
        <w:t> </w:t>
      </w:r>
      <w:r>
        <w:t xml:space="preserve">akademická obec) se vztah žadatelů a </w:t>
      </w:r>
      <w:r w:rsidR="004A36E7">
        <w:t>právnických osob nebo právních uspořádání</w:t>
      </w:r>
      <w:r>
        <w:t xml:space="preserve">, o </w:t>
      </w:r>
      <w:r w:rsidR="004A36E7">
        <w:t>nichž</w:t>
      </w:r>
      <w:r>
        <w:t xml:space="preserve"> jsou údaje poptávány, nezjišťuje a není relevantní pro</w:t>
      </w:r>
      <w:r w:rsidR="007B4C44">
        <w:t xml:space="preserve"> posouzení oprávněného zájmu. AML směrnice t</w:t>
      </w:r>
      <w:r w:rsidR="005E5F23">
        <w:t>ento přístup blíže neodůvodňuje L</w:t>
      </w:r>
      <w:r w:rsidR="007B4C44">
        <w:t xml:space="preserve">ze </w:t>
      </w:r>
      <w:r w:rsidR="005E5F23">
        <w:t xml:space="preserve">však </w:t>
      </w:r>
      <w:r w:rsidR="007B4C44">
        <w:t xml:space="preserve">dovozovat, že charakter činnosti těchto </w:t>
      </w:r>
      <w:r w:rsidR="005E5F23">
        <w:t>žadatelů</w:t>
      </w:r>
      <w:r w:rsidR="007B4C44">
        <w:t xml:space="preserve"> a účel jejich </w:t>
      </w:r>
      <w:r w:rsidR="004A36E7">
        <w:t>přístupu k údajům v evidenci</w:t>
      </w:r>
      <w:r w:rsidR="005E5F23">
        <w:t xml:space="preserve"> konstituuje oprávněný zájem o přístupu k jakýmkoli údajům, respektive k údajům o všech subjektech v evidenci. </w:t>
      </w:r>
      <w:r w:rsidR="00511AC2">
        <w:t>Stejný režim je pak upraven u těchto</w:t>
      </w:r>
      <w:r w:rsidR="00C772C4">
        <w:t xml:space="preserve"> kategorií</w:t>
      </w:r>
      <w:r w:rsidR="00511AC2">
        <w:t xml:space="preserve"> subjektů, u nichž je oprávněnost přístupu dána národními účely (neplynoucími z AML směrnice)</w:t>
      </w:r>
      <w:r w:rsidR="00C772C4">
        <w:t xml:space="preserve">. </w:t>
      </w:r>
    </w:p>
    <w:p w14:paraId="2A4AC76E" w14:textId="537BE56F" w:rsidR="0088702C" w:rsidRDefault="0088702C" w:rsidP="0088702C">
      <w:pPr>
        <w:pStyle w:val="Nadpis6"/>
      </w:pPr>
      <w:r>
        <w:lastRenderedPageBreak/>
        <w:t>K odstavci 2</w:t>
      </w:r>
    </w:p>
    <w:p w14:paraId="55351F92" w14:textId="60CDEFD6" w:rsidR="00666010" w:rsidRDefault="00716ED7" w:rsidP="009F4088">
      <w:r>
        <w:t xml:space="preserve">Ministerstvo zásadně vychází z podkladů předložených žadatelem. V určitých případech mohou být využity informace zveřejněné Evropskou komisí na základě čl. 12 </w:t>
      </w:r>
      <w:r w:rsidR="00564DB9">
        <w:t xml:space="preserve">odst. </w:t>
      </w:r>
      <w:r>
        <w:t>3 AML směrnice</w:t>
      </w:r>
      <w:r w:rsidR="00666010">
        <w:t xml:space="preserve">; ustanovení tím transponuje čl. 13 </w:t>
      </w:r>
      <w:r w:rsidR="00564DB9">
        <w:t xml:space="preserve">odst. </w:t>
      </w:r>
      <w:r w:rsidR="00666010">
        <w:t>1 AML směrnice</w:t>
      </w:r>
      <w:r>
        <w:t xml:space="preserve">. </w:t>
      </w:r>
    </w:p>
    <w:p w14:paraId="28A578B1" w14:textId="7BF4E29F" w:rsidR="00666010" w:rsidRDefault="00716ED7" w:rsidP="009F4088">
      <w:r>
        <w:t xml:space="preserve">Komise má zveřejňovat informace o orgánech veřejné moci, které v jednotlivých členských státech mají </w:t>
      </w:r>
      <w:r w:rsidR="0084766C">
        <w:t>oprávněný</w:t>
      </w:r>
      <w:r>
        <w:t xml:space="preserve"> zájem podle pravid</w:t>
      </w:r>
      <w:r w:rsidR="004A36E7">
        <w:t>el</w:t>
      </w:r>
      <w:r>
        <w:t xml:space="preserve"> transponujících čl. 12 </w:t>
      </w:r>
      <w:r w:rsidR="00564DB9">
        <w:t xml:space="preserve">odst. </w:t>
      </w:r>
      <w:r>
        <w:t xml:space="preserve">2 písm. </w:t>
      </w:r>
      <w:r w:rsidR="0084766C">
        <w:t xml:space="preserve">f) až i) AML směrnice [§ </w:t>
      </w:r>
      <w:r w:rsidR="00511AC2">
        <w:t>15 odst. 3</w:t>
      </w:r>
      <w:r w:rsidR="0084766C">
        <w:t xml:space="preserve"> písm. g) až j) zákona o ESM ve znění návrhu].</w:t>
      </w:r>
      <w:r w:rsidR="003C781C">
        <w:rPr>
          <w:rStyle w:val="Znakapoznpodarou"/>
        </w:rPr>
        <w:footnoteReference w:id="15"/>
      </w:r>
      <w:r w:rsidR="0084766C">
        <w:t xml:space="preserve"> Seznamy těchto orgánů mají členské státy oznámit Komisi</w:t>
      </w:r>
      <w:r w:rsidR="00BC3E18">
        <w:t>, a to do 10. 7. 2026</w:t>
      </w:r>
      <w:r w:rsidR="0084766C">
        <w:t xml:space="preserve">. </w:t>
      </w:r>
      <w:r w:rsidR="00BC3E18">
        <w:t>Následně dojde ze strany Komise ke zpřístupnění těchto informací členským státům, byť z AML směrnic</w:t>
      </w:r>
      <w:r w:rsidR="006257D0">
        <w:t>e</w:t>
      </w:r>
      <w:r w:rsidR="00BC3E18">
        <w:t xml:space="preserve"> není </w:t>
      </w:r>
      <w:proofErr w:type="gramStart"/>
      <w:r w:rsidR="00BC3E18">
        <w:t>zřejmé</w:t>
      </w:r>
      <w:proofErr w:type="gramEnd"/>
      <w:r w:rsidR="00BC3E18">
        <w:t xml:space="preserve"> jakým způsobem. Lze předpokládat, že se tak stane např. publikací seznamu na internetových stránkách Komise. </w:t>
      </w:r>
    </w:p>
    <w:p w14:paraId="3BA6F9AC" w14:textId="286E404C" w:rsidR="00716ED7" w:rsidRDefault="0084766C" w:rsidP="009F4088">
      <w:r>
        <w:t xml:space="preserve">Cílem úpravy je umožnit subjektům zajišťujícím přístup k údajům o skutečných majitelích jednoduše posoudit povahu některých zahraničních žadatelů. Pravidlo AML směrnice </w:t>
      </w:r>
      <w:r w:rsidR="00006AC5">
        <w:t>reaguje na případy, kdy</w:t>
      </w:r>
      <w:r>
        <w:t xml:space="preserve"> příslušn</w:t>
      </w:r>
      <w:r w:rsidR="00006AC5">
        <w:t>ý</w:t>
      </w:r>
      <w:r>
        <w:t xml:space="preserve"> orgán</w:t>
      </w:r>
      <w:r w:rsidR="00006AC5">
        <w:t xml:space="preserve"> jednoho členského státu bude</w:t>
      </w:r>
      <w:r>
        <w:t xml:space="preserve"> zjišťovat </w:t>
      </w:r>
      <w:r w:rsidR="00006AC5">
        <w:t xml:space="preserve">údaje o skutečných majitelích z registrů jiného členského státu. Bude-li pak tento orgán zjistitelný ze seznamu zveřejněného Komisí, bude posouzení žádosti o přístup jednodušší. </w:t>
      </w:r>
      <w:r w:rsidR="00716ED7">
        <w:t xml:space="preserve"> </w:t>
      </w:r>
    </w:p>
    <w:p w14:paraId="0C8D5144" w14:textId="7A1A5F8E" w:rsidR="00534659" w:rsidRDefault="00534659" w:rsidP="00534659">
      <w:pPr>
        <w:pStyle w:val="Nadpis6"/>
      </w:pPr>
      <w:r>
        <w:t>K odstavci 3</w:t>
      </w:r>
    </w:p>
    <w:p w14:paraId="266C1271" w14:textId="77777777" w:rsidR="007C56CA" w:rsidRDefault="00534659" w:rsidP="007C56CA">
      <w:pPr>
        <w:rPr>
          <w:szCs w:val="24"/>
        </w:rPr>
      </w:pPr>
      <w:r>
        <w:rPr>
          <w:szCs w:val="24"/>
        </w:rPr>
        <w:t xml:space="preserve">Ustanovení reaguje na předpokládanou úpravu implementačního aktu Komise, který má být však vydán až 10. 7. 2027. V době přípravy návrhu obsah tohoto implementačního aktu nebyl znám. Z praktického hlediska budou mít požadavky plynoucí z implementačního aktu dopad především na ministerstvo, které náležitě upraví postupy ověřování oprávněného zájmu. </w:t>
      </w:r>
    </w:p>
    <w:p w14:paraId="2068FD0D" w14:textId="66576A79" w:rsidR="007C56CA" w:rsidRDefault="00534659" w:rsidP="007C56CA">
      <w:pPr>
        <w:rPr>
          <w:szCs w:val="24"/>
        </w:rPr>
      </w:pPr>
      <w:r>
        <w:rPr>
          <w:szCs w:val="24"/>
        </w:rPr>
        <w:t>Lze předpokládat, že ministerstv</w:t>
      </w:r>
      <w:r w:rsidR="00461450">
        <w:rPr>
          <w:szCs w:val="24"/>
        </w:rPr>
        <w:t>o</w:t>
      </w:r>
      <w:r>
        <w:rPr>
          <w:szCs w:val="24"/>
        </w:rPr>
        <w:t xml:space="preserve"> bude muset </w:t>
      </w:r>
      <w:r w:rsidR="007A2668">
        <w:rPr>
          <w:szCs w:val="24"/>
        </w:rPr>
        <w:t>zejména zohledňovat</w:t>
      </w:r>
      <w:r w:rsidR="007C56CA">
        <w:rPr>
          <w:szCs w:val="24"/>
        </w:rPr>
        <w:t xml:space="preserve"> </w:t>
      </w:r>
      <w:r w:rsidR="007A2668">
        <w:rPr>
          <w:szCs w:val="24"/>
        </w:rPr>
        <w:t>existenci</w:t>
      </w:r>
      <w:r w:rsidR="007C56CA" w:rsidRPr="007C56CA">
        <w:rPr>
          <w:szCs w:val="24"/>
        </w:rPr>
        <w:t xml:space="preserve"> osvědčení </w:t>
      </w:r>
      <w:r w:rsidR="007C56CA">
        <w:rPr>
          <w:szCs w:val="24"/>
        </w:rPr>
        <w:t>o</w:t>
      </w:r>
      <w:r w:rsidR="006257D0">
        <w:rPr>
          <w:szCs w:val="24"/>
        </w:rPr>
        <w:t> </w:t>
      </w:r>
      <w:r w:rsidR="007C56CA">
        <w:rPr>
          <w:szCs w:val="24"/>
        </w:rPr>
        <w:t xml:space="preserve">oprávněném zájmu vydané orgánem jiného členského státu a ověřovat jeho platnost. </w:t>
      </w:r>
    </w:p>
    <w:p w14:paraId="2BDC6073" w14:textId="26EF1097" w:rsidR="0062445D" w:rsidRDefault="0062445D" w:rsidP="0062445D">
      <w:pPr>
        <w:pStyle w:val="Nadpis5"/>
      </w:pPr>
      <w:r w:rsidRPr="00492DD8">
        <w:t>K</w:t>
      </w:r>
      <w:r w:rsidR="00E05220">
        <w:t xml:space="preserve"> bodu </w:t>
      </w:r>
      <w:r w:rsidR="008832FD">
        <w:t>11</w:t>
      </w:r>
      <w:r w:rsidR="00E05220">
        <w:t xml:space="preserve"> [§ 15b</w:t>
      </w:r>
      <w:r>
        <w:t>]</w:t>
      </w:r>
    </w:p>
    <w:p w14:paraId="495D119E" w14:textId="35CD7798" w:rsidR="005E5F23" w:rsidRDefault="005E5F23" w:rsidP="00FA3055">
      <w:r>
        <w:t xml:space="preserve">Navrhuje se upravit požadavky na obsah a podobu žádosti o přístup na základě oprávněného zájmu. V zájmu urychlení rozhodování o udělení přístupu </w:t>
      </w:r>
      <w:r w:rsidR="004A36E7">
        <w:t>je potřeba</w:t>
      </w:r>
      <w:r w:rsidR="00145445">
        <w:t xml:space="preserve"> vyjasnit </w:t>
      </w:r>
      <w:r>
        <w:t>požadavky na podobu a obsah žádosti</w:t>
      </w:r>
      <w:r w:rsidR="00145445">
        <w:t xml:space="preserve"> a přiblížit, jakým způsobem lze určité relevantní skutečnosti osvědčit</w:t>
      </w:r>
      <w:r>
        <w:t>.</w:t>
      </w:r>
    </w:p>
    <w:p w14:paraId="356587AB" w14:textId="51D87EF4" w:rsidR="005E5F23" w:rsidRDefault="00145445" w:rsidP="005E5F23">
      <w:pPr>
        <w:pStyle w:val="Nadpis6"/>
      </w:pPr>
      <w:r>
        <w:t>K odstavci</w:t>
      </w:r>
      <w:r w:rsidR="005E5F23">
        <w:t xml:space="preserve"> 1</w:t>
      </w:r>
    </w:p>
    <w:p w14:paraId="6F601FFD" w14:textId="50ECE4A9" w:rsidR="000A6FDA" w:rsidRDefault="00145445" w:rsidP="00145445">
      <w:r>
        <w:t xml:space="preserve">Ustanovení </w:t>
      </w:r>
      <w:r w:rsidR="004A36E7">
        <w:t>upravuje</w:t>
      </w:r>
      <w:r>
        <w:t xml:space="preserve"> základní obsahové náležitosti žádosti o přístup na základě oprávněného zájmu. </w:t>
      </w:r>
      <w:r w:rsidR="000A6FDA">
        <w:t>Jde o informace o žadateli, o skutečnostech, které mají zakládat jeho oprávněný zájem</w:t>
      </w:r>
      <w:r w:rsidR="004A36E7">
        <w:t>,</w:t>
      </w:r>
      <w:r w:rsidR="000A6FDA">
        <w:t xml:space="preserve"> a dále identifikace </w:t>
      </w:r>
      <w:r w:rsidR="004A36E7">
        <w:t>právnické osob</w:t>
      </w:r>
      <w:r w:rsidR="006257D0">
        <w:t>y</w:t>
      </w:r>
      <w:r w:rsidR="004A36E7">
        <w:t xml:space="preserve"> nebo právní</w:t>
      </w:r>
      <w:r w:rsidR="006257D0">
        <w:t>ho</w:t>
      </w:r>
      <w:r w:rsidR="004A36E7">
        <w:t xml:space="preserve"> uspořádání</w:t>
      </w:r>
      <w:r w:rsidR="000A6FDA">
        <w:t xml:space="preserve">, o </w:t>
      </w:r>
      <w:r w:rsidR="004A36E7">
        <w:t>nichž</w:t>
      </w:r>
      <w:r w:rsidR="000A6FDA">
        <w:t xml:space="preserve"> žadatel poptává informace. </w:t>
      </w:r>
    </w:p>
    <w:p w14:paraId="303C0A70" w14:textId="01C7941E" w:rsidR="00534659" w:rsidRDefault="00534659" w:rsidP="00534659">
      <w:pPr>
        <w:pStyle w:val="Nadpis7"/>
      </w:pPr>
      <w:r>
        <w:lastRenderedPageBreak/>
        <w:t xml:space="preserve">K písmeni c)      </w:t>
      </w:r>
    </w:p>
    <w:p w14:paraId="61E849E2" w14:textId="7E22FAB4" w:rsidR="000A6FDA" w:rsidRPr="00145445" w:rsidRDefault="000A6FDA" w:rsidP="00145445">
      <w:r>
        <w:t>V pří</w:t>
      </w:r>
      <w:r w:rsidR="00511AC2">
        <w:t>padě žadatelů podle § 15 odst. 2</w:t>
      </w:r>
      <w:r>
        <w:t xml:space="preserve"> písm. a) až c) zákona o ESM v</w:t>
      </w:r>
      <w:r w:rsidR="004A36E7">
        <w:t>e</w:t>
      </w:r>
      <w:r>
        <w:t xml:space="preserve"> znění návrhu se v žádosti neidentifikují </w:t>
      </w:r>
      <w:r w:rsidR="004A36E7">
        <w:t>právnické osob</w:t>
      </w:r>
      <w:r w:rsidR="006257D0">
        <w:t>y</w:t>
      </w:r>
      <w:r w:rsidR="004A36E7">
        <w:t xml:space="preserve"> nebo právní uspořádání</w:t>
      </w:r>
      <w:r>
        <w:t>, o nichž jsou informace poptávány. To navazuje na úpravu § 15a odst. 1 písm. b) zákona o ESM ve znění návrhu, který transponuje čl.</w:t>
      </w:r>
      <w:r w:rsidR="006257D0">
        <w:t> </w:t>
      </w:r>
      <w:r>
        <w:t xml:space="preserve">13 </w:t>
      </w:r>
      <w:r w:rsidR="00564DB9">
        <w:t xml:space="preserve">odst. </w:t>
      </w:r>
      <w:r>
        <w:t xml:space="preserve">2 písm. b) AML směrnice. </w:t>
      </w:r>
      <w:r w:rsidR="00850949">
        <w:t xml:space="preserve">Obdobný režim je navrhován i pro netranspoziční úpravu v případě žadatelů podle § 15 odst. 3 </w:t>
      </w:r>
      <w:r w:rsidR="004A36E7">
        <w:t xml:space="preserve">písm. a) až c) </w:t>
      </w:r>
      <w:r w:rsidR="00850949">
        <w:t xml:space="preserve">zákona o ESM v znění návrhu. </w:t>
      </w:r>
      <w:r>
        <w:t>V případě těchto žadatelů bude přístup k údajům koncipován nikoli jako přístup k jednotlivému výpisu, ale přístup k celé databázi, ve které budou moci uživatelé vyhledávat (blíže viz odůvodnění k</w:t>
      </w:r>
      <w:r w:rsidR="004A36E7">
        <w:t xml:space="preserve"> nově navrhovanému </w:t>
      </w:r>
      <w:r>
        <w:t xml:space="preserve">§ </w:t>
      </w:r>
      <w:r w:rsidR="003E6DB0">
        <w:t>15e zákona o ESM</w:t>
      </w:r>
      <w:r w:rsidR="009754FA">
        <w:t>)</w:t>
      </w:r>
      <w:r>
        <w:t xml:space="preserve">. </w:t>
      </w:r>
      <w:r w:rsidR="00511AC2">
        <w:t>Stejný režim je pak upraven u těchto subjektů, u</w:t>
      </w:r>
      <w:r w:rsidR="006257D0">
        <w:t> </w:t>
      </w:r>
      <w:r w:rsidR="00511AC2">
        <w:t xml:space="preserve">nichž je oprávněnost přístupu dána národními účely (neplynoucími z AML směrnice). </w:t>
      </w:r>
      <w:r>
        <w:t xml:space="preserve"> </w:t>
      </w:r>
    </w:p>
    <w:p w14:paraId="0AAF88FC" w14:textId="77777777" w:rsidR="00534659" w:rsidRDefault="00534659" w:rsidP="00534659">
      <w:pPr>
        <w:pStyle w:val="Nadpis7"/>
      </w:pPr>
      <w:r>
        <w:t xml:space="preserve">K písmeni d)      </w:t>
      </w:r>
    </w:p>
    <w:p w14:paraId="1D22A88D" w14:textId="77777777" w:rsidR="00C772C4" w:rsidRDefault="00534659" w:rsidP="00534659">
      <w:r>
        <w:t xml:space="preserve">Z důvodu rychlejšího vyřizování žádosti se navrhuje, aby žadatel v žádosti rovnou identifikoval, zda spadá do některé z definovaných kategorií podle § 15 odst. 2 </w:t>
      </w:r>
      <w:r w:rsidR="004A36E7">
        <w:t xml:space="preserve">písm. a) až k) </w:t>
      </w:r>
      <w:r>
        <w:t xml:space="preserve">nebo 3 </w:t>
      </w:r>
      <w:r w:rsidR="004A36E7">
        <w:t xml:space="preserve">písm. a) až c) </w:t>
      </w:r>
      <w:r>
        <w:t>zákona o ESM ve znění návrhu. Pokud žadatel do žádné z kategorií nespadá, uvede účel, za kterým přístup poptává (v souladu s § 15 odst. 2 první větou, respektive odstavcem 3 první větou zákona o ESM ve znění návrhu).</w:t>
      </w:r>
      <w:r w:rsidR="00C772C4">
        <w:t xml:space="preserve"> </w:t>
      </w:r>
    </w:p>
    <w:p w14:paraId="07BC88A2" w14:textId="36A642E6" w:rsidR="00C772C4" w:rsidRDefault="00C772C4" w:rsidP="00534659">
      <w:r>
        <w:t>V návrhu ustanovení se odkazuje přímo na všechna jednotlivá písmena navrhovaného § 15 odst.</w:t>
      </w:r>
      <w:r w:rsidR="006257D0">
        <w:t> </w:t>
      </w:r>
      <w:r>
        <w:t>2 a odst. 3 zákona o ESM, protože právě v nich jsou vymezeny kategorie subjektů. Naopak v </w:t>
      </w:r>
      <w:proofErr w:type="spellStart"/>
      <w:r>
        <w:t>návětích</w:t>
      </w:r>
      <w:proofErr w:type="spellEnd"/>
      <w:r>
        <w:t xml:space="preserve"> (respektive v první větě) předmětných odstavců § 15 zákona o ESM nejsou</w:t>
      </w:r>
      <w:r w:rsidRPr="00C772C4">
        <w:t xml:space="preserve"> </w:t>
      </w:r>
      <w:r>
        <w:t xml:space="preserve">vymezeny kategorie, ale obecné důvody oprávněného zájmu.  </w:t>
      </w:r>
    </w:p>
    <w:p w14:paraId="6EBC6A09" w14:textId="77777777" w:rsidR="00534659" w:rsidRPr="005F4EC9" w:rsidRDefault="00534659" w:rsidP="00534659">
      <w:pPr>
        <w:pStyle w:val="Nadpis7"/>
      </w:pPr>
      <w:r>
        <w:t xml:space="preserve">K písmeni e)      </w:t>
      </w:r>
    </w:p>
    <w:p w14:paraId="4D3CDC5F" w14:textId="77777777" w:rsidR="00534659" w:rsidRDefault="00534659" w:rsidP="00534659">
      <w:pPr>
        <w:rPr>
          <w:szCs w:val="24"/>
        </w:rPr>
      </w:pPr>
      <w:r>
        <w:rPr>
          <w:szCs w:val="24"/>
        </w:rPr>
        <w:t>Ustanovení reaguje na předpokládanou úpravu implementačního aktu Komise, který má být však vydán až 10. 7. 2027. V době přípravy návrhu obsah tohoto implementačního aktu nebyl znám. Z praktického hlediska budou mít požadavky plynoucí z implementačního aktu dopad pouze na ministerstvo, které náležitě upraví příslušné formuláře.</w:t>
      </w:r>
    </w:p>
    <w:p w14:paraId="3EE4F622" w14:textId="3A7D202C" w:rsidR="005E5F23" w:rsidRDefault="005E5F23" w:rsidP="005E5F23">
      <w:pPr>
        <w:pStyle w:val="Nadpis6"/>
      </w:pPr>
      <w:r>
        <w:t>K odstavci 2</w:t>
      </w:r>
    </w:p>
    <w:p w14:paraId="7ADBFD6D" w14:textId="113C3900" w:rsidR="00A20753" w:rsidRDefault="0087652B" w:rsidP="0087652B">
      <w:pPr>
        <w:rPr>
          <w:szCs w:val="24"/>
        </w:rPr>
      </w:pPr>
      <w:r>
        <w:t xml:space="preserve">Ustanovení demonstrativně uvádí </w:t>
      </w:r>
      <w:r w:rsidRPr="001F044F">
        <w:t xml:space="preserve">přílohy </w:t>
      </w:r>
      <w:r>
        <w:t>žádosti</w:t>
      </w:r>
      <w:r w:rsidRPr="001F044F">
        <w:t>, jejichž cílem je doložit</w:t>
      </w:r>
      <w:r>
        <w:t xml:space="preserve"> informace o </w:t>
      </w:r>
      <w:r w:rsidR="004A36E7">
        <w:t>činnosti, funkci</w:t>
      </w:r>
      <w:r>
        <w:t xml:space="preserve"> </w:t>
      </w:r>
      <w:r w:rsidR="004A36E7">
        <w:t xml:space="preserve">nebo povolání </w:t>
      </w:r>
      <w:r>
        <w:t>žadatele</w:t>
      </w:r>
      <w:r w:rsidRPr="001F044F">
        <w:t xml:space="preserve">. </w:t>
      </w:r>
      <w:r>
        <w:rPr>
          <w:szCs w:val="24"/>
        </w:rPr>
        <w:t xml:space="preserve">Tvrzené skutečnosti by </w:t>
      </w:r>
      <w:r w:rsidRPr="001F044F">
        <w:rPr>
          <w:szCs w:val="24"/>
        </w:rPr>
        <w:t xml:space="preserve">v něčem </w:t>
      </w:r>
      <w:r>
        <w:rPr>
          <w:szCs w:val="24"/>
        </w:rPr>
        <w:t>měly</w:t>
      </w:r>
      <w:r w:rsidR="00A20753">
        <w:rPr>
          <w:szCs w:val="24"/>
        </w:rPr>
        <w:t xml:space="preserve"> z formálního hlediska</w:t>
      </w:r>
      <w:r>
        <w:rPr>
          <w:szCs w:val="24"/>
        </w:rPr>
        <w:t xml:space="preserve"> mít </w:t>
      </w:r>
      <w:r w:rsidRPr="001F044F">
        <w:rPr>
          <w:szCs w:val="24"/>
        </w:rPr>
        <w:t xml:space="preserve">oporu, </w:t>
      </w:r>
      <w:r>
        <w:rPr>
          <w:szCs w:val="24"/>
        </w:rPr>
        <w:t>měly by z něčeho p</w:t>
      </w:r>
      <w:r w:rsidRPr="001F044F">
        <w:rPr>
          <w:szCs w:val="24"/>
        </w:rPr>
        <w:t>lynout. Tyto</w:t>
      </w:r>
      <w:r w:rsidR="008E3D87">
        <w:rPr>
          <w:szCs w:val="24"/>
        </w:rPr>
        <w:t xml:space="preserve"> doklady či skutečnosti mají být k žádosti doloženy</w:t>
      </w:r>
      <w:r w:rsidRPr="001F044F">
        <w:rPr>
          <w:szCs w:val="24"/>
        </w:rPr>
        <w:t xml:space="preserve">, aby je </w:t>
      </w:r>
      <w:r w:rsidR="008E3D87">
        <w:rPr>
          <w:szCs w:val="24"/>
        </w:rPr>
        <w:t>ministerstvo</w:t>
      </w:r>
      <w:r w:rsidRPr="001F044F">
        <w:rPr>
          <w:szCs w:val="24"/>
        </w:rPr>
        <w:t xml:space="preserve"> mohl</w:t>
      </w:r>
      <w:r w:rsidR="008E3D87">
        <w:rPr>
          <w:szCs w:val="24"/>
        </w:rPr>
        <w:t>o</w:t>
      </w:r>
      <w:r w:rsidRPr="001F044F">
        <w:rPr>
          <w:szCs w:val="24"/>
        </w:rPr>
        <w:t xml:space="preserve"> posoudit. </w:t>
      </w:r>
    </w:p>
    <w:p w14:paraId="00E3DD76" w14:textId="226C0C5A" w:rsidR="00D36027" w:rsidRDefault="00A20753" w:rsidP="0087652B">
      <w:pPr>
        <w:rPr>
          <w:szCs w:val="24"/>
        </w:rPr>
      </w:pPr>
      <w:r>
        <w:rPr>
          <w:szCs w:val="24"/>
        </w:rPr>
        <w:t xml:space="preserve">Jak bylo však uvedeno výše, </w:t>
      </w:r>
      <w:r w:rsidR="00D36027">
        <w:rPr>
          <w:szCs w:val="24"/>
        </w:rPr>
        <w:t xml:space="preserve">ověření oprávněného zájmu je z povahy věci formální. Ministerstvo zkoumá, zda žadatel formálně doložil zákonem požadované skutečnosti, tj. </w:t>
      </w:r>
      <w:r w:rsidR="002A54A1">
        <w:rPr>
          <w:szCs w:val="24"/>
        </w:rPr>
        <w:t>ve vztahu ke komentovanému ustanovení</w:t>
      </w:r>
      <w:r w:rsidR="00D36027">
        <w:rPr>
          <w:szCs w:val="24"/>
        </w:rPr>
        <w:t xml:space="preserve"> charakter své činnosti</w:t>
      </w:r>
      <w:r w:rsidR="004A36E7">
        <w:rPr>
          <w:szCs w:val="24"/>
        </w:rPr>
        <w:t>, funkci nebo povolání</w:t>
      </w:r>
      <w:r w:rsidR="00D36027">
        <w:rPr>
          <w:szCs w:val="24"/>
        </w:rPr>
        <w:t xml:space="preserve">. </w:t>
      </w:r>
    </w:p>
    <w:p w14:paraId="1580A0F1" w14:textId="00FB06EA" w:rsidR="009754FA" w:rsidRPr="003619A1" w:rsidRDefault="009754FA" w:rsidP="009754FA">
      <w:pPr>
        <w:pStyle w:val="Nadpis7"/>
      </w:pPr>
      <w:r>
        <w:lastRenderedPageBreak/>
        <w:t xml:space="preserve">K písmenům a) a b)      </w:t>
      </w:r>
    </w:p>
    <w:p w14:paraId="6A538E04" w14:textId="287D8B9F" w:rsidR="00187ECC" w:rsidRDefault="002A54A1" w:rsidP="0087652B">
      <w:pPr>
        <w:rPr>
          <w:szCs w:val="24"/>
        </w:rPr>
      </w:pPr>
      <w:r>
        <w:rPr>
          <w:szCs w:val="24"/>
        </w:rPr>
        <w:t>V řadě případů bude předmět činnosti žadatele zjistitelný z veřejně dostupných zdrojů</w:t>
      </w:r>
      <w:r w:rsidR="004A36E7">
        <w:rPr>
          <w:szCs w:val="24"/>
        </w:rPr>
        <w:t>, např.</w:t>
      </w:r>
      <w:r>
        <w:rPr>
          <w:szCs w:val="24"/>
        </w:rPr>
        <w:t xml:space="preserve"> z veřejného rejstříku. V takových případech nebude ani třeba tyto skutečnosti dokládat, byť z praktického hlediska je vhodné na ně minimálně spolu s žádostí odkázat. </w:t>
      </w:r>
    </w:p>
    <w:p w14:paraId="0723071E" w14:textId="74C8A5FA" w:rsidR="002A54A1" w:rsidRDefault="00187ECC" w:rsidP="0087652B">
      <w:pPr>
        <w:rPr>
          <w:szCs w:val="24"/>
        </w:rPr>
      </w:pPr>
      <w:r>
        <w:rPr>
          <w:szCs w:val="24"/>
        </w:rPr>
        <w:t>Spojení žadatele se zákonem předvídaným důvodem přístu</w:t>
      </w:r>
      <w:r w:rsidR="00922C4B">
        <w:rPr>
          <w:szCs w:val="24"/>
        </w:rPr>
        <w:t>pu, tj. ve vztahu k § 15 odst. 2</w:t>
      </w:r>
      <w:r>
        <w:rPr>
          <w:szCs w:val="24"/>
        </w:rPr>
        <w:t xml:space="preserve"> písm. a) až f) </w:t>
      </w:r>
      <w:r>
        <w:t xml:space="preserve">zákona o ESM ve znění návrhu předcházení trestným činům legalizace výnosů z trestné činnosti, nemusí být ve veřejně dostupných informacích o předmětu činnosti žadatele vyjádřeno explicitně. </w:t>
      </w:r>
      <w:r w:rsidR="002A54A1">
        <w:rPr>
          <w:szCs w:val="24"/>
        </w:rPr>
        <w:t xml:space="preserve">Např. </w:t>
      </w:r>
      <w:r>
        <w:rPr>
          <w:szCs w:val="24"/>
        </w:rPr>
        <w:t xml:space="preserve">u </w:t>
      </w:r>
      <w:r w:rsidR="002A54A1">
        <w:rPr>
          <w:szCs w:val="24"/>
        </w:rPr>
        <w:t>nevládní</w:t>
      </w:r>
      <w:r>
        <w:rPr>
          <w:szCs w:val="24"/>
        </w:rPr>
        <w:t>ch</w:t>
      </w:r>
      <w:r w:rsidR="002A54A1">
        <w:rPr>
          <w:szCs w:val="24"/>
        </w:rPr>
        <w:t xml:space="preserve"> organizací </w:t>
      </w:r>
      <w:r>
        <w:rPr>
          <w:szCs w:val="24"/>
        </w:rPr>
        <w:t>se touto tématikou budou zabývat i subjekty, jejichž předmět činnosti je podle stanov či např. internetových stránek formulován mnohem obecněji. Předmět činnosti proto nelze redukovat na údaj zapsaný ve veřejném rejstříku. V případě některých novinářů pak může být nesnadné formálně osvědčovat jejich pozici</w:t>
      </w:r>
      <w:r w:rsidR="00446A84">
        <w:rPr>
          <w:szCs w:val="24"/>
        </w:rPr>
        <w:t xml:space="preserve"> či skutečnost, že se zabývají tématem pran</w:t>
      </w:r>
      <w:r w:rsidR="004A36E7">
        <w:rPr>
          <w:szCs w:val="24"/>
        </w:rPr>
        <w:t>í špinavých peněz a financování</w:t>
      </w:r>
      <w:r w:rsidR="00446A84">
        <w:rPr>
          <w:szCs w:val="24"/>
        </w:rPr>
        <w:t xml:space="preserve"> terorismu. </w:t>
      </w:r>
      <w:r>
        <w:rPr>
          <w:szCs w:val="24"/>
        </w:rPr>
        <w:t>Z</w:t>
      </w:r>
      <w:r w:rsidR="00446A84">
        <w:rPr>
          <w:szCs w:val="24"/>
        </w:rPr>
        <w:t> uvedených důvodů</w:t>
      </w:r>
      <w:r>
        <w:rPr>
          <w:szCs w:val="24"/>
        </w:rPr>
        <w:t xml:space="preserve"> je předmět činnosti, povolání či funkci žadatele vždy možné doložit také prohlášením žadatele o</w:t>
      </w:r>
      <w:r w:rsidR="006257D0">
        <w:rPr>
          <w:szCs w:val="24"/>
        </w:rPr>
        <w:t> </w:t>
      </w:r>
      <w:r>
        <w:rPr>
          <w:szCs w:val="24"/>
        </w:rPr>
        <w:t xml:space="preserve">této skutečnosti. </w:t>
      </w:r>
      <w:r w:rsidR="002A54A1">
        <w:rPr>
          <w:szCs w:val="24"/>
        </w:rPr>
        <w:t xml:space="preserve">  </w:t>
      </w:r>
    </w:p>
    <w:p w14:paraId="0D4B3D60" w14:textId="4005532C" w:rsidR="009754FA" w:rsidRPr="003619A1" w:rsidRDefault="009754FA" w:rsidP="009754FA">
      <w:pPr>
        <w:pStyle w:val="Nadpis7"/>
      </w:pPr>
      <w:r>
        <w:t xml:space="preserve">K písmeni c)      </w:t>
      </w:r>
    </w:p>
    <w:p w14:paraId="7E597A05" w14:textId="049947DA" w:rsidR="00095819" w:rsidRDefault="00446A84" w:rsidP="00095819">
      <w:pPr>
        <w:rPr>
          <w:szCs w:val="24"/>
        </w:rPr>
      </w:pPr>
      <w:r>
        <w:rPr>
          <w:szCs w:val="24"/>
        </w:rPr>
        <w:t xml:space="preserve">Jako doklad o činnosti, funkci nebo povolání lze také předložit potvrzení vydané příslušným orgánem spravujícím přístupy do registru skutečných majitelů jiného členského státu. Toto potvrzení dokládá, že charakter žadatele byl již v jiném členském státě ověřen a není tedy třeba jej opětovně posuzovat. Jedná se přitom o transpozici čl. 13 </w:t>
      </w:r>
      <w:r w:rsidR="00564DB9">
        <w:rPr>
          <w:szCs w:val="24"/>
        </w:rPr>
        <w:t xml:space="preserve">odst. </w:t>
      </w:r>
      <w:r>
        <w:rPr>
          <w:szCs w:val="24"/>
        </w:rPr>
        <w:t xml:space="preserve">3 </w:t>
      </w:r>
      <w:r w:rsidR="00095819">
        <w:rPr>
          <w:szCs w:val="24"/>
        </w:rPr>
        <w:t xml:space="preserve">prvního pododstavce </w:t>
      </w:r>
      <w:r>
        <w:rPr>
          <w:szCs w:val="24"/>
        </w:rPr>
        <w:t xml:space="preserve">AML směrnice. </w:t>
      </w:r>
    </w:p>
    <w:p w14:paraId="1C29A1F9" w14:textId="7B49B98E" w:rsidR="00095819" w:rsidRPr="00095819" w:rsidRDefault="00095819" w:rsidP="0087652B">
      <w:r>
        <w:t xml:space="preserve">K ověření zahraničním registrem muselo přitom </w:t>
      </w:r>
      <w:r w:rsidR="004A36E7">
        <w:t xml:space="preserve">dojít </w:t>
      </w:r>
      <w:r>
        <w:t xml:space="preserve">nejdéle 3 roky od podání žádosti. Ačkoli AML směrnice tuto lhůtu konkrétně neupravuje, jeví se smysluplné požadavek na aktuálnost potvrzení zavést. Doba relevantnosti osvědčení se </w:t>
      </w:r>
      <w:r w:rsidR="004A36E7">
        <w:t>navrhuje</w:t>
      </w:r>
      <w:r>
        <w:t xml:space="preserve"> stejná jako v případě opakovaných žádostí podle § 15c odst. 2 zákona o ESM ve znění návrhu.</w:t>
      </w:r>
    </w:p>
    <w:p w14:paraId="069DB1B7" w14:textId="47350DB5" w:rsidR="00095819" w:rsidRDefault="00446A84" w:rsidP="0087652B">
      <w:pPr>
        <w:rPr>
          <w:szCs w:val="24"/>
        </w:rPr>
      </w:pPr>
      <w:r>
        <w:rPr>
          <w:szCs w:val="24"/>
        </w:rPr>
        <w:t xml:space="preserve">Potvrzení z jiného členského státu </w:t>
      </w:r>
      <w:r w:rsidR="00095819">
        <w:rPr>
          <w:szCs w:val="24"/>
        </w:rPr>
        <w:t>má</w:t>
      </w:r>
      <w:r>
        <w:rPr>
          <w:szCs w:val="24"/>
        </w:rPr>
        <w:t xml:space="preserve"> být obdobou tuzemského osvědčení, které dle § 15d zákona o ESM ve znění návrhu </w:t>
      </w:r>
      <w:r w:rsidR="00776000">
        <w:rPr>
          <w:szCs w:val="24"/>
        </w:rPr>
        <w:t xml:space="preserve">bude </w:t>
      </w:r>
      <w:r>
        <w:rPr>
          <w:szCs w:val="24"/>
        </w:rPr>
        <w:t xml:space="preserve">vydávat ministerstvo. </w:t>
      </w:r>
    </w:p>
    <w:p w14:paraId="0FEAEA1A" w14:textId="36403B7C" w:rsidR="005E5F23" w:rsidRDefault="005E5F23" w:rsidP="005E5F23">
      <w:pPr>
        <w:pStyle w:val="Nadpis6"/>
      </w:pPr>
      <w:r>
        <w:t>K odstavci 3</w:t>
      </w:r>
    </w:p>
    <w:p w14:paraId="5936E514" w14:textId="7C85ABAA" w:rsidR="0078278F" w:rsidRDefault="0093681D" w:rsidP="0078278F">
      <w:r>
        <w:t>V</w:t>
      </w:r>
      <w:r w:rsidR="0078278F">
        <w:t> rámci doložení vztahu žadatele k</w:t>
      </w:r>
      <w:r w:rsidR="0078278F" w:rsidRPr="00755C2F">
        <w:t xml:space="preserve"> právnick</w:t>
      </w:r>
      <w:r w:rsidR="0078278F">
        <w:t>é</w:t>
      </w:r>
      <w:r w:rsidR="0078278F" w:rsidRPr="00755C2F">
        <w:t xml:space="preserve"> osob</w:t>
      </w:r>
      <w:r w:rsidR="0078278F">
        <w:t>ě nebo právními uspořádání</w:t>
      </w:r>
      <w:r w:rsidR="0078278F" w:rsidRPr="00755C2F">
        <w:t xml:space="preserve">, o nichž jsou </w:t>
      </w:r>
      <w:r w:rsidR="0078278F">
        <w:t>údaje o skutečném majiteli</w:t>
      </w:r>
      <w:r w:rsidR="0078278F" w:rsidRPr="00755C2F">
        <w:t xml:space="preserve"> požadovány</w:t>
      </w:r>
      <w:r w:rsidR="0078278F">
        <w:t>, je třeba daný vztah alespoň základ</w:t>
      </w:r>
      <w:r w:rsidR="000A6FDA">
        <w:t>ně a obecně popsat.</w:t>
      </w:r>
    </w:p>
    <w:p w14:paraId="2AE4B9AF" w14:textId="665C2C88" w:rsidR="00C62699" w:rsidRDefault="0078278F" w:rsidP="0078278F">
      <w:r>
        <w:t xml:space="preserve">Současně ustanovení reaguje na skutečnost, že dokládaný vztah či spíše souvislost v řadě případů nebude možné doložit nějakým oficiálním dokumentem, respektive takový požadavek nebyl proporcionální. </w:t>
      </w:r>
      <w:r w:rsidR="00C62699">
        <w:t xml:space="preserve">Např. v případě osob s oprávněným zájmem podle § 15 odst. </w:t>
      </w:r>
      <w:r w:rsidR="00511AC2">
        <w:t>2</w:t>
      </w:r>
      <w:r w:rsidR="00C62699">
        <w:t xml:space="preserve"> písm. e) zákona o ESM ve znění návrhu (potenciální kontrahenti) může spojení s určitou právnickou osobou plynout pouze ze záměru či úvaze</w:t>
      </w:r>
      <w:r w:rsidR="004A36E7">
        <w:t xml:space="preserve"> žadatele o budoucím obchodu. Tuto vazbu</w:t>
      </w:r>
      <w:r w:rsidR="00C62699">
        <w:t xml:space="preserve"> z povahy věci nelze doložit </w:t>
      </w:r>
      <w:r w:rsidR="00B03A92">
        <w:t>jinak</w:t>
      </w:r>
      <w:r w:rsidR="00C62699">
        <w:t xml:space="preserve"> než prohlášením žadatele. </w:t>
      </w:r>
    </w:p>
    <w:p w14:paraId="0543A1B7" w14:textId="311D9052" w:rsidR="00C62699" w:rsidRDefault="00C62699" w:rsidP="0078278F">
      <w:r>
        <w:lastRenderedPageBreak/>
        <w:t xml:space="preserve">I pokud určitý dokument osvědčující daný vztah existuje, jevilo by se </w:t>
      </w:r>
      <w:r w:rsidR="00704141">
        <w:t xml:space="preserve">obecně </w:t>
      </w:r>
      <w:r>
        <w:t>excesivní jej v rámci posuzování oprávněn</w:t>
      </w:r>
      <w:r w:rsidR="004A36E7">
        <w:t xml:space="preserve">ého zájmu vyžadovat. Např. </w:t>
      </w:r>
      <w:r>
        <w:t xml:space="preserve">povinné osoby z třetích zemí [§ 15 odst. </w:t>
      </w:r>
      <w:r w:rsidR="00511AC2">
        <w:t>2</w:t>
      </w:r>
      <w:r>
        <w:t xml:space="preserve"> písm. d) zákona o ESM ve znění návrhu] by teoreticky mohly dokládat vztah s klientem či komunikaci s potenciálním klientem, ale </w:t>
      </w:r>
      <w:r w:rsidR="00127BE8">
        <w:t xml:space="preserve">tím by byl celý proces činěn složitějším, docházelo by k předávání potenciálně citlivých </w:t>
      </w:r>
      <w:r w:rsidR="00B03A92">
        <w:t>dokumentů,</w:t>
      </w:r>
      <w:r w:rsidR="00127BE8">
        <w:t xml:space="preserve"> a to vše bez zřejmého pozitivního efektu. Není důvod předpokládat, že by povinné osoby ze třetích zemí přístup do tuzemské evidence na zákl</w:t>
      </w:r>
      <w:r w:rsidR="004A36E7">
        <w:t>adě oprávněného zájmu zneužívaly</w:t>
      </w:r>
      <w:r w:rsidR="00127BE8">
        <w:t xml:space="preserve">. Obdobně lze uvažovat i ve vztahu k žadatelům podle § 15 odst. </w:t>
      </w:r>
      <w:r w:rsidR="00511AC2">
        <w:t xml:space="preserve">2 </w:t>
      </w:r>
      <w:r w:rsidR="00127BE8">
        <w:t>písm. k) zákona o ESM ve znění návrhu.</w:t>
      </w:r>
    </w:p>
    <w:p w14:paraId="333BC8C4" w14:textId="4E3240B6" w:rsidR="0078278F" w:rsidRDefault="00C62699" w:rsidP="0078278F">
      <w:r>
        <w:t>V</w:t>
      </w:r>
      <w:r w:rsidR="0078278F">
        <w:t xml:space="preserve"> případě </w:t>
      </w:r>
      <w:r>
        <w:t>orgánů veřejné moci s oprávněným zájme</w:t>
      </w:r>
      <w:r w:rsidR="00511AC2">
        <w:t>m podle § 15 odst. 2</w:t>
      </w:r>
      <w:r>
        <w:t xml:space="preserve"> písm. </w:t>
      </w:r>
      <w:r w:rsidR="00127BE8">
        <w:t>f</w:t>
      </w:r>
      <w:r>
        <w:t>)</w:t>
      </w:r>
      <w:r w:rsidR="00127BE8">
        <w:t xml:space="preserve"> až j)</w:t>
      </w:r>
      <w:r>
        <w:t xml:space="preserve"> zákona o ESM</w:t>
      </w:r>
      <w:r w:rsidR="00E87B79">
        <w:t xml:space="preserve"> ve znění návrhu</w:t>
      </w:r>
      <w:r w:rsidR="00127BE8">
        <w:t xml:space="preserve"> lze opět mít za to, že namísto </w:t>
      </w:r>
      <w:r w:rsidR="004A36E7">
        <w:t>dokládání</w:t>
      </w:r>
      <w:r w:rsidR="00127BE8">
        <w:t xml:space="preserve"> proběhlé správní činnosti by mělo být postačující doložit pouze prohlášení o probíhajícím či zamýšleném řízení (případně kontrole, vyšetřování atp.).</w:t>
      </w:r>
    </w:p>
    <w:p w14:paraId="0D1545B6" w14:textId="174E979C" w:rsidR="00704141" w:rsidRPr="0078278F" w:rsidRDefault="00704141" w:rsidP="0078278F">
      <w:r>
        <w:t>V případě tzv. poskytovatelů produktů (a služeb) v oblasti boje proti praní peněz a financování terorismu je pak výslovně třeba dolož</w:t>
      </w:r>
      <w:r w:rsidR="004A36E7">
        <w:t>it existenci vztahu s konkrétní</w:t>
      </w:r>
      <w:r>
        <w:t xml:space="preserve"> povinnou osobou nebo příslušným orgánem [v smyslu § 15 odst. </w:t>
      </w:r>
      <w:r w:rsidR="00511AC2">
        <w:t>2</w:t>
      </w:r>
      <w:r>
        <w:t xml:space="preserve"> písm. k) zákona o ESM ve znění návrhu].</w:t>
      </w:r>
      <w:r w:rsidR="00336947">
        <w:t xml:space="preserve"> Lze přitom doložit přímo smlouvu s</w:t>
      </w:r>
      <w:r w:rsidR="004A36E7">
        <w:t> povinnou osobou nebo příslušným orgánem</w:t>
      </w:r>
      <w:r w:rsidR="00336947">
        <w:t xml:space="preserve">, avšak dostačující je také popis relevantní části smlouvy, ze které plyne, že vazba mezi produktem, </w:t>
      </w:r>
      <w:r w:rsidR="004A36E7">
        <w:t>osobou či orgánem</w:t>
      </w:r>
      <w:r w:rsidR="00336947">
        <w:t xml:space="preserve"> a informacemi v evidenci skutečných majitelů. Jde o požadavek čl. 12 </w:t>
      </w:r>
      <w:r w:rsidR="00564DB9">
        <w:t xml:space="preserve">odst. </w:t>
      </w:r>
      <w:r w:rsidR="00336947">
        <w:t xml:space="preserve">2 písm. j) </w:t>
      </w:r>
      <w:r w:rsidR="00004976">
        <w:t>AML</w:t>
      </w:r>
      <w:r w:rsidR="00336947">
        <w:t xml:space="preserve"> směrnice.  </w:t>
      </w:r>
      <w:r>
        <w:t xml:space="preserve"> </w:t>
      </w:r>
    </w:p>
    <w:p w14:paraId="5E2EDDCA" w14:textId="763EEA4E" w:rsidR="005E5F23" w:rsidRDefault="005E5F23" w:rsidP="005E5F23">
      <w:pPr>
        <w:pStyle w:val="Nadpis6"/>
      </w:pPr>
      <w:r>
        <w:t>K odstavci 4</w:t>
      </w:r>
    </w:p>
    <w:p w14:paraId="0D2A19D2" w14:textId="7E167165" w:rsidR="00B10A20" w:rsidRPr="001F044F" w:rsidRDefault="008E3D87" w:rsidP="008E3D87">
      <w:r w:rsidRPr="001F044F">
        <w:t xml:space="preserve">Navrhuje se v zájmu snížení administrativní zátěže </w:t>
      </w:r>
      <w:r>
        <w:t>žadatelů</w:t>
      </w:r>
      <w:r w:rsidRPr="001F044F">
        <w:t xml:space="preserve"> vyžadovat pouze prosté kopie písemností. Vych</w:t>
      </w:r>
      <w:r w:rsidR="004A36E7">
        <w:t>ází se z úvahy, že není vhodné z</w:t>
      </w:r>
      <w:r w:rsidRPr="001F044F">
        <w:t xml:space="preserve">těžovat </w:t>
      </w:r>
      <w:r>
        <w:t>přístup</w:t>
      </w:r>
      <w:r w:rsidRPr="001F044F">
        <w:t xml:space="preserve"> potřebou zajišťování ověřených kopií (včetně </w:t>
      </w:r>
      <w:proofErr w:type="spellStart"/>
      <w:r w:rsidRPr="001F044F">
        <w:t>apostil</w:t>
      </w:r>
      <w:proofErr w:type="spellEnd"/>
      <w:r w:rsidRPr="001F044F">
        <w:t xml:space="preserve">) či ověřených podpisů. </w:t>
      </w:r>
      <w:r>
        <w:t xml:space="preserve">Ustanovení přitom samozřejmě nebrání tomu, aby žadatel z vlastní vůle předložil písemnosti </w:t>
      </w:r>
      <w:r w:rsidR="004A36E7">
        <w:t xml:space="preserve">v </w:t>
      </w:r>
      <w:r>
        <w:t>přísnější fo</w:t>
      </w:r>
      <w:r w:rsidR="004A36E7">
        <w:t>rmě (úředně ověřené kopie</w:t>
      </w:r>
      <w:r w:rsidR="003E6DB0">
        <w:t xml:space="preserve">).  </w:t>
      </w:r>
    </w:p>
    <w:p w14:paraId="093140DF" w14:textId="5F730ABC" w:rsidR="008E3D87" w:rsidRPr="001F044F" w:rsidRDefault="008E3D87" w:rsidP="008E3D87">
      <w:r w:rsidRPr="001F044F">
        <w:t xml:space="preserve">Například dokládání </w:t>
      </w:r>
      <w:r>
        <w:t>výpisu ze zahraničního registru může představovat</w:t>
      </w:r>
      <w:r w:rsidRPr="001F044F">
        <w:t xml:space="preserve"> relativně složitý proces podložený řadou dokumentů. Další formální nároky by nepřiměřeně zdražovaly a prodlužovaly </w:t>
      </w:r>
      <w:r>
        <w:t>vyřizování žádosti</w:t>
      </w:r>
      <w:r w:rsidRPr="001F044F">
        <w:t xml:space="preserve">. Je také třeba brát v potaz, že zneužití navrhovaného pravidla (např. falšováním kopií) </w:t>
      </w:r>
      <w:r>
        <w:t xml:space="preserve">s ohledem na navrženou koncepci ověřování oprávněného zájmu nelze předpokládat. </w:t>
      </w:r>
    </w:p>
    <w:p w14:paraId="41925007" w14:textId="5F5B8739" w:rsidR="008E3D87" w:rsidRPr="001F044F" w:rsidRDefault="008E3D87" w:rsidP="008E3D87">
      <w:r w:rsidRPr="001F044F">
        <w:t>Konečně navrhova</w:t>
      </w:r>
      <w:r>
        <w:t xml:space="preserve">ný režim zjednoduší také </w:t>
      </w:r>
      <w:r w:rsidR="00004976">
        <w:t>vlastní vyřizování žádostí, protože n</w:t>
      </w:r>
      <w:r w:rsidRPr="001F044F">
        <w:t xml:space="preserve">ebude třeba zkoumat splnění formálních požadavků na písemnosti a proces </w:t>
      </w:r>
      <w:r>
        <w:t>vyřízení žádosti</w:t>
      </w:r>
      <w:r w:rsidRPr="001F044F">
        <w:t xml:space="preserve"> se tak urychlí a zefektivní. </w:t>
      </w:r>
    </w:p>
    <w:p w14:paraId="66AFA367" w14:textId="0A133929" w:rsidR="008E3D87" w:rsidRPr="008E3D87" w:rsidRDefault="008E3D87" w:rsidP="008E3D87">
      <w:pPr>
        <w:pStyle w:val="Nadpis6"/>
      </w:pPr>
      <w:r>
        <w:t>K odstavci 5</w:t>
      </w:r>
    </w:p>
    <w:p w14:paraId="606D8BDD" w14:textId="1107307B" w:rsidR="00091EBF" w:rsidRDefault="0093681D" w:rsidP="00145445">
      <w:r>
        <w:t>N</w:t>
      </w:r>
      <w:r w:rsidR="00004976">
        <w:t>ávrh n</w:t>
      </w:r>
      <w:r>
        <w:t>avazuje</w:t>
      </w:r>
      <w:r w:rsidR="00145445" w:rsidRPr="001F044F">
        <w:t xml:space="preserve"> </w:t>
      </w:r>
      <w:r w:rsidR="00145445">
        <w:t xml:space="preserve">na </w:t>
      </w:r>
      <w:r w:rsidR="00145445" w:rsidRPr="001F044F">
        <w:t xml:space="preserve">stávající </w:t>
      </w:r>
      <w:r w:rsidR="00145445">
        <w:t>osvědčený režim formulářových podání ve vztahu k žádostem o</w:t>
      </w:r>
      <w:r w:rsidR="006257D0">
        <w:t> </w:t>
      </w:r>
      <w:r w:rsidR="00145445">
        <w:t>dálkový přístup (podle § 17 zákona o ESM)</w:t>
      </w:r>
      <w:r w:rsidR="00145445" w:rsidRPr="001F044F">
        <w:t xml:space="preserve">. Využití formulářů představuje časovou i finanční úsporu jak na straně </w:t>
      </w:r>
      <w:r w:rsidR="00145445">
        <w:t>žadatelů</w:t>
      </w:r>
      <w:r w:rsidR="00145445" w:rsidRPr="001F044F">
        <w:t xml:space="preserve">, tak na straně </w:t>
      </w:r>
      <w:r w:rsidR="00145445">
        <w:t>ministerstva</w:t>
      </w:r>
      <w:r w:rsidR="00091EBF">
        <w:t>. F</w:t>
      </w:r>
      <w:r w:rsidR="00145445" w:rsidRPr="001F044F">
        <w:t xml:space="preserve">ormulář především </w:t>
      </w:r>
      <w:r w:rsidR="00145445">
        <w:t>snižuje riziko</w:t>
      </w:r>
      <w:r w:rsidR="00145445" w:rsidRPr="001F044F">
        <w:t xml:space="preserve"> zadání chybných identifikačních údajů a </w:t>
      </w:r>
      <w:r w:rsidR="00091EBF">
        <w:t>vytvoření neúplných podání.</w:t>
      </w:r>
      <w:r w:rsidR="00145445" w:rsidRPr="001F044F">
        <w:t xml:space="preserve"> </w:t>
      </w:r>
      <w:r w:rsidR="00091EBF">
        <w:t>Formulář v praxi navádí uživatele, jaké údaje je třeba uvést, případně poskytuje i výběr z možností.</w:t>
      </w:r>
      <w:r w:rsidR="00F9150E">
        <w:t xml:space="preserve"> </w:t>
      </w:r>
    </w:p>
    <w:p w14:paraId="0FC10CB1" w14:textId="76827666" w:rsidR="00F9150E" w:rsidRDefault="00F9150E" w:rsidP="00145445">
      <w:r>
        <w:lastRenderedPageBreak/>
        <w:t>Formulář bude především obsahovat nabídku odpovídají</w:t>
      </w:r>
      <w:r w:rsidR="00511AC2">
        <w:t xml:space="preserve">cí kategoriím </w:t>
      </w:r>
      <w:r w:rsidR="00004976">
        <w:t xml:space="preserve">subjektů </w:t>
      </w:r>
      <w:r w:rsidR="00511AC2">
        <w:t>podle § 15 odst.</w:t>
      </w:r>
      <w:r w:rsidR="00634CEC">
        <w:t> </w:t>
      </w:r>
      <w:r w:rsidR="00511AC2">
        <w:t>2 a 3</w:t>
      </w:r>
      <w:r>
        <w:t xml:space="preserve"> </w:t>
      </w:r>
      <w:r w:rsidR="00004976">
        <w:t xml:space="preserve">písm. a) až k) a odst. 3 písm. a) až c) </w:t>
      </w:r>
      <w:r>
        <w:t xml:space="preserve">zákona o ESM ve znění návrhu. Podle výběru příslušné kategorie pak formulář modifikuje další požadované údaje. Např. v případě žadatelů z řad nevládních organizací, novinářů a akademické obce </w:t>
      </w:r>
      <w:r w:rsidR="00004976">
        <w:t>nebude vyžadováno doložení</w:t>
      </w:r>
      <w:r>
        <w:t xml:space="preserve"> vztah</w:t>
      </w:r>
      <w:r w:rsidR="00004976">
        <w:t>u</w:t>
      </w:r>
      <w:r>
        <w:t xml:space="preserve"> k určité právnické osobě</w:t>
      </w:r>
      <w:r w:rsidR="00004976">
        <w:t xml:space="preserve"> nebo právnímu uspořádání</w:t>
      </w:r>
      <w:r>
        <w:t xml:space="preserve">, respektive se tato osoba </w:t>
      </w:r>
      <w:r w:rsidR="00004976">
        <w:t xml:space="preserve">nebo uspořádání </w:t>
      </w:r>
      <w:r>
        <w:t>vůbec neidentifikuje. Naopak v případech kategorií</w:t>
      </w:r>
      <w:r w:rsidR="00004976">
        <w:t xml:space="preserve"> subjektů</w:t>
      </w:r>
      <w:r>
        <w:t>, které musí specifikovat vztah k určité právnické osobě</w:t>
      </w:r>
      <w:r w:rsidR="00004976">
        <w:t xml:space="preserve"> nebo právnímu uspořádání, o jejichž</w:t>
      </w:r>
      <w:r>
        <w:t xml:space="preserve"> skutečném majiteli poptávají údaje, budou muset žadatelé vyplnit ve formuláři další </w:t>
      </w:r>
      <w:r w:rsidR="00004976">
        <w:t>údaje</w:t>
      </w:r>
      <w:r>
        <w:t xml:space="preserve">.  </w:t>
      </w:r>
    </w:p>
    <w:p w14:paraId="62C81EC0" w14:textId="5B87EC4D" w:rsidR="00145445" w:rsidRPr="001F044F" w:rsidRDefault="0087652B" w:rsidP="00145445">
      <w:r>
        <w:t>S existencí formulářů a standardizac</w:t>
      </w:r>
      <w:r w:rsidR="006257D0">
        <w:t>í</w:t>
      </w:r>
      <w:r>
        <w:t xml:space="preserve"> žádostí počítá ostatně i čl. 14 písm. a) AML směrnice, podle kterého má Evropské komise stanovit </w:t>
      </w:r>
      <w:r w:rsidRPr="0087652B">
        <w:t>standardizovan</w:t>
      </w:r>
      <w:r>
        <w:t>é</w:t>
      </w:r>
      <w:r w:rsidRPr="0087652B">
        <w:t xml:space="preserve"> vzor</w:t>
      </w:r>
      <w:r>
        <w:t>y</w:t>
      </w:r>
      <w:r w:rsidRPr="0087652B">
        <w:t xml:space="preserve"> pro žádosti o přístup k</w:t>
      </w:r>
      <w:r w:rsidR="006257D0">
        <w:t> </w:t>
      </w:r>
      <w:r w:rsidRPr="0087652B">
        <w:t>informacím o skutečných majitelích</w:t>
      </w:r>
      <w:r>
        <w:t xml:space="preserve">.   </w:t>
      </w:r>
    </w:p>
    <w:p w14:paraId="7DE38554" w14:textId="1CE359CE" w:rsidR="00145445" w:rsidRPr="00145445" w:rsidRDefault="00004976" w:rsidP="00091EBF">
      <w:r>
        <w:t>Předmětným</w:t>
      </w:r>
      <w:r w:rsidR="00145445" w:rsidRPr="001F044F">
        <w:t xml:space="preserve"> prováděcí</w:t>
      </w:r>
      <w:r w:rsidR="00091EBF">
        <w:t xml:space="preserve">m předpisem </w:t>
      </w:r>
      <w:r>
        <w:t>je</w:t>
      </w:r>
      <w:r w:rsidR="00091EBF">
        <w:t xml:space="preserve"> vyhláška č. 180/2021 Sb., o náležitostech formulářů k</w:t>
      </w:r>
      <w:r w:rsidR="006257D0">
        <w:t> </w:t>
      </w:r>
      <w:r w:rsidR="00091EBF">
        <w:t xml:space="preserve">evidenci skutečných majitelů a o změně souvisejících vyhlášek, která bude v návaznosti na přijetí návrhu novelizována. </w:t>
      </w:r>
    </w:p>
    <w:p w14:paraId="135F173E" w14:textId="5BCF9677" w:rsidR="005E5F23" w:rsidRDefault="008E3D87" w:rsidP="005E5F23">
      <w:pPr>
        <w:pStyle w:val="Nadpis6"/>
      </w:pPr>
      <w:r>
        <w:t>K odstavci 6</w:t>
      </w:r>
    </w:p>
    <w:p w14:paraId="7D1E2E51" w14:textId="06561919" w:rsidR="00303604" w:rsidRDefault="00091EBF" w:rsidP="00091EBF">
      <w:pPr>
        <w:rPr>
          <w:szCs w:val="24"/>
        </w:rPr>
      </w:pPr>
      <w:r>
        <w:rPr>
          <w:szCs w:val="24"/>
        </w:rPr>
        <w:t xml:space="preserve">Navrhuje se s cílem standardizace a zefektivnění administrace žádostí umožnit podávání žádostí </w:t>
      </w:r>
      <w:r w:rsidR="006601B5">
        <w:rPr>
          <w:szCs w:val="24"/>
        </w:rPr>
        <w:t>primárně</w:t>
      </w:r>
      <w:r w:rsidR="00303604">
        <w:rPr>
          <w:szCs w:val="24"/>
        </w:rPr>
        <w:t xml:space="preserve"> jenom</w:t>
      </w:r>
      <w:r>
        <w:rPr>
          <w:szCs w:val="24"/>
        </w:rPr>
        <w:t xml:space="preserve"> elektronicky. K tomu lze dodat, že čl. 12 </w:t>
      </w:r>
      <w:r w:rsidR="00564DB9">
        <w:rPr>
          <w:szCs w:val="24"/>
        </w:rPr>
        <w:t xml:space="preserve">odst. </w:t>
      </w:r>
      <w:r>
        <w:rPr>
          <w:szCs w:val="24"/>
        </w:rPr>
        <w:t xml:space="preserve">1 </w:t>
      </w:r>
      <w:r w:rsidR="00002B8E">
        <w:rPr>
          <w:szCs w:val="24"/>
        </w:rPr>
        <w:t>třetí pododstavec</w:t>
      </w:r>
      <w:r>
        <w:rPr>
          <w:szCs w:val="24"/>
        </w:rPr>
        <w:t xml:space="preserve"> AML směrnice stanovuje, aby byl přístup na základě oprávněného zájmu poskytován elektronicky</w:t>
      </w:r>
      <w:r w:rsidR="00303604">
        <w:rPr>
          <w:szCs w:val="24"/>
        </w:rPr>
        <w:t xml:space="preserve">. Nemůže-li však přistupující subjekt použít elektronické prostředky, má být podle AML směrnice zajištěna možnost přístupu i jiným způsobem. </w:t>
      </w:r>
    </w:p>
    <w:p w14:paraId="57FAFC9B" w14:textId="5B6FED61" w:rsidR="007548E1" w:rsidRDefault="00303604" w:rsidP="00091EBF">
      <w:pPr>
        <w:rPr>
          <w:szCs w:val="24"/>
        </w:rPr>
      </w:pPr>
      <w:r>
        <w:rPr>
          <w:szCs w:val="24"/>
        </w:rPr>
        <w:t xml:space="preserve">Ačkoli dané ustanovení neupravuje způsob přístupu k údajům (na který se vztahují požadavky čl. 12 </w:t>
      </w:r>
      <w:r w:rsidR="00564DB9">
        <w:rPr>
          <w:szCs w:val="24"/>
        </w:rPr>
        <w:t xml:space="preserve">odst. </w:t>
      </w:r>
      <w:r>
        <w:rPr>
          <w:szCs w:val="24"/>
        </w:rPr>
        <w:t xml:space="preserve">1 </w:t>
      </w:r>
      <w:r w:rsidR="00002B8E">
        <w:rPr>
          <w:szCs w:val="24"/>
        </w:rPr>
        <w:t>třetí pododstavec</w:t>
      </w:r>
      <w:r w:rsidR="00004976">
        <w:rPr>
          <w:szCs w:val="24"/>
        </w:rPr>
        <w:t xml:space="preserve"> AML směrnice, který</w:t>
      </w:r>
      <w:r w:rsidR="00C45965">
        <w:rPr>
          <w:szCs w:val="24"/>
        </w:rPr>
        <w:t xml:space="preserve"> je transponován v § 15e odst. 6</w:t>
      </w:r>
      <w:r>
        <w:rPr>
          <w:szCs w:val="24"/>
        </w:rPr>
        <w:t xml:space="preserve"> zákona o</w:t>
      </w:r>
      <w:r w:rsidR="00634CEC">
        <w:rPr>
          <w:szCs w:val="24"/>
        </w:rPr>
        <w:t> </w:t>
      </w:r>
      <w:r>
        <w:rPr>
          <w:szCs w:val="24"/>
        </w:rPr>
        <w:t>ESM ve znění návrhu), ale p</w:t>
      </w:r>
      <w:r w:rsidR="00004976">
        <w:rPr>
          <w:szCs w:val="24"/>
        </w:rPr>
        <w:t>odobu žádosti, jeví s</w:t>
      </w:r>
      <w:r>
        <w:rPr>
          <w:szCs w:val="24"/>
        </w:rPr>
        <w:t>e jako vhodné výjimku z požadavku na elektronickou podobu upravit i pro žádost. Prakticky totiž bude předpokladem přístup</w:t>
      </w:r>
      <w:r w:rsidR="00634CEC">
        <w:rPr>
          <w:szCs w:val="24"/>
        </w:rPr>
        <w:t>u</w:t>
      </w:r>
      <w:r>
        <w:rPr>
          <w:szCs w:val="24"/>
        </w:rPr>
        <w:t xml:space="preserve"> podání žádosti. Bylo by nekoncepční umožnit získání výpisu v listinné podobě, ale neumožnit podání listinné žádosti. Takový režim by bylo možné vnímat i jako nedůvodnou překážku pro přístup veřejnosti. </w:t>
      </w:r>
    </w:p>
    <w:p w14:paraId="2AC55E62" w14:textId="310259CF" w:rsidR="00303604" w:rsidRDefault="007548E1" w:rsidP="00091EBF">
      <w:pPr>
        <w:rPr>
          <w:szCs w:val="24"/>
        </w:rPr>
      </w:pPr>
      <w:r>
        <w:rPr>
          <w:szCs w:val="24"/>
        </w:rPr>
        <w:t>Proto se navrhuje ve výjimečných případech umožnit podání žádosti i v listinné podobě. Listinná žádost je vyhrazena pouze pro žadatele, kteří elektronickou žádost objektivně podat nemohou, respektive by to pro ně bylo neadekvátně složité. Např. potřeba zřízení datové schránky nemůže být vnímána jako překážka elektronického podání. Drtivá</w:t>
      </w:r>
      <w:r w:rsidR="00004976">
        <w:rPr>
          <w:szCs w:val="24"/>
        </w:rPr>
        <w:t xml:space="preserve"> většina</w:t>
      </w:r>
      <w:r>
        <w:rPr>
          <w:szCs w:val="24"/>
        </w:rPr>
        <w:t xml:space="preserve"> žadatelů tak bude standardně moci podat žádost elektronicky. Výjimka bude patrně dopadat pouze na specifické případy zahraničních žadatelů, typicky ze třetích zemí. </w:t>
      </w:r>
    </w:p>
    <w:p w14:paraId="3BC19B70" w14:textId="2F8D3751" w:rsidR="00091EBF" w:rsidRPr="001F044F" w:rsidRDefault="00091EBF" w:rsidP="00091EBF">
      <w:r w:rsidRPr="001F044F">
        <w:rPr>
          <w:szCs w:val="24"/>
        </w:rPr>
        <w:t>Právním předpisem, který spojuje účinky vlastnoručního podpisu</w:t>
      </w:r>
      <w:r w:rsidR="00004976">
        <w:rPr>
          <w:szCs w:val="24"/>
        </w:rPr>
        <w:t xml:space="preserve"> s určitým způsobem podpisu</w:t>
      </w:r>
      <w:r w:rsidRPr="001F044F">
        <w:rPr>
          <w:szCs w:val="24"/>
        </w:rPr>
        <w:t>, se rozumí</w:t>
      </w:r>
      <w:r w:rsidRPr="001F044F">
        <w:t xml:space="preserve"> § 6 odst. 1 zákona č. 297/2016 Sb., o službách vytvářejících důvěru pro elektronické transakce</w:t>
      </w:r>
      <w:r w:rsidR="00004976">
        <w:t>, ve znění pozdějších předpisů</w:t>
      </w:r>
      <w:r w:rsidRPr="001F044F">
        <w:t xml:space="preserve">. Jedná se o v právním řádu ustálenou formulaci. </w:t>
      </w:r>
      <w:r>
        <w:t>Žádost</w:t>
      </w:r>
      <w:r w:rsidRPr="001F044F">
        <w:t xml:space="preserve"> je v zásadě třeba podepsat uznávaným elektronickým podpisem. Plnohodnotnou alternativou je zaslat </w:t>
      </w:r>
      <w:r>
        <w:t>žádost</w:t>
      </w:r>
      <w:r w:rsidRPr="001F044F">
        <w:t xml:space="preserve"> prostřednictvím datové schránky </w:t>
      </w:r>
      <w:r>
        <w:t>žadatele</w:t>
      </w:r>
      <w:r w:rsidRPr="001F044F">
        <w:t xml:space="preserve">, srov. § 18 odst. 2 zákona č. 300/2008 </w:t>
      </w:r>
      <w:r w:rsidRPr="001F044F">
        <w:lastRenderedPageBreak/>
        <w:t>Sb., o elektronických úkonech a autorizované konverzi dokumentů</w:t>
      </w:r>
      <w:r w:rsidR="00004976">
        <w:t>,</w:t>
      </w:r>
      <w:r w:rsidR="00004976" w:rsidRPr="00004976">
        <w:t xml:space="preserve"> </w:t>
      </w:r>
      <w:r w:rsidR="00004976">
        <w:t>ve znění pozdějších předpisů</w:t>
      </w:r>
      <w:r w:rsidRPr="001F044F">
        <w:t>.</w:t>
      </w:r>
      <w:r w:rsidRPr="001F044F">
        <w:rPr>
          <w:rStyle w:val="Znakapoznpodarou"/>
        </w:rPr>
        <w:footnoteReference w:id="16"/>
      </w:r>
      <w:r w:rsidRPr="001F044F">
        <w:t xml:space="preserve"> </w:t>
      </w:r>
    </w:p>
    <w:p w14:paraId="0D74DA9A" w14:textId="5508484E" w:rsidR="00091EBF" w:rsidRPr="001F044F" w:rsidRDefault="00091EBF" w:rsidP="00091EBF">
      <w:r w:rsidRPr="001F044F">
        <w:t>V případě listinného podání je třeba p</w:t>
      </w:r>
      <w:r w:rsidR="00004976">
        <w:t>odpis navrhovatele úředně ověřit</w:t>
      </w:r>
      <w:r w:rsidRPr="001F044F">
        <w:t>.</w:t>
      </w:r>
    </w:p>
    <w:p w14:paraId="5D8DE0F8" w14:textId="629B35E0" w:rsidR="00FA3055" w:rsidRPr="00FA3055" w:rsidRDefault="00091EBF" w:rsidP="00FA3055">
      <w:r w:rsidRPr="001F044F">
        <w:t xml:space="preserve">Podává-li </w:t>
      </w:r>
      <w:r>
        <w:t>žádost</w:t>
      </w:r>
      <w:r w:rsidRPr="001F044F">
        <w:t xml:space="preserve"> za </w:t>
      </w:r>
      <w:r>
        <w:t>žadatele</w:t>
      </w:r>
      <w:r w:rsidRPr="001F044F">
        <w:t xml:space="preserve"> právní zástupce, musí být přiložena plná moc</w:t>
      </w:r>
      <w:r w:rsidR="00004976">
        <w:t xml:space="preserve">. Plná moc musí být minimálně ve </w:t>
      </w:r>
      <w:r w:rsidRPr="001F044F">
        <w:t xml:space="preserve">formě, jaká je požadována pro </w:t>
      </w:r>
      <w:r>
        <w:t>žádost sa</w:t>
      </w:r>
      <w:r w:rsidRPr="001F044F">
        <w:t>m</w:t>
      </w:r>
      <w:r>
        <w:t>u</w:t>
      </w:r>
      <w:r w:rsidRPr="001F044F">
        <w:t xml:space="preserve"> (viz § 441 odst. 2 </w:t>
      </w:r>
      <w:r w:rsidR="009F079A">
        <w:t xml:space="preserve">zákona č. 89/2012 Sb., </w:t>
      </w:r>
      <w:r w:rsidRPr="001F044F">
        <w:t>občansk</w:t>
      </w:r>
      <w:r w:rsidR="009F079A">
        <w:t>ý zákoník</w:t>
      </w:r>
      <w:r w:rsidR="00004976">
        <w:t>,</w:t>
      </w:r>
      <w:r w:rsidR="00004976" w:rsidRPr="00004976">
        <w:t xml:space="preserve"> </w:t>
      </w:r>
      <w:r w:rsidR="00004976">
        <w:t>ve znění pozdějších předpisů</w:t>
      </w:r>
      <w:r w:rsidRPr="001F044F">
        <w:t xml:space="preserve">). S ohledem na požadavky na formu </w:t>
      </w:r>
      <w:r>
        <w:t>žádosti</w:t>
      </w:r>
      <w:r w:rsidRPr="001F044F">
        <w:t xml:space="preserve"> je tedy třeba, aby byla elektronická plná moc podepsána uznávaným elektronickým popisem</w:t>
      </w:r>
      <w:r w:rsidR="007548E1" w:rsidRPr="001F044F">
        <w:t>, respektive aby byl podpis na li</w:t>
      </w:r>
      <w:r w:rsidR="007548E1">
        <w:t>stinné plné moci úředně ověřen</w:t>
      </w:r>
      <w:r w:rsidRPr="001F044F">
        <w:t xml:space="preserve">. </w:t>
      </w:r>
    </w:p>
    <w:p w14:paraId="569A5F82" w14:textId="16C75184" w:rsidR="00E05220" w:rsidRDefault="00E05220" w:rsidP="00E05220">
      <w:pPr>
        <w:pStyle w:val="Nadpis5"/>
      </w:pPr>
      <w:r w:rsidRPr="00492DD8">
        <w:t>K</w:t>
      </w:r>
      <w:r>
        <w:t xml:space="preserve"> bodu </w:t>
      </w:r>
      <w:r w:rsidR="008832FD">
        <w:t>11</w:t>
      </w:r>
      <w:r>
        <w:t xml:space="preserve"> [§ 15c]</w:t>
      </w:r>
    </w:p>
    <w:p w14:paraId="32EBE9C4" w14:textId="3E068B68" w:rsidR="009B76BB" w:rsidRDefault="0003653D" w:rsidP="0003653D">
      <w:r>
        <w:t xml:space="preserve">Ustanovení transponuje relativně podrobná pravidla AML směrnice týkající se procesu vyřizování žádostí o přístup na základě oprávněného zájmu. </w:t>
      </w:r>
      <w:r w:rsidR="005E5674">
        <w:t>Lze hovořit o pravidlech řízení o</w:t>
      </w:r>
      <w:r w:rsidR="00634CEC">
        <w:t> </w:t>
      </w:r>
      <w:r w:rsidR="005E5674">
        <w:t>ověření oprávněného zájmu o přístup do evidence skutečných majitelů. Svou povahou jde o</w:t>
      </w:r>
      <w:r w:rsidR="00634CEC">
        <w:t> </w:t>
      </w:r>
      <w:r w:rsidR="005E5674">
        <w:t xml:space="preserve">správní řízení, jelikož jeho účelem </w:t>
      </w:r>
      <w:r w:rsidR="005E5674" w:rsidRPr="005E5674">
        <w:t>je vydání rozhodnutí, jímž se zakládají, mění nebo ruší práva anebo povinnosti jmenovitě určené osoby</w:t>
      </w:r>
      <w:r w:rsidR="005E5674">
        <w:t xml:space="preserve"> </w:t>
      </w:r>
      <w:r w:rsidR="005E5674" w:rsidRPr="005E5674">
        <w:t>nebo jímž se v určité věci prohlašuje, že taková osoba práva nebo povinnosti</w:t>
      </w:r>
      <w:r w:rsidR="005E5674">
        <w:t xml:space="preserve"> má anebo nemá (§ 9 </w:t>
      </w:r>
      <w:r w:rsidR="009B76BB">
        <w:t xml:space="preserve">zákona č. 500/2004 Sb., správní řád, ve znění pozdějších předpisů, dále </w:t>
      </w:r>
      <w:r w:rsidR="00004976">
        <w:t xml:space="preserve">jen </w:t>
      </w:r>
      <w:r w:rsidR="009B76BB">
        <w:t>„správní řád“).</w:t>
      </w:r>
    </w:p>
    <w:p w14:paraId="33E1CF24" w14:textId="55AD5E6E" w:rsidR="005E5674" w:rsidRDefault="009B76BB" w:rsidP="0003653D">
      <w:r>
        <w:t>Nebudou</w:t>
      </w:r>
      <w:r w:rsidR="005E5674">
        <w:t xml:space="preserve">-li </w:t>
      </w:r>
      <w:r>
        <w:t xml:space="preserve">návrhem </w:t>
      </w:r>
      <w:r w:rsidR="005E5674">
        <w:t>stanoven</w:t>
      </w:r>
      <w:r>
        <w:t>a</w:t>
      </w:r>
      <w:r w:rsidR="005E5674">
        <w:t xml:space="preserve"> </w:t>
      </w:r>
      <w:r>
        <w:t>speciální pravidla</w:t>
      </w:r>
      <w:r w:rsidR="005E5674">
        <w:t xml:space="preserve">, uplatní se </w:t>
      </w:r>
      <w:r>
        <w:t>subsidiárně správní řád. Tak tomu bude zejména ve vz</w:t>
      </w:r>
      <w:r w:rsidR="00E35B6F">
        <w:t xml:space="preserve">tahu </w:t>
      </w:r>
      <w:r w:rsidR="00004976">
        <w:t xml:space="preserve">k </w:t>
      </w:r>
      <w:r w:rsidR="00E35B6F">
        <w:t>možnosti soudního přezkumu</w:t>
      </w:r>
      <w:r>
        <w:t xml:space="preserve">. Požadavek na existenci </w:t>
      </w:r>
      <w:r w:rsidR="00E35B6F">
        <w:t>soudního</w:t>
      </w:r>
      <w:r>
        <w:t xml:space="preserve"> přezkumu plynoucí z čl. 13 </w:t>
      </w:r>
      <w:r w:rsidR="00564DB9">
        <w:t xml:space="preserve">odst. </w:t>
      </w:r>
      <w:r w:rsidR="00004976">
        <w:t>8 AML</w:t>
      </w:r>
      <w:r>
        <w:t xml:space="preserve"> směrnice j</w:t>
      </w:r>
      <w:r w:rsidR="00004976">
        <w:t>e proto splněn</w:t>
      </w:r>
      <w:r>
        <w:t>.</w:t>
      </w:r>
      <w:r w:rsidR="005E5674">
        <w:t xml:space="preserve"> </w:t>
      </w:r>
    </w:p>
    <w:p w14:paraId="1A6F2BC3" w14:textId="05B808FD" w:rsidR="0003653D" w:rsidRDefault="0003653D" w:rsidP="0003653D">
      <w:pPr>
        <w:pStyle w:val="Nadpis6"/>
      </w:pPr>
      <w:r>
        <w:t>K odstavci 1</w:t>
      </w:r>
    </w:p>
    <w:p w14:paraId="003D7D73" w14:textId="63203550" w:rsidR="005E5674" w:rsidRDefault="005E5674" w:rsidP="005E5674">
      <w:r>
        <w:t xml:space="preserve">Ustanovení transponuje čl. 13 </w:t>
      </w:r>
      <w:r w:rsidR="00564DB9">
        <w:t xml:space="preserve">odst. </w:t>
      </w:r>
      <w:r>
        <w:t xml:space="preserve">6 </w:t>
      </w:r>
      <w:r w:rsidR="00002B8E">
        <w:t xml:space="preserve">první a druhý pododstavec </w:t>
      </w:r>
      <w:r>
        <w:t>AML směrnice, který stanovuje</w:t>
      </w:r>
      <w:r w:rsidR="00002B8E">
        <w:t xml:space="preserve"> pořádkov</w:t>
      </w:r>
      <w:r w:rsidR="00004976">
        <w:t>ou</w:t>
      </w:r>
      <w:r>
        <w:t xml:space="preserve"> lhůtu pro ověření oprávněného zájmu. V dané lhůtě nemusí být přístup udělen, ale má v ní být o přístupu rozhodnuto. AML směrnice hovoří o „provedení ověření“ a</w:t>
      </w:r>
      <w:r w:rsidR="00634CEC">
        <w:t> </w:t>
      </w:r>
      <w:r>
        <w:t xml:space="preserve">„poskytnutí odpovědi“. Tyto úkony lze v kontextu tuzemské úpravy </w:t>
      </w:r>
      <w:r w:rsidR="003E6DB0">
        <w:t xml:space="preserve">podřadit </w:t>
      </w:r>
      <w:r>
        <w:t xml:space="preserve">z procesního hlediska pod okamžik </w:t>
      </w:r>
      <w:r w:rsidR="009F08B4">
        <w:t xml:space="preserve">umožnění přístupu (nevydává se rozhodnutí), případně </w:t>
      </w:r>
      <w:r w:rsidR="003E6DB0">
        <w:t>vydání správní</w:t>
      </w:r>
      <w:r w:rsidR="00004976">
        <w:t>ho</w:t>
      </w:r>
      <w:r w:rsidR="003E6DB0">
        <w:t xml:space="preserve"> </w:t>
      </w:r>
      <w:r>
        <w:t>rozhodnutí</w:t>
      </w:r>
      <w:r w:rsidR="009F08B4">
        <w:t>, kterým ministerstvo žádost zamítne</w:t>
      </w:r>
      <w:r>
        <w:t>.</w:t>
      </w:r>
    </w:p>
    <w:p w14:paraId="5517F2B8" w14:textId="0B80D691" w:rsidR="00002B8E" w:rsidRPr="005E5674" w:rsidRDefault="00002B8E" w:rsidP="00002B8E">
      <w:r>
        <w:t>O žádosti je třeba rozhodnout do 12 pracovních dnů od jejího doručení. V souladu s AML směrnicí může ministerstvo v případě náhlého v</w:t>
      </w:r>
      <w:r w:rsidR="00004976">
        <w:t>ysokého poč</w:t>
      </w:r>
      <w:r>
        <w:t>tu žádostí lhůtu prodloužit o</w:t>
      </w:r>
      <w:r w:rsidR="00634CEC">
        <w:t> </w:t>
      </w:r>
      <w:r>
        <w:t>dalších</w:t>
      </w:r>
      <w:r w:rsidR="00004976">
        <w:t xml:space="preserve"> 12 pracovních dnů. K takovému</w:t>
      </w:r>
      <w:r>
        <w:t xml:space="preserve"> prodloužení může dojít dvakrát. </w:t>
      </w:r>
      <w:r w:rsidR="008451AA">
        <w:t xml:space="preserve">Současně se chce postavit najisto, že i při využití jednoho či případně dvou prodloužení lhůty musí ministerstvo rozhodnout nejdéle do 36 pracovních dnů od podání žádosti. </w:t>
      </w:r>
    </w:p>
    <w:p w14:paraId="1EF26D44" w14:textId="5D4DAE2A" w:rsidR="009B76BB" w:rsidRDefault="009B76BB" w:rsidP="005E5674">
      <w:r>
        <w:t>Nedodržení lhůty ze strany ministerstva nemá žádné procesní následky</w:t>
      </w:r>
      <w:r w:rsidR="00002B8E">
        <w:t>. Cílem lhůty je tak především v maximální míře zajistit rychlost vyřizování žádostí a u</w:t>
      </w:r>
      <w:r w:rsidR="00004976">
        <w:t>činit řízení, respektive jeho dé</w:t>
      </w:r>
      <w:r w:rsidR="00002B8E">
        <w:t xml:space="preserve">lku, pro účastníky dostatečně předvídatelné. Pokud však ministerstvo lhůtu nedodrží, je nutné </w:t>
      </w:r>
      <w:r w:rsidR="00002B8E">
        <w:lastRenderedPageBreak/>
        <w:t xml:space="preserve">podle </w:t>
      </w:r>
      <w:r w:rsidR="009F08B4">
        <w:t>požadavku AML</w:t>
      </w:r>
      <w:r w:rsidR="00002B8E">
        <w:t xml:space="preserve"> směrnice o každém prodloužení lhůty informovat Evropskou </w:t>
      </w:r>
      <w:r w:rsidR="009F08B4">
        <w:t>komisi</w:t>
      </w:r>
      <w:r w:rsidR="00002B8E">
        <w:t xml:space="preserve"> (viz odstavec </w:t>
      </w:r>
      <w:r w:rsidR="00BF5E12">
        <w:t>7</w:t>
      </w:r>
      <w:r w:rsidR="00002B8E">
        <w:t>).</w:t>
      </w:r>
    </w:p>
    <w:p w14:paraId="65C66427" w14:textId="7469A115" w:rsidR="0003653D" w:rsidRDefault="0003653D" w:rsidP="0003653D">
      <w:pPr>
        <w:pStyle w:val="Nadpis6"/>
      </w:pPr>
      <w:r>
        <w:t>K odstavci 2</w:t>
      </w:r>
    </w:p>
    <w:p w14:paraId="728B680E" w14:textId="28CCD81D" w:rsidR="009754FA" w:rsidRDefault="008451AA" w:rsidP="00ED4980">
      <w:r>
        <w:t xml:space="preserve">Ustanovení transponuje čl. 13 </w:t>
      </w:r>
      <w:r w:rsidR="00564DB9">
        <w:t xml:space="preserve">odst. </w:t>
      </w:r>
      <w:r>
        <w:t xml:space="preserve">6 </w:t>
      </w:r>
      <w:r w:rsidR="00E25AD9">
        <w:t xml:space="preserve">čtvrtý pododstavec AML směrnice. Úprava </w:t>
      </w:r>
      <w:r w:rsidR="006110A9">
        <w:t>má</w:t>
      </w:r>
      <w:r w:rsidR="00E25AD9">
        <w:t xml:space="preserve"> zjednoduš</w:t>
      </w:r>
      <w:r w:rsidR="006110A9">
        <w:t xml:space="preserve">it a zrychlit proces posuzování v případech, kdy </w:t>
      </w:r>
      <w:r w:rsidR="00ED4980">
        <w:t xml:space="preserve">stejný žadatel žádá o přístup opakovaně. Úprava předpokládá, že takové posouzení je </w:t>
      </w:r>
      <w:r w:rsidR="009F08B4">
        <w:t>jednodušší,</w:t>
      </w:r>
      <w:r w:rsidR="00ED4980">
        <w:t xml:space="preserve"> a tudíž má být žádost vyřízena rychleji. V souladu s transponovaným pravidlem stanoví, že o žádosti takovéhoto žadatele je třeba rozhodnout zrychleně, a to do 7 pracovních dnů od doručení žádosti. K ověření muselo přitom </w:t>
      </w:r>
      <w:r w:rsidR="00004976">
        <w:t xml:space="preserve">dojít </w:t>
      </w:r>
      <w:r w:rsidR="00ED4980">
        <w:t xml:space="preserve">nejdéle 3 roky od podání žádosti, přičemž počátek této doby je den, </w:t>
      </w:r>
      <w:r w:rsidR="009F08B4">
        <w:t>od kterého</w:t>
      </w:r>
      <w:r w:rsidR="00ED4980">
        <w:t xml:space="preserve"> </w:t>
      </w:r>
      <w:r w:rsidR="009F08B4">
        <w:t xml:space="preserve">ministerstvo přístup umožnilo (viz odstavec </w:t>
      </w:r>
      <w:r w:rsidR="00BF5E12">
        <w:t>4</w:t>
      </w:r>
      <w:r w:rsidR="009F08B4">
        <w:t>)</w:t>
      </w:r>
      <w:r w:rsidR="00ED4980">
        <w:t>.</w:t>
      </w:r>
    </w:p>
    <w:p w14:paraId="08C8E2A8" w14:textId="27573DF3" w:rsidR="0003653D" w:rsidRDefault="0003653D" w:rsidP="0003653D">
      <w:pPr>
        <w:pStyle w:val="Nadpis6"/>
      </w:pPr>
      <w:r>
        <w:t>K odstavci 3</w:t>
      </w:r>
    </w:p>
    <w:p w14:paraId="58F04FAB" w14:textId="647A9795" w:rsidR="00307F01" w:rsidRDefault="00336947" w:rsidP="00307F01">
      <w:r>
        <w:t xml:space="preserve">V návaznosti na čl. 13 </w:t>
      </w:r>
      <w:r w:rsidR="00564DB9">
        <w:t xml:space="preserve">odst. </w:t>
      </w:r>
      <w:r>
        <w:t>7 druhý pododstavec AML směrnice se explicitně upravuje možnost doplnění žádosti o přístup. T</w:t>
      </w:r>
      <w:r w:rsidR="00132D27">
        <w:t xml:space="preserve">o, zda si </w:t>
      </w:r>
      <w:r w:rsidR="009F08B4">
        <w:t>ministerstvo</w:t>
      </w:r>
      <w:r w:rsidR="00132D27">
        <w:t xml:space="preserve"> vyžádá doplnění, bude na jeho uvážení, respektive vyhodnocení, zda je doplnění účelné. </w:t>
      </w:r>
      <w:r w:rsidR="00FD3924">
        <w:t>Doplnění je účelné, pokud je nedostatek žádosti zřejmý (např. chybějící listina</w:t>
      </w:r>
      <w:r w:rsidR="00E35B6F">
        <w:t xml:space="preserve"> dokládající určitou skutečnost, typicky čestné prohlášení</w:t>
      </w:r>
      <w:r w:rsidR="00FD3924">
        <w:t xml:space="preserve">) a současně </w:t>
      </w:r>
      <w:r w:rsidR="00E35B6F">
        <w:t>je jasné, jak jej na</w:t>
      </w:r>
      <w:r w:rsidR="00004976">
        <w:t xml:space="preserve">pravit (danou listinu doplnit). </w:t>
      </w:r>
      <w:r w:rsidR="00132D27">
        <w:t xml:space="preserve">Ministerstvo si v konkrétním případě vyhodnotí, zda případné doplnění může mít vliv na nezamítnutí žádosti, tedy zda je účelné tuto možnost žadateli poskytnout.  </w:t>
      </w:r>
    </w:p>
    <w:p w14:paraId="4E161B40" w14:textId="73FC4EFE" w:rsidR="00C17908" w:rsidRPr="00307F01" w:rsidRDefault="00C17908" w:rsidP="00307F01">
      <w:r>
        <w:t>Prodloužení lhůty v případě doplnění žádosti i délka dodatečné lhůty plynou přímo z čl. 13 odst.</w:t>
      </w:r>
      <w:r w:rsidR="00634CEC">
        <w:t> </w:t>
      </w:r>
      <w:r>
        <w:t>7 druhý pododstavec AML směrnice.</w:t>
      </w:r>
    </w:p>
    <w:p w14:paraId="1BE064C9" w14:textId="0226B541" w:rsidR="0003653D" w:rsidRDefault="0003653D" w:rsidP="0003653D">
      <w:pPr>
        <w:pStyle w:val="Nadpis6"/>
      </w:pPr>
      <w:r>
        <w:t xml:space="preserve">K odstavci </w:t>
      </w:r>
      <w:r w:rsidR="00A35959">
        <w:t>4</w:t>
      </w:r>
    </w:p>
    <w:p w14:paraId="28C21DEF" w14:textId="77777777" w:rsidR="002103E8" w:rsidRDefault="00EC68D1" w:rsidP="009F08B4">
      <w:r>
        <w:t>Z důvodu zjednodušení administrace a zrychlení procesu vyřízení žádosti se stanovuje, že při kladném vyřízení žádosti se nevydává rozhodnutí. Ministerstvo v takovém případě prostřednictvím nastavení v informačním systému umožní přístup</w:t>
      </w:r>
      <w:r w:rsidR="003021C7">
        <w:t xml:space="preserve"> do evidence</w:t>
      </w:r>
      <w:r>
        <w:t>.</w:t>
      </w:r>
    </w:p>
    <w:p w14:paraId="35274009" w14:textId="2811E87A" w:rsidR="00A35959" w:rsidRDefault="00EC68D1" w:rsidP="009F08B4">
      <w:r>
        <w:t xml:space="preserve">Informaci o </w:t>
      </w:r>
      <w:r w:rsidR="00A35959">
        <w:t>zřízení přístupu ministerstvo</w:t>
      </w:r>
      <w:r>
        <w:t xml:space="preserve"> zprostředkuje </w:t>
      </w:r>
      <w:r w:rsidR="00A35959">
        <w:t>žadateli formou</w:t>
      </w:r>
      <w:r w:rsidR="00004976">
        <w:t xml:space="preserve"> vyrozumění</w:t>
      </w:r>
      <w:r>
        <w:t xml:space="preserve">. </w:t>
      </w:r>
      <w:r w:rsidR="00A35959">
        <w:t xml:space="preserve">To </w:t>
      </w:r>
      <w:r w:rsidR="00E35B6F">
        <w:t>by mělo</w:t>
      </w:r>
      <w:r w:rsidR="00A35959">
        <w:t xml:space="preserve"> být do značné míry </w:t>
      </w:r>
      <w:r w:rsidR="00E35B6F">
        <w:t>z</w:t>
      </w:r>
      <w:r w:rsidR="00A35959">
        <w:t xml:space="preserve">automatizováno. Pokud žadatel zadá v rámci žádosti </w:t>
      </w:r>
      <w:r w:rsidR="002103E8">
        <w:t xml:space="preserve">kontaktní </w:t>
      </w:r>
      <w:r w:rsidR="00A35959">
        <w:t>adresu</w:t>
      </w:r>
      <w:r w:rsidR="002103E8">
        <w:t xml:space="preserve"> elektronické pošty, lze jej informovat tímto způsobem, případně prostřednictvím datové</w:t>
      </w:r>
      <w:r w:rsidR="00004976">
        <w:t xml:space="preserve"> schránky. Ve vyrozumění by měl</w:t>
      </w:r>
      <w:r w:rsidR="002103E8">
        <w:t xml:space="preserve"> být uveden den, od kdy je přístup umožněn. </w:t>
      </w:r>
    </w:p>
    <w:p w14:paraId="3EBE59F5" w14:textId="1489DEF9" w:rsidR="00A35959" w:rsidRDefault="00A35959" w:rsidP="00A35959">
      <w:pPr>
        <w:pStyle w:val="Nadpis6"/>
      </w:pPr>
      <w:r>
        <w:t>K odstavci 5</w:t>
      </w:r>
    </w:p>
    <w:p w14:paraId="278DE013" w14:textId="2261A666" w:rsidR="00A35959" w:rsidRDefault="00A35959" w:rsidP="00A35959">
      <w:r>
        <w:t xml:space="preserve">Ustanovení transponuje čl. 13 odst. 7 první pododstavec AML směrnice, který upravuje důvody </w:t>
      </w:r>
      <w:r w:rsidR="00C17908">
        <w:t>zamítnutí</w:t>
      </w:r>
      <w:r>
        <w:t xml:space="preserve"> žádosti o přístup. </w:t>
      </w:r>
    </w:p>
    <w:p w14:paraId="4B25D1F4" w14:textId="09024BD0" w:rsidR="00A35959" w:rsidRDefault="00A35959" w:rsidP="00A35959">
      <w:r>
        <w:t xml:space="preserve">Proti rozhodnutí o zamítnutí žádosti </w:t>
      </w:r>
      <w:r w:rsidR="00C17908">
        <w:t>není možné se odvolat. Žadatel se však proti rozhodnutí ministerstva může bránit v rámci správního soudnictví</w:t>
      </w:r>
      <w:r w:rsidR="00242190">
        <w:t>. Tímto způsobem je</w:t>
      </w:r>
      <w:r>
        <w:t xml:space="preserve"> </w:t>
      </w:r>
      <w:r w:rsidR="00242190">
        <w:t>transponován</w:t>
      </w:r>
      <w:r>
        <w:t xml:space="preserve"> požadav</w:t>
      </w:r>
      <w:r w:rsidR="00634CEC">
        <w:t>ek</w:t>
      </w:r>
      <w:r>
        <w:t xml:space="preserve"> § 13 odst. 9 AML směrnice. </w:t>
      </w:r>
    </w:p>
    <w:p w14:paraId="08DA0B1A" w14:textId="77777777" w:rsidR="00A35959" w:rsidRPr="003619A1" w:rsidRDefault="00A35959" w:rsidP="00A35959">
      <w:pPr>
        <w:pStyle w:val="Nadpis7"/>
      </w:pPr>
      <w:r>
        <w:lastRenderedPageBreak/>
        <w:t xml:space="preserve">K písmenům a) a b)      </w:t>
      </w:r>
    </w:p>
    <w:p w14:paraId="2FE8A1E3" w14:textId="1EFF67E7" w:rsidR="00A35959" w:rsidRDefault="00A35959" w:rsidP="00A35959">
      <w:r>
        <w:t xml:space="preserve">Důvodem </w:t>
      </w:r>
      <w:r w:rsidR="00242190">
        <w:t>zamítnutí žádosti</w:t>
      </w:r>
      <w:r>
        <w:t xml:space="preserve"> je primárně neposkytnutí údajů, na jejichž základě lze žádost posoudit [např. chybí popis vztahu k právnické osobě, je-li žadatelem např. osoba podle § 15 odst. 2 písm. e) zákona o ESM ve znění návrhu]. I při poskytnutí požadovaných údajů může ministerstvo dojít k závěru, že oprávněný zájem nebyl ověřen, byť s ohledem na nízké nároky na žadatele tomu tak patrně v praxi nebude často. </w:t>
      </w:r>
    </w:p>
    <w:p w14:paraId="0A975936" w14:textId="77777777" w:rsidR="00A35959" w:rsidRPr="003619A1" w:rsidRDefault="00A35959" w:rsidP="00A35959">
      <w:pPr>
        <w:pStyle w:val="Nadpis7"/>
      </w:pPr>
      <w:r>
        <w:t xml:space="preserve">K písmeni c)      </w:t>
      </w:r>
    </w:p>
    <w:p w14:paraId="6B4614A0" w14:textId="35891EAC" w:rsidR="00A35959" w:rsidRDefault="00A35959" w:rsidP="00A35959">
      <w:r>
        <w:t>Dalším důvodem zamítnutí žádost</w:t>
      </w:r>
      <w:r w:rsidR="00242190">
        <w:t>i</w:t>
      </w:r>
      <w:r>
        <w:t xml:space="preserve"> je důvodné podezření ministerstva, že žadatel požadované údaje nebude používat za zákonným účelem, tj. </w:t>
      </w:r>
      <w:r w:rsidR="00E35B6F">
        <w:t>jednak</w:t>
      </w:r>
      <w:r>
        <w:t xml:space="preserve"> </w:t>
      </w:r>
      <w:r w:rsidR="00242190">
        <w:t xml:space="preserve">k </w:t>
      </w:r>
      <w:r>
        <w:t>předcházení trestným činům legalizace výnosů z trestné činnosti a financování terorismu</w:t>
      </w:r>
      <w:r w:rsidR="00E35B6F">
        <w:t xml:space="preserve">, jednak </w:t>
      </w:r>
      <w:r w:rsidR="00242190">
        <w:t xml:space="preserve">k </w:t>
      </w:r>
      <w:r w:rsidR="00E35B6F">
        <w:t>účelům podle § 15 odst. 3 zákona o ESM ve znění návrhu</w:t>
      </w:r>
      <w:r>
        <w:t xml:space="preserve">. Jakkoli nelze předjímat, jakým způsobem bude v praxi přístup veřejnosti probíhat, nelze předpokládat, že by měl být ve velké míře zneužíván. Ministerstvo spravedlnosti bude </w:t>
      </w:r>
      <w:r w:rsidR="00242190">
        <w:t>mít jen značně omezenou</w:t>
      </w:r>
      <w:r>
        <w:t xml:space="preserve"> možnost případné zneužití přístupu odhalit ve fázi posuzování žádosti, minimálně u </w:t>
      </w:r>
      <w:proofErr w:type="spellStart"/>
      <w:r>
        <w:t>prvožadatelů</w:t>
      </w:r>
      <w:proofErr w:type="spellEnd"/>
      <w:r>
        <w:t xml:space="preserve"> (subjektů žádajících poprvé). </w:t>
      </w:r>
      <w:r w:rsidR="00242190">
        <w:t>Tento důvod</w:t>
      </w:r>
      <w:r>
        <w:t xml:space="preserve"> zamítnutí tak spíše bude v praxi důvodem pro zrušení přístupu podle § 15f zákona o ESM ve znění návrhu. </w:t>
      </w:r>
    </w:p>
    <w:p w14:paraId="7A923E2D" w14:textId="7BA8418C" w:rsidR="00A35959" w:rsidRDefault="00A35959" w:rsidP="00A35959">
      <w:r>
        <w:t>Obavy ze zneužití přístupu, respektive využití pro jiné účely, mohou být založeny jednak na veřejně dostupných informacích o žadateli, jednak na jeho historii jakožto žadatele, respektive uživatele údajů v evidenci. Lze např. uvažovat o situacích, kdy bude z okolností případu (včetně např. stížností ze strany skutečného majitele) možné dovozovat, že daný subjekt údaje v minulosti v podobné</w:t>
      </w:r>
      <w:r w:rsidR="00242190">
        <w:t xml:space="preserve"> situaci využil pro jiné účely, např. údaje dále pře</w:t>
      </w:r>
      <w:r>
        <w:t xml:space="preserve">prodával či vytvářel profily společností pro komerční účely (bez vazby na AML). </w:t>
      </w:r>
    </w:p>
    <w:p w14:paraId="57682E85" w14:textId="77777777" w:rsidR="00A35959" w:rsidRPr="003619A1" w:rsidRDefault="00A35959" w:rsidP="00A35959">
      <w:pPr>
        <w:pStyle w:val="Nadpis7"/>
      </w:pPr>
      <w:r>
        <w:t xml:space="preserve">K písmeni d)      </w:t>
      </w:r>
    </w:p>
    <w:p w14:paraId="52CD8CFE" w14:textId="1754A725" w:rsidR="00A35959" w:rsidRDefault="00A35959" w:rsidP="00A35959">
      <w:r>
        <w:t xml:space="preserve">Žádost bude zamítnuta také v případě, </w:t>
      </w:r>
      <w:r w:rsidR="00242190">
        <w:t>pokud</w:t>
      </w:r>
      <w:r>
        <w:t xml:space="preserve"> jsou požadovány údaje o subjektu, jehož skuteční majitelé jsou zn</w:t>
      </w:r>
      <w:r w:rsidR="00242190">
        <w:t xml:space="preserve">epřístupnění podle § 32 nebo </w:t>
      </w:r>
      <w:proofErr w:type="gramStart"/>
      <w:r w:rsidR="00242190">
        <w:t>32a</w:t>
      </w:r>
      <w:proofErr w:type="gramEnd"/>
      <w:r>
        <w:t xml:space="preserve"> zákona o ESM ve znění návrhu. Ustanovení zajišťuje ochranu znepřístupněných údajů. </w:t>
      </w:r>
    </w:p>
    <w:p w14:paraId="32A6BC99" w14:textId="1FF29D00" w:rsidR="00A35959" w:rsidRDefault="00A35959" w:rsidP="00A35959">
      <w:r>
        <w:t>Lze dop</w:t>
      </w:r>
      <w:r w:rsidR="00242190">
        <w:t>lnit, že předmětná ochrana nepří</w:t>
      </w:r>
      <w:r>
        <w:t>stupných údajů již plyne z pravidla § 15 odst. 5 zákona o ESM ve znění návrhu. Tato duplicita je však i v transponované AML směrnici. Z důvodu zamezení pochyb</w:t>
      </w:r>
      <w:r w:rsidR="00242190">
        <w:t>ám</w:t>
      </w:r>
      <w:r>
        <w:t xml:space="preserve"> o správné transpozici se navrhuje tento samostatný důvod pro zamítnutí žádosti upravit, a to i přes popsanou duplicitu. </w:t>
      </w:r>
    </w:p>
    <w:p w14:paraId="419E08A2" w14:textId="190AF712" w:rsidR="00A35959" w:rsidRDefault="00A35959" w:rsidP="00A35959">
      <w:r w:rsidRPr="00AA6C92">
        <w:t xml:space="preserve">Z administrátorského rozhraní </w:t>
      </w:r>
      <w:r>
        <w:t xml:space="preserve">pro pracovníky ministerstva </w:t>
      </w:r>
      <w:r w:rsidRPr="00AA6C92">
        <w:t>bude zjevné, že dané údaje jsou v režimu znepřístupnění</w:t>
      </w:r>
      <w:r>
        <w:t>.</w:t>
      </w:r>
      <w:r w:rsidRPr="00AA6C92">
        <w:t xml:space="preserve"> Nad to lze uvažovat i o tom, že v rámci formul</w:t>
      </w:r>
      <w:r w:rsidR="00242190">
        <w:t>áře žádosti nebude možné vybrat (</w:t>
      </w:r>
      <w:r w:rsidRPr="00AA6C92">
        <w:t>označit</w:t>
      </w:r>
      <w:r w:rsidR="00242190">
        <w:t>) právnickou osobu nebo právní uspořádání</w:t>
      </w:r>
      <w:r w:rsidRPr="00AA6C92">
        <w:t>, u n</w:t>
      </w:r>
      <w:r w:rsidR="00242190">
        <w:t>ichž</w:t>
      </w:r>
      <w:r w:rsidRPr="00AA6C92">
        <w:t xml:space="preserve"> jsou údaje znepřístupněné, takže žadatel ani nebude moci </w:t>
      </w:r>
      <w:r w:rsidR="00242190">
        <w:t>tyto údaje požadovat</w:t>
      </w:r>
      <w:r w:rsidRPr="00AA6C92">
        <w:t>.</w:t>
      </w:r>
    </w:p>
    <w:p w14:paraId="66BDFA87" w14:textId="77777777" w:rsidR="00A35959" w:rsidRDefault="00A35959" w:rsidP="00A35959">
      <w:pPr>
        <w:pStyle w:val="Nadpis7"/>
      </w:pPr>
      <w:r>
        <w:t xml:space="preserve">K písmeni e)      </w:t>
      </w:r>
    </w:p>
    <w:p w14:paraId="2140F86B" w14:textId="20993210" w:rsidR="00A35959" w:rsidRDefault="00A35959" w:rsidP="00A35959">
      <w:r>
        <w:t>Předmětné ustanovení transponuje čl. 13 odst. 7 písm. e) AML směrnice, který je však významově těžko srozumitelný. O</w:t>
      </w:r>
      <w:r w:rsidR="00242190">
        <w:t>d</w:t>
      </w:r>
      <w:r>
        <w:t xml:space="preserve">kazuje se na případy podle čl. 13 odst. 3 AML směrnice, </w:t>
      </w:r>
      <w:r>
        <w:lastRenderedPageBreak/>
        <w:t>tj.</w:t>
      </w:r>
      <w:r w:rsidR="00634CEC">
        <w:t> </w:t>
      </w:r>
      <w:r>
        <w:t xml:space="preserve">zahraniční žadatele, kteří svůj oprávněný zájem dokládají potvrzením o ověření </w:t>
      </w:r>
      <w:r w:rsidR="000821D1">
        <w:t xml:space="preserve">oprávněného </w:t>
      </w:r>
      <w:r w:rsidR="00242190">
        <w:t>zájmu vydaným</w:t>
      </w:r>
      <w:r w:rsidRPr="003C781C">
        <w:t xml:space="preserve"> orgánem jiného členského státu</w:t>
      </w:r>
      <w:r>
        <w:t xml:space="preserve"> [ve smyslu § 15b odst. 2 písm. c) zákona o</w:t>
      </w:r>
      <w:r w:rsidR="00634CEC">
        <w:t> </w:t>
      </w:r>
      <w:r>
        <w:t>ESM ve znění návrhu]. Mělo by se tak jednat o subjekty, které spadají do některé z kategorií, u kterých se oprávněný zájem předpokládá podle úpravy transponující čl. 12 odst. 2 první pododstavec AML směrnice. Těmto žadatelů</w:t>
      </w:r>
      <w:r w:rsidR="00242190">
        <w:t>m</w:t>
      </w:r>
      <w:r>
        <w:t xml:space="preserve"> by se pak žádost měla zamítnout, pokud jim byl (dle zahraničního potvrzení) udělen v zahraničí přístup za jiným účelem, než za jakým chtějí přistoupit do české evidence.</w:t>
      </w:r>
    </w:p>
    <w:p w14:paraId="5486DF83" w14:textId="6B64D81A" w:rsidR="00A35959" w:rsidRDefault="00A35959" w:rsidP="00A35959">
      <w:r>
        <w:t xml:space="preserve">Cílem daného pravidla je patrně to, </w:t>
      </w:r>
      <w:r w:rsidR="00242190">
        <w:t>aby</w:t>
      </w:r>
      <w:r>
        <w:t xml:space="preserve"> žádost </w:t>
      </w:r>
      <w:r w:rsidR="00242190">
        <w:t>byla</w:t>
      </w:r>
      <w:r>
        <w:t xml:space="preserve"> zamítnuta, pokud se žadatel s potvrzením o příslušnosti do určité kategorie vůči české evidenci odkazuje na jinou kategorii. </w:t>
      </w:r>
      <w:r w:rsidR="00242190">
        <w:t>Tedy</w:t>
      </w:r>
      <w:r>
        <w:t xml:space="preserve"> např. zahraniční novinář s potvrzením, že spadá podle práva jiného členského státu do kategorie </w:t>
      </w:r>
      <w:r w:rsidR="00242190">
        <w:t xml:space="preserve">subjektů </w:t>
      </w:r>
      <w:r>
        <w:t>obdobné kategorii podle § 15 odst. 2 písm. a) zákona o ESM ve znění návrhu, žádá o</w:t>
      </w:r>
      <w:r w:rsidR="00634CEC">
        <w:t> </w:t>
      </w:r>
      <w:r>
        <w:t>přístup do české evidence, avšak prohlašuje o sobě, že spad</w:t>
      </w:r>
      <w:r w:rsidR="00B1741B">
        <w:t>á do jiné kategorie (např. že chce uzavřít obchodní vztah s právnickou osobu</w:t>
      </w:r>
      <w:r>
        <w:t xml:space="preserve">). </w:t>
      </w:r>
    </w:p>
    <w:p w14:paraId="553978BC" w14:textId="02271A25" w:rsidR="00A35959" w:rsidRDefault="00A35959" w:rsidP="00A35959">
      <w:r>
        <w:t xml:space="preserve">Dané pravidlo je však poněkud přísné, a ne zcela logické, protože žadatel by mohl být i tak posouzen bez ohledu na předložené potvrzení a mohl by mu přístup být umožněn bez ohledu na historii posuzování jeho oprávněného zájmu v zahraniční. </w:t>
      </w:r>
    </w:p>
    <w:p w14:paraId="18D99D77" w14:textId="1D2BB5BD" w:rsidR="00A35959" w:rsidRDefault="00A35959" w:rsidP="00A35959">
      <w:r>
        <w:t>Nabízí se také interpretace, podle které je cílem pravidel AML směrnice zamítnout žádost, pokud je předloženo potvrzení, které konstatuje účel přístupu, který není předvídán čl. 12 odst. 2 prvním pododstavcem AML směrnice. Tento výklad však nemá oporu ve vlastním textu AML směrnice, která důkaz potvrzením upravuje pouze ve vztahu ke katego</w:t>
      </w:r>
      <w:r w:rsidR="00B1741B">
        <w:t>riím podle čl. 12 odst. 2 prvního pododstavce</w:t>
      </w:r>
      <w:r>
        <w:t xml:space="preserve"> AML směrnice. I pokud by si některý členský stát upravil další kategorie osob s oprávněný</w:t>
      </w:r>
      <w:r w:rsidR="00B1741B">
        <w:t>m</w:t>
      </w:r>
      <w:r>
        <w:t xml:space="preserve"> záj</w:t>
      </w:r>
      <w:r w:rsidR="00B1741B">
        <w:t>m</w:t>
      </w:r>
      <w:r>
        <w:t xml:space="preserve">em o přístup, avšak nikoli v souvislosti s AML (což AML směrnice nezakazuje), nemělo by jim být vydáno potvrzení podle čl. 13 odst. 3 AML směrnice. </w:t>
      </w:r>
    </w:p>
    <w:p w14:paraId="6F7A978C" w14:textId="77777777" w:rsidR="00A35959" w:rsidRPr="003619A1" w:rsidRDefault="00A35959" w:rsidP="00A35959">
      <w:pPr>
        <w:pStyle w:val="Nadpis7"/>
      </w:pPr>
      <w:r>
        <w:t xml:space="preserve">K písmeni f)      </w:t>
      </w:r>
    </w:p>
    <w:p w14:paraId="4D14D456" w14:textId="756AD067" w:rsidR="00A35959" w:rsidRPr="001D7942" w:rsidRDefault="00A35959" w:rsidP="00A35959">
      <w:r>
        <w:t>Ustanovení vychází z požadavků AML směrnice, které reflektují požadavky GDPR týkající se p</w:t>
      </w:r>
      <w:r w:rsidRPr="007D15BF">
        <w:t>ředávání osobních údajů do třetích zemí nebo mezinárodním organizacím</w:t>
      </w:r>
      <w:r>
        <w:t xml:space="preserve">. </w:t>
      </w:r>
      <w:r w:rsidR="00BF5E12">
        <w:t>V</w:t>
      </w:r>
      <w:r>
        <w:t> zásadě není možné umožnit přístup k údajům v evidenci pro žadatele z třetí země, ve které není zajištěna</w:t>
      </w:r>
      <w:r w:rsidRPr="007D15BF">
        <w:t xml:space="preserve"> úroveň ochrany </w:t>
      </w:r>
      <w:r>
        <w:t xml:space="preserve">osobních údajů </w:t>
      </w:r>
      <w:r w:rsidRPr="007D15BF">
        <w:t>odpovídající</w:t>
      </w:r>
      <w:r>
        <w:t xml:space="preserve"> unijnímu standardu.</w:t>
      </w:r>
      <w:r>
        <w:rPr>
          <w:rStyle w:val="Znakapoznpodarou"/>
        </w:rPr>
        <w:footnoteReference w:id="17"/>
      </w:r>
    </w:p>
    <w:p w14:paraId="3B791195" w14:textId="77777777" w:rsidR="00BF5E12" w:rsidRPr="009F08B4" w:rsidRDefault="00BF5E12" w:rsidP="00BF5E12">
      <w:pPr>
        <w:pStyle w:val="Nadpis6"/>
      </w:pPr>
      <w:r>
        <w:t>K odstavci 6</w:t>
      </w:r>
    </w:p>
    <w:p w14:paraId="04991AF7" w14:textId="1CD863DC" w:rsidR="00C17908" w:rsidRDefault="00E35B6F" w:rsidP="00BF5E12">
      <w:pPr>
        <w:rPr>
          <w:szCs w:val="24"/>
        </w:rPr>
      </w:pPr>
      <w:r>
        <w:rPr>
          <w:szCs w:val="24"/>
        </w:rPr>
        <w:t xml:space="preserve">Úvod ustanovení stanovuje, že zamítnutí představuje první úkon ministerstva v řízení. Tím se chce administraci řízení zjednodušit a zefektivnit. Podle navrhovaného odstavce 4 totiž v případě vyhovění žádosti není vydáváno </w:t>
      </w:r>
      <w:r w:rsidR="008A6C86">
        <w:rPr>
          <w:szCs w:val="24"/>
        </w:rPr>
        <w:t>rozhodnutí.</w:t>
      </w:r>
      <w:r>
        <w:rPr>
          <w:szCs w:val="24"/>
        </w:rPr>
        <w:t xml:space="preserve"> Dále se navrhuje upravit nemožnost odvolání proti zamítnutí žádosti, jelikož </w:t>
      </w:r>
      <w:r w:rsidR="00C17908">
        <w:rPr>
          <w:szCs w:val="24"/>
        </w:rPr>
        <w:t>by</w:t>
      </w:r>
      <w:r>
        <w:rPr>
          <w:szCs w:val="24"/>
        </w:rPr>
        <w:t xml:space="preserve"> o rozkladu rozhodoval stejný orgán jako v prvním stupni, tj. ministerstvo </w:t>
      </w:r>
      <w:r w:rsidR="00906111">
        <w:rPr>
          <w:szCs w:val="24"/>
        </w:rPr>
        <w:t xml:space="preserve">(resp. ministr) </w:t>
      </w:r>
      <w:r>
        <w:rPr>
          <w:szCs w:val="24"/>
        </w:rPr>
        <w:t xml:space="preserve">spravedlnosti. </w:t>
      </w:r>
      <w:r w:rsidR="008A6C86">
        <w:rPr>
          <w:szCs w:val="24"/>
        </w:rPr>
        <w:t xml:space="preserve">Možnost využít opravné prostředky se tak </w:t>
      </w:r>
      <w:r w:rsidR="008A6C86">
        <w:rPr>
          <w:szCs w:val="24"/>
        </w:rPr>
        <w:lastRenderedPageBreak/>
        <w:t>v tomto případě jeví jako zbytná a spoje</w:t>
      </w:r>
      <w:r w:rsidR="00C17908">
        <w:rPr>
          <w:szCs w:val="24"/>
        </w:rPr>
        <w:t>ná pouze s další administrativní zátěží</w:t>
      </w:r>
      <w:r w:rsidR="008A6C86">
        <w:rPr>
          <w:szCs w:val="24"/>
        </w:rPr>
        <w:t>. Samozřejmě platí, že je možné využít</w:t>
      </w:r>
      <w:r w:rsidRPr="00E35B6F">
        <w:rPr>
          <w:szCs w:val="24"/>
        </w:rPr>
        <w:t xml:space="preserve"> přezkumu </w:t>
      </w:r>
      <w:r w:rsidR="008A6C86">
        <w:rPr>
          <w:szCs w:val="24"/>
        </w:rPr>
        <w:t>zamítavého r</w:t>
      </w:r>
      <w:r w:rsidRPr="00E35B6F">
        <w:rPr>
          <w:szCs w:val="24"/>
        </w:rPr>
        <w:t>ozhodnutí správním soudem.</w:t>
      </w:r>
      <w:r w:rsidR="00C17908">
        <w:rPr>
          <w:szCs w:val="24"/>
        </w:rPr>
        <w:t xml:space="preserve"> </w:t>
      </w:r>
    </w:p>
    <w:p w14:paraId="699C7569" w14:textId="7D116668" w:rsidR="00C17908" w:rsidRDefault="00C17908" w:rsidP="00BF5E12">
      <w:pPr>
        <w:rPr>
          <w:szCs w:val="24"/>
        </w:rPr>
      </w:pPr>
      <w:r>
        <w:rPr>
          <w:szCs w:val="24"/>
        </w:rPr>
        <w:t xml:space="preserve">Explicitně se </w:t>
      </w:r>
      <w:r w:rsidR="00DC6024">
        <w:rPr>
          <w:szCs w:val="24"/>
        </w:rPr>
        <w:t xml:space="preserve">navrhuje </w:t>
      </w:r>
      <w:r>
        <w:rPr>
          <w:szCs w:val="24"/>
        </w:rPr>
        <w:t>uprav</w:t>
      </w:r>
      <w:r w:rsidR="00DC6024">
        <w:rPr>
          <w:szCs w:val="24"/>
        </w:rPr>
        <w:t>it</w:t>
      </w:r>
      <w:r>
        <w:rPr>
          <w:szCs w:val="24"/>
        </w:rPr>
        <w:t>, že ministerstvo musí žadateli sdělit důvody zamítnutí žádosti a</w:t>
      </w:r>
      <w:r w:rsidR="00634CEC">
        <w:rPr>
          <w:szCs w:val="24"/>
        </w:rPr>
        <w:t> </w:t>
      </w:r>
      <w:r>
        <w:rPr>
          <w:szCs w:val="24"/>
        </w:rPr>
        <w:t xml:space="preserve">poučit jej o jeho </w:t>
      </w:r>
      <w:r w:rsidR="00634CEC">
        <w:rPr>
          <w:szCs w:val="24"/>
        </w:rPr>
        <w:t>právu</w:t>
      </w:r>
      <w:r w:rsidR="00634CEC" w:rsidRPr="00C17908">
        <w:rPr>
          <w:szCs w:val="24"/>
        </w:rPr>
        <w:t xml:space="preserve"> </w:t>
      </w:r>
      <w:r w:rsidRPr="00C17908">
        <w:rPr>
          <w:szCs w:val="24"/>
        </w:rPr>
        <w:t xml:space="preserve">podat ve správním soudnictví žalobu proti rozhodnutí </w:t>
      </w:r>
      <w:r>
        <w:rPr>
          <w:szCs w:val="24"/>
        </w:rPr>
        <w:t xml:space="preserve">o </w:t>
      </w:r>
      <w:r w:rsidRPr="00C17908">
        <w:rPr>
          <w:szCs w:val="24"/>
        </w:rPr>
        <w:t>zamítnutí žádosti</w:t>
      </w:r>
      <w:r>
        <w:rPr>
          <w:szCs w:val="24"/>
        </w:rPr>
        <w:t>. Z obecné úpravy správního řádu totiž tato povinnost neplyne a jde současně o</w:t>
      </w:r>
      <w:r w:rsidR="00634CEC">
        <w:rPr>
          <w:szCs w:val="24"/>
        </w:rPr>
        <w:t> </w:t>
      </w:r>
      <w:r>
        <w:rPr>
          <w:szCs w:val="24"/>
        </w:rPr>
        <w:t>požadavek čl. 13 odst. 8 AML směrnice.</w:t>
      </w:r>
    </w:p>
    <w:p w14:paraId="173D7344" w14:textId="3C2830B5" w:rsidR="00BF5E12" w:rsidRPr="00F67EAC" w:rsidRDefault="00242190" w:rsidP="00BF5E12">
      <w:pPr>
        <w:rPr>
          <w:szCs w:val="24"/>
        </w:rPr>
      </w:pPr>
      <w:r>
        <w:rPr>
          <w:szCs w:val="24"/>
        </w:rPr>
        <w:t>Návrh ustanovení dále</w:t>
      </w:r>
      <w:r w:rsidR="00BF5E12">
        <w:rPr>
          <w:szCs w:val="24"/>
        </w:rPr>
        <w:t xml:space="preserve"> reaguje na předpokládanou úpravu implementačního aktu Komise, který má být však vydán až 10. 7. 2027. V době přípravy návrhu obsah tohoto implementačního aktu nebyl znám. Z praktického hlediska budou mít požadavky plynoucí z implementačního aktu dopad pouze na ministerstvo, které náležitě upraví či doplní obsah rozhodnutí.</w:t>
      </w:r>
    </w:p>
    <w:p w14:paraId="2EA44E02" w14:textId="7D7B8281" w:rsidR="00BF5E12" w:rsidRPr="009F08B4" w:rsidRDefault="00BF5E12" w:rsidP="00BF5E12">
      <w:pPr>
        <w:pStyle w:val="Nadpis6"/>
      </w:pPr>
      <w:r>
        <w:t>K odstavci 7</w:t>
      </w:r>
    </w:p>
    <w:p w14:paraId="2816918F" w14:textId="36B6598E" w:rsidR="00AA6C92" w:rsidRPr="0003653D" w:rsidRDefault="00002B8E" w:rsidP="00AA6C92">
      <w:r>
        <w:t xml:space="preserve">Ustanovení transponuje čl. 13 </w:t>
      </w:r>
      <w:r w:rsidR="00564DB9">
        <w:t xml:space="preserve">odst. </w:t>
      </w:r>
      <w:r>
        <w:t>6 třetí pododstavec AML směrnice</w:t>
      </w:r>
      <w:r w:rsidR="0039478D">
        <w:t>. Unijní předpis požaduje hlásit ze strany členského státu každé jednotlivé prodloužení lhůty.</w:t>
      </w:r>
      <w:r w:rsidR="007D15BF">
        <w:t xml:space="preserve"> </w:t>
      </w:r>
      <w:r w:rsidR="00AA6C92">
        <w:t>Aktuálně není jasné, jak by tato notifikace ze strany členských států mohla vypadat. Z praktického hlediska by bylo vhodné tento proces v</w:t>
      </w:r>
      <w:r w:rsidR="00242190">
        <w:t xml:space="preserve"> nejvyšší </w:t>
      </w:r>
      <w:r w:rsidR="00AA6C92">
        <w:t>možné míře automatizovat.</w:t>
      </w:r>
    </w:p>
    <w:p w14:paraId="37A33955" w14:textId="2A186401" w:rsidR="00A55B62" w:rsidRDefault="00E05220" w:rsidP="00A55B62">
      <w:pPr>
        <w:pStyle w:val="Nadpis5"/>
      </w:pPr>
      <w:r w:rsidRPr="00492DD8">
        <w:t>K</w:t>
      </w:r>
      <w:r>
        <w:t xml:space="preserve"> bodu </w:t>
      </w:r>
      <w:r w:rsidR="008832FD">
        <w:t>11</w:t>
      </w:r>
      <w:r>
        <w:t xml:space="preserve"> [§ 15d]</w:t>
      </w:r>
    </w:p>
    <w:p w14:paraId="4F222B67" w14:textId="7F830E4D" w:rsidR="00A55B62" w:rsidRDefault="00A55B62" w:rsidP="00A55B62">
      <w:r>
        <w:t xml:space="preserve">Ustanovení reaguje </w:t>
      </w:r>
      <w:r w:rsidR="00242190">
        <w:t xml:space="preserve">na </w:t>
      </w:r>
      <w:r w:rsidR="00AD7BF9">
        <w:t xml:space="preserve">čl. 13 </w:t>
      </w:r>
      <w:r w:rsidR="00564DB9">
        <w:t xml:space="preserve">odst. </w:t>
      </w:r>
      <w:r w:rsidR="00AD7BF9">
        <w:t xml:space="preserve">6 čtvrtý pododstavec AML směrnice, který </w:t>
      </w:r>
      <w:r w:rsidR="000B6612">
        <w:t>požaduje</w:t>
      </w:r>
      <w:r w:rsidR="00AD7BF9">
        <w:t xml:space="preserve"> vydá</w:t>
      </w:r>
      <w:r w:rsidR="000B6612">
        <w:t>vá</w:t>
      </w:r>
      <w:r w:rsidR="00AD7BF9">
        <w:t>n</w:t>
      </w:r>
      <w:r w:rsidR="000B6612">
        <w:t>í osvědčení o udělení přístupu na</w:t>
      </w:r>
      <w:r w:rsidR="00AD7BF9">
        <w:t xml:space="preserve"> základě osvědčeného oprávněného zájmu. </w:t>
      </w:r>
      <w:r w:rsidR="000B6612">
        <w:t>Obdobně vydávání takovéhoto osvědčení či potvrzení předpokl</w:t>
      </w:r>
      <w:r w:rsidR="00291498">
        <w:t xml:space="preserve">ádá čl. 13 </w:t>
      </w:r>
      <w:r w:rsidR="00564DB9">
        <w:t xml:space="preserve">odst. </w:t>
      </w:r>
      <w:r w:rsidR="00291498">
        <w:t>3 AML směrnice.</w:t>
      </w:r>
    </w:p>
    <w:p w14:paraId="6E9260FD" w14:textId="0914D300" w:rsidR="00291498" w:rsidRDefault="00291498" w:rsidP="00A55B62">
      <w:r>
        <w:t>Účelem osvědčení je zjednodušit budoucí prokazování oprávněného zájmu žadatele, a to především vůči zahraničním obdobám evidence skutečných majitelů (v ostatních členských státech). Osvědčení potvrzuje, že u daného žadatele byl ověřen oprávněný zájem (</w:t>
      </w:r>
      <w:r w:rsidR="00B1741B">
        <w:t>co zakládá</w:t>
      </w:r>
      <w:r>
        <w:t xml:space="preserve"> oprávněný zájem o přístup) a kdy se tak stalo. </w:t>
      </w:r>
      <w:r w:rsidR="00582628">
        <w:t>Osvědčení se váže pouze na ty kategorie subjektů a účely přístupu, které představují transpozic</w:t>
      </w:r>
      <w:r w:rsidR="00634CEC">
        <w:t>i</w:t>
      </w:r>
      <w:r w:rsidR="00B1741B">
        <w:t xml:space="preserve"> čl. 12 odst. 2 AML směrnice,</w:t>
      </w:r>
      <w:r w:rsidR="00582628">
        <w:t xml:space="preserve"> tj. na ty podle § 15 odst. 2 zákona o ESM ve znění návrhu. Osvědčení se nevydává subjektům, které mají oprávněný zájem podle § 15 odst. 3 zákona o ESM ve znění návrhu.</w:t>
      </w:r>
    </w:p>
    <w:p w14:paraId="482F66AD" w14:textId="634C90C3" w:rsidR="009754FA" w:rsidRDefault="00291498" w:rsidP="00A55B62">
      <w:r>
        <w:t>Z hlediska vnitrostátního posuzování žadatelů osvědčení nebude v praxi používáno, protože o</w:t>
      </w:r>
      <w:r w:rsidR="00634CEC">
        <w:t> </w:t>
      </w:r>
      <w:r>
        <w:t xml:space="preserve">historii žadatelů by mělo </w:t>
      </w:r>
      <w:r w:rsidR="00EC68D1">
        <w:t>ministerstvo</w:t>
      </w:r>
      <w:r>
        <w:t xml:space="preserve"> mít přehled prostřednictvím technické aplikace, jejímž prostřednictvím budou žádosti administrovány. Jinak řečeno, pokud žadatel bude podávat novou žádost</w:t>
      </w:r>
      <w:r w:rsidR="00B1741B">
        <w:t xml:space="preserve"> v ČR</w:t>
      </w:r>
      <w:r>
        <w:t xml:space="preserve">, informační systém pozná, že žadatel již dříve o přístup žádal a pracovník na straně ministerstva si tak bude moci snadno </w:t>
      </w:r>
      <w:r w:rsidR="00ED4980">
        <w:t xml:space="preserve">jeho minulé žádosti </w:t>
      </w:r>
      <w:r>
        <w:t>zobrazit</w:t>
      </w:r>
      <w:r w:rsidR="00ED4980">
        <w:t xml:space="preserve">. Tato funkcionalita je důležitá především proto, že v případě takového žadatele je </w:t>
      </w:r>
      <w:r w:rsidR="009754FA">
        <w:t>podle § 15c odst. 2 zákona o</w:t>
      </w:r>
      <w:r w:rsidR="00634CEC">
        <w:t> </w:t>
      </w:r>
      <w:r w:rsidR="009754FA">
        <w:t xml:space="preserve">ESM ve znění návrhu </w:t>
      </w:r>
      <w:r w:rsidR="00ED4980">
        <w:t xml:space="preserve">dána kratší lhůta na </w:t>
      </w:r>
      <w:r w:rsidR="009754FA">
        <w:t>vyřízení žádosti.</w:t>
      </w:r>
    </w:p>
    <w:p w14:paraId="6D2DEE99" w14:textId="576827DC" w:rsidR="009754FA" w:rsidRDefault="009754FA" w:rsidP="00A55B62">
      <w:r>
        <w:t xml:space="preserve">Z hlediska využití osvědčení vůči evidencím jiných členských států je potom podstatné, že při předložení osvědčení již zahraniční evidence nemusí zkoumat </w:t>
      </w:r>
      <w:r w:rsidR="00A1073E">
        <w:t xml:space="preserve">předmět činnosti, funkci nebo povolání žadatele. Čl. 13 </w:t>
      </w:r>
      <w:r w:rsidR="00564DB9">
        <w:t xml:space="preserve">odst. </w:t>
      </w:r>
      <w:r w:rsidR="00A1073E">
        <w:t xml:space="preserve">3 první pododstavec AML směrnice požaduje, </w:t>
      </w:r>
      <w:r w:rsidR="00634CEC">
        <w:t xml:space="preserve">aby </w:t>
      </w:r>
      <w:r w:rsidR="00A1073E">
        <w:t xml:space="preserve">tento aspekt </w:t>
      </w:r>
      <w:r w:rsidR="00A1073E">
        <w:lastRenderedPageBreak/>
        <w:t xml:space="preserve">byl správně posouzen orgánem členského státu, který vydává potvrzení [toto ustanovení je transponováno v § 15b odst. 2 písm. c) zákona o ESM ve znění návrhu]. </w:t>
      </w:r>
    </w:p>
    <w:p w14:paraId="253C70B1" w14:textId="53FFBF34" w:rsidR="00AA6C92" w:rsidRDefault="00AA6C92" w:rsidP="00A55B62">
      <w:r>
        <w:t>Vydávání osvědčení by mělo být ideálně do značné míry zautomatizováno s využitím aplikačního vybavení infor</w:t>
      </w:r>
      <w:r w:rsidR="00B1741B">
        <w:t>mačního systému. Oprávněná osob</w:t>
      </w:r>
      <w:r w:rsidR="00634CEC">
        <w:t>a</w:t>
      </w:r>
      <w:r>
        <w:t xml:space="preserve"> by si také po přihlášení ze své datové schránky mohla osvědčení kdykoli stáhnout z webového rozhraní. </w:t>
      </w:r>
    </w:p>
    <w:p w14:paraId="14F706FF" w14:textId="3292A019" w:rsidR="00A1073E" w:rsidRDefault="00A1073E" w:rsidP="00A1073E">
      <w:pPr>
        <w:pStyle w:val="Nadpis6"/>
      </w:pPr>
      <w:r>
        <w:t>K odstavci 1</w:t>
      </w:r>
    </w:p>
    <w:p w14:paraId="06151F79" w14:textId="0F58A457" w:rsidR="00291498" w:rsidRDefault="00A1073E" w:rsidP="00A55B62">
      <w:r>
        <w:t xml:space="preserve">Jsou stanoveny obsahové náležitosti </w:t>
      </w:r>
      <w:r w:rsidR="002103E8">
        <w:t>osvědčení, které se vydává spolu s vyrozuměním o udělení přístupu</w:t>
      </w:r>
      <w:r>
        <w:t xml:space="preserve">. </w:t>
      </w:r>
      <w:r w:rsidR="002103E8">
        <w:t xml:space="preserve">Stejně se bude postupovat v případě prodloužení přístupu, i tehdy ministerstvo vydá nové osvědčení. Osvědčení bude samostatným </w:t>
      </w:r>
      <w:r w:rsidR="00B1741B">
        <w:t>dokumentem</w:t>
      </w:r>
      <w:r w:rsidR="002103E8">
        <w:t xml:space="preserve">. </w:t>
      </w:r>
    </w:p>
    <w:p w14:paraId="147D7B17" w14:textId="20BCF683" w:rsidR="002F2698" w:rsidRDefault="00A1073E" w:rsidP="00A55B62">
      <w:r>
        <w:t xml:space="preserve">Lze předpokládat, že většina žadatelů bude spadat do některé z kategorií vymezených v § 15 odst. </w:t>
      </w:r>
      <w:r w:rsidR="00F67EAC">
        <w:t>2</w:t>
      </w:r>
      <w:r w:rsidRPr="00A1073E">
        <w:t xml:space="preserve"> </w:t>
      </w:r>
      <w:r w:rsidR="00B1741B">
        <w:t xml:space="preserve">písm. a) až k) </w:t>
      </w:r>
      <w:r>
        <w:t xml:space="preserve">zákona o ESM ve znění návrhu. </w:t>
      </w:r>
      <w:r w:rsidR="00F9150E">
        <w:t xml:space="preserve">Předmět činnosti, funkce nebo povolání </w:t>
      </w:r>
      <w:r w:rsidR="00C772C4">
        <w:t>a s nimi spojený</w:t>
      </w:r>
      <w:r w:rsidR="00F9150E">
        <w:t xml:space="preserve"> účel přístupu tak budou standardizovány. Účel přístupu je </w:t>
      </w:r>
      <w:r w:rsidR="00C772C4">
        <w:t>dán</w:t>
      </w:r>
      <w:r w:rsidR="00F9150E">
        <w:t xml:space="preserve"> u jednotlivých kategorií </w:t>
      </w:r>
      <w:r w:rsidR="00B1741B">
        <w:t xml:space="preserve">subjektů </w:t>
      </w:r>
      <w:r w:rsidR="00F9150E">
        <w:t>přímo v</w:t>
      </w:r>
      <w:r w:rsidR="00E87B79">
        <w:t xml:space="preserve"> </w:t>
      </w:r>
      <w:r w:rsidR="00F9150E">
        <w:t xml:space="preserve">§ 15 odst. </w:t>
      </w:r>
      <w:r w:rsidR="00F67EAC">
        <w:t>2</w:t>
      </w:r>
      <w:r w:rsidR="00F9150E" w:rsidRPr="00A1073E">
        <w:t xml:space="preserve"> </w:t>
      </w:r>
      <w:r w:rsidR="00B1741B">
        <w:t>písm. a) až k) zákona o ESM ve znění návrhu</w:t>
      </w:r>
      <w:r w:rsidR="00F9150E">
        <w:t>.</w:t>
      </w:r>
      <w:r w:rsidR="00EC68D1">
        <w:t xml:space="preserve"> </w:t>
      </w:r>
      <w:r w:rsidR="002F2698">
        <w:t xml:space="preserve">Žadatel o přístup může </w:t>
      </w:r>
      <w:r w:rsidR="00C772C4">
        <w:t xml:space="preserve">také </w:t>
      </w:r>
      <w:r w:rsidR="002F2698">
        <w:t>prokázat oprávněný zájem, aniž by spada</w:t>
      </w:r>
      <w:r w:rsidR="00B1741B">
        <w:t>l do některé</w:t>
      </w:r>
      <w:r w:rsidR="002F2698">
        <w:t xml:space="preserve"> z</w:t>
      </w:r>
      <w:r w:rsidR="00B1741B">
        <w:t> </w:t>
      </w:r>
      <w:r w:rsidR="002F2698">
        <w:t>kat</w:t>
      </w:r>
      <w:r w:rsidR="00582628">
        <w:t>egorií</w:t>
      </w:r>
      <w:r w:rsidR="00B1741B">
        <w:t xml:space="preserve"> subjektů</w:t>
      </w:r>
      <w:r w:rsidR="00582628">
        <w:t xml:space="preserve"> vymezených v</w:t>
      </w:r>
      <w:r w:rsidR="00B1741B">
        <w:t xml:space="preserve"> navrhovaném </w:t>
      </w:r>
      <w:r w:rsidR="00582628">
        <w:t>§ 15 odst. 2</w:t>
      </w:r>
      <w:r w:rsidR="002F2698" w:rsidRPr="00A1073E">
        <w:t xml:space="preserve"> </w:t>
      </w:r>
      <w:r w:rsidR="00B1741B">
        <w:t xml:space="preserve">písm. a) až k) </w:t>
      </w:r>
      <w:r w:rsidR="002F2698">
        <w:t xml:space="preserve">zákona o ESM. V takovém případě bude svůj zájem opírat obecně o § 15 odst. 2 </w:t>
      </w:r>
      <w:r w:rsidR="00582628">
        <w:t xml:space="preserve">první větu </w:t>
      </w:r>
      <w:r w:rsidR="002F2698">
        <w:t>zákona o ESM</w:t>
      </w:r>
      <w:r w:rsidR="00E87B79">
        <w:t xml:space="preserve"> ve znění návrhu</w:t>
      </w:r>
      <w:r w:rsidR="002F2698">
        <w:t>. U</w:t>
      </w:r>
      <w:r w:rsidR="00634CEC">
        <w:t> </w:t>
      </w:r>
      <w:r w:rsidR="002F2698">
        <w:t xml:space="preserve">takového žadatele se v osvědčení logicky neuvede, do které kategorie </w:t>
      </w:r>
      <w:r w:rsidR="00B1741B">
        <w:t xml:space="preserve">subjektů </w:t>
      </w:r>
      <w:r w:rsidR="002F2698">
        <w:t>spadá</w:t>
      </w:r>
      <w:r w:rsidR="00C772C4">
        <w:t>, ale specifikuje se účel, pro který byl jeho přístup umožněn</w:t>
      </w:r>
      <w:r w:rsidR="002F2698">
        <w:t xml:space="preserve">. </w:t>
      </w:r>
    </w:p>
    <w:p w14:paraId="7F48DF3F" w14:textId="77777777" w:rsidR="00B1741B" w:rsidRDefault="00F67EAC" w:rsidP="00A55B62">
      <w:pPr>
        <w:rPr>
          <w:szCs w:val="24"/>
        </w:rPr>
      </w:pPr>
      <w:r>
        <w:rPr>
          <w:szCs w:val="24"/>
        </w:rPr>
        <w:t>Ustanovení dále reaguje na předpokládanou úpravu implementačního aktu Komise, který má být však vydán až 10. 7. 2027. V době přípravy návrhu obsah tohoto implementačního aktu nebyl znám. Z praktického hlediska budou mít požadavky plynoucí z implementačního aktu dopad pouze na ministerstvo, které náležitě upraví obsah vydávaných osvědčení.</w:t>
      </w:r>
    </w:p>
    <w:p w14:paraId="3649FF31" w14:textId="1813C3DB" w:rsidR="00B1741B" w:rsidRPr="00F67EAC" w:rsidRDefault="00B1741B" w:rsidP="00A55B62">
      <w:pPr>
        <w:rPr>
          <w:szCs w:val="24"/>
        </w:rPr>
      </w:pPr>
      <w:r w:rsidRPr="00B1741B">
        <w:rPr>
          <w:szCs w:val="24"/>
        </w:rPr>
        <w:t>V zájmu přehlednosti se navrhuje upravit legislativní zkratku „oprávněná osoba“ pro osoby, jejichž oprávněný zájem byl ověřen.</w:t>
      </w:r>
    </w:p>
    <w:p w14:paraId="2EBCCE67" w14:textId="11BEA136" w:rsidR="00F9150E" w:rsidRDefault="00F9150E" w:rsidP="00F9150E">
      <w:pPr>
        <w:pStyle w:val="Nadpis6"/>
      </w:pPr>
      <w:r>
        <w:t>K odstavci 2</w:t>
      </w:r>
    </w:p>
    <w:p w14:paraId="094E663F" w14:textId="77777777" w:rsidR="004C688F" w:rsidRDefault="00F9150E" w:rsidP="00A55B62">
      <w:r>
        <w:t xml:space="preserve">S ohledem na hlavní účel osvědčení, tj. jeho využití vůči orgánům udělujícím přístup do obdobných evidencí v jiných členských státech bude osvědčení vydáváno </w:t>
      </w:r>
      <w:r w:rsidR="002F2698">
        <w:t xml:space="preserve">také </w:t>
      </w:r>
      <w:r>
        <w:t>v angličtině.</w:t>
      </w:r>
    </w:p>
    <w:p w14:paraId="246F5A2A" w14:textId="6049DFA0" w:rsidR="00F9150E" w:rsidRDefault="00582628" w:rsidP="00A55B62">
      <w:r>
        <w:t>Primárně s</w:t>
      </w:r>
      <w:r w:rsidR="0065685F">
        <w:t>e</w:t>
      </w:r>
      <w:r>
        <w:t xml:space="preserve"> osvědčení vydává elektronicky. </w:t>
      </w:r>
      <w:r w:rsidR="004C688F">
        <w:t>Obdobně jako v případě žádosti o přístup se však ve výjimečných případech umožňuje i vydání listinného osvědčení (viz také zvláštní část důvodové zprávy k</w:t>
      </w:r>
      <w:r w:rsidR="00B1741B">
        <w:t xml:space="preserve"> nově navrhovanému </w:t>
      </w:r>
      <w:r w:rsidR="004C688F">
        <w:t xml:space="preserve">§ 15b odst. 6 zákona o ESM). </w:t>
      </w:r>
    </w:p>
    <w:p w14:paraId="728E7243" w14:textId="779D4989" w:rsidR="005749B9" w:rsidRDefault="005749B9" w:rsidP="005749B9">
      <w:pPr>
        <w:pStyle w:val="Nadpis6"/>
      </w:pPr>
      <w:r>
        <w:t>K odstavci 3</w:t>
      </w:r>
    </w:p>
    <w:p w14:paraId="4B7D4B34" w14:textId="06125A46" w:rsidR="005749B9" w:rsidRDefault="005749B9" w:rsidP="005749B9">
      <w:pPr>
        <w:rPr>
          <w:szCs w:val="24"/>
        </w:rPr>
      </w:pPr>
      <w:r>
        <w:rPr>
          <w:szCs w:val="24"/>
        </w:rPr>
        <w:t xml:space="preserve">Ustanovení reaguje na předpokládanou úpravu implementačního aktu Komise, který má být však vydán až 10. 7. 2027. V době přípravy návrhu obsah tohoto implementačního aktu nebyl znám. Z praktického hlediska budou mít požadavky plynoucí z implementačního aktu dopad především na ministerstvo, které náležitě upraví postupy sdělování informací o vydávaných </w:t>
      </w:r>
      <w:r>
        <w:rPr>
          <w:szCs w:val="24"/>
        </w:rPr>
        <w:lastRenderedPageBreak/>
        <w:t xml:space="preserve">osvědčeních, a to především ve vztahu k orgánům jiných členských států odpovědných za administraci přístupu na základě oprávněného zájmu. </w:t>
      </w:r>
    </w:p>
    <w:p w14:paraId="4DA19927" w14:textId="39E99F59" w:rsidR="005749B9" w:rsidRPr="005749B9" w:rsidRDefault="005749B9" w:rsidP="00A55B62">
      <w:pPr>
        <w:rPr>
          <w:szCs w:val="24"/>
        </w:rPr>
      </w:pPr>
      <w:r>
        <w:rPr>
          <w:szCs w:val="24"/>
        </w:rPr>
        <w:t>Lze předpokládat, že ministerstv</w:t>
      </w:r>
      <w:r w:rsidR="00461450">
        <w:rPr>
          <w:szCs w:val="24"/>
        </w:rPr>
        <w:t>o</w:t>
      </w:r>
      <w:r>
        <w:rPr>
          <w:szCs w:val="24"/>
        </w:rPr>
        <w:t xml:space="preserve"> bude muset vést určité jedinečné identifikátory jednotlivých osvědčení a ty následně (včetně informace o platnosti) na vyžádání sdělovat odpovědným orgánům v jiných členských státech. Tyto procesy by do značné míry mohly být automatizovány, byť v tuto chvíli nelze odhadovat jakým způsobem. </w:t>
      </w:r>
    </w:p>
    <w:p w14:paraId="7CD612AB" w14:textId="61AC5279" w:rsidR="00E05220" w:rsidRDefault="00E05220" w:rsidP="00E05220">
      <w:pPr>
        <w:pStyle w:val="Nadpis5"/>
      </w:pPr>
      <w:r w:rsidRPr="00492DD8">
        <w:t>K</w:t>
      </w:r>
      <w:r>
        <w:t xml:space="preserve"> bodu </w:t>
      </w:r>
      <w:r w:rsidR="008832FD">
        <w:t>11</w:t>
      </w:r>
      <w:r>
        <w:t xml:space="preserve"> [§ 15e]</w:t>
      </w:r>
    </w:p>
    <w:p w14:paraId="53E7E346" w14:textId="2B441DAC" w:rsidR="00496037" w:rsidRDefault="00496037" w:rsidP="00496037">
      <w:r>
        <w:t>Ustanovení spe</w:t>
      </w:r>
      <w:r w:rsidR="00AC7A58">
        <w:t xml:space="preserve">cifikuje podobu a průběh přístupu </w:t>
      </w:r>
      <w:r w:rsidR="00DB680B">
        <w:t>oprávněných osob.</w:t>
      </w:r>
      <w:r w:rsidR="00AC7A58">
        <w:t xml:space="preserve"> Z legislativního hlediska j</w:t>
      </w:r>
      <w:r w:rsidR="00DB680B">
        <w:t>d</w:t>
      </w:r>
      <w:r w:rsidR="00AC7A58">
        <w:t>e do určité míry o obdobu stávajícího § 17 zákona o ESM, který upravuje podobu tzv.</w:t>
      </w:r>
      <w:r w:rsidR="00634CEC">
        <w:t> </w:t>
      </w:r>
      <w:r w:rsidR="00AC7A58">
        <w:t xml:space="preserve">dálkového přístupu. </w:t>
      </w:r>
    </w:p>
    <w:p w14:paraId="46EBC175" w14:textId="1C2D9DCD" w:rsidR="00595C19" w:rsidRDefault="00595C19" w:rsidP="00595C19">
      <w:pPr>
        <w:pStyle w:val="Nadpis6"/>
      </w:pPr>
      <w:r>
        <w:t>K odstavci 1</w:t>
      </w:r>
    </w:p>
    <w:p w14:paraId="1D0B7A58" w14:textId="5AEE47FE" w:rsidR="00595C19" w:rsidRPr="00595C19" w:rsidRDefault="00595C19" w:rsidP="00595C19">
      <w:r>
        <w:t>Stanovuje se doba, po kterou přístup oprávněné osob</w:t>
      </w:r>
      <w:r w:rsidR="00DB680B">
        <w:t>ě</w:t>
      </w:r>
      <w:r>
        <w:t xml:space="preserve"> funguje. Vychází se přitom z čl. 13 odst.</w:t>
      </w:r>
      <w:r w:rsidR="00634CEC">
        <w:t> </w:t>
      </w:r>
      <w:r>
        <w:t>6 čtvrtého pododstavce AML směrnice, který stanovuje, jak dlouho platí osvědčení o</w:t>
      </w:r>
      <w:r w:rsidR="00634CEC">
        <w:t> </w:t>
      </w:r>
      <w:r>
        <w:t>existenci oprávněného zájmu. Přístup je možn</w:t>
      </w:r>
      <w:r w:rsidR="00634CEC">
        <w:t>ý</w:t>
      </w:r>
      <w:r>
        <w:t xml:space="preserve"> po </w:t>
      </w:r>
      <w:r w:rsidR="00DB680B">
        <w:t xml:space="preserve">bodu 3 let </w:t>
      </w:r>
      <w:r>
        <w:t>o</w:t>
      </w:r>
      <w:r w:rsidR="00776169">
        <w:t>de dne</w:t>
      </w:r>
      <w:r>
        <w:t xml:space="preserve">, </w:t>
      </w:r>
      <w:r w:rsidR="00776169">
        <w:t>kdy byl</w:t>
      </w:r>
      <w:r w:rsidR="00DB680B">
        <w:t xml:space="preserve"> oprávněný zájem ministerstvem ověřen. V případě prodloužení přístupu se doba 3 let počítá od opětovného umožnění přístupu, tedy od opětovného ověření oprávněného zájmu.</w:t>
      </w:r>
    </w:p>
    <w:p w14:paraId="409433A6" w14:textId="47FA7E4C" w:rsidR="00595C19" w:rsidRDefault="00A45390" w:rsidP="00595C19">
      <w:pPr>
        <w:pStyle w:val="Nadpis6"/>
      </w:pPr>
      <w:r>
        <w:t>K odstavcům</w:t>
      </w:r>
      <w:r w:rsidR="00595C19">
        <w:t xml:space="preserve"> 2</w:t>
      </w:r>
      <w:r>
        <w:t xml:space="preserve"> a 3</w:t>
      </w:r>
    </w:p>
    <w:p w14:paraId="1AF03871" w14:textId="45145FF2" w:rsidR="0099084D" w:rsidRDefault="0099084D" w:rsidP="00595C19">
      <w:r>
        <w:t>M</w:t>
      </w:r>
      <w:r w:rsidR="00595C19">
        <w:t>inisterstvo</w:t>
      </w:r>
      <w:r w:rsidR="00595C19" w:rsidRPr="001F044F">
        <w:t xml:space="preserve"> umožní přístup k informacím o skutečném majiteli p</w:t>
      </w:r>
      <w:r w:rsidR="00DB680B">
        <w:t xml:space="preserve">ouze tehdy, pokud bude zajištěna možnost identifikovat </w:t>
      </w:r>
      <w:r w:rsidR="00595C19" w:rsidRPr="001F044F">
        <w:t>konkr</w:t>
      </w:r>
      <w:r w:rsidR="00DB680B">
        <w:t>étní fyzické</w:t>
      </w:r>
      <w:r w:rsidR="00595C19" w:rsidRPr="001F044F">
        <w:t xml:space="preserve"> osob</w:t>
      </w:r>
      <w:r w:rsidR="00DB680B">
        <w:t>y</w:t>
      </w:r>
      <w:r w:rsidR="00595C19" w:rsidRPr="001F044F">
        <w:t xml:space="preserve">, které k údajům o skutečném majiteli přistupují. </w:t>
      </w:r>
      <w:r>
        <w:t xml:space="preserve">Úprava je v souladu s čl. 13 </w:t>
      </w:r>
      <w:r w:rsidR="00582628">
        <w:t>odst.</w:t>
      </w:r>
      <w:r>
        <w:t xml:space="preserve"> 4 AML směrnice, který požaduje ověřování totožnosti přistupujících osob, a to s využitím prostředků elektronické identifikace.</w:t>
      </w:r>
    </w:p>
    <w:p w14:paraId="74DB56EC" w14:textId="69EC4C0A" w:rsidR="00595C19" w:rsidRDefault="00595C19" w:rsidP="00595C19">
      <w:r>
        <w:t xml:space="preserve">Formulace ustanovení v zásadě vychází ze stávajícího § </w:t>
      </w:r>
      <w:r w:rsidR="0099084D">
        <w:t>17 odst. 1 zákona o ESM</w:t>
      </w:r>
      <w:r>
        <w:t>.</w:t>
      </w:r>
      <w:r w:rsidR="0099084D">
        <w:t xml:space="preserve"> Zavádí se přitom pro ko</w:t>
      </w:r>
      <w:r w:rsidR="00582628">
        <w:t>nkrétní fyzickou osobu, která m</w:t>
      </w:r>
      <w:r w:rsidR="0099084D">
        <w:t>á k údajům přistupovat, legislati</w:t>
      </w:r>
      <w:r w:rsidR="00A45390">
        <w:t>vní zkratka „uživatel přístupu“.</w:t>
      </w:r>
      <w:r w:rsidR="0099084D">
        <w:t xml:space="preserve"> Při identifikaci uživatelů přístupu (oprávněných fyzických osob) se využívají kvalifikované systémy elektronické identifikace. </w:t>
      </w:r>
      <w:r>
        <w:t xml:space="preserve">Faktické fungování </w:t>
      </w:r>
      <w:r w:rsidR="0099084D">
        <w:t xml:space="preserve">reaguje </w:t>
      </w:r>
      <w:r>
        <w:t>na požadavky elektronické identifikace plynoucí ze zákona č. 250/2017 Sb., o elektronické identifikaci</w:t>
      </w:r>
      <w:r w:rsidR="00DB680B">
        <w:t>, ve znění pozdějších předpisů</w:t>
      </w:r>
      <w:r>
        <w:t xml:space="preserve"> (dále jen „zákon o elektronické identifikaci“), a</w:t>
      </w:r>
      <w:r w:rsidR="00F44F5F">
        <w:t> </w:t>
      </w:r>
      <w:r>
        <w:t>z</w:t>
      </w:r>
      <w:r w:rsidR="00F44F5F">
        <w:t> </w:t>
      </w:r>
      <w:r>
        <w:t xml:space="preserve">nařízení </w:t>
      </w:r>
      <w:proofErr w:type="spellStart"/>
      <w:r>
        <w:t>eIDAS</w:t>
      </w:r>
      <w:proofErr w:type="spellEnd"/>
      <w:r>
        <w:t>.</w:t>
      </w:r>
      <w:r>
        <w:rPr>
          <w:rStyle w:val="Znakapoznpodarou"/>
        </w:rPr>
        <w:footnoteReference w:id="18"/>
      </w:r>
      <w:r>
        <w:t xml:space="preserve"> </w:t>
      </w:r>
    </w:p>
    <w:p w14:paraId="1DA2A4DB" w14:textId="62C5844E" w:rsidR="00595C19" w:rsidRDefault="00595C19" w:rsidP="00595C19">
      <w:r>
        <w:t xml:space="preserve">Podle čl. 3 nařízení </w:t>
      </w:r>
      <w:proofErr w:type="spellStart"/>
      <w:r>
        <w:t>eIDAS</w:t>
      </w:r>
      <w:proofErr w:type="spellEnd"/>
      <w:r>
        <w:t xml:space="preserve"> je za elektronickou identifikaci považován postup používání osobních identifikačních údajů v elektronické podobě, které jedinečně identifikují určitou fyzickou či právnickou osobu nebo fyzickou osobu zastupující právnickou osobu. Podle § 2 zákona o elektronické identifikaci lze využít pro prokázání totožnosti, vyžaduje-li to právní předpis nebo výkon působnosti, pouze kvalifikované systémy elektronické identifikace. V</w:t>
      </w:r>
      <w:r w:rsidR="00F44F5F">
        <w:t> </w:t>
      </w:r>
      <w:r>
        <w:t xml:space="preserve">současné době je elektronická identifikace ověřována v rámci tzv. národního </w:t>
      </w:r>
      <w:proofErr w:type="spellStart"/>
      <w:r>
        <w:t>identitního</w:t>
      </w:r>
      <w:proofErr w:type="spellEnd"/>
      <w:r>
        <w:t xml:space="preserve"> bodu </w:t>
      </w:r>
      <w:r>
        <w:lastRenderedPageBreak/>
        <w:t xml:space="preserve">(NIA) za pomoci prostředků pro elektronickou identifikaci; těmi jsou např. </w:t>
      </w:r>
      <w:r w:rsidR="0099084D">
        <w:t xml:space="preserve">služby identita občana </w:t>
      </w:r>
      <w:r>
        <w:t>nebo bankovní identita.</w:t>
      </w:r>
    </w:p>
    <w:p w14:paraId="02110547" w14:textId="76C04F60" w:rsidR="0099084D" w:rsidRDefault="00595C19" w:rsidP="0099084D">
      <w:r>
        <w:t>Technické zajištění elektronické identifikace bude řešeno v rámci implement</w:t>
      </w:r>
      <w:r w:rsidR="0099084D">
        <w:t>ace informačního systému</w:t>
      </w:r>
      <w:r>
        <w:t xml:space="preserve">. </w:t>
      </w:r>
      <w:r w:rsidR="0099084D" w:rsidRPr="001F044F">
        <w:t xml:space="preserve">Podstatou přístupu </w:t>
      </w:r>
      <w:r w:rsidR="0099084D">
        <w:t xml:space="preserve">bude, obdobně jako dnes v případě dálkového přístupu podle § 17 zákona o ESM, </w:t>
      </w:r>
      <w:r w:rsidR="0099084D" w:rsidRPr="001F044F">
        <w:t xml:space="preserve">rychlé dosažení potřebných informací. </w:t>
      </w:r>
      <w:r w:rsidR="0099084D">
        <w:t>O</w:t>
      </w:r>
      <w:r w:rsidR="0099084D" w:rsidRPr="001F044F">
        <w:t xml:space="preserve">právněné </w:t>
      </w:r>
      <w:r w:rsidR="0099084D">
        <w:t>osoby</w:t>
      </w:r>
      <w:r w:rsidR="0099084D" w:rsidRPr="001F044F">
        <w:t xml:space="preserve"> (</w:t>
      </w:r>
      <w:r w:rsidR="0099084D">
        <w:t>s oprávněným zájmem</w:t>
      </w:r>
      <w:r w:rsidR="0099084D" w:rsidRPr="001F044F">
        <w:t xml:space="preserve">) </w:t>
      </w:r>
      <w:r w:rsidR="0099084D">
        <w:t>budou</w:t>
      </w:r>
      <w:r w:rsidR="0099084D" w:rsidRPr="001F044F">
        <w:t xml:space="preserve"> k údajům v evidenci skutečných majitelů přistupovat </w:t>
      </w:r>
      <w:r w:rsidR="00A45390">
        <w:t>s využitím</w:t>
      </w:r>
      <w:r w:rsidR="0099084D" w:rsidRPr="001F044F">
        <w:t xml:space="preserve"> aplikace </w:t>
      </w:r>
      <w:r w:rsidR="00A45390">
        <w:t>ministerstva</w:t>
      </w:r>
      <w:r w:rsidR="0099084D" w:rsidRPr="001F044F">
        <w:t xml:space="preserve">. Aby mohl konkrétní uživatel </w:t>
      </w:r>
      <w:r w:rsidR="00A45390">
        <w:t xml:space="preserve">přístupu </w:t>
      </w:r>
      <w:r w:rsidR="0099084D" w:rsidRPr="001F044F">
        <w:t xml:space="preserve">(fyzická osoba) využít dálkový přístup prostřednictvím aplikace, </w:t>
      </w:r>
      <w:r w:rsidR="00A45390">
        <w:t>bude</w:t>
      </w:r>
      <w:r w:rsidR="0099084D" w:rsidRPr="001F044F">
        <w:t xml:space="preserve"> nezbytná jeho registrace, </w:t>
      </w:r>
      <w:r w:rsidR="0099084D">
        <w:t xml:space="preserve">ke </w:t>
      </w:r>
      <w:r w:rsidR="0099084D" w:rsidRPr="001F044F">
        <w:t>kter</w:t>
      </w:r>
      <w:r w:rsidR="0099084D">
        <w:t>é</w:t>
      </w:r>
      <w:r w:rsidR="0099084D" w:rsidRPr="001F044F">
        <w:t xml:space="preserve"> </w:t>
      </w:r>
      <w:r w:rsidR="0099084D">
        <w:t>dojde</w:t>
      </w:r>
      <w:r w:rsidR="0099084D" w:rsidRPr="001F044F">
        <w:t xml:space="preserve"> na základě žádost</w:t>
      </w:r>
      <w:r w:rsidR="00A45390">
        <w:t xml:space="preserve">i ze strany oprávněné osoby </w:t>
      </w:r>
      <w:r w:rsidR="0099084D">
        <w:t>a následného ztotožnění prostřednictví</w:t>
      </w:r>
      <w:r w:rsidR="00DB680B">
        <w:t>m</w:t>
      </w:r>
      <w:r w:rsidR="0099084D">
        <w:t xml:space="preserve"> kvalifikovaného systému elektronické identifikace</w:t>
      </w:r>
      <w:r w:rsidR="00A45390">
        <w:t xml:space="preserve">. Vyžadují se údaje, které jsou nezbytné ke ztotožnění uživatelů přístupu vůči základnímu registru. </w:t>
      </w:r>
      <w:r w:rsidR="00DB680B">
        <w:t>V případě zahraničních fyzických osob bude třeba, aby se jednalo o občany členských států EU disponující</w:t>
      </w:r>
      <w:r w:rsidR="00DB680B" w:rsidRPr="00DB680B">
        <w:t xml:space="preserve"> identifikačními prostředky elektronické komunikace ve smyslu nařízení </w:t>
      </w:r>
      <w:proofErr w:type="spellStart"/>
      <w:r w:rsidR="00DB680B" w:rsidRPr="00DB680B">
        <w:t>eIDAS</w:t>
      </w:r>
      <w:proofErr w:type="spellEnd"/>
      <w:r w:rsidR="00DB680B">
        <w:t xml:space="preserve">. </w:t>
      </w:r>
      <w:r w:rsidR="00193C83">
        <w:t xml:space="preserve">Přitom bude využita International ID </w:t>
      </w:r>
      <w:proofErr w:type="spellStart"/>
      <w:r w:rsidR="00193C83">
        <w:t>Gateway</w:t>
      </w:r>
      <w:proofErr w:type="spellEnd"/>
      <w:r w:rsidR="00193C83">
        <w:t xml:space="preserve"> (IIG).</w:t>
      </w:r>
      <w:r w:rsidR="00193C83">
        <w:rPr>
          <w:rStyle w:val="Znakapoznpodarou"/>
        </w:rPr>
        <w:footnoteReference w:id="19"/>
      </w:r>
    </w:p>
    <w:p w14:paraId="126A12B4" w14:textId="74EED931" w:rsidR="00595C19" w:rsidRPr="00595C19" w:rsidRDefault="00A45390" w:rsidP="00595C19">
      <w:r>
        <w:t>Údaje o konkrétních uži</w:t>
      </w:r>
      <w:r w:rsidR="00193C83">
        <w:t>vatelích přístupu bude oprávněná</w:t>
      </w:r>
      <w:r>
        <w:t xml:space="preserve"> osoba předávat </w:t>
      </w:r>
      <w:r w:rsidR="00C96915">
        <w:t>ministerstvu</w:t>
      </w:r>
      <w:r>
        <w:t xml:space="preserve"> prostřednictvím formuláře, který bude přístupný na inte</w:t>
      </w:r>
      <w:r w:rsidR="00193C83">
        <w:t>rnetových stránkách ministerstva</w:t>
      </w:r>
      <w:r>
        <w:t xml:space="preserve">. Nabízí se technicky tento proces upravit tak, že daná oprávněná osoba bude moci administrovat konkrétní sebou určené uživatele </w:t>
      </w:r>
      <w:r w:rsidR="00193C83">
        <w:t xml:space="preserve">přístupu </w:t>
      </w:r>
      <w:r>
        <w:t xml:space="preserve">ve vlastním internetovém rozhraní, do kterého se bude přihlašovat ze své datové schránky. Následně by oprávněná osoba vystupovala jako jakýsi správce svých přístupů a mohla by </w:t>
      </w:r>
      <w:r w:rsidR="00C96915">
        <w:t xml:space="preserve">skrze jednoduchý formulář v zásadě okamžitě </w:t>
      </w:r>
      <w:r>
        <w:t xml:space="preserve">přidávat další uživatele, případně </w:t>
      </w:r>
      <w:r w:rsidR="00973070">
        <w:t>některé odebírat</w:t>
      </w:r>
      <w:r>
        <w:t xml:space="preserve"> (typicky u bývalých zaměstnanců)</w:t>
      </w:r>
      <w:r w:rsidR="00973070">
        <w:t xml:space="preserve"> nebo jim stanovit </w:t>
      </w:r>
      <w:r w:rsidR="00193C83">
        <w:t>začátek a konec</w:t>
      </w:r>
      <w:r w:rsidR="00973070">
        <w:t xml:space="preserve"> přístupu</w:t>
      </w:r>
      <w:r>
        <w:t xml:space="preserve">. </w:t>
      </w:r>
      <w:r w:rsidR="00973070">
        <w:t xml:space="preserve">Tímto rozhraním by v důsledku docházelo k předávání informací, jak jej předvídá § 15e odst. 5 zákona o ESM ve znění návrhu. </w:t>
      </w:r>
    </w:p>
    <w:p w14:paraId="2883AAF5" w14:textId="401D4B23" w:rsidR="00595C19" w:rsidRDefault="00595C19" w:rsidP="00595C19">
      <w:pPr>
        <w:pStyle w:val="Nadpis6"/>
      </w:pPr>
      <w:r>
        <w:t>K odstavci 4</w:t>
      </w:r>
    </w:p>
    <w:p w14:paraId="3ED859A7" w14:textId="7FF2FDBB" w:rsidR="00973070" w:rsidRDefault="00973070" w:rsidP="00973070">
      <w:r>
        <w:t xml:space="preserve">Ustanovení </w:t>
      </w:r>
      <w:r w:rsidR="007E017D">
        <w:t>staví</w:t>
      </w:r>
      <w:r>
        <w:t xml:space="preserve"> na jisto, že od</w:t>
      </w:r>
      <w:r w:rsidR="00193C83">
        <w:t>povědnost za konkrétní uživatele</w:t>
      </w:r>
      <w:r w:rsidR="007E017D">
        <w:t xml:space="preserve"> </w:t>
      </w:r>
      <w:r>
        <w:t>mají oprávněné osoby.</w:t>
      </w:r>
      <w:r w:rsidR="00193C83">
        <w:t xml:space="preserve"> Konkrétní uživatelé</w:t>
      </w:r>
      <w:r w:rsidR="007E017D">
        <w:t xml:space="preserve"> přistupují za oprávněnou osobu v rámci jejího oprávnění.</w:t>
      </w:r>
      <w:r w:rsidR="00193C83">
        <w:t xml:space="preserve"> To přitom platí jak</w:t>
      </w:r>
      <w:r w:rsidR="007E017D">
        <w:t xml:space="preserve"> v případech oprá</w:t>
      </w:r>
      <w:r w:rsidR="00193C83">
        <w:t xml:space="preserve">vněných právnických osob, tak </w:t>
      </w:r>
      <w:r w:rsidR="007E017D">
        <w:t xml:space="preserve">oprávněných fyzických osob. Je přitom na oprávněných osobách, jaké konkrétní fyzické osoby k vykonávání přístupu </w:t>
      </w:r>
      <w:r w:rsidR="00193C83">
        <w:t>p</w:t>
      </w:r>
      <w:r w:rsidR="007E017D">
        <w:t xml:space="preserve">ověří a jakým způsobem si interně tento postup s nimi upraví. Uživateli přístupu nemusí být nezbytně např. zaměstnanci oprávněné osoby, byť v praxi tomu tak patrně bude nejčastěji. Vztah mezi oprávněnou osobou (respektive žadatelem) </w:t>
      </w:r>
      <w:r w:rsidR="00193C83">
        <w:t xml:space="preserve">a uživatelem přístupu </w:t>
      </w:r>
      <w:r w:rsidR="007E017D">
        <w:t xml:space="preserve">není ze strany ministerstva nijak ověřován. </w:t>
      </w:r>
    </w:p>
    <w:p w14:paraId="3AAECD12" w14:textId="32D97EFC" w:rsidR="007E017D" w:rsidRPr="00973070" w:rsidRDefault="00193C83" w:rsidP="00973070">
      <w:r>
        <w:t>Dé</w:t>
      </w:r>
      <w:r w:rsidR="004B4F12">
        <w:t>lka přístupu uživatele přístupu je odvislá od délky přístupu oprávněné osoby. Oprávněná osoba vša</w:t>
      </w:r>
      <w:r>
        <w:t>k může u svých uživatelů tuto dé</w:t>
      </w:r>
      <w:r w:rsidR="004B4F12">
        <w:t xml:space="preserve">lku dále limitovat, a to prostřednictvím komunikace s ministerstvem, respektive prostřednictvím internetového rozhraní pro správu uživatelů (viz odůvodnění k odstavci 2). Pokud je pak oprávněné osobě přístup prodloužen, automaticky se prodlužuje i maximální délka přístupu pro jí určené uživatele přístupu. </w:t>
      </w:r>
    </w:p>
    <w:p w14:paraId="179946DD" w14:textId="7DDB6605" w:rsidR="00595C19" w:rsidRDefault="00595C19" w:rsidP="00595C19">
      <w:pPr>
        <w:pStyle w:val="Nadpis6"/>
      </w:pPr>
      <w:r>
        <w:lastRenderedPageBreak/>
        <w:t>K odstavci 5</w:t>
      </w:r>
    </w:p>
    <w:p w14:paraId="64E5BBE2" w14:textId="3D256105" w:rsidR="004B4F12" w:rsidRPr="004B4F12" w:rsidRDefault="00F519FB" w:rsidP="004B4F12">
      <w:r>
        <w:t xml:space="preserve">Je povinností oprávněné osoby kontrolovat, zda za ni do evidence přistupují pouze uživatelé, jejichž prostřednictvím chce přístup využívat. Pokud u určitého uživatele </w:t>
      </w:r>
      <w:r w:rsidR="00193C83">
        <w:t xml:space="preserve">přístupu </w:t>
      </w:r>
      <w:r>
        <w:t xml:space="preserve">dojde např. ke změně pracovní </w:t>
      </w:r>
      <w:r w:rsidR="00193C83">
        <w:t>náplně nebo jeho pracovní vztah</w:t>
      </w:r>
      <w:r>
        <w:t xml:space="preserve"> je ukončen, je třeba tuto skutečnost promítnout do správy přístupů do evidence. To lze učinit kontaktováním ministerstva prostřednictvím k tomu vytvořeného formuláře, který bude dostupný na stránkách ministerstva, respektive prostřed</w:t>
      </w:r>
      <w:r w:rsidR="00193C83">
        <w:t>nictvím rozhraní pro oprávněné</w:t>
      </w:r>
      <w:r>
        <w:t xml:space="preserve"> osoby, ve kterém bude možné konkrétní uživatele administrovat (viz odůvodnění k odstavci 2).</w:t>
      </w:r>
    </w:p>
    <w:p w14:paraId="72259225" w14:textId="405CEA7E" w:rsidR="00595C19" w:rsidRDefault="00595C19" w:rsidP="00595C19">
      <w:pPr>
        <w:pStyle w:val="Nadpis6"/>
      </w:pPr>
      <w:r>
        <w:t>K odstavci 6</w:t>
      </w:r>
    </w:p>
    <w:p w14:paraId="5649D113" w14:textId="68C884EF" w:rsidR="00C45965" w:rsidRDefault="00F519FB" w:rsidP="00F519FB">
      <w:r>
        <w:t>Ustanovení transponuje čl. 1</w:t>
      </w:r>
      <w:r w:rsidR="00C10BD5">
        <w:t>2</w:t>
      </w:r>
      <w:r>
        <w:t xml:space="preserve"> </w:t>
      </w:r>
      <w:r w:rsidR="00564DB9">
        <w:t xml:space="preserve">odst. </w:t>
      </w:r>
      <w:r>
        <w:t xml:space="preserve">1 </w:t>
      </w:r>
      <w:r w:rsidR="00C45965">
        <w:t xml:space="preserve">třetí pododstavec AML směrnice, který požaduje, aby byl přístup umožněn i jinak než elektronicky. Cílem je umožnit přístup i pro osoby, u nichž je objektivně nemožné či neadekvátně složité, aby disponovaly elektronickými </w:t>
      </w:r>
      <w:r w:rsidR="00193C83">
        <w:t xml:space="preserve">identifikačními </w:t>
      </w:r>
      <w:r w:rsidR="00C45965">
        <w:t>prostředky.</w:t>
      </w:r>
      <w:r w:rsidR="00C45965" w:rsidRPr="00C45965">
        <w:rPr>
          <w:szCs w:val="24"/>
        </w:rPr>
        <w:t xml:space="preserve"> </w:t>
      </w:r>
      <w:r w:rsidR="00C45965">
        <w:rPr>
          <w:szCs w:val="24"/>
        </w:rPr>
        <w:t xml:space="preserve">Např. potřeba zřízení prostředku elektronické identifikace (např. </w:t>
      </w:r>
      <w:r w:rsidR="00C45965" w:rsidRPr="00C45965">
        <w:rPr>
          <w:szCs w:val="24"/>
        </w:rPr>
        <w:t>NIA ID</w:t>
      </w:r>
      <w:r w:rsidR="00C45965">
        <w:rPr>
          <w:szCs w:val="24"/>
        </w:rPr>
        <w:t>) nemůže být vnímána jako překážka elektro</w:t>
      </w:r>
      <w:r w:rsidR="00193C83">
        <w:rPr>
          <w:szCs w:val="24"/>
        </w:rPr>
        <w:t>nického přístupu. Drtivá většina</w:t>
      </w:r>
      <w:r w:rsidR="00C45965">
        <w:rPr>
          <w:szCs w:val="24"/>
        </w:rPr>
        <w:t xml:space="preserve"> oprávněných osob tak bude standardně využívat elektronický přístup. Výjimka bude patrně dopadat pouze na specifické případy zahraničních oprávněných osob, typicky ze třetích zemí.</w:t>
      </w:r>
    </w:p>
    <w:p w14:paraId="71CF7884" w14:textId="7BE7B1CE" w:rsidR="00C45965" w:rsidRPr="00F519FB" w:rsidRDefault="00C45965" w:rsidP="00F519FB">
      <w:r>
        <w:t xml:space="preserve"> Ustanovení navazuje na § 15b odst. 6</w:t>
      </w:r>
      <w:r w:rsidRPr="00C45965">
        <w:rPr>
          <w:szCs w:val="24"/>
        </w:rPr>
        <w:t xml:space="preserve"> </w:t>
      </w:r>
      <w:r>
        <w:rPr>
          <w:szCs w:val="24"/>
        </w:rPr>
        <w:t xml:space="preserve">zákona o ESM ve znění návrhu, které obdobně umožňuje podat žádost o přístup jinak než elektronicky, tj. v listinné podobě. </w:t>
      </w:r>
    </w:p>
    <w:p w14:paraId="2D2BD78E" w14:textId="1246A7CF" w:rsidR="00E05220" w:rsidRDefault="00E05220" w:rsidP="00E05220">
      <w:pPr>
        <w:pStyle w:val="Nadpis5"/>
      </w:pPr>
      <w:r w:rsidRPr="00492DD8">
        <w:t>K</w:t>
      </w:r>
      <w:r>
        <w:t xml:space="preserve"> bodu </w:t>
      </w:r>
      <w:r w:rsidR="008832FD">
        <w:t>11</w:t>
      </w:r>
      <w:r>
        <w:t xml:space="preserve"> [§ 15f]</w:t>
      </w:r>
    </w:p>
    <w:p w14:paraId="61FD73CF" w14:textId="50B33FAC" w:rsidR="005444E6" w:rsidRDefault="005444E6" w:rsidP="005444E6">
      <w:r>
        <w:t xml:space="preserve">Ustanovení transponuje požadavky AML směrnice týkající se kontroly </w:t>
      </w:r>
      <w:r w:rsidR="00564DB9">
        <w:t xml:space="preserve">přístupu </w:t>
      </w:r>
      <w:r>
        <w:t>na základě opr</w:t>
      </w:r>
      <w:r w:rsidR="00564DB9">
        <w:t>ávně</w:t>
      </w:r>
      <w:r>
        <w:t xml:space="preserve">ného zájmu, včetně možnosti odejmutí přístupu. </w:t>
      </w:r>
    </w:p>
    <w:p w14:paraId="42C42FCE" w14:textId="58734FAA" w:rsidR="005444E6" w:rsidRDefault="005444E6" w:rsidP="005444E6">
      <w:pPr>
        <w:pStyle w:val="Nadpis6"/>
      </w:pPr>
      <w:r>
        <w:t>K odstavci 1</w:t>
      </w:r>
    </w:p>
    <w:p w14:paraId="0D2F866C" w14:textId="14561A47" w:rsidR="00FD2E3E" w:rsidRDefault="00FD2E3E" w:rsidP="00564DB9">
      <w:r>
        <w:t>Ustanovení transponuje čl. 1</w:t>
      </w:r>
      <w:r w:rsidR="00633C98">
        <w:t>3</w:t>
      </w:r>
      <w:r>
        <w:t xml:space="preserve"> odst. 8 druhý pododstavec AML směrnice. Ministers</w:t>
      </w:r>
      <w:r w:rsidR="00582628">
        <w:t>tvo bude moci rozhodnout o zrušení</w:t>
      </w:r>
      <w:r>
        <w:t xml:space="preserve"> přístupu pro oprávněnou osobu, u níž nastanou nebo budou</w:t>
      </w:r>
      <w:r w:rsidR="00DC6024">
        <w:t xml:space="preserve"> zjištěny skutečnosti, pro které</w:t>
      </w:r>
      <w:r>
        <w:t xml:space="preserve"> by byla žádost </w:t>
      </w:r>
      <w:r w:rsidR="00DC6024">
        <w:t xml:space="preserve">o přístup </w:t>
      </w:r>
      <w:r>
        <w:t>zamítnuta</w:t>
      </w:r>
      <w:r w:rsidR="00B37E13">
        <w:t xml:space="preserve"> [podle § 15c odst. </w:t>
      </w:r>
      <w:r w:rsidR="0012736F">
        <w:t>5</w:t>
      </w:r>
      <w:r w:rsidR="00B37E13">
        <w:t xml:space="preserve"> zákona o ESM ve znění návrhu]</w:t>
      </w:r>
      <w:r>
        <w:t xml:space="preserve">. Lze se domnívat, že danou možnost bude v praxi </w:t>
      </w:r>
      <w:r w:rsidR="00B37E13">
        <w:t>ministerstvo</w:t>
      </w:r>
      <w:r>
        <w:t xml:space="preserve"> využívat jen výjimečně. </w:t>
      </w:r>
    </w:p>
    <w:p w14:paraId="7CF9E353" w14:textId="5F353B0D" w:rsidR="00633C98" w:rsidRDefault="00B37E13" w:rsidP="00564DB9">
      <w:r>
        <w:t>Možným d</w:t>
      </w:r>
      <w:r w:rsidR="00FD2E3E">
        <w:t xml:space="preserve">ůvodem zrušení </w:t>
      </w:r>
      <w:r w:rsidR="00511885">
        <w:t xml:space="preserve">přístupu </w:t>
      </w:r>
      <w:r w:rsidR="00582628">
        <w:t xml:space="preserve">[ve spojení s § 15c odst. </w:t>
      </w:r>
      <w:r w:rsidR="00DC6024">
        <w:t>5</w:t>
      </w:r>
      <w:r w:rsidR="00633C98">
        <w:t xml:space="preserve"> písm. c) zákona o ESM ve znění návrhu] </w:t>
      </w:r>
      <w:r w:rsidR="00511885">
        <w:t>bude</w:t>
      </w:r>
      <w:r>
        <w:t xml:space="preserve"> např. to, že s</w:t>
      </w:r>
      <w:r w:rsidR="00DC6024">
        <w:t>ubjekt údaje z evidence používá</w:t>
      </w:r>
      <w:r>
        <w:t xml:space="preserve"> zjevně k jiným </w:t>
      </w:r>
      <w:r w:rsidR="007D0B65">
        <w:t>účelům</w:t>
      </w:r>
      <w:r w:rsidR="00B5559A">
        <w:t xml:space="preserve"> než původně proklamovaným. Lze uvažovat </w:t>
      </w:r>
      <w:r w:rsidR="00DC6024">
        <w:t xml:space="preserve">o </w:t>
      </w:r>
      <w:r w:rsidR="00B5559A">
        <w:t>to</w:t>
      </w:r>
      <w:r w:rsidR="00DC6024">
        <w:t>m</w:t>
      </w:r>
      <w:r w:rsidR="00B5559A">
        <w:t xml:space="preserve">, že </w:t>
      </w:r>
      <w:r w:rsidR="007D0B65">
        <w:t xml:space="preserve">údaje </w:t>
      </w:r>
      <w:r w:rsidR="00B5559A">
        <w:t xml:space="preserve">bude používat pro </w:t>
      </w:r>
      <w:r w:rsidR="00582628">
        <w:t>své komerční účely (</w:t>
      </w:r>
      <w:r w:rsidR="007D0B65">
        <w:t xml:space="preserve">prodávání údajů, placené vytváření obchodních profilů), ačkoli se původně prezentoval jako novinář nebo zástupce občanské společnosti. </w:t>
      </w:r>
    </w:p>
    <w:p w14:paraId="0BCB02A0" w14:textId="59E58EE7" w:rsidR="00564DB9" w:rsidRDefault="00633C98" w:rsidP="00564DB9">
      <w:r>
        <w:t xml:space="preserve">Lze doplnit, že </w:t>
      </w:r>
      <w:r w:rsidR="00DC6024">
        <w:t xml:space="preserve">s </w:t>
      </w:r>
      <w:r>
        <w:t xml:space="preserve">ohledem na technické řešení znepřístupnění údajů podle § 32 nebo </w:t>
      </w:r>
      <w:proofErr w:type="gramStart"/>
      <w:r>
        <w:t>32</w:t>
      </w:r>
      <w:r w:rsidR="00F44F5F">
        <w:t>a</w:t>
      </w:r>
      <w:proofErr w:type="gramEnd"/>
      <w:r>
        <w:t xml:space="preserve"> zákona o ESM ve znění návrhu nebude třeba v těchto případech přístup rušit, protože systém sám údaje v důsledku znepřístupnění ze strany soudu v databázi pro příslušné kategorie uživatelů plošně skryje. </w:t>
      </w:r>
    </w:p>
    <w:p w14:paraId="5CF721FA" w14:textId="3446A5BB" w:rsidR="008A6C86" w:rsidRDefault="008A6C86" w:rsidP="00564DB9">
      <w:pPr>
        <w:rPr>
          <w:szCs w:val="24"/>
        </w:rPr>
      </w:pPr>
      <w:r>
        <w:rPr>
          <w:szCs w:val="24"/>
        </w:rPr>
        <w:lastRenderedPageBreak/>
        <w:t xml:space="preserve">Dále se navrhuje upravit nemožnost odvolání </w:t>
      </w:r>
      <w:r w:rsidR="00DC6024">
        <w:rPr>
          <w:szCs w:val="24"/>
        </w:rPr>
        <w:t xml:space="preserve">se </w:t>
      </w:r>
      <w:r>
        <w:rPr>
          <w:szCs w:val="24"/>
        </w:rPr>
        <w:t xml:space="preserve">proti rozhodnutí o zrušení přístupu, jelikož </w:t>
      </w:r>
      <w:r w:rsidR="00DC6024">
        <w:rPr>
          <w:szCs w:val="24"/>
        </w:rPr>
        <w:t>by</w:t>
      </w:r>
      <w:r>
        <w:rPr>
          <w:szCs w:val="24"/>
        </w:rPr>
        <w:t xml:space="preserve"> o rozkladu rozhodoval stejný orgán jako v prvním stupni, tj. </w:t>
      </w:r>
      <w:r w:rsidR="00DC6024">
        <w:rPr>
          <w:szCs w:val="24"/>
        </w:rPr>
        <w:t>M</w:t>
      </w:r>
      <w:r>
        <w:rPr>
          <w:szCs w:val="24"/>
        </w:rPr>
        <w:t xml:space="preserve">inisterstvo </w:t>
      </w:r>
      <w:r w:rsidR="00563462">
        <w:rPr>
          <w:szCs w:val="24"/>
        </w:rPr>
        <w:t xml:space="preserve">(resp. ministr) </w:t>
      </w:r>
      <w:r>
        <w:rPr>
          <w:szCs w:val="24"/>
        </w:rPr>
        <w:t>spravedlnosti. Možnost využít opravné prostředky se v tomto případě jeví jako zbytná a spoj</w:t>
      </w:r>
      <w:r w:rsidR="00DC6024">
        <w:rPr>
          <w:szCs w:val="24"/>
        </w:rPr>
        <w:t>ená pouze s další administrativní zátěží</w:t>
      </w:r>
      <w:r>
        <w:rPr>
          <w:szCs w:val="24"/>
        </w:rPr>
        <w:t xml:space="preserve">. Samozřejmě platí, že </w:t>
      </w:r>
      <w:r w:rsidR="00DC6024">
        <w:rPr>
          <w:szCs w:val="24"/>
        </w:rPr>
        <w:t>je</w:t>
      </w:r>
      <w:r>
        <w:rPr>
          <w:szCs w:val="24"/>
        </w:rPr>
        <w:t xml:space="preserve"> možné využít</w:t>
      </w:r>
      <w:r w:rsidRPr="00E35B6F">
        <w:rPr>
          <w:szCs w:val="24"/>
        </w:rPr>
        <w:t xml:space="preserve"> přezkumu </w:t>
      </w:r>
      <w:r>
        <w:rPr>
          <w:szCs w:val="24"/>
        </w:rPr>
        <w:t>r</w:t>
      </w:r>
      <w:r w:rsidRPr="00E35B6F">
        <w:rPr>
          <w:szCs w:val="24"/>
        </w:rPr>
        <w:t xml:space="preserve">ozhodnutí </w:t>
      </w:r>
      <w:r w:rsidR="00DC6024">
        <w:rPr>
          <w:szCs w:val="24"/>
        </w:rPr>
        <w:t xml:space="preserve">o zrušení přístupu </w:t>
      </w:r>
      <w:r w:rsidRPr="00E35B6F">
        <w:rPr>
          <w:szCs w:val="24"/>
        </w:rPr>
        <w:t>správním soudem.</w:t>
      </w:r>
      <w:r w:rsidR="00DC6024">
        <w:rPr>
          <w:szCs w:val="24"/>
        </w:rPr>
        <w:t xml:space="preserve"> </w:t>
      </w:r>
    </w:p>
    <w:p w14:paraId="2B49C323" w14:textId="432D1814" w:rsidR="00DC6024" w:rsidRPr="00DC6024" w:rsidRDefault="00DC6024" w:rsidP="00564DB9">
      <w:pPr>
        <w:rPr>
          <w:szCs w:val="24"/>
        </w:rPr>
      </w:pPr>
      <w:r>
        <w:rPr>
          <w:szCs w:val="24"/>
        </w:rPr>
        <w:t xml:space="preserve">Obdobně jako v navrhovaném § 15c odst. 6 zákona o ESM se navrhuje upravit, že ministerstvo musí osobu, jejíž přístup ruší, poučit o jejím </w:t>
      </w:r>
      <w:r w:rsidR="00F44F5F">
        <w:rPr>
          <w:szCs w:val="24"/>
        </w:rPr>
        <w:t>právu</w:t>
      </w:r>
      <w:r w:rsidR="00F44F5F" w:rsidRPr="00C17908">
        <w:rPr>
          <w:szCs w:val="24"/>
        </w:rPr>
        <w:t xml:space="preserve"> </w:t>
      </w:r>
      <w:r w:rsidRPr="00C17908">
        <w:rPr>
          <w:szCs w:val="24"/>
        </w:rPr>
        <w:t xml:space="preserve">podat ve správním soudnictví žalobu proti rozhodnutí </w:t>
      </w:r>
      <w:r>
        <w:rPr>
          <w:szCs w:val="24"/>
        </w:rPr>
        <w:t>o zrušení přístupu. Z obecné úpravy správního řádu totiž tato povinnost neplyne.</w:t>
      </w:r>
    </w:p>
    <w:p w14:paraId="168DAC33" w14:textId="29AA2C6D" w:rsidR="005444E6" w:rsidRDefault="005444E6" w:rsidP="005444E6">
      <w:pPr>
        <w:pStyle w:val="Nadpis6"/>
      </w:pPr>
      <w:r>
        <w:t>K odstavci 2</w:t>
      </w:r>
    </w:p>
    <w:p w14:paraId="04883189" w14:textId="2C77F68F" w:rsidR="00633C98" w:rsidRDefault="00633C98" w:rsidP="00633C98">
      <w:r>
        <w:t>Ustanovení transponuje čl. 13 odst. 10 AML směrnice, které limitu</w:t>
      </w:r>
      <w:r w:rsidR="00785A2C">
        <w:t xml:space="preserve">je četnost průběžných kontrol </w:t>
      </w:r>
      <w:r>
        <w:t xml:space="preserve">přístupu oprávněných osob. Ministerstvo může průběžně ověřovat, zda je přístup </w:t>
      </w:r>
      <w:r w:rsidR="00785A2C">
        <w:t xml:space="preserve">oprávněných osob </w:t>
      </w:r>
      <w:r>
        <w:t xml:space="preserve">stále důvodný, tj. zda stále splňují požadavky oprávněného zájmu. </w:t>
      </w:r>
    </w:p>
    <w:p w14:paraId="01D72BD5" w14:textId="6E1D7A35" w:rsidR="00633C98" w:rsidRPr="00633C98" w:rsidRDefault="00633C98" w:rsidP="00633C98">
      <w:r>
        <w:t xml:space="preserve">Současně se stanovuje, že tato ověření </w:t>
      </w:r>
      <w:r w:rsidR="004C30E7">
        <w:t xml:space="preserve">ve vztahu k předmětu činnosti, funkci nebo povolání </w:t>
      </w:r>
      <w:r w:rsidR="00785A2C">
        <w:t>oprávněné osoby</w:t>
      </w:r>
      <w:r w:rsidR="004C30E7">
        <w:t xml:space="preserve"> </w:t>
      </w:r>
      <w:r>
        <w:t>mohou být provedena nejdříve rok po udělení přístupu. Účelem pravidla AML směrnice je zjevně ochrana oprávněné osoby před případnou příli</w:t>
      </w:r>
      <w:r w:rsidR="00785A2C">
        <w:t>šnou kontrolou a</w:t>
      </w:r>
      <w:r w:rsidR="00F44F5F">
        <w:t> </w:t>
      </w:r>
      <w:r w:rsidR="00785A2C">
        <w:t>administrativní zátěží ze strany orgánu, který</w:t>
      </w:r>
      <w:r>
        <w:t xml:space="preserve"> o přístupu rozhoduje. </w:t>
      </w:r>
      <w:r w:rsidR="004C30E7">
        <w:t xml:space="preserve">Ochranné pravidlo lze však prolomit, pokud existují důvody se domnívat, že oprávněný zájem pominul. </w:t>
      </w:r>
      <w:r>
        <w:t xml:space="preserve">  </w:t>
      </w:r>
    </w:p>
    <w:p w14:paraId="72F52592" w14:textId="269E754A" w:rsidR="005444E6" w:rsidRDefault="005444E6" w:rsidP="005444E6">
      <w:pPr>
        <w:pStyle w:val="Nadpis6"/>
      </w:pPr>
      <w:r>
        <w:t>K odstavci 3</w:t>
      </w:r>
    </w:p>
    <w:p w14:paraId="1F2C08CB" w14:textId="41F08AB4" w:rsidR="00EB57EC" w:rsidRDefault="004C30E7" w:rsidP="005444E6">
      <w:r>
        <w:t>Ustanovení transponuje čl. 13 odst. 11 AML směrnice. Je stanoven</w:t>
      </w:r>
      <w:r w:rsidR="00785A2C">
        <w:t>a povinnost oprávněné osoby</w:t>
      </w:r>
      <w:r>
        <w:t xml:space="preserve"> informovat ministerstvo o skutečnost</w:t>
      </w:r>
      <w:r w:rsidR="00785A2C">
        <w:t>ech</w:t>
      </w:r>
      <w:r>
        <w:t xml:space="preserve">, které buď mění důvody oprávněného zájmu, nebo mají vést ke zrušení oprávněného zájmu. Cílem této povinnosti je působit preventivně proti případnému zneužití přístupu, respektive jeho využívání bez oprávněného důvodů. </w:t>
      </w:r>
    </w:p>
    <w:p w14:paraId="23755111" w14:textId="08682A51" w:rsidR="005444E6" w:rsidRDefault="004C30E7" w:rsidP="005444E6">
      <w:r>
        <w:t xml:space="preserve">Je třeba si uvědomit, že samotná možnost přístupu nutně nevede k tomu, že jej oprávněná osoba </w:t>
      </w:r>
      <w:r w:rsidR="00EB57EC">
        <w:t>využívá. Případné porušení informační povinnosti proto nelze vnímat jako natolik zásadní, aby bylo třeba za něj stanovovat sankci.</w:t>
      </w:r>
    </w:p>
    <w:p w14:paraId="521F6BCD" w14:textId="3C03D85C" w:rsidR="00461450" w:rsidRDefault="00461450" w:rsidP="00461450">
      <w:pPr>
        <w:pStyle w:val="Nadpis6"/>
      </w:pPr>
      <w:r>
        <w:t>K odstavci 4</w:t>
      </w:r>
    </w:p>
    <w:p w14:paraId="4EA608A1" w14:textId="5D5EA4F1" w:rsidR="00461450" w:rsidRDefault="00461450" w:rsidP="00461450">
      <w:pPr>
        <w:rPr>
          <w:szCs w:val="24"/>
        </w:rPr>
      </w:pPr>
      <w:r>
        <w:rPr>
          <w:szCs w:val="24"/>
        </w:rPr>
        <w:t xml:space="preserve">Ustanovení reaguje na předpokládanou úpravu implementačního aktu Komise, který má být však vydán až 10. 7. 2027. V době přípravy návrhu obsah tohoto implementačního aktu nebyl znám. Z praktického hlediska budou mít požadavky plynoucí z implementačního aktu dopad především na ministerstvo, které náležitě upraví postupy předávání informací o zrušení přístupu na základě oprávněného zájmu. </w:t>
      </w:r>
    </w:p>
    <w:p w14:paraId="3A0668B2" w14:textId="48EF8269" w:rsidR="00461450" w:rsidRDefault="00461450" w:rsidP="00461450">
      <w:pPr>
        <w:rPr>
          <w:szCs w:val="24"/>
        </w:rPr>
      </w:pPr>
      <w:r>
        <w:rPr>
          <w:szCs w:val="24"/>
        </w:rPr>
        <w:t xml:space="preserve">Lze předpokládat, že ministerstvo bude zejména vhodným způsobem sdílet se </w:t>
      </w:r>
      <w:r>
        <w:t>subjekty odpovědnými za registry v jiných členských státech</w:t>
      </w:r>
      <w:r w:rsidR="00785A2C">
        <w:t xml:space="preserve"> </w:t>
      </w:r>
      <w:r w:rsidR="00785A2C">
        <w:rPr>
          <w:szCs w:val="24"/>
        </w:rPr>
        <w:t>informace</w:t>
      </w:r>
      <w:r>
        <w:rPr>
          <w:szCs w:val="24"/>
        </w:rPr>
        <w:t xml:space="preserve"> o zneplatnění osvědčení (ve smyslu § 15d zákona o ESM ve znění návrhu), včetně stručného odůvodnění, </w:t>
      </w:r>
      <w:r>
        <w:t>proč byl přístup zrušen</w:t>
      </w:r>
      <w:r w:rsidR="00785A2C">
        <w:t>, a data</w:t>
      </w:r>
      <w:r>
        <w:t xml:space="preserve"> zrušení přístupu.</w:t>
      </w:r>
      <w:r w:rsidRPr="00461450">
        <w:rPr>
          <w:szCs w:val="24"/>
        </w:rPr>
        <w:t xml:space="preserve"> </w:t>
      </w:r>
      <w:r>
        <w:rPr>
          <w:szCs w:val="24"/>
        </w:rPr>
        <w:t>Tyto procesy by do značné míry mohly být automatizovány, byť v tuto chvíli nelze odhadovat jakým způsobem.</w:t>
      </w:r>
    </w:p>
    <w:p w14:paraId="191A0019" w14:textId="622AAC12" w:rsidR="00E05220" w:rsidRDefault="00E05220" w:rsidP="00E05220">
      <w:pPr>
        <w:pStyle w:val="Nadpis5"/>
      </w:pPr>
      <w:r w:rsidRPr="00492DD8">
        <w:lastRenderedPageBreak/>
        <w:t>K</w:t>
      </w:r>
      <w:r>
        <w:t xml:space="preserve"> bodu </w:t>
      </w:r>
      <w:r w:rsidR="008832FD">
        <w:t>11</w:t>
      </w:r>
      <w:r>
        <w:t xml:space="preserve"> [§ 15g]</w:t>
      </w:r>
    </w:p>
    <w:p w14:paraId="0BF19BAB" w14:textId="65D95462" w:rsidR="00702AFF" w:rsidRDefault="00A06F6B" w:rsidP="00702AFF">
      <w:r>
        <w:t xml:space="preserve">Ustanovení transponuje požadavky AML směrnice týkající se vedení záznamů o příjemcích údajů pro účely informování skutečného majitele (subjektu údajů). </w:t>
      </w:r>
    </w:p>
    <w:p w14:paraId="00CCBC66" w14:textId="02059C4E" w:rsidR="00A06F6B" w:rsidRDefault="00A06F6B" w:rsidP="00A06F6B">
      <w:pPr>
        <w:pStyle w:val="Nadpis6"/>
      </w:pPr>
      <w:r>
        <w:t>K odstavcům 1 a 2</w:t>
      </w:r>
    </w:p>
    <w:p w14:paraId="6FEE2C58" w14:textId="3098EC65" w:rsidR="00A06F6B" w:rsidRDefault="00A06F6B" w:rsidP="00A06F6B">
      <w:r>
        <w:t xml:space="preserve">Ustanovení transponují čl. 12 odst. 4 </w:t>
      </w:r>
      <w:r w:rsidR="00F92A88">
        <w:t xml:space="preserve">první pododstavec </w:t>
      </w:r>
      <w:r>
        <w:t xml:space="preserve">AML směrnice, který požaduje, aby byly vedeny záznamy o osobách přistupujících k údajům v evidenci na základě oprávněného zájmu. </w:t>
      </w:r>
      <w:r w:rsidR="0055199B">
        <w:t xml:space="preserve">Cílem je zpřístupnit informace o příjemcích údajů skutečnému majiteli, a to na základě jeho žádosti. V souladu s čl. 15 odst. 1 písm. c) GDPR má subjekt údajů (v tomto kontextu skutečný majitel) právo na informace o </w:t>
      </w:r>
      <w:r w:rsidR="00785A2C">
        <w:t>příjemci nebo kategorii</w:t>
      </w:r>
      <w:r w:rsidR="0055199B" w:rsidRPr="0055199B">
        <w:t xml:space="preserve"> příjemců, kterým osobní údaje byly nebo budou zpřístupněny</w:t>
      </w:r>
      <w:r w:rsidR="0055199B">
        <w:t xml:space="preserve">. Příjemcem údajů </w:t>
      </w:r>
      <w:r w:rsidR="00F92A88">
        <w:t xml:space="preserve">(ve smyslu čl. 4 odst. 9 GDPR) </w:t>
      </w:r>
      <w:r w:rsidR="0055199B">
        <w:t xml:space="preserve">je pak osoba oprávněná k přístupu do evidence na základě oprávněného zájmu. </w:t>
      </w:r>
    </w:p>
    <w:p w14:paraId="4476C667" w14:textId="7DE8010C" w:rsidR="0055199B" w:rsidRDefault="0055199B" w:rsidP="00A06F6B">
      <w:r>
        <w:t xml:space="preserve">Stanovuje se, jaké údaje jsou o příjemcích skutečnému majiteli poskytovány. </w:t>
      </w:r>
      <w:r w:rsidR="00AA6C92">
        <w:t>T</w:t>
      </w:r>
      <w:r>
        <w:t xml:space="preserve">ento rozsah </w:t>
      </w:r>
      <w:r w:rsidR="004F383E">
        <w:t>se navrhuje stanovit proporcionálně tak, aby nedošlo k nedůvodnému předávání osobních údajů o</w:t>
      </w:r>
      <w:r w:rsidR="00F44F5F">
        <w:t> </w:t>
      </w:r>
      <w:r w:rsidR="004F383E">
        <w:t xml:space="preserve">příjemcích údajů. V případě příjemců, kteří budou právnickými osobami, budou sdělovány údaje umožňující </w:t>
      </w:r>
      <w:r w:rsidR="00785A2C">
        <w:t xml:space="preserve">jejich </w:t>
      </w:r>
      <w:r w:rsidR="004F383E">
        <w:t>jednoznačnou identifikaci. Lze doplnit, že příjemcem údajů je myšlen subjekt, jehož oprávněný zájem by ministerstvem zkoumán a potvrzen, tzv. oprávněná osob</w:t>
      </w:r>
      <w:r w:rsidR="00F44F5F">
        <w:t>a</w:t>
      </w:r>
      <w:r w:rsidR="004F383E">
        <w:t xml:space="preserve">. Příjemcem není konkrétní uživatel přístupu, který pouze přistupuje v rámci mandátu oprávněné osoby (typicky např. jako její zaměstnanec).  </w:t>
      </w:r>
    </w:p>
    <w:p w14:paraId="66758393" w14:textId="7D0DE9D2" w:rsidR="00AA6C92" w:rsidRPr="00A06F6B" w:rsidRDefault="00AA6C92" w:rsidP="00A06F6B">
      <w:r>
        <w:t>Vlastní sdělení údajů o příjemcích lze do značné míry zautomatizovat, aby nebylo nutné jednotlivé žádosti</w:t>
      </w:r>
      <w:r w:rsidR="008D3416" w:rsidRPr="008D3416">
        <w:t xml:space="preserve"> </w:t>
      </w:r>
      <w:r w:rsidR="008D3416">
        <w:t>vyřizovat manuálně</w:t>
      </w:r>
      <w:r w:rsidRPr="00AA6C92">
        <w:t xml:space="preserve">. Skutečný majitel se bude moci přihlásit s využitím své elektronické identity do </w:t>
      </w:r>
      <w:r w:rsidR="008D3416">
        <w:t>evidence</w:t>
      </w:r>
      <w:r w:rsidRPr="00AA6C92">
        <w:t>, kde ve svém profilu bude mít možnost zobrazit informace o</w:t>
      </w:r>
      <w:r w:rsidR="00F44F5F">
        <w:t> </w:t>
      </w:r>
      <w:r w:rsidR="008D3416">
        <w:t xml:space="preserve">oprávněných osobách, které přistoupily k jeho údajům. </w:t>
      </w:r>
    </w:p>
    <w:p w14:paraId="49643AD1" w14:textId="77777777" w:rsidR="00A06F6B" w:rsidRDefault="00A06F6B" w:rsidP="00A06F6B">
      <w:pPr>
        <w:pStyle w:val="Nadpis6"/>
      </w:pPr>
      <w:r>
        <w:t>K odstavci 3</w:t>
      </w:r>
    </w:p>
    <w:p w14:paraId="74897071" w14:textId="48AFEC2A" w:rsidR="00F92A88" w:rsidRDefault="00F92A88" w:rsidP="00F92A88">
      <w:r>
        <w:t xml:space="preserve">Ustanovení transponuje čl. 12 odst. 4 druhý </w:t>
      </w:r>
      <w:r w:rsidR="00BC78EC">
        <w:t xml:space="preserve">a čtvrtý </w:t>
      </w:r>
      <w:r>
        <w:t>pododstavec AML směrnice</w:t>
      </w:r>
      <w:r w:rsidR="005439AB">
        <w:t xml:space="preserve">. Cílem úpravy je chránit činnost nevládních organizací </w:t>
      </w:r>
      <w:r w:rsidR="00785A2C">
        <w:t>členů akademické obce a</w:t>
      </w:r>
      <w:r w:rsidR="005439AB">
        <w:t xml:space="preserve"> novinářů, kteří využívají údaje z evidence v rámci své činnosti za vymezenými účely. Pokud by údaje o nich byly pro skutečného majitele </w:t>
      </w:r>
      <w:proofErr w:type="spellStart"/>
      <w:r w:rsidR="005439AB">
        <w:t>seznatelné</w:t>
      </w:r>
      <w:proofErr w:type="spellEnd"/>
      <w:r w:rsidR="005439AB">
        <w:t xml:space="preserve">, jejich investigativní práce a kontrolní úloha by tím mohly být narušeny.  </w:t>
      </w:r>
    </w:p>
    <w:p w14:paraId="2003EB24" w14:textId="102E9D33" w:rsidR="00785A2C" w:rsidRPr="00F92A88" w:rsidRDefault="00785A2C" w:rsidP="00F92A88">
      <w:r>
        <w:t>Ačkoli č</w:t>
      </w:r>
      <w:r w:rsidRPr="00785A2C">
        <w:t xml:space="preserve">l. 12 odst. 4 druhý pododstavec písm. b) </w:t>
      </w:r>
      <w:r>
        <w:t>AML směrnice hovoří</w:t>
      </w:r>
      <w:r w:rsidRPr="00785A2C">
        <w:t xml:space="preserve"> </w:t>
      </w:r>
      <w:r>
        <w:t xml:space="preserve">pouze </w:t>
      </w:r>
      <w:r w:rsidRPr="00785A2C">
        <w:t xml:space="preserve">o organizacích občanské společnosti, </w:t>
      </w:r>
      <w:r>
        <w:t xml:space="preserve">aniž by výslovně zmiňoval akademickou obec, je </w:t>
      </w:r>
      <w:r w:rsidR="00F44F5F">
        <w:t xml:space="preserve">logické </w:t>
      </w:r>
      <w:r>
        <w:t>pravidlo upravit i ve vztahu k této kategorii subjektů. Čl.</w:t>
      </w:r>
      <w:r w:rsidRPr="00785A2C">
        <w:t xml:space="preserve"> 12 odst. 2 písm. b)</w:t>
      </w:r>
      <w:r>
        <w:t xml:space="preserve"> AML směrnice je totiž zjevně formulován tak, že akademickou obec subsumuje pod organizace</w:t>
      </w:r>
      <w:r w:rsidR="00F44F5F">
        <w:t xml:space="preserve"> občanské společnosti</w:t>
      </w:r>
      <w:r>
        <w:t>.</w:t>
      </w:r>
      <w:r w:rsidRPr="00785A2C">
        <w:t xml:space="preserve"> </w:t>
      </w:r>
      <w:r>
        <w:t>I bez vztahu k úpravě AML směrnice platí, že akademická obec je obecně považována za součást občanské společnosti.</w:t>
      </w:r>
    </w:p>
    <w:p w14:paraId="253152BF" w14:textId="740F19FB" w:rsidR="00A06F6B" w:rsidRDefault="00A06F6B" w:rsidP="00A06F6B">
      <w:pPr>
        <w:pStyle w:val="Nadpis6"/>
      </w:pPr>
      <w:r>
        <w:lastRenderedPageBreak/>
        <w:t>K odstavc</w:t>
      </w:r>
      <w:r w:rsidR="00BC78EC">
        <w:t>ům</w:t>
      </w:r>
      <w:r>
        <w:t xml:space="preserve"> </w:t>
      </w:r>
      <w:r w:rsidR="00F92A88">
        <w:t>4</w:t>
      </w:r>
      <w:r w:rsidR="00BC78EC">
        <w:t xml:space="preserve"> a 5 </w:t>
      </w:r>
    </w:p>
    <w:p w14:paraId="26BB98EF" w14:textId="747FF6F6" w:rsidR="00A06F6B" w:rsidRPr="00702AFF" w:rsidRDefault="00BC78EC" w:rsidP="00702AFF">
      <w:r>
        <w:t xml:space="preserve">Ustanovení transponuje čl. 12 odst. 4 třetí a </w:t>
      </w:r>
      <w:r w:rsidR="00582628">
        <w:t>pátý</w:t>
      </w:r>
      <w:r>
        <w:t xml:space="preserve"> pododstavec AML směrnice</w:t>
      </w:r>
      <w:r w:rsidR="005439AB">
        <w:t>. Cílem je chránit činnost příslušných zahraničních orgánů. Informování skutečných majitelů by mohlo např. narušit nebo zhatit probíhající vyšetřování. Současně je však třeba, aby o tento režim požádala sama oprávněná osoba. Znepřístupnění údajů o tomto příjemci údajů je tedy pouze na žádost a</w:t>
      </w:r>
      <w:r w:rsidR="00F44F5F">
        <w:t> </w:t>
      </w:r>
      <w:r w:rsidR="005439AB">
        <w:t xml:space="preserve">na časově omezenou dobu. Oprávněná osoba musí specifikovat, na jak dlouho </w:t>
      </w:r>
      <w:r w:rsidR="0039241D">
        <w:t>její</w:t>
      </w:r>
      <w:r w:rsidR="005439AB">
        <w:t xml:space="preserve"> údaje nemají </w:t>
      </w:r>
      <w:r w:rsidR="0039241D">
        <w:t xml:space="preserve">být </w:t>
      </w:r>
      <w:r w:rsidR="00785A2C">
        <w:t xml:space="preserve">skutečnému majiteli </w:t>
      </w:r>
      <w:r w:rsidR="0039241D">
        <w:t xml:space="preserve">sdělovány, přičemž tato doba </w:t>
      </w:r>
      <w:r w:rsidR="00785A2C">
        <w:t>nesmí přesáhnout</w:t>
      </w:r>
      <w:r w:rsidR="0039241D">
        <w:t xml:space="preserve"> 5 let. Tato pětiletá </w:t>
      </w:r>
      <w:r w:rsidR="00785A2C">
        <w:t>doba</w:t>
      </w:r>
      <w:r w:rsidR="0039241D">
        <w:t xml:space="preserve"> může být prodloužena, avšak vždy pouze o rok.   </w:t>
      </w:r>
      <w:r w:rsidR="005439AB">
        <w:t xml:space="preserve"> </w:t>
      </w:r>
    </w:p>
    <w:p w14:paraId="53839BF4" w14:textId="6AB3BB34" w:rsidR="00B21621" w:rsidRDefault="00B21621" w:rsidP="00B21621">
      <w:pPr>
        <w:pStyle w:val="Nadpis5"/>
      </w:pPr>
      <w:r w:rsidRPr="00492DD8">
        <w:t>K</w:t>
      </w:r>
      <w:r>
        <w:t xml:space="preserve"> bodu </w:t>
      </w:r>
      <w:r w:rsidR="008832FD">
        <w:t>11</w:t>
      </w:r>
      <w:r>
        <w:t xml:space="preserve"> [§ 15h]</w:t>
      </w:r>
    </w:p>
    <w:p w14:paraId="43018394" w14:textId="3212688F" w:rsidR="00B21621" w:rsidRDefault="00B21621" w:rsidP="00B21621">
      <w:r>
        <w:t xml:space="preserve">Ustanovení transponuje čl. 9 odst. 2 písm. i) AML směrnice, který požaduje vedení statistik týkajících se žádostí o dálkový přístup. Je třeba vést statistky o počtu žadatelů členěných podle kategorií </w:t>
      </w:r>
      <w:r w:rsidR="00785A2C">
        <w:t>subjektů</w:t>
      </w:r>
      <w:r>
        <w:t xml:space="preserve"> s oprávněným zájmem podle § 15 odst. 2 </w:t>
      </w:r>
      <w:r w:rsidR="00785A2C">
        <w:t xml:space="preserve">psím. </w:t>
      </w:r>
      <w:r w:rsidR="00F44F5F">
        <w:t>a</w:t>
      </w:r>
      <w:r w:rsidR="00785A2C">
        <w:t>) až k)</w:t>
      </w:r>
      <w:r>
        <w:t xml:space="preserve"> zákona o ESM ve znění návrhu, tj. podle kategorií </w:t>
      </w:r>
      <w:r w:rsidR="00785A2C">
        <w:t xml:space="preserve">subjektů </w:t>
      </w:r>
      <w:r>
        <w:t xml:space="preserve">odpovídajících čl. 12 odst. 2 AML směrnice. </w:t>
      </w:r>
    </w:p>
    <w:p w14:paraId="71A4A535" w14:textId="3C1E4710" w:rsidR="00B21621" w:rsidRDefault="00B21621" w:rsidP="00B21621">
      <w:r>
        <w:t xml:space="preserve">Navrhované písmeno c) reaguje na čl. 9 odst. 2 písm. i) bod </w:t>
      </w:r>
      <w:proofErr w:type="spellStart"/>
      <w:r>
        <w:t>iii</w:t>
      </w:r>
      <w:proofErr w:type="spellEnd"/>
      <w:r>
        <w:t xml:space="preserve">) AML směrnice, který požaduje vedení přehledu o případných dalších kategoriích subjektů s oprávněným zájem o přístup v souvislosti s účelem předcházení praní špinavých peněz a financování terorismu. </w:t>
      </w:r>
      <w:r w:rsidR="008E14BF">
        <w:t>Tyto kategorie mohou členské státy upravit na základě čl. 12 odst. 2 druhého pododstavce AML směrnice. Návrh</w:t>
      </w:r>
      <w:r>
        <w:t xml:space="preserve"> ty</w:t>
      </w:r>
      <w:r w:rsidR="008E14BF">
        <w:t xml:space="preserve">to další kategorie </w:t>
      </w:r>
      <w:r w:rsidR="00785A2C">
        <w:t xml:space="preserve">subjektů </w:t>
      </w:r>
      <w:r w:rsidR="008E14BF">
        <w:t xml:space="preserve">nezavádí, takže </w:t>
      </w:r>
      <w:r>
        <w:t xml:space="preserve">není </w:t>
      </w:r>
      <w:r w:rsidR="008E14BF">
        <w:t xml:space="preserve">v tomto ohledu využita diskrece daná AML směrnicí. Přesto se </w:t>
      </w:r>
      <w:r>
        <w:t xml:space="preserve">navrhuje vést statistiky </w:t>
      </w:r>
      <w:r w:rsidR="008E14BF">
        <w:t xml:space="preserve">alespoň o případných dalších žádostech žadatelů odvolávajících se na obecný účel přístupu podle § 15 odst. 2 první věty zákona o ESM ve znění návrhu. Tyto žádosti by se věcně měly nejvíce blížit tomu, o čem požaduje AML směrnice vedení přehledů. </w:t>
      </w:r>
      <w:r>
        <w:t xml:space="preserve"> </w:t>
      </w:r>
    </w:p>
    <w:p w14:paraId="6BDDAA52" w14:textId="75485411" w:rsidR="008E14BF" w:rsidRDefault="008E14BF" w:rsidP="00B21621">
      <w:r>
        <w:t xml:space="preserve">Vedení statistik by mělo být zajištěno automatizovanými mechanismy s využitím příslušného informačního systému. </w:t>
      </w:r>
    </w:p>
    <w:p w14:paraId="72CE091B" w14:textId="5CBC016E" w:rsidR="001168DC" w:rsidRPr="00B21621" w:rsidRDefault="001168DC" w:rsidP="00B21621">
      <w:r>
        <w:t xml:space="preserve">Odstavec 2 transponuje čl. 9 odst. 3 AML směrnice. </w:t>
      </w:r>
    </w:p>
    <w:p w14:paraId="2F72D1CF" w14:textId="0EB2BFA4" w:rsidR="0003653D" w:rsidRDefault="0003653D" w:rsidP="0003653D">
      <w:pPr>
        <w:pStyle w:val="Nadpis5"/>
      </w:pPr>
      <w:r w:rsidRPr="00492DD8">
        <w:t>K</w:t>
      </w:r>
      <w:r w:rsidR="003B7566">
        <w:t xml:space="preserve"> bodu </w:t>
      </w:r>
      <w:r w:rsidR="008832FD">
        <w:t>12</w:t>
      </w:r>
      <w:r w:rsidR="003B7566">
        <w:t xml:space="preserve"> [§ 16 odst. 2</w:t>
      </w:r>
      <w:r>
        <w:t>]</w:t>
      </w:r>
    </w:p>
    <w:p w14:paraId="4F3534EA" w14:textId="01BE6F89" w:rsidR="003B7566" w:rsidRDefault="003B7566" w:rsidP="003B7566">
      <w:r>
        <w:t xml:space="preserve">V souladu s požadavkem čl. 11 </w:t>
      </w:r>
      <w:r w:rsidR="00582628">
        <w:t>odst. 2 AML</w:t>
      </w:r>
      <w:r>
        <w:t xml:space="preserve"> směrnice se doplňují další instituce a orgány, pro které má být zajištěn plný, přímý a volný přístup k údajům v evidenci skutečných majitelů. </w:t>
      </w:r>
    </w:p>
    <w:p w14:paraId="473BC375" w14:textId="14F3EA33" w:rsidR="003B7566" w:rsidRDefault="003B7566" w:rsidP="003B7566">
      <w:r>
        <w:t>Doplňuje se zejména přístup pro agentury Evropské unie, včetně AMLA. Evropský úřad pro boj proti praní peněz a financování terorismu (AMLA) je decentralizovan</w:t>
      </w:r>
      <w:r w:rsidR="00785A2C">
        <w:t>ou</w:t>
      </w:r>
      <w:r>
        <w:t xml:space="preserve"> agentur</w:t>
      </w:r>
      <w:r w:rsidR="00785A2C">
        <w:t>ou</w:t>
      </w:r>
      <w:r>
        <w:t xml:space="preserve"> EU, která má koordinovat činnost vnitrostátních orgánů s cílem zajistit správné a jednotné uplatňování unijních pravidel.</w:t>
      </w:r>
      <w:r w:rsidR="007A2668">
        <w:t xml:space="preserve"> Tyto orgány budou k zajištění přístupu využívat standardní postup podle § 17 zákona o ESM, tj. využít žádost. Případně se na ně také bude vztahovat možnost využití webové služby podle § 17a zákona o ESM ve znění návrhu.  </w:t>
      </w:r>
    </w:p>
    <w:p w14:paraId="37E68210" w14:textId="25311AD8" w:rsidR="0096791F" w:rsidRDefault="003B7566" w:rsidP="0096791F">
      <w:r>
        <w:t xml:space="preserve">Příslušným profesním komorám se má přístup zajistit na základě požadavku čl. 11 </w:t>
      </w:r>
      <w:r w:rsidR="00582628">
        <w:t>odst. 2 písm.</w:t>
      </w:r>
      <w:r w:rsidR="00F44F5F">
        <w:t> </w:t>
      </w:r>
      <w:r>
        <w:t xml:space="preserve">b) AML směrnice. Těmito komorami jsou ve smyslu § 4 odst. 16 ve spojení s § 35 AML </w:t>
      </w:r>
      <w:r>
        <w:lastRenderedPageBreak/>
        <w:t xml:space="preserve">zákona Česká advokátní komora, Notářská komora ČR, Komora daňových poradců ČR, Exekutorská komora a Komora auditorů. </w:t>
      </w:r>
      <w:r w:rsidR="007A2668">
        <w:t>Tyto subjekty budou přistupovat k </w:t>
      </w:r>
      <w:r w:rsidR="00F44F5F">
        <w:t xml:space="preserve">údajům </w:t>
      </w:r>
      <w:r w:rsidR="007A2668">
        <w:t>v režimu §</w:t>
      </w:r>
      <w:r w:rsidR="00F44F5F">
        <w:t> </w:t>
      </w:r>
      <w:r w:rsidR="007A2668">
        <w:t xml:space="preserve">17 zákona o ESM, tj. buď </w:t>
      </w:r>
      <w:r w:rsidR="007A2668" w:rsidRPr="007A2668">
        <w:t xml:space="preserve">prostřednictvím </w:t>
      </w:r>
      <w:r w:rsidR="007A2668">
        <w:t>ohlášení agendy podle zákona upravujícího základní registry</w:t>
      </w:r>
      <w:r w:rsidR="007A2668" w:rsidRPr="007A2668">
        <w:t xml:space="preserve"> </w:t>
      </w:r>
      <w:r w:rsidR="007A2668">
        <w:t xml:space="preserve">(a následně pomocí </w:t>
      </w:r>
      <w:r w:rsidR="007A2668" w:rsidRPr="007A2668">
        <w:t>přihlášení do jednot</w:t>
      </w:r>
      <w:r w:rsidR="007A2668">
        <w:t xml:space="preserve">ného </w:t>
      </w:r>
      <w:proofErr w:type="spellStart"/>
      <w:r w:rsidR="007A2668">
        <w:t>identitního</w:t>
      </w:r>
      <w:proofErr w:type="spellEnd"/>
      <w:r w:rsidR="007A2668">
        <w:t xml:space="preserve"> prostoru) nebo přes žádost adresovanou Ministerstvu spravedlnosti.  </w:t>
      </w:r>
    </w:p>
    <w:p w14:paraId="62C8B6F7" w14:textId="082CC626" w:rsidR="008D3416" w:rsidRPr="002F2698" w:rsidRDefault="008D3416" w:rsidP="0096791F">
      <w:r>
        <w:t xml:space="preserve">Nad rámec požadavků AML směrnice se doplňuje také přístup pro jakýkoli tuzemský orgán veřejné moci, a to za účelem </w:t>
      </w:r>
      <w:r w:rsidR="002452E0">
        <w:t>uplatňování národních nebo mezinárodních sankcí.</w:t>
      </w:r>
      <w:r w:rsidR="0095713B">
        <w:t xml:space="preserve"> Efektivní uplatňování mezinárodních sankcí je zcela zásadní a je třeba tento důvod pro využití evidence explicitně upravit, byť s problematikou AML souvisí pouze nepřímo.  </w:t>
      </w:r>
    </w:p>
    <w:p w14:paraId="408C0671" w14:textId="1AB3606B" w:rsidR="0035244C" w:rsidRDefault="0003653D" w:rsidP="0035244C">
      <w:pPr>
        <w:pStyle w:val="Nadpis5"/>
      </w:pPr>
      <w:r w:rsidRPr="00492DD8">
        <w:t>K</w:t>
      </w:r>
      <w:r w:rsidR="007D08BE">
        <w:t> </w:t>
      </w:r>
      <w:r w:rsidR="003B7566">
        <w:t>bod</w:t>
      </w:r>
      <w:r w:rsidR="007D08BE">
        <w:t>ům</w:t>
      </w:r>
      <w:r w:rsidR="003B7566">
        <w:t xml:space="preserve"> </w:t>
      </w:r>
      <w:r w:rsidR="008832FD">
        <w:t>13</w:t>
      </w:r>
      <w:r w:rsidR="003B7566">
        <w:t xml:space="preserve"> </w:t>
      </w:r>
      <w:r w:rsidR="007D08BE">
        <w:t>a 1</w:t>
      </w:r>
      <w:r w:rsidR="008832FD">
        <w:t>4</w:t>
      </w:r>
      <w:r w:rsidR="007D08BE">
        <w:t xml:space="preserve"> </w:t>
      </w:r>
      <w:r w:rsidR="003B7566">
        <w:t>[§ 16 odst. 3</w:t>
      </w:r>
      <w:r>
        <w:t>]</w:t>
      </w:r>
    </w:p>
    <w:p w14:paraId="76ACDC2E" w14:textId="28C53EB5" w:rsidR="00CB6C98" w:rsidRDefault="0035244C" w:rsidP="0035244C">
      <w:r>
        <w:t xml:space="preserve">V případě skutečných majitelů, </w:t>
      </w:r>
      <w:r w:rsidR="00785A2C">
        <w:t>jejichž údaje byly</w:t>
      </w:r>
      <w:r>
        <w:t xml:space="preserve"> soudem </w:t>
      </w:r>
      <w:r w:rsidR="00785A2C">
        <w:t>znepřístupněn</w:t>
      </w:r>
      <w:r w:rsidR="00F44F5F">
        <w:t>é</w:t>
      </w:r>
      <w:r w:rsidR="00785A2C">
        <w:t xml:space="preserve"> podle § 32 nebo </w:t>
      </w:r>
      <w:proofErr w:type="gramStart"/>
      <w:r w:rsidR="00785A2C">
        <w:t>32a</w:t>
      </w:r>
      <w:proofErr w:type="gramEnd"/>
      <w:r>
        <w:t xml:space="preserve"> zákona o ESM ve znění návrhu, jsou jejich údaje nepřístupné také některým subjektům s dálkov</w:t>
      </w:r>
      <w:r w:rsidR="00785A2C">
        <w:t>ý</w:t>
      </w:r>
      <w:r>
        <w:t>m přístup</w:t>
      </w:r>
      <w:r w:rsidR="00595C19">
        <w:t>em.</w:t>
      </w:r>
      <w:r>
        <w:t xml:space="preserve"> V těchto případech se přístup zachovává pouze u orgánů zodpovědných za boj s praním špinavých peněz a financová</w:t>
      </w:r>
      <w:r w:rsidR="00CB6C98">
        <w:t xml:space="preserve">ním terorismu. </w:t>
      </w:r>
    </w:p>
    <w:p w14:paraId="1BE0CCDB" w14:textId="0A8AD631" w:rsidR="00CB6C98" w:rsidRPr="00CB6C98" w:rsidRDefault="00CB6C98" w:rsidP="00CB6C98">
      <w:r>
        <w:t>V případě povinných</w:t>
      </w:r>
      <w:r w:rsidR="0035244C">
        <w:t xml:space="preserve"> osob podle AML zákona je přístup </w:t>
      </w:r>
      <w:r>
        <w:t>umožněn pouze</w:t>
      </w:r>
      <w:r w:rsidRPr="00CB6C98">
        <w:t xml:space="preserve"> </w:t>
      </w:r>
      <w:r>
        <w:t xml:space="preserve">pro povinné osoby podle čl. 3 </w:t>
      </w:r>
      <w:r w:rsidR="00564DB9">
        <w:t xml:space="preserve">odst. </w:t>
      </w:r>
      <w:r>
        <w:t xml:space="preserve">3 písm. </w:t>
      </w:r>
      <w:r w:rsidR="00682576">
        <w:t>b</w:t>
      </w:r>
      <w:r>
        <w:t xml:space="preserve">) AML nařízení, </w:t>
      </w:r>
      <w:r w:rsidRPr="00CB6C98">
        <w:t>které jsou veřejnými činiteli.</w:t>
      </w:r>
      <w:r>
        <w:t xml:space="preserve"> Uvedené ustanovení AML nařízení (definují</w:t>
      </w:r>
      <w:r w:rsidR="00785A2C">
        <w:t>cí</w:t>
      </w:r>
      <w:r>
        <w:t xml:space="preserve"> dané povinné osoby) je obsahově obdobné tomu, </w:t>
      </w:r>
      <w:r w:rsidR="00785A2C">
        <w:t>jak</w:t>
      </w:r>
      <w:r>
        <w:t xml:space="preserve"> vymezuje dané povinné osoby </w:t>
      </w:r>
      <w:r w:rsidR="004D7A43">
        <w:rPr>
          <w:lang w:bidi="en-US"/>
        </w:rPr>
        <w:t>páté</w:t>
      </w:r>
      <w:r w:rsidR="004D7A43" w:rsidRPr="00F85A48">
        <w:rPr>
          <w:lang w:bidi="en-US"/>
        </w:rPr>
        <w:t xml:space="preserve"> </w:t>
      </w:r>
      <w:r w:rsidR="00785A2C">
        <w:t>AML směrnice [</w:t>
      </w:r>
      <w:r>
        <w:t xml:space="preserve">čl. 2 </w:t>
      </w:r>
      <w:r w:rsidR="00564DB9">
        <w:t xml:space="preserve">odst. </w:t>
      </w:r>
      <w:r>
        <w:t>3 písm. b)] a míří na notáře a advokáty provádějí</w:t>
      </w:r>
      <w:r w:rsidR="00785A2C">
        <w:t>cí</w:t>
      </w:r>
      <w:r>
        <w:t xml:space="preserve"> identifikaci a kontrolu klienta. </w:t>
      </w:r>
    </w:p>
    <w:p w14:paraId="4D6AEE42" w14:textId="6930A1BF" w:rsidR="00CB6C98" w:rsidRDefault="00CB6C98" w:rsidP="00CB6C98">
      <w:r>
        <w:t xml:space="preserve">Podstatný je však dovětek ustanovení čl. 15 </w:t>
      </w:r>
      <w:r w:rsidR="00682576">
        <w:t xml:space="preserve">druhého pododstavce </w:t>
      </w:r>
      <w:r>
        <w:t xml:space="preserve">AML směrnice </w:t>
      </w:r>
      <w:r w:rsidRPr="00CB6C98">
        <w:t>„</w:t>
      </w:r>
      <w:r w:rsidRPr="00CB6C98">
        <w:rPr>
          <w:bCs/>
        </w:rPr>
        <w:t>které jsou veřejnými činiteli</w:t>
      </w:r>
      <w:r w:rsidRPr="00CB6C98">
        <w:t>“</w:t>
      </w:r>
      <w:r>
        <w:t xml:space="preserve">. V kontextu České republiky </w:t>
      </w:r>
      <w:r w:rsidR="00785A2C">
        <w:t xml:space="preserve">mohou být </w:t>
      </w:r>
      <w:r>
        <w:t xml:space="preserve">veřejnými činiteli, respektive osobami vystupujícími jako orgán veřejné moci, patrně pouze notáři jako soudní komisaři v rámci dědického řízení. Advokáti v rámci českého právního řádu jako orgány veřejné moci nevystupují. </w:t>
      </w:r>
    </w:p>
    <w:p w14:paraId="43BAD620" w14:textId="02D74813" w:rsidR="0035244C" w:rsidRDefault="00CB6C98" w:rsidP="0035244C">
      <w:r>
        <w:t>Ovšem notář jako soudní komisař nevykonává činnosti, které by z něj činil</w:t>
      </w:r>
      <w:r w:rsidR="00F44F5F">
        <w:t>y</w:t>
      </w:r>
      <w:r>
        <w:t xml:space="preserve"> povinnou osobu ve smyslu AML nařízení. Proto v návrhu upravená výjimka umožňující přístup některých povinných osob ke znepřístupněným údajů v současnosti nemůže být prakticky využita. Přesto se navrhuje ji upravit, aby nemohly vznikat pochybnosti o řádnosti transpozice.</w:t>
      </w:r>
    </w:p>
    <w:p w14:paraId="40366935" w14:textId="587140DF" w:rsidR="00595C19" w:rsidRPr="00AA3EEB" w:rsidRDefault="00595C19" w:rsidP="0035244C">
      <w:r>
        <w:t xml:space="preserve">Oproti stávajícímu stavu pak nebude možné, aby ke znepřístupněným údajům přistupovaly úvěrové </w:t>
      </w:r>
      <w:r w:rsidRPr="00AA3EEB">
        <w:t>a finanční instituce, což je důsledek změny na úrovni primární unijní úpravy.</w:t>
      </w:r>
    </w:p>
    <w:p w14:paraId="0BD2914B" w14:textId="07FAF95E" w:rsidR="008832FD" w:rsidRPr="0035244C" w:rsidRDefault="008832FD" w:rsidP="0035244C">
      <w:r w:rsidRPr="00AA3EEB">
        <w:t xml:space="preserve">Novelizační bod </w:t>
      </w:r>
      <w:r w:rsidR="00F44F5F" w:rsidRPr="007F716A">
        <w:t xml:space="preserve">č. </w:t>
      </w:r>
      <w:r w:rsidRPr="00AA3EEB">
        <w:t>14 je navržen jako</w:t>
      </w:r>
      <w:r>
        <w:t xml:space="preserve"> samostatný z důvodu návrhu jeho dřívější účinnosti </w:t>
      </w:r>
      <w:r w:rsidR="00F44F5F">
        <w:t xml:space="preserve">oproti </w:t>
      </w:r>
      <w:r>
        <w:t>zbyt</w:t>
      </w:r>
      <w:r w:rsidR="00F44F5F">
        <w:t>ku</w:t>
      </w:r>
      <w:r>
        <w:t xml:space="preserve"> změn </w:t>
      </w:r>
      <w:r w:rsidR="00F44F5F">
        <w:t xml:space="preserve">navrhovaných </w:t>
      </w:r>
      <w:r>
        <w:t>v § 16 odst. 3 zákona o ESM.</w:t>
      </w:r>
    </w:p>
    <w:p w14:paraId="115D5423" w14:textId="73EDA98E" w:rsidR="0003653D" w:rsidRDefault="0003653D" w:rsidP="0003653D">
      <w:pPr>
        <w:pStyle w:val="Nadpis5"/>
      </w:pPr>
      <w:r w:rsidRPr="00492DD8">
        <w:t>K</w:t>
      </w:r>
      <w:r>
        <w:t> bod</w:t>
      </w:r>
      <w:r w:rsidR="002E50AF">
        <w:t>ům</w:t>
      </w:r>
      <w:r>
        <w:t xml:space="preserve"> </w:t>
      </w:r>
      <w:r w:rsidR="002E50AF">
        <w:t>1</w:t>
      </w:r>
      <w:r w:rsidR="008832FD">
        <w:t>5 až 20</w:t>
      </w:r>
      <w:r>
        <w:t xml:space="preserve"> [§ 17]</w:t>
      </w:r>
    </w:p>
    <w:p w14:paraId="34AEB84C" w14:textId="5FE5E2DE" w:rsidR="003B7566" w:rsidRDefault="003B7566" w:rsidP="003B7566">
      <w:r>
        <w:t>V ustanovení se navrhuje upravit terminologi</w:t>
      </w:r>
      <w:r w:rsidR="00785A2C">
        <w:t>i</w:t>
      </w:r>
      <w:r>
        <w:t xml:space="preserve"> v návaznosti na </w:t>
      </w:r>
      <w:r w:rsidR="00787FF0">
        <w:t>zavedenou legislativní zkratku „uživatel přístupu“</w:t>
      </w:r>
      <w:r w:rsidR="001C759F">
        <w:t xml:space="preserve"> (</w:t>
      </w:r>
      <w:r w:rsidR="00787FF0">
        <w:t>§ 15e zákona o ESM ve znění návrhu</w:t>
      </w:r>
      <w:r w:rsidR="001C759F">
        <w:t>)</w:t>
      </w:r>
      <w:r w:rsidR="00787FF0">
        <w:t xml:space="preserve">. Současně se prodlužuje doba, po kterou může konkrétní uživatel přístupu k údajům přistupovat. </w:t>
      </w:r>
      <w:r w:rsidR="00785A2C">
        <w:t>Navrhuje</w:t>
      </w:r>
      <w:r w:rsidR="00787FF0">
        <w:t xml:space="preserve"> se stejná maximální </w:t>
      </w:r>
      <w:r w:rsidR="00787FF0">
        <w:lastRenderedPageBreak/>
        <w:t xml:space="preserve">doba, jaká se navrhuje pro </w:t>
      </w:r>
      <w:r w:rsidR="001C759F">
        <w:t>přístup</w:t>
      </w:r>
      <w:r w:rsidR="00787FF0">
        <w:t xml:space="preserve"> uživatelů na základě oprávněného zájmu podle § </w:t>
      </w:r>
      <w:r w:rsidR="001C759F">
        <w:t xml:space="preserve">15e </w:t>
      </w:r>
      <w:r w:rsidR="00787FF0">
        <w:t>odst. 4 zákona o ESM ve znění návrhu.</w:t>
      </w:r>
    </w:p>
    <w:p w14:paraId="4951B286" w14:textId="0A0DEB94" w:rsidR="00EB57EC" w:rsidRDefault="00EB57EC" w:rsidP="00EB57EC">
      <w:pPr>
        <w:pStyle w:val="Nadpis6"/>
      </w:pPr>
      <w:r>
        <w:t xml:space="preserve">K odstavci 4 </w:t>
      </w:r>
    </w:p>
    <w:p w14:paraId="4334EDD6" w14:textId="63A7F323" w:rsidR="001C759F" w:rsidRDefault="00EB57EC" w:rsidP="001C759F">
      <w:r>
        <w:t xml:space="preserve">V novém odstavci 4 se pak </w:t>
      </w:r>
      <w:r w:rsidR="00785A2C">
        <w:t>navrhuje</w:t>
      </w:r>
      <w:r>
        <w:t xml:space="preserve"> postavit</w:t>
      </w:r>
      <w:r w:rsidR="001C759F">
        <w:t xml:space="preserve"> najisto, že za konkrétní uživatele přístupu odpovídá žadatel, který současně musí zajistit, aby uživateli byl přístup odejmut, pokud za něj již do evidence skutečných majitelů přistupovat nemá. Tento princip se ostatně již</w:t>
      </w:r>
      <w:r w:rsidR="007A2668">
        <w:t xml:space="preserve"> v praxi uplatňuje</w:t>
      </w:r>
      <w:r w:rsidR="001C759F">
        <w:t xml:space="preserve">. Pravidlo je konstruováno po vzoru § 15e odst. 5 zákona o ESM ve znění návrhu. </w:t>
      </w:r>
    </w:p>
    <w:p w14:paraId="0A6598E6" w14:textId="7C0122E8" w:rsidR="001C759F" w:rsidRDefault="001C759F" w:rsidP="003B7566">
      <w:r>
        <w:t xml:space="preserve">Pro odejmutí přístupu konkrétnímu uživateli </w:t>
      </w:r>
      <w:r w:rsidR="00785A2C">
        <w:t>v současnosti</w:t>
      </w:r>
      <w:r>
        <w:t xml:space="preserve"> slouží stejný formulář, kterým se přístup zřizuje. Do budoucna lze uvažovat o vlastním rozhraní pro osobu</w:t>
      </w:r>
      <w:r w:rsidR="00785A2C">
        <w:t xml:space="preserve"> nebo orgán</w:t>
      </w:r>
      <w:r>
        <w:t>, ve kterém bude moci jednoduše administrovat přístupy konkrétních uživatelů, kteří za ní do evidence přistupují (viz odůvodnění k</w:t>
      </w:r>
      <w:r w:rsidR="00785A2C">
        <w:t> nově navrhovanému</w:t>
      </w:r>
      <w:r>
        <w:t>§ 15e odst. 2</w:t>
      </w:r>
      <w:r w:rsidRPr="001C759F">
        <w:t xml:space="preserve"> </w:t>
      </w:r>
      <w:r>
        <w:t>zákona o ESM).</w:t>
      </w:r>
    </w:p>
    <w:p w14:paraId="68F919B4" w14:textId="5F3093EF" w:rsidR="00EB57EC" w:rsidRDefault="00EB57EC" w:rsidP="00EB57EC">
      <w:pPr>
        <w:pStyle w:val="Nadpis6"/>
      </w:pPr>
      <w:r>
        <w:t>K odstavci 6</w:t>
      </w:r>
    </w:p>
    <w:p w14:paraId="15A3E6D4" w14:textId="24C88167" w:rsidR="00B2629E" w:rsidRDefault="00EB57EC" w:rsidP="003B7566">
      <w:r>
        <w:t xml:space="preserve">První věta ustanovení představuje transpozici čl. 11 odst. 1 AML směrnice, který požaduje, aby příslušné orgány mohly k údajům o skutečných majitelích přistupovat, aniž </w:t>
      </w:r>
      <w:r w:rsidR="00B2629E">
        <w:t>by</w:t>
      </w:r>
      <w:r w:rsidR="00785A2C">
        <w:t xml:space="preserve"> na to</w:t>
      </w:r>
      <w:r w:rsidR="00B2629E" w:rsidRPr="00B2629E">
        <w:t xml:space="preserve"> byla upozorněna dotčená právnická osoba nebo právní uspořádání.</w:t>
      </w:r>
      <w:r w:rsidR="00B2629E">
        <w:t xml:space="preserve"> Cílem ustanovení je ochrana činností příslušných orgánů vyjmenovaných v čl. 11 odst. 2 AML směrnice. Pokud by se dotčené </w:t>
      </w:r>
      <w:r w:rsidR="00785A2C">
        <w:t>právnické osoby nebo právní uspořádání dozvěděl</w:t>
      </w:r>
      <w:r w:rsidR="00F44F5F">
        <w:t>y</w:t>
      </w:r>
      <w:r w:rsidR="00B2629E">
        <w:t xml:space="preserve"> o tom, že jsou ze strany určitých orgánů lustrovány, mohlo by to zhatit či ztížit činnost těchto orgánů (např. vyšetřování). </w:t>
      </w:r>
      <w:r w:rsidR="00AE60D6">
        <w:t xml:space="preserve">Ačkoli AML směrnice hovoří o upozornění evidující osoby, je třeba pravidlo upravit ve vztahu ke skutečnému majiteli, který by logicky mohl tuto informace předat. </w:t>
      </w:r>
    </w:p>
    <w:p w14:paraId="37D90AF2" w14:textId="1723E57E" w:rsidR="00AE60D6" w:rsidRDefault="00B2629E" w:rsidP="003B7566">
      <w:r>
        <w:t xml:space="preserve">Ochrana dopadá na </w:t>
      </w:r>
      <w:r w:rsidR="00BA6F9E">
        <w:t xml:space="preserve">dvě skupiny orgánů. Jednak jde o </w:t>
      </w:r>
      <w:r>
        <w:t>orgány</w:t>
      </w:r>
      <w:r w:rsidR="00785A2C">
        <w:t xml:space="preserve"> vymezené v § 16 odst. 2 písm. </w:t>
      </w:r>
      <w:r w:rsidR="00BD04A4">
        <w:t>c</w:t>
      </w:r>
      <w:r>
        <w:t>)</w:t>
      </w:r>
      <w:r w:rsidR="00785A2C">
        <w:t xml:space="preserve">, </w:t>
      </w:r>
      <w:r w:rsidR="00BD04A4">
        <w:t>d</w:t>
      </w:r>
      <w:r w:rsidR="00785A2C">
        <w:t>) a g</w:t>
      </w:r>
      <w:r w:rsidR="00BA6F9E">
        <w:t>) až</w:t>
      </w:r>
      <w:r>
        <w:t xml:space="preserve"> </w:t>
      </w:r>
      <w:r w:rsidR="00785A2C">
        <w:t>k</w:t>
      </w:r>
      <w:r>
        <w:t xml:space="preserve">) zákona o ESM ve znění návrhu, což je výčet </w:t>
      </w:r>
      <w:r w:rsidR="00AE60D6">
        <w:t>pokrývající</w:t>
      </w:r>
      <w:r>
        <w:t xml:space="preserve"> příslušn</w:t>
      </w:r>
      <w:r w:rsidR="00AE60D6">
        <w:t>ý</w:t>
      </w:r>
      <w:r>
        <w:t xml:space="preserve"> výč</w:t>
      </w:r>
      <w:r w:rsidR="00AE60D6">
        <w:t>e</w:t>
      </w:r>
      <w:r>
        <w:t xml:space="preserve">t AML směrnice. </w:t>
      </w:r>
      <w:r w:rsidR="00BA6F9E">
        <w:t xml:space="preserve">Jednak jde o orgány </w:t>
      </w:r>
      <w:r w:rsidR="00AE60D6">
        <w:t>podle § 16 odst. 2 písm. e)</w:t>
      </w:r>
      <w:r w:rsidR="00BA6F9E">
        <w:t xml:space="preserve">, </w:t>
      </w:r>
      <w:r w:rsidR="00AE60D6">
        <w:t xml:space="preserve">f) </w:t>
      </w:r>
      <w:r w:rsidR="00BA6F9E">
        <w:t xml:space="preserve">a l) </w:t>
      </w:r>
      <w:r w:rsidR="00AE60D6">
        <w:t>zákona o ESM</w:t>
      </w:r>
      <w:r w:rsidR="00BA6F9E">
        <w:t xml:space="preserve"> ve znění návrhu</w:t>
      </w:r>
      <w:r w:rsidR="00AE60D6">
        <w:t>, které striktně vzato nejsou tzv. příslušnými orgány pro oblast AML, ale na národní úrovni lze u nich identifikovat obdobný zájem na ochraně diskrétnosti jejich činnosti.</w:t>
      </w:r>
      <w:r w:rsidR="00BA6F9E">
        <w:t xml:space="preserve"> Tato druhá skupina jde mimo rámec požadavků AML směrnice.</w:t>
      </w:r>
    </w:p>
    <w:p w14:paraId="4860D83B" w14:textId="68A03908" w:rsidR="00B2629E" w:rsidRDefault="00AE60D6" w:rsidP="003B7566">
      <w:r>
        <w:t xml:space="preserve">Druhá věta limituje </w:t>
      </w:r>
      <w:r w:rsidR="00BD0540">
        <w:t>rozsah údajů, které je možné subjektu údajů (skutečnému majiteli) poskytnout v případě, že je příjemcem údajů</w:t>
      </w:r>
      <w:r>
        <w:t xml:space="preserve"> </w:t>
      </w:r>
      <w:r w:rsidR="00BD0540">
        <w:t xml:space="preserve">povinná osoba. Navrhuje se v takovém případě sdělovat skutečnému majiteli pouze typ povinné osoby (např. finanční instituce, advokát atp.) bez identifikace konkrétní povinné osoby. Tento režim chce reflektovat skutečnost, že povinné osoby nahlíží do evidence v rámci výkonu svých zákonných povinností, </w:t>
      </w:r>
      <w:r w:rsidR="00EC42BD">
        <w:t>tedy</w:t>
      </w:r>
      <w:r w:rsidR="008D3416">
        <w:t xml:space="preserve"> protože</w:t>
      </w:r>
      <w:r w:rsidR="00EC42BD">
        <w:t xml:space="preserve"> tak činit</w:t>
      </w:r>
      <w:r w:rsidR="00BD0540">
        <w:t xml:space="preserve"> musí. Identifikace konkrétních povinných osob by pak mohla mít negativní vliv na vlastní obchodní vztah a vnímání povinné osoby klientem</w:t>
      </w:r>
      <w:r w:rsidR="00A06F6B">
        <w:t>. Z</w:t>
      </w:r>
      <w:r w:rsidR="00BD0540">
        <w:t xml:space="preserve"> hlediska klienta </w:t>
      </w:r>
      <w:r w:rsidR="00A06F6B">
        <w:t xml:space="preserve">totiž </w:t>
      </w:r>
      <w:r w:rsidR="00BD0540">
        <w:t xml:space="preserve">může být toto lustrování, byť pro povinnou osobu obecně </w:t>
      </w:r>
      <w:r w:rsidR="00A06F6B">
        <w:t>povinné</w:t>
      </w:r>
      <w:r w:rsidR="00BD0540">
        <w:t xml:space="preserve">, vnímáno negativně. </w:t>
      </w:r>
    </w:p>
    <w:p w14:paraId="2A23E4A0" w14:textId="0A7C5316" w:rsidR="008D3416" w:rsidRDefault="00EC42BD" w:rsidP="003B7566">
      <w:r>
        <w:t>Vlastní sdělení údaje o kategorii příjemce údajů</w:t>
      </w:r>
      <w:r w:rsidR="008D3416">
        <w:t xml:space="preserve"> bude v hlediska technického řešení zautomatizováno, aby nebylo nutné jednotlivé žádosti</w:t>
      </w:r>
      <w:r w:rsidR="008D3416" w:rsidRPr="008D3416">
        <w:t xml:space="preserve"> </w:t>
      </w:r>
      <w:r w:rsidR="008D3416">
        <w:t>vyřizovat manuálně</w:t>
      </w:r>
      <w:r w:rsidR="008D3416" w:rsidRPr="00AA6C92">
        <w:t xml:space="preserve">. Skutečný majitel se bude moci přihlásit s využitím své elektronické identity do </w:t>
      </w:r>
      <w:r w:rsidR="008D3416">
        <w:t>evidence</w:t>
      </w:r>
      <w:r w:rsidR="008D3416" w:rsidRPr="00AA6C92">
        <w:t xml:space="preserve">, kde ve svém profilu bude mít možnost zobrazit informace o </w:t>
      </w:r>
      <w:r w:rsidR="008D3416">
        <w:t xml:space="preserve">kategoriích subjektů, které přistoupily k jeho údajům. </w:t>
      </w:r>
    </w:p>
    <w:p w14:paraId="3496DCD9" w14:textId="6771E7FA" w:rsidR="0062445D" w:rsidRDefault="00E05220" w:rsidP="00F4022F">
      <w:pPr>
        <w:pStyle w:val="Nadpis5"/>
      </w:pPr>
      <w:r w:rsidRPr="00492DD8">
        <w:lastRenderedPageBreak/>
        <w:t>K</w:t>
      </w:r>
      <w:r>
        <w:t xml:space="preserve"> bodu </w:t>
      </w:r>
      <w:r w:rsidR="008832FD">
        <w:t>21</w:t>
      </w:r>
      <w:r>
        <w:t xml:space="preserve"> [§ 17a]</w:t>
      </w:r>
    </w:p>
    <w:p w14:paraId="05E0BAAD" w14:textId="3AE91988" w:rsidR="00FA74A0" w:rsidRDefault="004A2E04" w:rsidP="004A2E04">
      <w:r>
        <w:t>V současnosti existuje pouze omezená možnost čerpání údaj</w:t>
      </w:r>
      <w:r w:rsidR="00EC42BD">
        <w:t>ů</w:t>
      </w:r>
      <w:r>
        <w:t xml:space="preserve"> z evidence pomocí webové služby, tj. možnost napojit obsah evidence na externí systém, který z něj může v reálném čase čerpat data. Tato možnost</w:t>
      </w:r>
      <w:r w:rsidR="00E41C1D">
        <w:t xml:space="preserve"> přitom není v zákonné úpravě jasně vymezena a</w:t>
      </w:r>
      <w:r>
        <w:t xml:space="preserve"> je </w:t>
      </w:r>
      <w:r w:rsidR="00E41C1D">
        <w:t xml:space="preserve">dnes </w:t>
      </w:r>
      <w:r>
        <w:t>určena pro úzký okruh vybraných orgánů státní správy, u nichž jsou splněny zá</w:t>
      </w:r>
      <w:r w:rsidR="00E41C1D">
        <w:t xml:space="preserve">ruky kybernetické bezpečnosti. </w:t>
      </w:r>
      <w:r w:rsidR="00EC42BD">
        <w:t>Navrhuje</w:t>
      </w:r>
      <w:r>
        <w:t xml:space="preserve"> se umožnit využívat webové služby širšímu okruhu uživatelů, u nichž je zvýšený zájem na to</w:t>
      </w:r>
      <w:r w:rsidR="00EC42BD">
        <w:t>m</w:t>
      </w:r>
      <w:r>
        <w:t xml:space="preserve">, aby mohli efektivně analyzovat a zpracovávat data. </w:t>
      </w:r>
      <w:r w:rsidR="00FA74A0">
        <w:t>Webová služba umožní komplexní a sofistikované využití dat při respektování účelů evidence.</w:t>
      </w:r>
    </w:p>
    <w:p w14:paraId="02D3478C" w14:textId="77777777" w:rsidR="00940534" w:rsidRDefault="00E41C1D" w:rsidP="00A851F3">
      <w:r>
        <w:t>Obecně platí, že předpokladem využití webové služby ve vztahu k informačnímu systému státní správy je splnění požadavk</w:t>
      </w:r>
      <w:r w:rsidR="00A851F3">
        <w:t>ů na kybernetickou bezpečnost</w:t>
      </w:r>
      <w:r w:rsidR="00940534">
        <w:t>, tj. požadavků zákona č. 264/2025 Sb., o kybernetické bezpečnosti, jakož i dokumentů a metodik Ministerstva spravedlnosti</w:t>
      </w:r>
      <w:r w:rsidR="00A851F3">
        <w:t xml:space="preserve">. </w:t>
      </w:r>
      <w:r w:rsidR="00940534">
        <w:t>Bude třeba dodržet následující opatření:</w:t>
      </w:r>
    </w:p>
    <w:p w14:paraId="24B083C6" w14:textId="7D3C25A1" w:rsidR="00940534" w:rsidRDefault="00A851F3" w:rsidP="00A851F3">
      <w:pPr>
        <w:pStyle w:val="Odstavecseseznamem"/>
        <w:numPr>
          <w:ilvl w:val="0"/>
          <w:numId w:val="20"/>
        </w:numPr>
      </w:pPr>
      <w:r>
        <w:t xml:space="preserve">Segmentace komunikačních sítí: </w:t>
      </w:r>
      <w:r w:rsidR="00F44F5F">
        <w:t>k</w:t>
      </w:r>
      <w:r>
        <w:t>omunikační infrastruktura musí být rozdělena na provozní, zálohovací, vývojové, testovací, administrátorské a školící prostředí. Tato segmentace musí být dokumentována</w:t>
      </w:r>
      <w:r w:rsidR="00F44F5F">
        <w:t>,</w:t>
      </w:r>
      <w:r>
        <w:t xml:space="preserve"> včetně topologie sítě. </w:t>
      </w:r>
    </w:p>
    <w:p w14:paraId="08E25031" w14:textId="216EC142" w:rsidR="00940534" w:rsidRDefault="00A851F3" w:rsidP="00A851F3">
      <w:pPr>
        <w:pStyle w:val="Odstavecseseznamem"/>
        <w:numPr>
          <w:ilvl w:val="0"/>
          <w:numId w:val="20"/>
        </w:numPr>
      </w:pPr>
      <w:r>
        <w:t xml:space="preserve">Ověřování identit: </w:t>
      </w:r>
      <w:r w:rsidR="00F44F5F">
        <w:t>p</w:t>
      </w:r>
      <w:r>
        <w:t xml:space="preserve">ři přístupu k webové službě musí být využívána </w:t>
      </w:r>
      <w:proofErr w:type="spellStart"/>
      <w:r>
        <w:t>vícefaktorová</w:t>
      </w:r>
      <w:proofErr w:type="spellEnd"/>
      <w:r>
        <w:t xml:space="preserve"> autentizace. Pokud to není možné, je nutné vést evidenci technických účtů a</w:t>
      </w:r>
      <w:r w:rsidR="00F44F5F">
        <w:t> </w:t>
      </w:r>
      <w:r>
        <w:t xml:space="preserve">autentizačních mechanismů, které tento požadavek nesplňují, včetně odůvodnění. </w:t>
      </w:r>
    </w:p>
    <w:p w14:paraId="20582182" w14:textId="2E4B0FD5" w:rsidR="00940534" w:rsidRDefault="00A851F3" w:rsidP="00A851F3">
      <w:pPr>
        <w:pStyle w:val="Odstavecseseznamem"/>
        <w:numPr>
          <w:ilvl w:val="0"/>
          <w:numId w:val="20"/>
        </w:numPr>
      </w:pPr>
      <w:r>
        <w:t xml:space="preserve">Správa přístupů: </w:t>
      </w:r>
      <w:r w:rsidR="00F44F5F">
        <w:t>v</w:t>
      </w:r>
      <w:r>
        <w:t xml:space="preserve">yužívání technologií jako SPF/DKIM/DMARC pro zajištění důvěryhodnosti komunikace a ochranu proti </w:t>
      </w:r>
      <w:proofErr w:type="spellStart"/>
      <w:r>
        <w:t>phishingu</w:t>
      </w:r>
      <w:proofErr w:type="spellEnd"/>
      <w:r>
        <w:t xml:space="preserve"> je nezbytné, zejména při integraci s cloudovými službami. </w:t>
      </w:r>
    </w:p>
    <w:p w14:paraId="1573EA29" w14:textId="3752FFE9" w:rsidR="00940534" w:rsidRDefault="00A851F3" w:rsidP="004A2E04">
      <w:pPr>
        <w:pStyle w:val="Odstavecseseznamem"/>
        <w:numPr>
          <w:ilvl w:val="0"/>
          <w:numId w:val="20"/>
        </w:numPr>
      </w:pPr>
      <w:r>
        <w:t xml:space="preserve">Klasifikace dat: </w:t>
      </w:r>
      <w:r w:rsidR="00F44F5F">
        <w:t>d</w:t>
      </w:r>
      <w:r>
        <w:t xml:space="preserve">ata poskytovaná prostřednictvím webové služby musí být klasifikována podle resortních směrnic. Citlivá data by neměla být ukládána do cloudových služeb bez odpovídajícího technického řešení šifrování a klasifikace. </w:t>
      </w:r>
    </w:p>
    <w:p w14:paraId="2BB490A8" w14:textId="77777777" w:rsidR="00940534" w:rsidRDefault="00940534" w:rsidP="00940534">
      <w:pPr>
        <w:pStyle w:val="Odstavecseseznamem"/>
        <w:numPr>
          <w:ilvl w:val="0"/>
          <w:numId w:val="20"/>
        </w:numPr>
      </w:pPr>
      <w:r w:rsidRPr="00940534">
        <w:t xml:space="preserve">Současně musí být poskytovatel webové služby schopen doložit plnění bezpečnostních opatření formou auditu kybernetické bezpečnosti. </w:t>
      </w:r>
    </w:p>
    <w:p w14:paraId="4EA4C2E3" w14:textId="473A0E94" w:rsidR="00E41C1D" w:rsidRDefault="00E41C1D" w:rsidP="00940534">
      <w:r>
        <w:t xml:space="preserve">Navrhuje se postavit najisto, že webovou službu mohou čerpat </w:t>
      </w:r>
      <w:r w:rsidR="004941C5">
        <w:t xml:space="preserve">obecně </w:t>
      </w:r>
      <w:r>
        <w:t>orgány veřejné moci</w:t>
      </w:r>
      <w:r w:rsidR="004941C5">
        <w:t>, a</w:t>
      </w:r>
      <w:r w:rsidR="00F44F5F">
        <w:t> </w:t>
      </w:r>
      <w:r w:rsidR="004941C5">
        <w:t xml:space="preserve">to v souvislosti </w:t>
      </w:r>
      <w:r w:rsidR="00EC42BD">
        <w:t xml:space="preserve">s </w:t>
      </w:r>
      <w:r w:rsidR="004941C5">
        <w:t xml:space="preserve">účely stanovenými v § 16 odst. 2 zákona o ESM ve znění návrhu. </w:t>
      </w:r>
    </w:p>
    <w:p w14:paraId="09A6A841" w14:textId="757821DD" w:rsidR="004A2E04" w:rsidRDefault="004A2E04" w:rsidP="004A2E04">
      <w:r>
        <w:t xml:space="preserve">Navrhuje se </w:t>
      </w:r>
      <w:r w:rsidR="004941C5">
        <w:t xml:space="preserve">dále umožnit </w:t>
      </w:r>
      <w:r>
        <w:t xml:space="preserve">využívat webovou službu </w:t>
      </w:r>
      <w:r w:rsidR="00EC42BD">
        <w:t>povinným osobám</w:t>
      </w:r>
      <w:r>
        <w:t>, které jsou bankami nebo pobočkami zahraničních bank. Banky jsou z hlediska četnosti oznamování podezřelých obchodů (§ 18 AML zákona) nejvýznamnějšími povinnými osobami, jelikož jejich oznámení stabilně činí více jak tři čtvrtiny všech oznámení.</w:t>
      </w:r>
      <w:r>
        <w:rPr>
          <w:rStyle w:val="Znakapoznpodarou"/>
        </w:rPr>
        <w:footnoteReference w:id="20"/>
      </w:r>
      <w:r>
        <w:t xml:space="preserve"> Banky by také měly být schopné dostát nárokům na kybernetickou bezpečnost. </w:t>
      </w:r>
    </w:p>
    <w:p w14:paraId="50415A18" w14:textId="6EB21F9A" w:rsidR="004941C5" w:rsidRDefault="004941C5" w:rsidP="004A2E04">
      <w:r>
        <w:t xml:space="preserve">Konečně se míří na tzv. poskytovatele </w:t>
      </w:r>
      <w:r w:rsidRPr="007D7CF2">
        <w:t>produktů nebo služeb v oblasti boje proti praní peněz a</w:t>
      </w:r>
      <w:r w:rsidR="00F44F5F">
        <w:t> </w:t>
      </w:r>
      <w:r w:rsidRPr="007D7CF2">
        <w:t xml:space="preserve">financování terorismu, </w:t>
      </w:r>
      <w:r>
        <w:t xml:space="preserve">uplatňování národních nebo mezinárodních sankcí nebo kontroly střetu zájmů. Ačkoli by tito poskytovatelé využívali data za komerčními účely, jejich služby </w:t>
      </w:r>
      <w:r>
        <w:lastRenderedPageBreak/>
        <w:t>jsou jak pr</w:t>
      </w:r>
      <w:r w:rsidR="00EC42BD">
        <w:t>o státní správu, tak pro veřejný</w:t>
      </w:r>
      <w:r>
        <w:t xml:space="preserve"> sektor zcela zásadní. Pouze díky těmto komerčním poskytovatelům lze v řadě situací efektivně využívat údaje o skutečných majitelích, a to ať ve vztahu </w:t>
      </w:r>
      <w:r w:rsidR="00EC42BD">
        <w:t xml:space="preserve">k </w:t>
      </w:r>
      <w:r>
        <w:t>předcházení praní špinavých peněz a financování terorismu, tak i ve vztahu k jiným jmenovaným cílům (uplatňování národních nebo mezinárodních sankcí nebo kontrol</w:t>
      </w:r>
      <w:r w:rsidR="00F44F5F">
        <w:t>e</w:t>
      </w:r>
      <w:r>
        <w:t xml:space="preserve"> střetu zájmů). </w:t>
      </w:r>
    </w:p>
    <w:p w14:paraId="1ED63FE5" w14:textId="61FE67E6" w:rsidR="004A2E04" w:rsidRPr="004A2E04" w:rsidRDefault="004941C5" w:rsidP="004A2E04">
      <w:r>
        <w:t xml:space="preserve">V případě </w:t>
      </w:r>
      <w:r w:rsidR="00EC42BD">
        <w:t xml:space="preserve">těchto </w:t>
      </w:r>
      <w:r>
        <w:t>poskytovatelů bude třeba, aby dané produkty a služby poskytovali výhradně subjektům, které sam</w:t>
      </w:r>
      <w:r w:rsidR="00EC42BD">
        <w:t>y</w:t>
      </w:r>
      <w:r>
        <w:t xml:space="preserve"> mají možnost </w:t>
      </w:r>
      <w:r w:rsidR="00EC42BD">
        <w:t>přistupovat do evidence, tj. vyjmenovaným orgánům veřejné moci a (veškerým) povinným osobám</w:t>
      </w:r>
      <w:r>
        <w:t>, nebo subjektům, k</w:t>
      </w:r>
      <w:r w:rsidR="00EC42BD">
        <w:t>teré v praxi uplatňují národní nebo mezinárodní sankce</w:t>
      </w:r>
      <w:r>
        <w:t xml:space="preserve">. </w:t>
      </w:r>
      <w:r w:rsidR="00FA74A0">
        <w:t>Současně je třeba pro dálkový přístup webovou službou prokázat, že existuje nebo má existovat smlouva (vztah) s</w:t>
      </w:r>
      <w:r w:rsidR="00EC42BD">
        <w:t> </w:t>
      </w:r>
      <w:r w:rsidR="00FA74A0">
        <w:t>tako</w:t>
      </w:r>
      <w:r w:rsidR="00EC42BD">
        <w:t>vou osobou nebo orgánem</w:t>
      </w:r>
      <w:r w:rsidR="00FA74A0">
        <w:t>.</w:t>
      </w:r>
    </w:p>
    <w:p w14:paraId="33BB5AE1" w14:textId="15972721" w:rsidR="00F4022F" w:rsidRDefault="00F4022F" w:rsidP="00F4022F">
      <w:pPr>
        <w:pStyle w:val="Nadpis5"/>
      </w:pPr>
      <w:r w:rsidRPr="00492DD8">
        <w:t>K</w:t>
      </w:r>
      <w:r>
        <w:t xml:space="preserve"> bodu </w:t>
      </w:r>
      <w:r w:rsidR="008832FD">
        <w:t>21</w:t>
      </w:r>
      <w:r>
        <w:t xml:space="preserve"> [§ 17b]</w:t>
      </w:r>
    </w:p>
    <w:p w14:paraId="03D09869" w14:textId="77777777" w:rsidR="00050308" w:rsidRDefault="00050308" w:rsidP="00050308">
      <w:pPr>
        <w:pStyle w:val="Nadpis6"/>
      </w:pPr>
      <w:r>
        <w:t xml:space="preserve">K odstavci 1 </w:t>
      </w:r>
    </w:p>
    <w:p w14:paraId="3914BB57" w14:textId="1FE7B885" w:rsidR="00F4022F" w:rsidRPr="001F044F" w:rsidRDefault="00F4022F" w:rsidP="00F4022F">
      <w:r>
        <w:t xml:space="preserve">Ustanovení </w:t>
      </w:r>
      <w:r w:rsidRPr="001F044F">
        <w:t xml:space="preserve">transponuje čl. 30 </w:t>
      </w:r>
      <w:r w:rsidR="00564DB9">
        <w:t xml:space="preserve">odst. </w:t>
      </w:r>
      <w:r w:rsidRPr="001F044F">
        <w:t xml:space="preserve">10 druhý pododstavec a čl. 31 </w:t>
      </w:r>
      <w:r w:rsidR="00564DB9">
        <w:t xml:space="preserve">odst. </w:t>
      </w:r>
      <w:r w:rsidRPr="001F044F">
        <w:t xml:space="preserve">9 druhý pododstavec </w:t>
      </w:r>
      <w:r w:rsidR="004D7A43">
        <w:rPr>
          <w:lang w:bidi="en-US"/>
        </w:rPr>
        <w:t>páté</w:t>
      </w:r>
      <w:r w:rsidR="004D7A43" w:rsidRPr="00F85A48">
        <w:rPr>
          <w:lang w:bidi="en-US"/>
        </w:rPr>
        <w:t xml:space="preserve"> </w:t>
      </w:r>
      <w:r>
        <w:t>AML</w:t>
      </w:r>
      <w:r w:rsidRPr="001F044F">
        <w:t xml:space="preserve"> směrnice</w:t>
      </w:r>
      <w:r w:rsidR="006C1C4B">
        <w:t>, respektive čl. 10 odst. 19 AML směrnice</w:t>
      </w:r>
      <w:r w:rsidRPr="001F044F">
        <w:t xml:space="preserve">. Unijní právní úprava počítá s propojením zřizovaných centrálních registrů skutečných majitelů prostřednictvím tzv. </w:t>
      </w:r>
      <w:r w:rsidR="00C64EBA">
        <w:t>BORIS (</w:t>
      </w:r>
      <w:proofErr w:type="spellStart"/>
      <w:r w:rsidR="00C64EBA">
        <w:rPr>
          <w:i/>
        </w:rPr>
        <w:t>Beneficial</w:t>
      </w:r>
      <w:proofErr w:type="spellEnd"/>
      <w:r w:rsidR="00C64EBA">
        <w:rPr>
          <w:i/>
        </w:rPr>
        <w:t xml:space="preserve"> </w:t>
      </w:r>
      <w:proofErr w:type="spellStart"/>
      <w:r w:rsidR="00C64EBA">
        <w:rPr>
          <w:i/>
        </w:rPr>
        <w:t>Ownership</w:t>
      </w:r>
      <w:proofErr w:type="spellEnd"/>
      <w:r w:rsidR="00C64EBA" w:rsidRPr="001F044F">
        <w:rPr>
          <w:i/>
        </w:rPr>
        <w:t xml:space="preserve"> </w:t>
      </w:r>
      <w:proofErr w:type="spellStart"/>
      <w:r w:rsidR="00C64EBA" w:rsidRPr="001F044F">
        <w:rPr>
          <w:i/>
        </w:rPr>
        <w:t>Registers</w:t>
      </w:r>
      <w:proofErr w:type="spellEnd"/>
      <w:r w:rsidR="00C64EBA" w:rsidRPr="001F044F">
        <w:rPr>
          <w:i/>
        </w:rPr>
        <w:t xml:space="preserve"> </w:t>
      </w:r>
      <w:proofErr w:type="spellStart"/>
      <w:r w:rsidR="00C64EBA" w:rsidRPr="001F044F">
        <w:rPr>
          <w:i/>
        </w:rPr>
        <w:t>Interconnection</w:t>
      </w:r>
      <w:proofErr w:type="spellEnd"/>
      <w:r w:rsidR="00C64EBA" w:rsidRPr="001F044F">
        <w:rPr>
          <w:i/>
        </w:rPr>
        <w:t xml:space="preserve"> </w:t>
      </w:r>
      <w:proofErr w:type="spellStart"/>
      <w:r w:rsidR="00C64EBA">
        <w:rPr>
          <w:i/>
        </w:rPr>
        <w:t>System</w:t>
      </w:r>
      <w:proofErr w:type="spellEnd"/>
      <w:r w:rsidR="00C64EBA">
        <w:t xml:space="preserve">), což je modul tzv. </w:t>
      </w:r>
      <w:r w:rsidRPr="001F044F">
        <w:t xml:space="preserve">BRIS – </w:t>
      </w:r>
      <w:r w:rsidRPr="001F044F">
        <w:rPr>
          <w:i/>
        </w:rPr>
        <w:t xml:space="preserve">Business </w:t>
      </w:r>
      <w:proofErr w:type="spellStart"/>
      <w:r w:rsidRPr="001F044F">
        <w:rPr>
          <w:i/>
        </w:rPr>
        <w:t>Registers</w:t>
      </w:r>
      <w:proofErr w:type="spellEnd"/>
      <w:r w:rsidRPr="001F044F">
        <w:rPr>
          <w:i/>
        </w:rPr>
        <w:t xml:space="preserve"> </w:t>
      </w:r>
      <w:proofErr w:type="spellStart"/>
      <w:r w:rsidRPr="001F044F">
        <w:rPr>
          <w:i/>
        </w:rPr>
        <w:t>Interconnection</w:t>
      </w:r>
      <w:proofErr w:type="spellEnd"/>
      <w:r w:rsidRPr="001F044F">
        <w:rPr>
          <w:i/>
        </w:rPr>
        <w:t xml:space="preserve"> </w:t>
      </w:r>
      <w:proofErr w:type="spellStart"/>
      <w:r w:rsidRPr="001F044F">
        <w:rPr>
          <w:i/>
        </w:rPr>
        <w:t>System</w:t>
      </w:r>
      <w:proofErr w:type="spellEnd"/>
      <w:r w:rsidRPr="001F044F">
        <w:t xml:space="preserve">, který je vymezen čl. 22 </w:t>
      </w:r>
      <w:r w:rsidR="00564DB9">
        <w:t xml:space="preserve">odst. </w:t>
      </w:r>
      <w:r w:rsidRPr="001F044F">
        <w:t xml:space="preserve">2 směrnice Evropského parlamentu a Rady </w:t>
      </w:r>
      <w:r w:rsidRPr="001F044F">
        <w:rPr>
          <w:bCs/>
          <w:szCs w:val="24"/>
        </w:rPr>
        <w:t>(EU) 2017/1132 ze dne 14. června 2017 o některých aspektech práva obchodních společností</w:t>
      </w:r>
      <w:r>
        <w:rPr>
          <w:bCs/>
          <w:szCs w:val="24"/>
        </w:rPr>
        <w:t xml:space="preserve"> (zřízení BRIS plyne z čl. 22 </w:t>
      </w:r>
      <w:r w:rsidR="00564DB9">
        <w:rPr>
          <w:bCs/>
          <w:szCs w:val="24"/>
        </w:rPr>
        <w:t xml:space="preserve">odst. </w:t>
      </w:r>
      <w:r>
        <w:rPr>
          <w:bCs/>
          <w:szCs w:val="24"/>
        </w:rPr>
        <w:t>1 a čl. 24 směrnice)</w:t>
      </w:r>
      <w:r w:rsidRPr="001F044F">
        <w:rPr>
          <w:i/>
        </w:rPr>
        <w:t xml:space="preserve">. </w:t>
      </w:r>
      <w:r w:rsidRPr="001F044F">
        <w:t>Uvedený článek vymezuje, z čeho se tento systém (věcně) skládá – z registrů členských států, z evropské centrální platformy a z portálu, který slouží jako evropské elektronické přístupové místo.</w:t>
      </w:r>
    </w:p>
    <w:p w14:paraId="344E369E" w14:textId="555FAFA8" w:rsidR="00C64EBA" w:rsidRDefault="00C64EBA" w:rsidP="00C64EBA">
      <w:r w:rsidRPr="001F044F">
        <w:t xml:space="preserve">Cílem </w:t>
      </w:r>
      <w:r w:rsidR="006C1C4B">
        <w:t xml:space="preserve">navrhované </w:t>
      </w:r>
      <w:r w:rsidRPr="001F044F">
        <w:t xml:space="preserve">úpravy je zajistit právní podklad </w:t>
      </w:r>
      <w:r w:rsidR="00EC42BD">
        <w:t>umožňující</w:t>
      </w:r>
      <w:r w:rsidRPr="001F044F">
        <w:t xml:space="preserve"> propojen</w:t>
      </w:r>
      <w:r w:rsidR="00EC42BD">
        <w:t>í</w:t>
      </w:r>
      <w:r w:rsidRPr="001F044F">
        <w:t xml:space="preserve"> české evidence skutečných majitelů s</w:t>
      </w:r>
      <w:r>
        <w:t xml:space="preserve"> centrální unijní platformou, která umožňuje přístup k informacím napříč </w:t>
      </w:r>
      <w:r w:rsidRPr="001F044F">
        <w:t>evidencemi skutečných majitelů (či obdobnými registry) dalších členských států</w:t>
      </w:r>
      <w:r>
        <w:t>. I</w:t>
      </w:r>
      <w:r w:rsidRPr="001F044F">
        <w:t>nformace o</w:t>
      </w:r>
      <w:r w:rsidR="00F44F5F">
        <w:t> </w:t>
      </w:r>
      <w:r w:rsidRPr="001F044F">
        <w:t xml:space="preserve">skutečných majitelích </w:t>
      </w:r>
      <w:r>
        <w:t>se</w:t>
      </w:r>
      <w:r w:rsidRPr="001F044F">
        <w:t xml:space="preserve"> předáv</w:t>
      </w:r>
      <w:r>
        <w:t>ají</w:t>
      </w:r>
      <w:r w:rsidRPr="001F044F">
        <w:t xml:space="preserve"> mezi evidencemi jednotlivých členských států automaticky prostřednictvím systému propojení evidencí. </w:t>
      </w:r>
    </w:p>
    <w:p w14:paraId="0B1FB5FD" w14:textId="39990C37" w:rsidR="00DF7F72" w:rsidRDefault="00DF7F72" w:rsidP="00DF7F72">
      <w:r w:rsidRPr="001F044F">
        <w:t xml:space="preserve">Napojení evidence skutečných majitelů na platformu se z technického hlediska </w:t>
      </w:r>
      <w:r>
        <w:t xml:space="preserve">řídí prováděcím nařízením </w:t>
      </w:r>
      <w:r w:rsidRPr="00C64EBA">
        <w:rPr>
          <w:bCs/>
        </w:rPr>
        <w:t>Komise (EU) 2021/369 ze dne 1. března 2021, kterým se stanoví technické specifikace a postupy nezbytné pro systém propojení centrálních registrů uvedený ve směrnici Evropského parlamentu a Rady (EU) 2015/849 (</w:t>
      </w:r>
      <w:r>
        <w:rPr>
          <w:bCs/>
        </w:rPr>
        <w:t>dále jen „prováděcí nařízení k BORIS“</w:t>
      </w:r>
      <w:r w:rsidRPr="00C64EBA">
        <w:rPr>
          <w:bCs/>
        </w:rPr>
        <w:t>)</w:t>
      </w:r>
      <w:r w:rsidRPr="001F044F">
        <w:t>.</w:t>
      </w:r>
    </w:p>
    <w:p w14:paraId="10E962D7" w14:textId="085FCE1C" w:rsidR="00050308" w:rsidRDefault="00050308" w:rsidP="00050308">
      <w:pPr>
        <w:pStyle w:val="Nadpis6"/>
      </w:pPr>
      <w:r>
        <w:t xml:space="preserve">K odstavci 2 </w:t>
      </w:r>
    </w:p>
    <w:p w14:paraId="56F8BDF2" w14:textId="3BA5D9FF" w:rsidR="009049E7" w:rsidRDefault="00050308" w:rsidP="00C64EBA">
      <w:r>
        <w:t>Unijní pravidla přístupu k údajům prostřednictvím</w:t>
      </w:r>
      <w:r w:rsidR="00DF7F72">
        <w:t xml:space="preserve"> BORIS nejsou příliš přehledná. Stávající znění </w:t>
      </w:r>
      <w:r w:rsidR="004D7A43">
        <w:rPr>
          <w:lang w:bidi="en-US"/>
        </w:rPr>
        <w:t>páté</w:t>
      </w:r>
      <w:r w:rsidR="004D7A43" w:rsidRPr="00F85A48">
        <w:rPr>
          <w:lang w:bidi="en-US"/>
        </w:rPr>
        <w:t xml:space="preserve"> </w:t>
      </w:r>
      <w:r w:rsidR="00DF7F72">
        <w:t xml:space="preserve">AML směrnice vyznívá tak, že přístup přes BORIS by měl dopadat i na osoby, které mají </w:t>
      </w:r>
      <w:r w:rsidR="00EC42BD">
        <w:t>tzv. oprávněný</w:t>
      </w:r>
      <w:r w:rsidR="009049E7">
        <w:t xml:space="preserve"> zájem </w:t>
      </w:r>
      <w:r w:rsidR="00DF7F72">
        <w:t>o přístup. Č</w:t>
      </w:r>
      <w:r w:rsidR="00DF7F72" w:rsidRPr="001F044F">
        <w:t xml:space="preserve">l. 30 </w:t>
      </w:r>
      <w:r w:rsidR="00564DB9">
        <w:t xml:space="preserve">odst. </w:t>
      </w:r>
      <w:r w:rsidR="00DF7F72" w:rsidRPr="001F044F">
        <w:t xml:space="preserve">10 druhý pododstavec a čl. 31 </w:t>
      </w:r>
      <w:r w:rsidR="00564DB9">
        <w:t xml:space="preserve">odst. </w:t>
      </w:r>
      <w:r w:rsidR="00DF7F72" w:rsidRPr="001F044F">
        <w:t xml:space="preserve">9 druhý pododstavec </w:t>
      </w:r>
      <w:r w:rsidR="004D7A43">
        <w:rPr>
          <w:lang w:bidi="en-US"/>
        </w:rPr>
        <w:t>páté</w:t>
      </w:r>
      <w:r w:rsidR="004D7A43" w:rsidRPr="00F85A48">
        <w:rPr>
          <w:lang w:bidi="en-US"/>
        </w:rPr>
        <w:t xml:space="preserve"> </w:t>
      </w:r>
      <w:r w:rsidR="00DF7F72">
        <w:t>AML</w:t>
      </w:r>
      <w:r w:rsidR="00DF7F72" w:rsidRPr="001F044F">
        <w:t xml:space="preserve"> směrnice</w:t>
      </w:r>
      <w:r w:rsidR="00DF7F72">
        <w:t xml:space="preserve"> totiž odkazují na pravidla provádějící čl. 30. </w:t>
      </w:r>
      <w:r w:rsidR="00564DB9">
        <w:t xml:space="preserve">odst. </w:t>
      </w:r>
      <w:r w:rsidR="00DF7F72">
        <w:t xml:space="preserve">5 a čl. 31 </w:t>
      </w:r>
      <w:r w:rsidR="00564DB9">
        <w:t xml:space="preserve">odst. </w:t>
      </w:r>
      <w:r w:rsidR="00DF7F72">
        <w:t xml:space="preserve">4 </w:t>
      </w:r>
      <w:r w:rsidR="004D7A43">
        <w:rPr>
          <w:lang w:bidi="en-US"/>
        </w:rPr>
        <w:t>páté</w:t>
      </w:r>
      <w:r w:rsidR="004D7A43" w:rsidRPr="00F85A48">
        <w:rPr>
          <w:lang w:bidi="en-US"/>
        </w:rPr>
        <w:t xml:space="preserve"> </w:t>
      </w:r>
      <w:r w:rsidR="00DF7F72">
        <w:t xml:space="preserve">AML směrnice, které pokrývají </w:t>
      </w:r>
      <w:r w:rsidR="00EC42BD">
        <w:t xml:space="preserve">právě </w:t>
      </w:r>
      <w:r w:rsidR="00DF7F72">
        <w:t xml:space="preserve">i přístup osob s oprávněným zájmem. Přitom prováděcí nařízení k BORIS </w:t>
      </w:r>
      <w:r w:rsidR="00593581">
        <w:t xml:space="preserve">s těmito uživateli nepočítá a upravuje přístup </w:t>
      </w:r>
      <w:r w:rsidR="006673A8">
        <w:t xml:space="preserve">pouze ve vztahu k tzv. privilegovaným uživatelům, kterými rozumí ty podle </w:t>
      </w:r>
      <w:r w:rsidR="006673A8" w:rsidRPr="006673A8">
        <w:t xml:space="preserve">čl. 30 </w:t>
      </w:r>
      <w:r w:rsidR="00564DB9">
        <w:t xml:space="preserve">odst. </w:t>
      </w:r>
      <w:r w:rsidR="006673A8" w:rsidRPr="006673A8">
        <w:t xml:space="preserve">5 písm. a) a b) a čl. 31 </w:t>
      </w:r>
      <w:r w:rsidR="00564DB9">
        <w:lastRenderedPageBreak/>
        <w:t xml:space="preserve">odst. </w:t>
      </w:r>
      <w:r w:rsidR="006673A8" w:rsidRPr="006673A8">
        <w:t xml:space="preserve">4 písm. a) a b) </w:t>
      </w:r>
      <w:r w:rsidR="004D7A43">
        <w:t>čtvrté</w:t>
      </w:r>
      <w:r w:rsidR="00EC42BD">
        <w:t xml:space="preserve"> AML </w:t>
      </w:r>
      <w:r w:rsidR="006673A8" w:rsidRPr="006673A8">
        <w:t>směrnice</w:t>
      </w:r>
      <w:r w:rsidR="006673A8">
        <w:t>, tj. příslušné orgány</w:t>
      </w:r>
      <w:r w:rsidR="00EC42BD">
        <w:t>,</w:t>
      </w:r>
      <w:r w:rsidR="006673A8">
        <w:t xml:space="preserve"> finanční zpravodajské jednotky a</w:t>
      </w:r>
      <w:r w:rsidR="00F44F5F">
        <w:t> </w:t>
      </w:r>
      <w:r w:rsidR="006673A8">
        <w:t>povinné osoby [</w:t>
      </w:r>
      <w:r w:rsidR="00EC42BD">
        <w:t>odst.</w:t>
      </w:r>
      <w:r w:rsidR="00564DB9">
        <w:t xml:space="preserve"> </w:t>
      </w:r>
      <w:r w:rsidR="00EC42BD">
        <w:t>2 písm. b) p</w:t>
      </w:r>
      <w:r w:rsidR="006673A8">
        <w:t>řílohy prováděcího nařízení k BORIS].</w:t>
      </w:r>
      <w:r w:rsidR="009049E7">
        <w:t xml:space="preserve"> </w:t>
      </w:r>
    </w:p>
    <w:p w14:paraId="1C662486" w14:textId="35F0A107" w:rsidR="0016472C" w:rsidRDefault="0016472C" w:rsidP="00C64EBA">
      <w:r>
        <w:t>Nová AML směrnice požaduje propojení národních registrů skutečných majitelů prostřednictvím BORIS ve svém čl. 10 odst. 19, a to bez bližších požadavků.</w:t>
      </w:r>
    </w:p>
    <w:p w14:paraId="6C895BBF" w14:textId="0A4D886A" w:rsidR="0016472C" w:rsidRDefault="009049E7" w:rsidP="00C64EBA">
      <w:r>
        <w:t xml:space="preserve">Limitace využití BORIS pouze na privilegované uživatele je </w:t>
      </w:r>
      <w:r w:rsidR="001D1A2B">
        <w:t xml:space="preserve">tak z hlediska unijní legislativy </w:t>
      </w:r>
      <w:r>
        <w:t xml:space="preserve">záměrná a odpovídá jí i praxe. </w:t>
      </w:r>
      <w:r w:rsidR="001D1A2B">
        <w:t>I</w:t>
      </w:r>
      <w:r>
        <w:t xml:space="preserve"> AML směrnice nepočítá s tím, že by BORIS měl být využíván ze strany veřejnosti, respektive osob prokazujících oprávněný zájem</w:t>
      </w:r>
      <w:r w:rsidR="001D1A2B">
        <w:t>. AML směrnice totiž detailně upravuje jiný mechanismus přístupu veřejnosti z jednoho členského státu k údajům v</w:t>
      </w:r>
      <w:r w:rsidR="00F44F5F">
        <w:t> </w:t>
      </w:r>
      <w:r w:rsidR="001D1A2B">
        <w:t xml:space="preserve">registru skutečných majitelů jiného členského státu, a to s využitím </w:t>
      </w:r>
      <w:r w:rsidR="00EC42BD">
        <w:t>osvědčení o oprávněném zájmu</w:t>
      </w:r>
      <w:r w:rsidR="00E25AD9">
        <w:t xml:space="preserve"> </w:t>
      </w:r>
      <w:r w:rsidR="001D1A2B">
        <w:t xml:space="preserve">(čl. 13 </w:t>
      </w:r>
      <w:r w:rsidR="00564DB9">
        <w:t xml:space="preserve">odst. </w:t>
      </w:r>
      <w:r w:rsidR="001D1A2B">
        <w:t>3 AML směrnice</w:t>
      </w:r>
      <w:r w:rsidR="00EC42BD">
        <w:t xml:space="preserve"> a § 15e zákona o ESM ve znění návrhu</w:t>
      </w:r>
      <w:r w:rsidR="001D1A2B">
        <w:t xml:space="preserve">), které má být uznáváno napříč členskými </w:t>
      </w:r>
      <w:r w:rsidR="00EC42BD">
        <w:t>státy jako potvrzení o funkci nebo povolání žadatele</w:t>
      </w:r>
      <w:r w:rsidR="001D1A2B">
        <w:t xml:space="preserve">. </w:t>
      </w:r>
      <w:r>
        <w:t xml:space="preserve"> </w:t>
      </w:r>
    </w:p>
    <w:p w14:paraId="382EBA22" w14:textId="5750DF2D" w:rsidR="00563CB2" w:rsidRDefault="00EC42BD" w:rsidP="001B3E19">
      <w:r>
        <w:t>S ohledem na uvedené se p</w:t>
      </w:r>
      <w:r w:rsidR="00E25AD9">
        <w:t>roto navrhuje vyjasnit, že přístup k</w:t>
      </w:r>
      <w:r w:rsidR="00C64EBA">
        <w:t> informacím prostřednictvím BORIS mají mít pouze příslušné orgány státní správy a povi</w:t>
      </w:r>
      <w:r w:rsidR="00E25AD9">
        <w:t>nné osoby ve smyslu AML zákona, což odpovídá požadavkům unijní legislativy.</w:t>
      </w:r>
    </w:p>
    <w:p w14:paraId="3EF67227" w14:textId="7A058EFF" w:rsidR="008832FD" w:rsidRDefault="008832FD" w:rsidP="00B4377A">
      <w:pPr>
        <w:pStyle w:val="Nadpis5"/>
      </w:pPr>
      <w:r w:rsidRPr="00492DD8">
        <w:t>K</w:t>
      </w:r>
      <w:r>
        <w:t> bodu 22 [§ 23 a 33]</w:t>
      </w:r>
    </w:p>
    <w:p w14:paraId="5BA76CB4" w14:textId="75164855" w:rsidR="008832FD" w:rsidRPr="008832FD" w:rsidRDefault="008832FD" w:rsidP="008832FD">
      <w:r>
        <w:t xml:space="preserve">Navrhuje se promítnout změny navržené v § 14 odst. 1 zákona o ESM do ustanovení, která na něj odkazují. </w:t>
      </w:r>
    </w:p>
    <w:p w14:paraId="76D38D35" w14:textId="5B90C37F" w:rsidR="00B4377A" w:rsidRDefault="00B4377A" w:rsidP="00B4377A">
      <w:pPr>
        <w:pStyle w:val="Nadpis5"/>
      </w:pPr>
      <w:r w:rsidRPr="00492DD8">
        <w:t>K</w:t>
      </w:r>
      <w:r>
        <w:t xml:space="preserve"> bodu </w:t>
      </w:r>
      <w:r w:rsidR="008832FD">
        <w:t>23</w:t>
      </w:r>
      <w:r>
        <w:t xml:space="preserve"> [§ 32]</w:t>
      </w:r>
    </w:p>
    <w:p w14:paraId="5EC6E107" w14:textId="5A6D85C2" w:rsidR="00D555B3" w:rsidRDefault="00E3690B" w:rsidP="00E3690B">
      <w:r>
        <w:t xml:space="preserve">Změny v § 32 zákona o ESM následují požadavky čl. 15 AML směrnice. </w:t>
      </w:r>
      <w:r w:rsidR="00D555B3">
        <w:t xml:space="preserve">Znepřístupnění údajů o </w:t>
      </w:r>
      <w:r w:rsidR="00095FCC">
        <w:t>skutečných majitelích je možné</w:t>
      </w:r>
      <w:r w:rsidR="00D555B3">
        <w:t xml:space="preserve"> ze dvou důvodů. </w:t>
      </w:r>
    </w:p>
    <w:p w14:paraId="62E7F571" w14:textId="28E600FE" w:rsidR="004F77B8" w:rsidRDefault="004F77B8" w:rsidP="00E3690B">
      <w:r>
        <w:t xml:space="preserve">Rozhodování o znepřístupnění představuje relativně komplexní proces posuzování konkrétní věci a doložených skutečností. O znepřístupnění proto stejně jako dnes bude rozhodovat příslušný soud.  </w:t>
      </w:r>
    </w:p>
    <w:p w14:paraId="1AC0E5B2" w14:textId="067ADE7F" w:rsidR="00DE1A19" w:rsidRDefault="00DE1A19" w:rsidP="00E3690B">
      <w:r>
        <w:t>Lze doplnit, že režim n</w:t>
      </w:r>
      <w:r w:rsidR="00AC6B51">
        <w:t xml:space="preserve">epřístupnosti údajů plyne z § 15 odst. 5 zákona o ESM ve znění návrhu ve vztahu k osobám s oprávněném zájmem a z § 16 odst. 3 zákona o ESM ve znění návrhu ve vztahu k privilegovaným subjektům. </w:t>
      </w:r>
      <w:r w:rsidR="000D58F3">
        <w:t xml:space="preserve">Znepřístupnění se pak týká nejen aktuálních zápisů, ale má mít vliv i na zápisy historické (již vymazané). </w:t>
      </w:r>
    </w:p>
    <w:p w14:paraId="6A70709D" w14:textId="77777777" w:rsidR="00A71935" w:rsidRDefault="00A71935" w:rsidP="00A71935">
      <w:pPr>
        <w:pStyle w:val="Nadpis6"/>
      </w:pPr>
      <w:r>
        <w:t>K odstavci 1</w:t>
      </w:r>
    </w:p>
    <w:p w14:paraId="56D89592" w14:textId="51167603" w:rsidR="00DE1A19" w:rsidRDefault="00D555B3" w:rsidP="00E3690B">
      <w:r>
        <w:t>Obdobně jako podle stávající úpravy lze ve výjimečných případech znepřístupnit údaje</w:t>
      </w:r>
      <w:r w:rsidR="00EC42BD">
        <w:t xml:space="preserve"> o</w:t>
      </w:r>
      <w:r w:rsidR="00720E07">
        <w:t> </w:t>
      </w:r>
      <w:r w:rsidR="00EC42BD">
        <w:t>skutečném majiteli</w:t>
      </w:r>
      <w:r>
        <w:t xml:space="preserve">, není-li skutečný majitel plně svéprávný. </w:t>
      </w:r>
      <w:r w:rsidR="005F14AF">
        <w:t>V souladu s čl. 15 AML směrnice se přitom upřesňuje, že podmínkou je dovršení 18 let</w:t>
      </w:r>
      <w:r w:rsidR="00F55B48">
        <w:t xml:space="preserve"> věku</w:t>
      </w:r>
      <w:r w:rsidR="005F14AF">
        <w:t xml:space="preserve">, tedy hranice zletilosti podle </w:t>
      </w:r>
      <w:r w:rsidR="00F55B48">
        <w:t xml:space="preserve">§ 30 odst. 1 zákona č. 89/2012 Sb., </w:t>
      </w:r>
      <w:r w:rsidR="00F55B48" w:rsidRPr="001F044F">
        <w:t>občansk</w:t>
      </w:r>
      <w:r w:rsidR="00F55B48">
        <w:t>ý zákoník,</w:t>
      </w:r>
      <w:r w:rsidR="00F55B48" w:rsidRPr="00004976">
        <w:t xml:space="preserve"> </w:t>
      </w:r>
      <w:r w:rsidR="00F55B48">
        <w:t xml:space="preserve">ve znění pozdějších předpisů. </w:t>
      </w:r>
      <w:r>
        <w:t>Nově v souladu s unijními požadavky lze údaje znepřístupnit</w:t>
      </w:r>
      <w:r w:rsidR="00EC42BD">
        <w:t xml:space="preserve"> také tehdy</w:t>
      </w:r>
      <w:r>
        <w:t xml:space="preserve">, pokud by přístupnost údajů mohla skutečného majitele vystavit nepřiměřenému riziku, že se stane obětí vyjmenované trestné činnosti. </w:t>
      </w:r>
    </w:p>
    <w:p w14:paraId="3879332A" w14:textId="50208DA4" w:rsidR="00DE1A19" w:rsidRDefault="00DE1A19" w:rsidP="00DE1A19">
      <w:r>
        <w:lastRenderedPageBreak/>
        <w:t xml:space="preserve">Výčet trestných činů podle navrhovaného písmene b) vychází z poněkud obecného výčtu čl. 15 AML směrnice, přičemž jsou uvedeny i trestné činy příbuzné (podle systematiky zákona </w:t>
      </w:r>
      <w:r w:rsidR="00EC42BD">
        <w:t>č.</w:t>
      </w:r>
      <w:r w:rsidR="00720E07">
        <w:t> </w:t>
      </w:r>
      <w:r>
        <w:t xml:space="preserve">40/2009 Sb., trestní zákoník, ve znění pozdějších předpisů). </w:t>
      </w:r>
    </w:p>
    <w:p w14:paraId="2F8BDDDC" w14:textId="51079264" w:rsidR="00095FCC" w:rsidRDefault="00A71935" w:rsidP="00095FCC">
      <w:pPr>
        <w:pStyle w:val="Nadpis6"/>
      </w:pPr>
      <w:r>
        <w:t>K odstavcům</w:t>
      </w:r>
      <w:r w:rsidR="00095FCC">
        <w:t xml:space="preserve"> 2</w:t>
      </w:r>
      <w:r>
        <w:t xml:space="preserve"> a 3</w:t>
      </w:r>
      <w:r w:rsidR="00095FCC">
        <w:t xml:space="preserve"> </w:t>
      </w:r>
    </w:p>
    <w:p w14:paraId="19EAEB39" w14:textId="351D99D5" w:rsidR="003B6A43" w:rsidRDefault="00095FCC" w:rsidP="00095FCC">
      <w:r>
        <w:t xml:space="preserve">Podmínkou znepřístupnění </w:t>
      </w:r>
      <w:r w:rsidR="00EC42BD">
        <w:t>údajů z důvodu potenciálního rizika</w:t>
      </w:r>
      <w:r>
        <w:t xml:space="preserve"> ohrožení skutečného majitele je prokázání existence nepřiměřeného rizika. Navrhované ustanoven</w:t>
      </w:r>
      <w:r w:rsidR="004F77B8">
        <w:t>í tento pojem blíže rozvádí, přičemž vždy je třeba zkoumat konkrétní okolnosti případu a situaci skutečného</w:t>
      </w:r>
      <w:r w:rsidR="00C90A62">
        <w:t xml:space="preserve"> majitele. </w:t>
      </w:r>
      <w:r w:rsidR="003B6A43">
        <w:t>Úprava je</w:t>
      </w:r>
      <w:r w:rsidR="00720E07">
        <w:t xml:space="preserve"> </w:t>
      </w:r>
      <w:r w:rsidR="003B6A43">
        <w:t xml:space="preserve">v tomto ohledu inspirována § 10a rakouského </w:t>
      </w:r>
      <w:r w:rsidR="003B6A43" w:rsidRPr="00095FCC">
        <w:t>zákon</w:t>
      </w:r>
      <w:r w:rsidR="003B6A43">
        <w:t>a</w:t>
      </w:r>
      <w:r w:rsidR="003B6A43" w:rsidRPr="00095FCC">
        <w:t xml:space="preserve"> o </w:t>
      </w:r>
      <w:r w:rsidR="003B6A43">
        <w:t>registru skutečných majitelů (</w:t>
      </w:r>
      <w:proofErr w:type="spellStart"/>
      <w:r w:rsidR="003B6A43" w:rsidRPr="00095FCC">
        <w:rPr>
          <w:i/>
        </w:rPr>
        <w:t>Wirtschaftliche</w:t>
      </w:r>
      <w:proofErr w:type="spellEnd"/>
      <w:r w:rsidR="003B6A43" w:rsidRPr="00095FCC">
        <w:rPr>
          <w:i/>
        </w:rPr>
        <w:t xml:space="preserve"> </w:t>
      </w:r>
      <w:proofErr w:type="spellStart"/>
      <w:r w:rsidR="003B6A43" w:rsidRPr="00095FCC">
        <w:rPr>
          <w:i/>
        </w:rPr>
        <w:t>Eigentümer</w:t>
      </w:r>
      <w:proofErr w:type="spellEnd"/>
      <w:r w:rsidR="003B6A43" w:rsidRPr="00095FCC">
        <w:rPr>
          <w:i/>
        </w:rPr>
        <w:t xml:space="preserve"> </w:t>
      </w:r>
      <w:proofErr w:type="spellStart"/>
      <w:r w:rsidR="003B6A43" w:rsidRPr="00095FCC">
        <w:rPr>
          <w:i/>
        </w:rPr>
        <w:t>Registergesetz</w:t>
      </w:r>
      <w:proofErr w:type="spellEnd"/>
      <w:r w:rsidR="003B6A43" w:rsidRPr="004F77B8">
        <w:t>)</w:t>
      </w:r>
      <w:r w:rsidR="003B6A43" w:rsidRPr="00095FCC">
        <w:t>.</w:t>
      </w:r>
      <w:r w:rsidR="003B6A43" w:rsidRPr="00095FCC">
        <w:rPr>
          <w:vertAlign w:val="superscript"/>
        </w:rPr>
        <w:footnoteReference w:id="21"/>
      </w:r>
      <w:r w:rsidR="003B6A43">
        <w:t xml:space="preserve"> </w:t>
      </w:r>
    </w:p>
    <w:p w14:paraId="0880056C" w14:textId="24586191" w:rsidR="00C90A62" w:rsidRDefault="00C90A62" w:rsidP="00095FCC">
      <w:r>
        <w:t xml:space="preserve">Podstatné je, že cílem není eliminovat jakékoli riziko, </w:t>
      </w:r>
      <w:r w:rsidR="00EC42BD">
        <w:t>tedy například riziko</w:t>
      </w:r>
      <w:r>
        <w:t xml:space="preserve"> potenciální či malé. Sama skutečnost, že je např. skutečný majitel movitý, nepřiměřené riziko nezakládá.</w:t>
      </w:r>
      <w:r w:rsidR="00095FCC">
        <w:t xml:space="preserve"> </w:t>
      </w:r>
      <w:r>
        <w:t>Je</w:t>
      </w:r>
      <w:r w:rsidR="004F77B8">
        <w:t xml:space="preserve"> třeba </w:t>
      </w:r>
      <w:r>
        <w:t xml:space="preserve">přijmout, že nelze eliminovat </w:t>
      </w:r>
      <w:r w:rsidR="004F77B8">
        <w:t>běžné</w:t>
      </w:r>
      <w:r>
        <w:t>, očekávatelné riziko</w:t>
      </w:r>
      <w:r w:rsidR="004F77B8">
        <w:t xml:space="preserve">, která se </w:t>
      </w:r>
      <w:r>
        <w:t xml:space="preserve">zpravidla </w:t>
      </w:r>
      <w:r w:rsidR="004F77B8">
        <w:t xml:space="preserve">pojí s tím, že někdo má vliv, moc a s tím </w:t>
      </w:r>
      <w:r>
        <w:t xml:space="preserve">typicky </w:t>
      </w:r>
      <w:r w:rsidR="00EC42BD">
        <w:t>spojený</w:t>
      </w:r>
      <w:r w:rsidR="004F77B8">
        <w:t xml:space="preserve"> majet</w:t>
      </w:r>
      <w:r w:rsidR="00EC42BD">
        <w:t>ek</w:t>
      </w:r>
      <w:r>
        <w:t xml:space="preserve"> a životní styl</w:t>
      </w:r>
      <w:r w:rsidR="004F77B8">
        <w:t xml:space="preserve">. </w:t>
      </w:r>
    </w:p>
    <w:p w14:paraId="25BB59A7" w14:textId="52A855B5" w:rsidR="007D5B33" w:rsidRDefault="00C90A62" w:rsidP="00095FCC">
      <w:r>
        <w:t>Pro konstatování nepřiměřeného rizika je třeba zohledňovat situaci skutečných majitelů v obdobné situaci. Klíčové bud</w:t>
      </w:r>
      <w:r w:rsidR="007D5B33">
        <w:t>e u konkrétního skutečného majitele posoudit</w:t>
      </w:r>
      <w:r>
        <w:t xml:space="preserve"> okolnosti jako je </w:t>
      </w:r>
      <w:r w:rsidR="00EC42BD">
        <w:t>například</w:t>
      </w:r>
      <w:r>
        <w:t xml:space="preserve"> his</w:t>
      </w:r>
      <w:r w:rsidR="00EC42BD">
        <w:t>torie hrozeb či trestných činů spáchaných p</w:t>
      </w:r>
      <w:r>
        <w:t xml:space="preserve">roti </w:t>
      </w:r>
      <w:r w:rsidR="007D5B33">
        <w:t>němu</w:t>
      </w:r>
      <w:r>
        <w:t xml:space="preserve"> nebo jeho rodině</w:t>
      </w:r>
      <w:r w:rsidR="00EC42BD">
        <w:t xml:space="preserve"> (popř.</w:t>
      </w:r>
      <w:r w:rsidR="00720E07">
        <w:t> p</w:t>
      </w:r>
      <w:r w:rsidR="00EC42BD">
        <w:t>okusů o ně)</w:t>
      </w:r>
      <w:r>
        <w:t xml:space="preserve">, riziková oblast </w:t>
      </w:r>
      <w:r w:rsidR="007D5B33">
        <w:t xml:space="preserve">jeho </w:t>
      </w:r>
      <w:r>
        <w:t>podnikání nebo</w:t>
      </w:r>
      <w:r w:rsidR="007D5B33">
        <w:t xml:space="preserve"> rizikové</w:t>
      </w:r>
      <w:r>
        <w:t xml:space="preserve"> místo </w:t>
      </w:r>
      <w:r w:rsidR="007D5B33">
        <w:t xml:space="preserve">jeho podnikání nebo </w:t>
      </w:r>
      <w:r>
        <w:t>bydliště</w:t>
      </w:r>
      <w:r w:rsidR="007D5B33">
        <w:t>. U</w:t>
      </w:r>
      <w:r>
        <w:t xml:space="preserve">rčité státy mohou být v tomto ohledu rizikovější. </w:t>
      </w:r>
      <w:r w:rsidR="007D5B33">
        <w:t>Uvedený výčet však není úplný a</w:t>
      </w:r>
      <w:r w:rsidR="00720E07">
        <w:t> </w:t>
      </w:r>
      <w:r w:rsidR="007D5B33">
        <w:t>v praxi bude třeba pro posouzení nepřiměřenosti rizika zohled</w:t>
      </w:r>
      <w:r w:rsidR="00EC42BD">
        <w:t>ň</w:t>
      </w:r>
      <w:r w:rsidR="007D5B33">
        <w:t>ovat i další skutečnosti. Relevantní bude samozřejmě i to, zda údaje o skutečném majiteli již nejsou zjistitelné jinak, což je též explicitně vyjádřeno v návrhu.</w:t>
      </w:r>
    </w:p>
    <w:p w14:paraId="5FE4CCC1" w14:textId="247EC2CB" w:rsidR="004F77B8" w:rsidRDefault="00C90A62" w:rsidP="00095FCC">
      <w:r>
        <w:t>Pokud se skutečný majitel v</w:t>
      </w:r>
      <w:r w:rsidR="007D5B33">
        <w:t> posuzovaných</w:t>
      </w:r>
      <w:r>
        <w:t xml:space="preserve"> </w:t>
      </w:r>
      <w:r w:rsidR="007D5B33">
        <w:t>ohledech</w:t>
      </w:r>
      <w:r>
        <w:t xml:space="preserve"> od ostatních osob ve srovnatelné pozici ne</w:t>
      </w:r>
      <w:r w:rsidR="007D5B33">
        <w:t>bude vymykat</w:t>
      </w:r>
      <w:r>
        <w:t>, ne</w:t>
      </w:r>
      <w:r w:rsidR="007D5B33">
        <w:t xml:space="preserve">bude dán </w:t>
      </w:r>
      <w:r>
        <w:t xml:space="preserve">důvod poskytovat mu speciální režim ochrany soukromí. </w:t>
      </w:r>
      <w:r w:rsidR="007D5B33">
        <w:t xml:space="preserve">Znepřístupnění má představovat výjimečný nástroj ochrany pro extrémní případy. </w:t>
      </w:r>
      <w:r w:rsidR="003B6A43">
        <w:t>Znepřístupnění údajů má být současně prováděno pouze v nezbytné míře</w:t>
      </w:r>
      <w:r w:rsidR="00A71935">
        <w:t xml:space="preserve">. Soud by tak měl znepřístupnit jen ty údaje, které souvisí s nepřiměřeným rizikem, tzn. typicky identifikační údaje. Obecně není nezbytné znepřístupňovat údaje o povaze postavení skutečného majitele nebo o struktuře vztahů, byť v konkrétním případě v návaznosti na výjimečné okolnosti k tomu soud přistoupit může.   </w:t>
      </w:r>
    </w:p>
    <w:p w14:paraId="1EAEEC2B" w14:textId="7A67BFB6" w:rsidR="00A71935" w:rsidRDefault="00A71935" w:rsidP="00A71935">
      <w:pPr>
        <w:pStyle w:val="Nadpis6"/>
      </w:pPr>
      <w:r>
        <w:t>K odstavci 4</w:t>
      </w:r>
    </w:p>
    <w:p w14:paraId="538C6993" w14:textId="77777777" w:rsidR="00A71935" w:rsidRDefault="00A71935" w:rsidP="00E3690B">
      <w:r>
        <w:t xml:space="preserve">Ustanovení transponuje požadavek čl. 15 AML směrnice na periodické zveřejňování statistik týkajících se udělených výjimek. Stejně tak AML směrnice požaduje, aby o statistikách byla informována Evropská komise. </w:t>
      </w:r>
    </w:p>
    <w:p w14:paraId="217BCBF2" w14:textId="359B0A50" w:rsidR="00E3690B" w:rsidRPr="00E3690B" w:rsidRDefault="00A71935" w:rsidP="00E3690B">
      <w:r>
        <w:t>Ačkoli jde o soudní agendu, úkolem je pověřeno ministerstvo spravedlnosti, protože je, spolu se soudy, správcem informačního systému, v </w:t>
      </w:r>
      <w:proofErr w:type="gramStart"/>
      <w:r>
        <w:t>rámci</w:t>
      </w:r>
      <w:proofErr w:type="gramEnd"/>
      <w:r>
        <w:t xml:space="preserve"> </w:t>
      </w:r>
      <w:r w:rsidR="00EC42BD">
        <w:t>něhož</w:t>
      </w:r>
      <w:r>
        <w:t xml:space="preserve"> je evidence skutečných </w:t>
      </w:r>
      <w:r w:rsidR="00BA0D2D">
        <w:t>majitelů</w:t>
      </w:r>
      <w:r>
        <w:t xml:space="preserve"> </w:t>
      </w:r>
      <w:r>
        <w:lastRenderedPageBreak/>
        <w:t>provozována. Statistiky tak bude</w:t>
      </w:r>
      <w:r w:rsidR="00EC42BD" w:rsidRPr="00EC42BD">
        <w:t xml:space="preserve"> </w:t>
      </w:r>
      <w:r w:rsidR="00EC42BD">
        <w:t>zpracovávat ministerstvo</w:t>
      </w:r>
      <w:r>
        <w:t xml:space="preserve"> na základě údajů z </w:t>
      </w:r>
      <w:r w:rsidR="00EC42BD">
        <w:t>informačního systému a od soudů</w:t>
      </w:r>
      <w:r>
        <w:t xml:space="preserve">. </w:t>
      </w:r>
    </w:p>
    <w:p w14:paraId="43C8FFF6" w14:textId="61510206" w:rsidR="00DE1A19" w:rsidRDefault="00DE1A19" w:rsidP="00DE1A19">
      <w:pPr>
        <w:pStyle w:val="Nadpis5"/>
      </w:pPr>
      <w:r w:rsidRPr="00492DD8">
        <w:t>K</w:t>
      </w:r>
      <w:r>
        <w:t xml:space="preserve"> bodu </w:t>
      </w:r>
      <w:r w:rsidR="00BB6DC7">
        <w:t>2</w:t>
      </w:r>
      <w:r w:rsidR="008832FD">
        <w:t>4</w:t>
      </w:r>
      <w:r w:rsidR="007D08BE">
        <w:t xml:space="preserve"> </w:t>
      </w:r>
      <w:r>
        <w:t>[§ 32a]</w:t>
      </w:r>
    </w:p>
    <w:p w14:paraId="1110502B" w14:textId="4C62474E" w:rsidR="00DE1A19" w:rsidRDefault="00DE1A19" w:rsidP="00DE1A19">
      <w:r>
        <w:t xml:space="preserve">Navrhované ustanovení upravuje podrobnosti a důsledky znepřístupnění </w:t>
      </w:r>
      <w:r w:rsidR="00702F7B">
        <w:t xml:space="preserve">údajů o skutečném majiteli </w:t>
      </w:r>
      <w:r>
        <w:t xml:space="preserve">podle § 32 zákona o ESM ve znění návrhu. </w:t>
      </w:r>
    </w:p>
    <w:p w14:paraId="2A50FCBC" w14:textId="1835EAEB" w:rsidR="00DE1A19" w:rsidRDefault="00DE1A19" w:rsidP="00DE1A19">
      <w:pPr>
        <w:pStyle w:val="Nadpis6"/>
      </w:pPr>
      <w:r>
        <w:t>K odstavci 1</w:t>
      </w:r>
    </w:p>
    <w:p w14:paraId="432E8192" w14:textId="22E89599" w:rsidR="00AC6B51" w:rsidRDefault="00DE1A19" w:rsidP="00DE1A19">
      <w:r>
        <w:t>Navrhuje se stanovit, po jak dlouho</w:t>
      </w:r>
      <w:r w:rsidR="005F14AF">
        <w:t>u</w:t>
      </w:r>
      <w:r>
        <w:t xml:space="preserve"> dobu jsou údaje znepřístupněny. </w:t>
      </w:r>
      <w:r w:rsidR="009A53B3">
        <w:t>Obdobný přístup je upraven i ve výše zmíněné rakouské úpravě.</w:t>
      </w:r>
    </w:p>
    <w:p w14:paraId="678207F8" w14:textId="005469BE" w:rsidR="00DE1A19" w:rsidRDefault="00AC6B51" w:rsidP="00DE1A19">
      <w:r>
        <w:t xml:space="preserve">V případech znepřístupnění </w:t>
      </w:r>
      <w:r w:rsidR="005F14AF">
        <w:t xml:space="preserve">údajů </w:t>
      </w:r>
      <w:r>
        <w:t xml:space="preserve">z důvodu </w:t>
      </w:r>
      <w:r w:rsidR="00F55B48">
        <w:t>nezletilosti</w:t>
      </w:r>
      <w:r w:rsidR="009F079A">
        <w:t xml:space="preserve"> by mělo dojít k následnému</w:t>
      </w:r>
      <w:r>
        <w:t xml:space="preserve"> zpřístupnění automaticky. Systém by měl být schopen hlídat, kdy dotčený skutečný majitel dovrší 18 let</w:t>
      </w:r>
      <w:r w:rsidR="00F55B48">
        <w:t xml:space="preserve">, jelikož zapisovaným údajem je u skutečného majitele jeho datum narození. </w:t>
      </w:r>
      <w:r>
        <w:t xml:space="preserve">V případě osob s omezenou svéprávností bude patrně třeba, aby byly údaje zpřístupněny úkonem ze strany soudu, a to v návaznosti na notifikaci z registru </w:t>
      </w:r>
      <w:r w:rsidR="00F55B48">
        <w:t>obyvatel</w:t>
      </w:r>
      <w:r>
        <w:t xml:space="preserve"> (ve kterém </w:t>
      </w:r>
      <w:r w:rsidR="00F55B48">
        <w:t>je</w:t>
      </w:r>
      <w:r>
        <w:t xml:space="preserve"> údaj o omezení svéprávnosti veden). Soud však o tomto již nevydává rozhodnutí, protože ke zpřístupnění dochází ze zákona. </w:t>
      </w:r>
    </w:p>
    <w:p w14:paraId="1B49E901" w14:textId="11A2A106" w:rsidR="000D58F3" w:rsidRDefault="00AC6B51" w:rsidP="00DE1A19">
      <w:r>
        <w:t xml:space="preserve">V případech znepřístupnění </w:t>
      </w:r>
      <w:r w:rsidR="00F55B48">
        <w:t xml:space="preserve">údajů o skutečném majiteli </w:t>
      </w:r>
      <w:r>
        <w:t xml:space="preserve">z důvodu </w:t>
      </w:r>
      <w:r w:rsidR="00F55B48">
        <w:t>jeho</w:t>
      </w:r>
      <w:r>
        <w:t xml:space="preserve"> ohrožení </w:t>
      </w:r>
      <w:r w:rsidR="00F55B48">
        <w:t xml:space="preserve">je </w:t>
      </w:r>
      <w:r>
        <w:t xml:space="preserve">třeba, aby dobu znepřístupnění stanovil v rozhodnutí soud. Tato doba však může být maximálně 10 let od právní moci rozhodnutí. </w:t>
      </w:r>
      <w:r w:rsidR="000D58F3">
        <w:t xml:space="preserve">I v tomto případě bude následné zpřístupnění v systému řešeno automaticky s využitím programového vybavení informačního systému.  </w:t>
      </w:r>
    </w:p>
    <w:p w14:paraId="5689E1E9" w14:textId="417EAA63" w:rsidR="00642A85" w:rsidRDefault="00AC6B51" w:rsidP="00DE1A19">
      <w:r>
        <w:t xml:space="preserve">Úprava vychází z úvahy, že </w:t>
      </w:r>
      <w:r w:rsidR="00FA174E">
        <w:t xml:space="preserve">nepřiměřené riziko obecně nemůže být nahlíženo jako cosi trvalého a neměnného. </w:t>
      </w:r>
      <w:r w:rsidR="009A53B3">
        <w:t>Navíc v případě odpadnutí rizika nelze spoléhat na to, že by tuto skutečnost evidující osoba nebo skutečný majitel soudu oznámil</w:t>
      </w:r>
      <w:r w:rsidR="00F55B48">
        <w:t>i</w:t>
      </w:r>
      <w:r w:rsidR="009A53B3">
        <w:t xml:space="preserve">. </w:t>
      </w:r>
      <w:r w:rsidR="00FA174E">
        <w:t xml:space="preserve">Prostřednictvím maximální doby znepřístupnění se </w:t>
      </w:r>
      <w:r w:rsidR="009A53B3">
        <w:t xml:space="preserve">zmenšuje riziko zneužití tohoto ochranného institutu. Bude-li nepřiměřené riziko pro skutečného majitele trvat i nadále, bude o </w:t>
      </w:r>
      <w:r w:rsidR="00642A85">
        <w:t xml:space="preserve">odůvodněnosti znepřístupnění </w:t>
      </w:r>
      <w:r w:rsidR="009A53B3">
        <w:t>na základě</w:t>
      </w:r>
      <w:r w:rsidR="00642A85">
        <w:t xml:space="preserve"> nového návrhu soud rozhodovat znovu. Ne</w:t>
      </w:r>
      <w:r w:rsidR="00F55B48">
        <w:t>stane se</w:t>
      </w:r>
      <w:r w:rsidR="00642A85">
        <w:t>, že dojde k zveřejnění údajů, dokud nebude nové (revizní) říze</w:t>
      </w:r>
      <w:r w:rsidR="000D58F3">
        <w:t>ní ukončeno. Doba</w:t>
      </w:r>
      <w:r w:rsidR="00642A85">
        <w:t xml:space="preserve"> řízení </w:t>
      </w:r>
      <w:r w:rsidR="000D58F3">
        <w:t xml:space="preserve">se </w:t>
      </w:r>
      <w:r w:rsidR="00642A85">
        <w:t>totiž</w:t>
      </w:r>
      <w:r w:rsidR="000D58F3">
        <w:t xml:space="preserve"> nezapočítává do</w:t>
      </w:r>
      <w:r w:rsidR="00642A85">
        <w:t xml:space="preserve"> dob</w:t>
      </w:r>
      <w:r w:rsidR="00720E07">
        <w:t>y</w:t>
      </w:r>
      <w:r w:rsidR="00642A85">
        <w:t>, po kterou</w:t>
      </w:r>
      <w:r w:rsidR="000D58F3">
        <w:t xml:space="preserve"> jsou údaje znepřístupněny</w:t>
      </w:r>
      <w:r w:rsidR="00642A85">
        <w:t>.</w:t>
      </w:r>
    </w:p>
    <w:p w14:paraId="3A6FC2A1" w14:textId="1565E0E5" w:rsidR="00DE1A19" w:rsidRDefault="00DE1A19" w:rsidP="00DE1A19">
      <w:pPr>
        <w:pStyle w:val="Nadpis6"/>
      </w:pPr>
      <w:r>
        <w:t>K odstavci 2</w:t>
      </w:r>
    </w:p>
    <w:p w14:paraId="00717B73" w14:textId="4921E184" w:rsidR="00FA174E" w:rsidRPr="00FA174E" w:rsidRDefault="00FA174E" w:rsidP="00FA174E">
      <w:r>
        <w:t xml:space="preserve">Vlastní znepřístupnění údajů bude zajištěno s využitím programového vybavení informačního systému. Poté, co soud v rámci aplikačního rozhraní vyznačí, že bylo rozhodnuto a po uplynutí procesních lhůt (nabytí právní moci) systém automaticky údaje znepřístupní. Systém současně provede znepřístupnění napříč databází, tzn. u všech výskytů dané osoby jakožto skutečného majitele, bez ohledu na to, zda návrh podala určitá evidující osoba. Skrytí údajů pouze ve vztahu k jedné evidující osobě nelze považovat za funkční nástroj ochrany skutečného majitele. </w:t>
      </w:r>
    </w:p>
    <w:p w14:paraId="6AB30887" w14:textId="2A32730F" w:rsidR="00DE1A19" w:rsidRDefault="00DE1A19" w:rsidP="00DE1A19">
      <w:pPr>
        <w:pStyle w:val="Nadpis6"/>
      </w:pPr>
      <w:r>
        <w:lastRenderedPageBreak/>
        <w:t>K odstavci 3</w:t>
      </w:r>
    </w:p>
    <w:p w14:paraId="63A56065" w14:textId="4B386A20" w:rsidR="00876F6C" w:rsidRDefault="00876F6C" w:rsidP="00DE1A19">
      <w:r>
        <w:t xml:space="preserve">Ustanovení řeší situace následných zápisů </w:t>
      </w:r>
      <w:r w:rsidR="00F55B48">
        <w:t>skutečného majitele</w:t>
      </w:r>
      <w:r>
        <w:t xml:space="preserve"> poté, co bylo rozhod</w:t>
      </w:r>
      <w:r w:rsidR="00F55B48">
        <w:t>nuto o</w:t>
      </w:r>
      <w:r w:rsidR="00720E07">
        <w:t> </w:t>
      </w:r>
      <w:r>
        <w:t>znepřístupnění</w:t>
      </w:r>
      <w:r w:rsidR="00F55B48">
        <w:t xml:space="preserve"> údajů o něm</w:t>
      </w:r>
      <w:r>
        <w:t>. Je koncepční a logické, aby u téže osoby</w:t>
      </w:r>
      <w:r w:rsidR="00F55B48">
        <w:t xml:space="preserve"> (skutečného majitele)</w:t>
      </w:r>
      <w:r>
        <w:t>, byť zapsané ve vztahu k jiné právnické osobě nebo právnímu uspořádání, bylo znepřístupnění nastaveno plošně. Jinak by byl režim ochrany soukromí v zásadě nefunkční</w:t>
      </w:r>
      <w:r w:rsidR="00F55B48">
        <w:t>m</w:t>
      </w:r>
      <w:r>
        <w:t>.</w:t>
      </w:r>
    </w:p>
    <w:p w14:paraId="0E6C5358" w14:textId="74D96DF1" w:rsidR="00876F6C" w:rsidRPr="008A6C86" w:rsidRDefault="00876F6C" w:rsidP="00DE1A19">
      <w:r>
        <w:t>Z praktického hlediska by znepřístupnění napříč databází mělo být zajišťováno automaticky a</w:t>
      </w:r>
      <w:r w:rsidR="00720E07">
        <w:t> </w:t>
      </w:r>
      <w:r>
        <w:t xml:space="preserve">systémově. Na základě jedinečného ztotožnění </w:t>
      </w:r>
      <w:r w:rsidR="004B2F4D">
        <w:t>zapisovaných</w:t>
      </w:r>
      <w:r>
        <w:t xml:space="preserve"> osob </w:t>
      </w:r>
      <w:r w:rsidR="00F55B48">
        <w:t xml:space="preserve">jako skutečných majitelů </w:t>
      </w:r>
      <w:r>
        <w:t xml:space="preserve">by systém měl být schopen režim nepřístupnosti </w:t>
      </w:r>
      <w:r w:rsidR="004B2F4D">
        <w:t xml:space="preserve">zachovávat vůči všem výskytům dané osoby v evidenci. </w:t>
      </w:r>
      <w:r>
        <w:t xml:space="preserve"> </w:t>
      </w:r>
    </w:p>
    <w:p w14:paraId="24682C28" w14:textId="3E5E39E7" w:rsidR="00B4377A" w:rsidRDefault="00B4377A" w:rsidP="00B4377A">
      <w:pPr>
        <w:pStyle w:val="Nadpis5"/>
      </w:pPr>
      <w:r w:rsidRPr="00492DD8">
        <w:t>K</w:t>
      </w:r>
      <w:r>
        <w:t xml:space="preserve"> bodu </w:t>
      </w:r>
      <w:r w:rsidR="00BB6DC7">
        <w:t>2</w:t>
      </w:r>
      <w:r w:rsidR="008832FD">
        <w:t>4</w:t>
      </w:r>
      <w:r>
        <w:t xml:space="preserve"> [§ 32</w:t>
      </w:r>
      <w:r w:rsidR="00DE1A19">
        <w:t>b</w:t>
      </w:r>
      <w:r>
        <w:t>]</w:t>
      </w:r>
    </w:p>
    <w:p w14:paraId="7AFD7D2A" w14:textId="538098DA" w:rsidR="00FA174E" w:rsidRDefault="0060215C" w:rsidP="0060215C">
      <w:r>
        <w:t xml:space="preserve">Z důvodu přehlednosti a lepšího členění </w:t>
      </w:r>
      <w:r w:rsidR="00F55B48">
        <w:t xml:space="preserve">textu </w:t>
      </w:r>
      <w:r>
        <w:t>jsou původní § 32 odst. 2 a 3 zákona o ESM převzaty do nového § 32</w:t>
      </w:r>
      <w:r w:rsidR="00F55B48">
        <w:t>b</w:t>
      </w:r>
      <w:r>
        <w:t xml:space="preserve"> zákona o ESM ve znění návrhu. </w:t>
      </w:r>
      <w:r w:rsidR="00F55B48">
        <w:t>V návaznosti na nově navrhovaná</w:t>
      </w:r>
      <w:r w:rsidR="00FA174E">
        <w:t xml:space="preserve"> pravidla § 32a odst. 2 a 3 zákona o ESM v praxi dojde k revizi stávajících formulářů pro znepřístupnění. V současnosti je pro tyto účely využíván běžný formulář pro zápis skutečného majitele. Stávající přístup však nezohledňuje, že cílem návrhu je znepřístupnění údajů </w:t>
      </w:r>
      <w:r w:rsidR="00F55B48">
        <w:t>o</w:t>
      </w:r>
      <w:r w:rsidR="00FA174E">
        <w:t xml:space="preserve"> určitém skutečném majiteli nikoli ve vztahu k jedné </w:t>
      </w:r>
      <w:r w:rsidR="00F55B48">
        <w:t>právnické</w:t>
      </w:r>
      <w:r w:rsidR="00FA174E">
        <w:t xml:space="preserve"> osobě</w:t>
      </w:r>
      <w:r w:rsidR="00F55B48">
        <w:t xml:space="preserve"> nebo právnímu uspořádání</w:t>
      </w:r>
      <w:r w:rsidR="00FA174E">
        <w:t xml:space="preserve">, ale napříč databází. </w:t>
      </w:r>
    </w:p>
    <w:p w14:paraId="02E7AB98" w14:textId="0F4D677F" w:rsidR="0060215C" w:rsidRPr="0060215C" w:rsidRDefault="00FA174E" w:rsidP="0060215C">
      <w:r>
        <w:t>Dále</w:t>
      </w:r>
      <w:r w:rsidR="0060215C">
        <w:t xml:space="preserve"> se doplňuje procesní pravidlo, které </w:t>
      </w:r>
      <w:r>
        <w:t xml:space="preserve">taktéž </w:t>
      </w:r>
      <w:r w:rsidR="0060215C">
        <w:t xml:space="preserve">reflektuje, že jeden člověk může být skutečným majitelem ve vztahu k více právnickým osobám nebo právním uspořádáním. V takovém případě může návrh podat u kteréhokoli příslušného soudu. </w:t>
      </w:r>
    </w:p>
    <w:p w14:paraId="08383CA0" w14:textId="6F281AA2" w:rsidR="0039241D" w:rsidRDefault="0039241D" w:rsidP="0039241D">
      <w:pPr>
        <w:pStyle w:val="Nadpis5"/>
      </w:pPr>
      <w:r w:rsidRPr="00492DD8">
        <w:t>K</w:t>
      </w:r>
      <w:r w:rsidR="001828AF">
        <w:t> </w:t>
      </w:r>
      <w:r>
        <w:t>bod</w:t>
      </w:r>
      <w:r w:rsidR="001828AF">
        <w:t>ům 2</w:t>
      </w:r>
      <w:r w:rsidR="008832FD">
        <w:t>5</w:t>
      </w:r>
      <w:r w:rsidR="001828AF">
        <w:t xml:space="preserve"> až 2</w:t>
      </w:r>
      <w:r w:rsidR="008832FD">
        <w:t>7</w:t>
      </w:r>
      <w:r>
        <w:t xml:space="preserve"> [§ 53 a 54]</w:t>
      </w:r>
    </w:p>
    <w:p w14:paraId="3BDCAB17" w14:textId="2B1B1870" w:rsidR="00936DA8" w:rsidRDefault="000426CB" w:rsidP="001B3E19">
      <w:r>
        <w:t>Úprava soukromoprávních následků porušení evidenční povinnosti (někdy také zjednod</w:t>
      </w:r>
      <w:r w:rsidR="00936DA8">
        <w:t>ušeně označováno jako soukromoprávní sankce</w:t>
      </w:r>
      <w:r>
        <w:t xml:space="preserve">) v současnosti funguje na předpokladu snadné </w:t>
      </w:r>
      <w:r w:rsidR="00936DA8">
        <w:t>ověřitelnosti stavu zápisu skutečného majitele společníků evidující osoby, kdy skutečného majitele může kdokoli a kdykoli ověřit z </w:t>
      </w:r>
      <w:r>
        <w:t>veřejn</w:t>
      </w:r>
      <w:r w:rsidR="00936DA8">
        <w:t xml:space="preserve">é části </w:t>
      </w:r>
      <w:r>
        <w:t>evidence.</w:t>
      </w:r>
      <w:r w:rsidR="00936DA8">
        <w:t xml:space="preserve"> Obecně není třeba, aby společníci poskytovali součinnost ve formě předkládání výpisů z evidence. Evidující osoby v souvislosti s hlasováním nejvyššího orgánu nebo při výplatě zisku skutečné maji</w:t>
      </w:r>
      <w:r w:rsidR="00F55B48">
        <w:t>tele svých společníků ověří samy</w:t>
      </w:r>
      <w:r w:rsidR="00936DA8">
        <w:t>. Tento režim však není při obecně neveřejné evidenci udržitelný.</w:t>
      </w:r>
    </w:p>
    <w:p w14:paraId="36ACE29C" w14:textId="12CADA6C" w:rsidR="00500871" w:rsidRDefault="00936DA8" w:rsidP="001B3E19">
      <w:r>
        <w:t xml:space="preserve">Navrhuje se proto </w:t>
      </w:r>
      <w:r w:rsidR="00F55B48">
        <w:t>kontrolu</w:t>
      </w:r>
      <w:r>
        <w:t xml:space="preserve"> skutečných majitelů přímých společníků zúžit pouze na ty, kteří drží ve společností podíl </w:t>
      </w:r>
      <w:r w:rsidR="00F55B48">
        <w:t xml:space="preserve">na základním kapitálu </w:t>
      </w:r>
      <w:r>
        <w:t xml:space="preserve">přesahující 5 %. Stanovuje se </w:t>
      </w:r>
      <w:r w:rsidR="00F55B48">
        <w:t xml:space="preserve">tak </w:t>
      </w:r>
      <w:r>
        <w:t>hranice</w:t>
      </w:r>
      <w:r w:rsidR="00F55B48">
        <w:t xml:space="preserve"> podílu na základním kapitálu</w:t>
      </w:r>
      <w:r>
        <w:t>, pod kterou již není třeba skutečného majitele</w:t>
      </w:r>
      <w:r w:rsidR="000426CB">
        <w:t xml:space="preserve"> </w:t>
      </w:r>
      <w:r>
        <w:t xml:space="preserve">společníka zjišťovat. </w:t>
      </w:r>
      <w:r w:rsidR="00500871">
        <w:t>Podstatné je, že jde o hranici stanovenou právě pro jednoho společníka, tzn. po</w:t>
      </w:r>
      <w:r w:rsidR="00F55B48">
        <w:t>čet případných nutných ověření j</w:t>
      </w:r>
      <w:r w:rsidR="00500871">
        <w:t xml:space="preserve">e jasně limitován. Teoreticky </w:t>
      </w:r>
      <w:r w:rsidR="00F55B48">
        <w:t>je</w:t>
      </w:r>
      <w:r w:rsidR="00500871">
        <w:t xml:space="preserve"> tak </w:t>
      </w:r>
      <w:r w:rsidR="00F55B48">
        <w:t>m</w:t>
      </w:r>
      <w:r w:rsidR="00500871">
        <w:t xml:space="preserve">ožné, </w:t>
      </w:r>
      <w:r w:rsidR="007A2668">
        <w:t>ž</w:t>
      </w:r>
      <w:r w:rsidR="00500871">
        <w:t xml:space="preserve">e evidující osoba bude muset ověřit nejvýše 19 společníků, pokud by každý z nich měl podíl větší 5 %. Nikdy však nebude třeba provádět více ověření. Navíc </w:t>
      </w:r>
      <w:r w:rsidR="00C74524">
        <w:t>reálně</w:t>
      </w:r>
      <w:r w:rsidR="00500871">
        <w:t xml:space="preserve"> bude počet ověření ještě mnohem nižší. I za předpokladu nevyššího možného počtu ověření lze mít za to, že jde o únosnou zátěž. </w:t>
      </w:r>
    </w:p>
    <w:p w14:paraId="23887DC8" w14:textId="5084B75D" w:rsidR="001B3E19" w:rsidRDefault="00500871" w:rsidP="001B3E19">
      <w:r>
        <w:lastRenderedPageBreak/>
        <w:t>Evidující osob</w:t>
      </w:r>
      <w:r w:rsidR="00A72DFF">
        <w:t>a obecně nebude mít možnost přistoupit do evidence, aby skutečné majitele svých relevantních společníků ověřila. Proto se staví najisto, že za tímto účelem jí má být předložen aktuální výpis. Tato nová povinnost se upravuje v</w:t>
      </w:r>
      <w:r w:rsidR="00C74524">
        <w:t xml:space="preserve"> nově navrhovaných </w:t>
      </w:r>
      <w:r w:rsidR="00A72DFF">
        <w:t>§ 53 odst. 4, respektive 54 ods</w:t>
      </w:r>
      <w:r w:rsidR="00720E07">
        <w:t xml:space="preserve">t. </w:t>
      </w:r>
      <w:r w:rsidR="00A72DFF">
        <w:t>5 zákona o ESM. Lze pak doplnit, že povinnost se logicky vztahu</w:t>
      </w:r>
      <w:r w:rsidR="00C74524">
        <w:t>je pouze na ty společníky, kteří</w:t>
      </w:r>
      <w:r w:rsidR="00A72DFF">
        <w:t xml:space="preserve"> mají povinnost zápisu vůči tuzemské evidenci. Ve vztahu ke kontrole podmínky podle § 53 odst. 2 a § 54 odst. 3 zákona o ESM, tj. z</w:t>
      </w:r>
      <w:r w:rsidR="007A2668">
        <w:t>d</w:t>
      </w:r>
      <w:r w:rsidR="00A72DFF">
        <w:t xml:space="preserve">a je zapsán vůbec nějaký skutečný majitel, bude i nadále možné vycházet z veřejně dostupné části evidence. Podle </w:t>
      </w:r>
      <w:r w:rsidR="00C74524">
        <w:t xml:space="preserve">nově navrhovaného znění </w:t>
      </w:r>
      <w:r w:rsidR="00A72DFF">
        <w:t xml:space="preserve">§ 14 odst. 2 písm. zákona o ESM bude </w:t>
      </w:r>
      <w:r w:rsidR="00C74524">
        <w:t>každý moci</w:t>
      </w:r>
      <w:r w:rsidR="00A72DFF">
        <w:t xml:space="preserve"> získat potvrzení, že evidující osoba nesplnila povinnost zápisu skutečného majitele.</w:t>
      </w:r>
    </w:p>
    <w:p w14:paraId="249F3CC0" w14:textId="26C074B9" w:rsidR="00A72DFF" w:rsidRDefault="00A72DFF" w:rsidP="001B3E19">
      <w:r>
        <w:t>Konečně lze pro kontext doplnit, že úprava soukromoprávních sankcí je instrument</w:t>
      </w:r>
      <w:r w:rsidR="00C74524">
        <w:t>em</w:t>
      </w:r>
      <w:r>
        <w:t>, se kterým počítá i unijní legislativa. V</w:t>
      </w:r>
      <w:r w:rsidR="00883B54">
        <w:t xml:space="preserve"> 134. </w:t>
      </w:r>
      <w:r>
        <w:t xml:space="preserve">recitálu AML nařízení se </w:t>
      </w:r>
      <w:r w:rsidR="00C74524">
        <w:t xml:space="preserve">k </w:t>
      </w:r>
      <w:r>
        <w:t>vhodným sankcím uvádí:</w:t>
      </w:r>
    </w:p>
    <w:p w14:paraId="7996A3C8" w14:textId="5E649393" w:rsidR="00A72DFF" w:rsidRPr="001B3E19" w:rsidRDefault="00A72DFF" w:rsidP="001B3E19">
      <w:r w:rsidRPr="00A72DFF">
        <w:rPr>
          <w:i/>
        </w:rPr>
        <w:t>„Sankce by mohly například zahrnovat</w:t>
      </w:r>
      <w:r w:rsidRPr="00A72DFF">
        <w:t xml:space="preserve"> </w:t>
      </w:r>
      <w:r>
        <w:t>[…]</w:t>
      </w:r>
      <w:r w:rsidRPr="00A72DFF">
        <w:t xml:space="preserve"> </w:t>
      </w:r>
      <w:r w:rsidRPr="00A72DFF">
        <w:rPr>
          <w:i/>
        </w:rPr>
        <w:t>soukromoprávní následky pro neodhalené skutečné majitele jako zákaz vyplácení zisků nebo zákaz výkonu hlasovacích práv.“</w:t>
      </w:r>
      <w:r w:rsidR="00720E07">
        <w:rPr>
          <w:i/>
        </w:rPr>
        <w:t>.</w:t>
      </w:r>
    </w:p>
    <w:p w14:paraId="576AFC1A" w14:textId="3C490EA6" w:rsidR="00D70C9B" w:rsidRDefault="00D70C9B" w:rsidP="00D70C9B">
      <w:pPr>
        <w:pStyle w:val="Nadpis3"/>
      </w:pPr>
      <w:r w:rsidRPr="00492DD8">
        <w:t>K</w:t>
      </w:r>
      <w:r>
        <w:t> článku II (přechodná ustanovení)</w:t>
      </w:r>
    </w:p>
    <w:p w14:paraId="76264136" w14:textId="2D4FAE5A" w:rsidR="004B2F4D" w:rsidRDefault="004B2F4D" w:rsidP="004B2F4D">
      <w:pPr>
        <w:pStyle w:val="Nadpis5"/>
      </w:pPr>
      <w:r w:rsidRPr="00492DD8">
        <w:t>K</w:t>
      </w:r>
      <w:r w:rsidR="009F079A">
        <w:t xml:space="preserve"> bodu </w:t>
      </w:r>
      <w:r>
        <w:t>1</w:t>
      </w:r>
    </w:p>
    <w:p w14:paraId="532B7D31" w14:textId="75990D3A" w:rsidR="004B2F4D" w:rsidRPr="004B2F4D" w:rsidRDefault="00FA74A0" w:rsidP="004B2F4D">
      <w:r>
        <w:t xml:space="preserve">Ustanovení reaguje na skutečnost, že návrhem se prodlužuje doba, na kterou se uděluje dálkový přístup jednotlivým uživatelům podle § 17 zákona o ESM ve znění návrhu. Cílem ustanovení je narovnat postavení těch, jejichž přístup byl udělen před účinností příslušné části </w:t>
      </w:r>
      <w:proofErr w:type="gramStart"/>
      <w:r w:rsidR="00C74524">
        <w:t>návrhu</w:t>
      </w:r>
      <w:proofErr w:type="gramEnd"/>
      <w:r w:rsidR="00C74524">
        <w:t xml:space="preserve"> a</w:t>
      </w:r>
      <w:r w:rsidR="00720E07">
        <w:t> </w:t>
      </w:r>
      <w:r w:rsidR="00C74524">
        <w:t>tedy</w:t>
      </w:r>
      <w:r>
        <w:t xml:space="preserve"> pouze na dva roky. Přímo ze zákona bude dálkový přístup u těchto uživatelů prodloužen na tři roky. Prodloužení bude zajištěno</w:t>
      </w:r>
      <w:r w:rsidR="00511DFA">
        <w:t>;</w:t>
      </w:r>
      <w:r>
        <w:t xml:space="preserve"> prostřednictvím technické úpravy v informačním systému. </w:t>
      </w:r>
    </w:p>
    <w:p w14:paraId="1B24CA69" w14:textId="3471C9B4" w:rsidR="004B2F4D" w:rsidRDefault="004B2F4D" w:rsidP="004B2F4D">
      <w:pPr>
        <w:pStyle w:val="Nadpis5"/>
      </w:pPr>
      <w:r w:rsidRPr="00492DD8">
        <w:t>K</w:t>
      </w:r>
      <w:r>
        <w:t> bod</w:t>
      </w:r>
      <w:r w:rsidR="009F079A">
        <w:t>ům</w:t>
      </w:r>
      <w:r>
        <w:t xml:space="preserve"> 2</w:t>
      </w:r>
      <w:r w:rsidR="009F079A">
        <w:t xml:space="preserve"> a 3</w:t>
      </w:r>
    </w:p>
    <w:p w14:paraId="1393760F" w14:textId="3F54F1C1" w:rsidR="004B2F4D" w:rsidRDefault="00511DFA" w:rsidP="004B2F4D">
      <w:r>
        <w:t xml:space="preserve">Ustanovení promítají nová pravidla limitace znepřístupnění údajů o skutečných majitelích podle </w:t>
      </w:r>
      <w:r w:rsidR="00C74524">
        <w:t xml:space="preserve">nově navrhovaného </w:t>
      </w:r>
      <w:r>
        <w:t xml:space="preserve">§ 32a </w:t>
      </w:r>
      <w:r w:rsidR="00580B0B">
        <w:t xml:space="preserve">odst. 1 </w:t>
      </w:r>
      <w:r>
        <w:t>zákona o ESM i ve vztahu k těm údajům, které byly znepřístupněny podle dosavadní právní úpravy (§ 32 zákona o ESM). Není totiž žádoucí a</w:t>
      </w:r>
      <w:r w:rsidR="00720E07">
        <w:t> </w:t>
      </w:r>
      <w:r>
        <w:t>koncepční, aby existovaly dva režimy znepřístupnění. Bez uvedeného pravid</w:t>
      </w:r>
      <w:r w:rsidR="00C74524">
        <w:t>la by v zásadě všechna</w:t>
      </w:r>
      <w:r>
        <w:t xml:space="preserve"> dříve provedená znepřístupnění nebyla časově limitována. </w:t>
      </w:r>
      <w:r w:rsidR="00580B0B">
        <w:t xml:space="preserve">K opětovnému zpřístupnění dojde přímo ze zákona, přičemž </w:t>
      </w:r>
      <w:r w:rsidR="00C74524">
        <w:t xml:space="preserve">toto bude </w:t>
      </w:r>
      <w:r w:rsidR="00580B0B">
        <w:t xml:space="preserve">fakticky zajištěno nastavením infomačního systému. </w:t>
      </w:r>
    </w:p>
    <w:p w14:paraId="59C69581" w14:textId="735710A4" w:rsidR="00580B0B" w:rsidRPr="004B2F4D" w:rsidRDefault="00511DFA" w:rsidP="004B2F4D">
      <w:r>
        <w:t>Současně se chce zajistit, aby došlo ke znepřístupnění údajů o dotčených skutečných majitelích napříč celou databází. Tento aspekt, nové upra</w:t>
      </w:r>
      <w:r w:rsidR="00580B0B">
        <w:t xml:space="preserve">vený v§ 32a odst. 3 zákona o ESM, v současnosti nefunguje. Chce se tedy narovnat postavení osob, u nichž došlo ke znepřístupnění před účinností </w:t>
      </w:r>
      <w:r w:rsidR="00C74524">
        <w:t>návrhu, a těch, u nichž dojde k znepřístupnění po nabytí účinnosti návrhu</w:t>
      </w:r>
      <w:r w:rsidR="00580B0B">
        <w:t xml:space="preserve">. K zajištění plošného znepřístupnění dojde prostřednictvím technické úpravy v informačním systému. Lze přitom dodat, že dotčených skutečných majitelů je v současnosti málo, </w:t>
      </w:r>
      <w:r w:rsidR="00C74524">
        <w:t xml:space="preserve">nanejvýš </w:t>
      </w:r>
      <w:r w:rsidR="00580B0B">
        <w:t xml:space="preserve">v řádu desítek. </w:t>
      </w:r>
    </w:p>
    <w:p w14:paraId="4CDCA4FF" w14:textId="3E1800B9" w:rsidR="009F2209" w:rsidRDefault="009F2209" w:rsidP="009F2209">
      <w:pPr>
        <w:pStyle w:val="Nadpis3"/>
      </w:pPr>
      <w:r w:rsidRPr="00492DD8">
        <w:lastRenderedPageBreak/>
        <w:t>K</w:t>
      </w:r>
      <w:r>
        <w:t> článku III (účinnost)</w:t>
      </w:r>
    </w:p>
    <w:p w14:paraId="67F79F6F" w14:textId="6734F53E" w:rsidR="004B2F4D" w:rsidRDefault="00565FFE" w:rsidP="00D70C9B">
      <w:r>
        <w:t>Účinnost se navr</w:t>
      </w:r>
      <w:r w:rsidR="00940534">
        <w:t xml:space="preserve">huje stanovit na 1. ledna 2027. </w:t>
      </w:r>
      <w:r w:rsidR="00D70C9B">
        <w:t xml:space="preserve">Účinnost se navrhuje stanovit </w:t>
      </w:r>
      <w:r w:rsidR="004B2F4D">
        <w:t>s ohledem na</w:t>
      </w:r>
      <w:r w:rsidR="00DF41AC">
        <w:t xml:space="preserve"> </w:t>
      </w:r>
      <w:r w:rsidR="004B2F4D">
        <w:t xml:space="preserve">čas </w:t>
      </w:r>
      <w:r w:rsidR="000A6FDA">
        <w:t>nezbytn</w:t>
      </w:r>
      <w:r w:rsidR="004B2F4D">
        <w:t>ý</w:t>
      </w:r>
      <w:r w:rsidR="000A6FDA">
        <w:t xml:space="preserve"> </w:t>
      </w:r>
      <w:r w:rsidR="00C74524">
        <w:t>na</w:t>
      </w:r>
      <w:r w:rsidR="000A6FDA">
        <w:t xml:space="preserve"> vývoj a rozvoj</w:t>
      </w:r>
      <w:r w:rsidR="00DF41AC">
        <w:t xml:space="preserve"> informačního systému evidence skutečných majitelů</w:t>
      </w:r>
      <w:r w:rsidR="000A6FDA">
        <w:t xml:space="preserve"> tak, aby umožňoval fungování nového zákonného režimu</w:t>
      </w:r>
      <w:r w:rsidR="00D70C9B">
        <w:t>.</w:t>
      </w:r>
      <w:r w:rsidR="00DF41AC">
        <w:t xml:space="preserve"> </w:t>
      </w:r>
      <w:r w:rsidR="00A23E04">
        <w:t xml:space="preserve">Na zpracování množství technických změn </w:t>
      </w:r>
      <w:r w:rsidR="000A6FDA">
        <w:t>je</w:t>
      </w:r>
      <w:r w:rsidR="00A23E04">
        <w:t xml:space="preserve"> </w:t>
      </w:r>
      <w:r w:rsidR="004B2F4D">
        <w:t xml:space="preserve">přitom </w:t>
      </w:r>
      <w:r w:rsidR="00A23E04">
        <w:t xml:space="preserve">třeba </w:t>
      </w:r>
      <w:r w:rsidR="000A6FDA">
        <w:t>s ohledem na jejich komplexnost a náročnost více času, než jaký je dán transpoziční lhůtou.</w:t>
      </w:r>
      <w:r w:rsidR="003F0E9E">
        <w:t xml:space="preserve"> </w:t>
      </w:r>
    </w:p>
    <w:p w14:paraId="563A294A" w14:textId="28485D7B" w:rsidR="003F0E9E" w:rsidRDefault="003F0E9E" w:rsidP="00D70C9B">
      <w:pPr>
        <w:rPr>
          <w:szCs w:val="24"/>
        </w:rPr>
      </w:pPr>
      <w:r>
        <w:t xml:space="preserve">Bude především nutné v souvislosti s neveřejným režimem provést rozsáhlé změny v rámci datového modelu evidence, vytvořit víceúrovňové nastavení uživatelských práv (různé typy </w:t>
      </w:r>
      <w:proofErr w:type="spellStart"/>
      <w:r>
        <w:t>nahlížitelů</w:t>
      </w:r>
      <w:proofErr w:type="spellEnd"/>
      <w:r>
        <w:t xml:space="preserve"> s různými oprávněními), při</w:t>
      </w:r>
      <w:r w:rsidR="00720E07">
        <w:t>pr</w:t>
      </w:r>
      <w:r>
        <w:t xml:space="preserve">avit nová rozhraní pro uživatele a vytvořit novou aplikaci pro administraci žádostí. Bude třeba implementovat i další nové funkční požadavky, zejména automatizace související se znepřístupňováním údajů podle§ 32 a </w:t>
      </w:r>
      <w:proofErr w:type="gramStart"/>
      <w:r>
        <w:t>32a</w:t>
      </w:r>
      <w:proofErr w:type="gramEnd"/>
      <w:r>
        <w:t xml:space="preserve"> zákona o ESM ve znění návrhu, zajistit automatizaci statistik a také systém </w:t>
      </w:r>
      <w:r w:rsidR="00197D27">
        <w:t>připravit</w:t>
      </w:r>
      <w:r>
        <w:t xml:space="preserve"> na to, aby bylo možné některé aspekty a údaje sdílet s jinými registry členských států (v návaznosti na dosud neznámá pravidla </w:t>
      </w:r>
      <w:r w:rsidR="00197D27">
        <w:rPr>
          <w:szCs w:val="24"/>
        </w:rPr>
        <w:t xml:space="preserve">prováděcího aktu podle § 14 </w:t>
      </w:r>
      <w:r w:rsidR="00720E07">
        <w:rPr>
          <w:szCs w:val="24"/>
        </w:rPr>
        <w:t xml:space="preserve">AML </w:t>
      </w:r>
      <w:r w:rsidR="00197D27">
        <w:rPr>
          <w:szCs w:val="24"/>
        </w:rPr>
        <w:t>směrnice).</w:t>
      </w:r>
    </w:p>
    <w:p w14:paraId="503B3050" w14:textId="5D52954B" w:rsidR="00340292" w:rsidRDefault="00340292" w:rsidP="00340292">
      <w:pPr>
        <w:rPr>
          <w:szCs w:val="24"/>
        </w:rPr>
      </w:pPr>
      <w:r>
        <w:rPr>
          <w:szCs w:val="24"/>
        </w:rPr>
        <w:t>Blíže lze uvést, že bude třeba</w:t>
      </w:r>
      <w:r w:rsidR="003E2F0C">
        <w:rPr>
          <w:szCs w:val="24"/>
        </w:rPr>
        <w:t xml:space="preserve"> mimo jiné</w:t>
      </w:r>
      <w:r>
        <w:rPr>
          <w:szCs w:val="24"/>
        </w:rPr>
        <w:t xml:space="preserve">: </w:t>
      </w:r>
    </w:p>
    <w:p w14:paraId="11E68AC7" w14:textId="039DCC38" w:rsidR="00340292" w:rsidRPr="00340292" w:rsidRDefault="003E2F0C" w:rsidP="00340292">
      <w:pPr>
        <w:pStyle w:val="Odstavecseseznamem"/>
        <w:numPr>
          <w:ilvl w:val="0"/>
          <w:numId w:val="19"/>
        </w:numPr>
        <w:rPr>
          <w:szCs w:val="24"/>
        </w:rPr>
      </w:pPr>
      <w:r>
        <w:rPr>
          <w:szCs w:val="24"/>
        </w:rPr>
        <w:t>vytvořit</w:t>
      </w:r>
      <w:r w:rsidRPr="00340292">
        <w:rPr>
          <w:szCs w:val="24"/>
        </w:rPr>
        <w:t xml:space="preserve"> </w:t>
      </w:r>
      <w:r w:rsidR="00340292" w:rsidRPr="00340292">
        <w:rPr>
          <w:szCs w:val="24"/>
        </w:rPr>
        <w:t>n</w:t>
      </w:r>
      <w:r w:rsidR="00340292">
        <w:t xml:space="preserve">ovou databázi </w:t>
      </w:r>
      <w:r w:rsidR="00340292" w:rsidRPr="00340292">
        <w:rPr>
          <w:szCs w:val="24"/>
        </w:rPr>
        <w:t xml:space="preserve">pro </w:t>
      </w:r>
      <w:r w:rsidR="00340292">
        <w:rPr>
          <w:szCs w:val="24"/>
        </w:rPr>
        <w:t>ESM</w:t>
      </w:r>
      <w:r w:rsidR="00340292" w:rsidRPr="00340292">
        <w:rPr>
          <w:szCs w:val="24"/>
        </w:rPr>
        <w:t xml:space="preserve"> </w:t>
      </w:r>
      <w:r w:rsidR="00340292">
        <w:t xml:space="preserve">na platformě Oracle, </w:t>
      </w:r>
    </w:p>
    <w:p w14:paraId="24A9AC26" w14:textId="267F61AD" w:rsidR="00340292" w:rsidRPr="00340292" w:rsidRDefault="00340292" w:rsidP="00340292">
      <w:pPr>
        <w:pStyle w:val="Odstavecseseznamem"/>
        <w:numPr>
          <w:ilvl w:val="0"/>
          <w:numId w:val="19"/>
        </w:numPr>
        <w:rPr>
          <w:szCs w:val="24"/>
        </w:rPr>
      </w:pPr>
      <w:r>
        <w:t>provést migraci a současně transformaci dat z</w:t>
      </w:r>
      <w:r w:rsidR="00720E07">
        <w:t xml:space="preserve">e stávající </w:t>
      </w:r>
      <w:r>
        <w:t xml:space="preserve">databáze, </w:t>
      </w:r>
    </w:p>
    <w:p w14:paraId="11D934B9" w14:textId="2D03282C" w:rsidR="00340292" w:rsidRPr="00340292" w:rsidRDefault="00340292" w:rsidP="00340292">
      <w:pPr>
        <w:pStyle w:val="Odstavecseseznamem"/>
        <w:numPr>
          <w:ilvl w:val="0"/>
          <w:numId w:val="19"/>
        </w:numPr>
        <w:rPr>
          <w:szCs w:val="24"/>
        </w:rPr>
      </w:pPr>
      <w:r>
        <w:t xml:space="preserve">vytvořit nový </w:t>
      </w:r>
      <w:proofErr w:type="spellStart"/>
      <w:r>
        <w:t>backend</w:t>
      </w:r>
      <w:proofErr w:type="spellEnd"/>
      <w:r>
        <w:rPr>
          <w:rStyle w:val="Znakapoznpodarou"/>
        </w:rPr>
        <w:footnoteReference w:id="22"/>
      </w:r>
      <w:r>
        <w:t xml:space="preserve"> celého systému, který bude zajišťovat komunikaci s novou databází, včetně transformace dat informačního systému veřejného rejstříku (tzv.</w:t>
      </w:r>
      <w:r w:rsidR="00720E07">
        <w:t> </w:t>
      </w:r>
      <w:r>
        <w:t xml:space="preserve">ISVR), komunikaci s </w:t>
      </w:r>
      <w:proofErr w:type="spellStart"/>
      <w:r>
        <w:t>frontendem</w:t>
      </w:r>
      <w:proofErr w:type="spellEnd"/>
      <w:r>
        <w:rPr>
          <w:rStyle w:val="Znakapoznpodarou"/>
        </w:rPr>
        <w:footnoteReference w:id="23"/>
      </w:r>
      <w:r>
        <w:t xml:space="preserve"> soudní a notářské aplikace, a také využívat sdílené aplikační funkce s </w:t>
      </w:r>
      <w:proofErr w:type="spellStart"/>
      <w:r>
        <w:t>backendem</w:t>
      </w:r>
      <w:proofErr w:type="spellEnd"/>
      <w:r>
        <w:t xml:space="preserve"> ISVR prostřednictvím webových služeb (přes nově vybudované API ESM a API ISVR),</w:t>
      </w:r>
    </w:p>
    <w:p w14:paraId="14250FF8" w14:textId="42FD248A" w:rsidR="00340292" w:rsidRDefault="00340292" w:rsidP="00340292">
      <w:pPr>
        <w:pStyle w:val="Odstavecseseznamem"/>
        <w:numPr>
          <w:ilvl w:val="0"/>
          <w:numId w:val="19"/>
        </w:numPr>
      </w:pPr>
      <w:r>
        <w:t xml:space="preserve">upravit </w:t>
      </w:r>
      <w:proofErr w:type="spellStart"/>
      <w:r>
        <w:t>frontend</w:t>
      </w:r>
      <w:proofErr w:type="spellEnd"/>
      <w:r>
        <w:t xml:space="preserve"> soudní a notářské části a přeprogramovat komunikace volání z</w:t>
      </w:r>
      <w:r w:rsidR="00720E07">
        <w:t> </w:t>
      </w:r>
      <w:proofErr w:type="spellStart"/>
      <w:r>
        <w:t>backendu</w:t>
      </w:r>
      <w:proofErr w:type="spellEnd"/>
      <w:r>
        <w:t xml:space="preserve"> ISVR na </w:t>
      </w:r>
      <w:proofErr w:type="spellStart"/>
      <w:r>
        <w:t>backend</w:t>
      </w:r>
      <w:proofErr w:type="spellEnd"/>
      <w:r>
        <w:t xml:space="preserve"> ESM</w:t>
      </w:r>
      <w:r w:rsidR="003E2F0C">
        <w:t>,</w:t>
      </w:r>
    </w:p>
    <w:p w14:paraId="61C1E062" w14:textId="0F8EDBA8" w:rsidR="00340292" w:rsidRDefault="00340292" w:rsidP="00940534">
      <w:pPr>
        <w:pStyle w:val="Odstavecseseznamem"/>
        <w:numPr>
          <w:ilvl w:val="0"/>
          <w:numId w:val="19"/>
        </w:numPr>
      </w:pPr>
      <w:r>
        <w:t>upravit justiční autentiza</w:t>
      </w:r>
      <w:r w:rsidR="00940534">
        <w:t xml:space="preserve">ční a autorizační službu (JAAS a </w:t>
      </w:r>
      <w:r w:rsidR="00A851F3">
        <w:t>registr digitálních mandátů</w:t>
      </w:r>
      <w:r w:rsidR="003E2F0C">
        <w:t>.</w:t>
      </w:r>
    </w:p>
    <w:p w14:paraId="17925D3D" w14:textId="30B4F841" w:rsidR="000A6FDA" w:rsidRDefault="004B2F4D" w:rsidP="00D70C9B">
      <w:r>
        <w:t xml:space="preserve">Předkladatel si je vědom rizik </w:t>
      </w:r>
      <w:r w:rsidR="00C74524">
        <w:t>s</w:t>
      </w:r>
      <w:r>
        <w:t xml:space="preserve">pojených s nedodržením </w:t>
      </w:r>
      <w:r w:rsidR="00565FFE">
        <w:t>transpoziční lhůty, která uplyne 10.</w:t>
      </w:r>
      <w:r w:rsidR="00720E07">
        <w:t> </w:t>
      </w:r>
      <w:r w:rsidR="00565FFE">
        <w:t>července 2026. Bohužel rozsah změn a technické možnosti dodavatelů neumožňují potřebný techn</w:t>
      </w:r>
      <w:r w:rsidR="00197D27">
        <w:t>ický rozvoj stihnout včas. Délku</w:t>
      </w:r>
      <w:r w:rsidR="00565FFE">
        <w:t xml:space="preserve"> prodlení, tj. necelých 6 měsíců, však </w:t>
      </w:r>
      <w:r w:rsidR="00197D27">
        <w:t>nelze i z hlediska historických zkušeností považovat za nijak extrémní. V</w:t>
      </w:r>
      <w:r w:rsidR="00565FFE">
        <w:t xml:space="preserve"> praxi by </w:t>
      </w:r>
      <w:r w:rsidR="00197D27">
        <w:t xml:space="preserve">s takovým prodlením </w:t>
      </w:r>
      <w:r w:rsidR="00565FFE">
        <w:t>neměl</w:t>
      </w:r>
      <w:r w:rsidR="00197D27">
        <w:t>a</w:t>
      </w:r>
      <w:r w:rsidR="00565FFE">
        <w:t xml:space="preserve"> </w:t>
      </w:r>
      <w:r w:rsidR="00197D27">
        <w:t>být spojena hrozba sankcí</w:t>
      </w:r>
      <w:r w:rsidR="00565FFE">
        <w:t xml:space="preserve"> ze strany Evropské komise.   </w:t>
      </w:r>
      <w:r w:rsidR="000A6FDA">
        <w:t xml:space="preserve"> </w:t>
      </w:r>
    </w:p>
    <w:p w14:paraId="1F6CD6A1" w14:textId="1081439F" w:rsidR="00BB6DC7" w:rsidRDefault="00BB6DC7" w:rsidP="00D70C9B">
      <w:r>
        <w:t xml:space="preserve">U </w:t>
      </w:r>
      <w:r w:rsidR="00C74524">
        <w:t xml:space="preserve">těch </w:t>
      </w:r>
      <w:r>
        <w:t xml:space="preserve">bodů </w:t>
      </w:r>
      <w:r w:rsidR="00C74524">
        <w:t>návrhu, které přímo nesouvis</w:t>
      </w:r>
      <w:r>
        <w:t>í s rozvojem informačního sytému</w:t>
      </w:r>
      <w:r w:rsidR="00FA74A0">
        <w:t>,</w:t>
      </w:r>
      <w:r>
        <w:t xml:space="preserve"> se navrhuje účinnost dřívější. </w:t>
      </w:r>
    </w:p>
    <w:sectPr w:rsidR="00BB6DC7" w:rsidSect="00A41C7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166" w14:textId="77777777" w:rsidR="001D7237" w:rsidRDefault="001D7237" w:rsidP="001676DB">
      <w:pPr>
        <w:spacing w:after="0" w:line="240" w:lineRule="auto"/>
      </w:pPr>
      <w:r>
        <w:separator/>
      </w:r>
    </w:p>
  </w:endnote>
  <w:endnote w:type="continuationSeparator" w:id="0">
    <w:p w14:paraId="12D91418" w14:textId="77777777" w:rsidR="001D7237" w:rsidRDefault="001D7237" w:rsidP="001676DB">
      <w:pPr>
        <w:spacing w:after="0" w:line="240" w:lineRule="auto"/>
      </w:pPr>
      <w:r>
        <w:continuationSeparator/>
      </w:r>
    </w:p>
  </w:endnote>
  <w:endnote w:type="continuationNotice" w:id="1">
    <w:p w14:paraId="565D2CC4" w14:textId="77777777" w:rsidR="001D7237" w:rsidRDefault="001D72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66F8B" w14:textId="77777777" w:rsidR="001D7237" w:rsidRDefault="001D723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897635"/>
      <w:docPartObj>
        <w:docPartGallery w:val="Page Numbers (Bottom of Page)"/>
        <w:docPartUnique/>
      </w:docPartObj>
    </w:sdtPr>
    <w:sdtEndPr/>
    <w:sdtContent>
      <w:p w14:paraId="32290742" w14:textId="61DC70E2" w:rsidR="001D7237" w:rsidRDefault="001D7237">
        <w:pPr>
          <w:pStyle w:val="Zpat"/>
          <w:jc w:val="right"/>
        </w:pPr>
        <w:r>
          <w:fldChar w:fldCharType="begin"/>
        </w:r>
        <w:r>
          <w:instrText>PAGE   \* MERGEFORMAT</w:instrText>
        </w:r>
        <w:r>
          <w:fldChar w:fldCharType="separate"/>
        </w:r>
        <w:r w:rsidR="007F716A">
          <w:rPr>
            <w:noProof/>
          </w:rPr>
          <w:t>56</w:t>
        </w:r>
        <w:r>
          <w:fldChar w:fldCharType="end"/>
        </w:r>
      </w:p>
    </w:sdtContent>
  </w:sdt>
  <w:p w14:paraId="6B083A34" w14:textId="77777777" w:rsidR="001D7237" w:rsidRDefault="001D723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0AF3C" w14:textId="02DB0DCD" w:rsidR="001D7237" w:rsidRDefault="001D7237" w:rsidP="00A41C73">
    <w:pPr>
      <w:pStyle w:val="Zpat"/>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11292" w14:textId="77777777" w:rsidR="001D7237" w:rsidRDefault="001D7237" w:rsidP="001676DB">
      <w:pPr>
        <w:spacing w:after="0" w:line="240" w:lineRule="auto"/>
      </w:pPr>
      <w:r>
        <w:separator/>
      </w:r>
    </w:p>
  </w:footnote>
  <w:footnote w:type="continuationSeparator" w:id="0">
    <w:p w14:paraId="0EAAD3A8" w14:textId="77777777" w:rsidR="001D7237" w:rsidRDefault="001D7237" w:rsidP="001676DB">
      <w:pPr>
        <w:spacing w:after="0" w:line="240" w:lineRule="auto"/>
      </w:pPr>
      <w:r>
        <w:continuationSeparator/>
      </w:r>
    </w:p>
  </w:footnote>
  <w:footnote w:type="continuationNotice" w:id="1">
    <w:p w14:paraId="28B5791F" w14:textId="77777777" w:rsidR="001D7237" w:rsidRDefault="001D7237">
      <w:pPr>
        <w:spacing w:after="0" w:line="240" w:lineRule="auto"/>
      </w:pPr>
    </w:p>
  </w:footnote>
  <w:footnote w:id="2">
    <w:p w14:paraId="5323AF63" w14:textId="77777777" w:rsidR="001D7237" w:rsidRDefault="001D7237" w:rsidP="000376E6">
      <w:pPr>
        <w:pStyle w:val="Textpoznpodarou"/>
        <w:jc w:val="left"/>
      </w:pPr>
      <w:r>
        <w:rPr>
          <w:rStyle w:val="Znakapoznpodarou"/>
        </w:rPr>
        <w:footnoteRef/>
      </w:r>
      <w:r>
        <w:t xml:space="preserve"> Dostupné na webu Soudního dvora Evropské unie: </w:t>
      </w:r>
      <w:hyperlink r:id="rId1" w:history="1">
        <w:r w:rsidRPr="0081638F">
          <w:rPr>
            <w:rStyle w:val="Hypertextovodkaz"/>
          </w:rPr>
          <w:t>https://curia.europa.eu/juris/document/document.jsf?text=&amp;docid=268059&amp;pageIndex=0&amp;doclang=CS&amp;mode=lst&amp;dir=&amp;occ=first&amp;part=1&amp;cid=312879</w:t>
        </w:r>
      </w:hyperlink>
      <w:r>
        <w:t>.</w:t>
      </w:r>
    </w:p>
  </w:footnote>
  <w:footnote w:id="3">
    <w:p w14:paraId="14EB402E" w14:textId="18C2D19A" w:rsidR="001D7237" w:rsidRDefault="001D7237" w:rsidP="007C414B">
      <w:pPr>
        <w:pStyle w:val="Textpoznpodarou"/>
      </w:pPr>
      <w:r w:rsidRPr="00110888">
        <w:rPr>
          <w:rStyle w:val="Znakapoznpodarou"/>
        </w:rPr>
        <w:footnoteRef/>
      </w:r>
      <w:r w:rsidRPr="00110888">
        <w:t xml:space="preserve"> Viz </w:t>
      </w:r>
      <w:r>
        <w:t xml:space="preserve">odst. </w:t>
      </w:r>
      <w:r w:rsidRPr="00110888">
        <w:t xml:space="preserve">43 rozsudku Soudního dvora Evropské unie ze dne 9. března 2017 ve věci C‑398/15 (případ </w:t>
      </w:r>
      <w:r w:rsidRPr="00110888">
        <w:rPr>
          <w:i/>
          <w:iCs/>
        </w:rPr>
        <w:t>Manni</w:t>
      </w:r>
      <w:r w:rsidRPr="00110888">
        <w:t>)</w:t>
      </w:r>
      <w:r>
        <w:t>,</w:t>
      </w:r>
      <w:r w:rsidRPr="007A2FCD">
        <w:t xml:space="preserve"> </w:t>
      </w:r>
      <w:r>
        <w:t xml:space="preserve">resp. jeho </w:t>
      </w:r>
      <w:r w:rsidRPr="00C44123">
        <w:t>rozsudek ze dne 12. července 2012</w:t>
      </w:r>
      <w:r>
        <w:t xml:space="preserve"> </w:t>
      </w:r>
      <w:r w:rsidRPr="00C44123">
        <w:t>C‑138/11, body 40 a 41</w:t>
      </w:r>
      <w:r>
        <w:t xml:space="preserve"> (případ </w:t>
      </w:r>
      <w:proofErr w:type="spellStart"/>
      <w:r w:rsidRPr="00B64DF2">
        <w:rPr>
          <w:i/>
          <w:iCs/>
        </w:rPr>
        <w:t>Compass-Datenbank</w:t>
      </w:r>
      <w:proofErr w:type="spellEnd"/>
      <w:r>
        <w:t>)</w:t>
      </w:r>
      <w:r w:rsidRPr="00110888">
        <w:t>.</w:t>
      </w:r>
    </w:p>
  </w:footnote>
  <w:footnote w:id="4">
    <w:p w14:paraId="63D8878E" w14:textId="77777777" w:rsidR="001D7237" w:rsidRPr="00B00511" w:rsidRDefault="001D7237" w:rsidP="00655CEA">
      <w:pPr>
        <w:pStyle w:val="Textpoznpodarou"/>
      </w:pPr>
      <w:r w:rsidRPr="00B00511">
        <w:rPr>
          <w:rStyle w:val="Znakapoznpodarou"/>
        </w:rPr>
        <w:footnoteRef/>
      </w:r>
      <w:r w:rsidRPr="00B00511">
        <w:t xml:space="preserve"> Soudy si určují nástroje a postupy pro konkrétní operace k zajištění výkonových a správních agend (přístupová oprávnění, evidenční povinnosti zaměstnanců, vytváření odvozených databází k zefektivnění činností atd.). Ministerstvo spravedlnosti nemůže do těchto činností a postupů konkrétního zpracování výkonových a správních agend aktivně zasahovat.</w:t>
      </w:r>
    </w:p>
    <w:p w14:paraId="04D54707" w14:textId="77777777" w:rsidR="001D7237" w:rsidRPr="00B00511" w:rsidRDefault="001D7237" w:rsidP="00655CEA">
      <w:pPr>
        <w:pStyle w:val="Textpoznpodarou"/>
      </w:pPr>
    </w:p>
  </w:footnote>
  <w:footnote w:id="5">
    <w:p w14:paraId="649D78EF" w14:textId="010D1E54" w:rsidR="001D7237" w:rsidRPr="00281C4D" w:rsidRDefault="001D7237">
      <w:pPr>
        <w:pStyle w:val="Textpoznpodarou"/>
      </w:pPr>
      <w:r>
        <w:rPr>
          <w:rStyle w:val="Znakapoznpodarou"/>
        </w:rPr>
        <w:footnoteRef/>
      </w:r>
      <w:r>
        <w:t xml:space="preserve"> V anglickém znění AML směrnice obdobně </w:t>
      </w:r>
      <w:r w:rsidRPr="00281C4D">
        <w:rPr>
          <w:i/>
          <w:iCs/>
        </w:rPr>
        <w:t>„…</w:t>
      </w:r>
      <w:proofErr w:type="spellStart"/>
      <w:r w:rsidRPr="00281C4D">
        <w:rPr>
          <w:i/>
          <w:iCs/>
        </w:rPr>
        <w:t>can</w:t>
      </w:r>
      <w:proofErr w:type="spellEnd"/>
      <w:r w:rsidRPr="00281C4D">
        <w:rPr>
          <w:i/>
          <w:iCs/>
        </w:rPr>
        <w:t xml:space="preserve"> </w:t>
      </w:r>
      <w:proofErr w:type="spellStart"/>
      <w:r w:rsidRPr="00281C4D">
        <w:rPr>
          <w:i/>
          <w:iCs/>
        </w:rPr>
        <w:t>demonstrate</w:t>
      </w:r>
      <w:proofErr w:type="spellEnd"/>
      <w:r w:rsidRPr="00281C4D">
        <w:rPr>
          <w:i/>
          <w:iCs/>
        </w:rPr>
        <w:t xml:space="preserve"> a </w:t>
      </w:r>
      <w:proofErr w:type="spellStart"/>
      <w:r w:rsidRPr="00281C4D">
        <w:rPr>
          <w:i/>
          <w:iCs/>
        </w:rPr>
        <w:t>legitimate</w:t>
      </w:r>
      <w:proofErr w:type="spellEnd"/>
      <w:r w:rsidRPr="00281C4D">
        <w:rPr>
          <w:i/>
          <w:iCs/>
        </w:rPr>
        <w:t xml:space="preserve"> </w:t>
      </w:r>
      <w:proofErr w:type="spellStart"/>
      <w:r w:rsidRPr="00281C4D">
        <w:rPr>
          <w:i/>
          <w:iCs/>
        </w:rPr>
        <w:t>interest</w:t>
      </w:r>
      <w:proofErr w:type="spellEnd"/>
      <w:r w:rsidRPr="00281C4D">
        <w:rPr>
          <w:i/>
          <w:iCs/>
        </w:rPr>
        <w:t>…“</w:t>
      </w:r>
      <w:r>
        <w:t>.</w:t>
      </w:r>
    </w:p>
  </w:footnote>
  <w:footnote w:id="6">
    <w:p w14:paraId="21E9BD44" w14:textId="17EEBCF5" w:rsidR="001D7237" w:rsidRDefault="001D7237">
      <w:pPr>
        <w:pStyle w:val="Textpoznpodarou"/>
      </w:pPr>
      <w:r>
        <w:rPr>
          <w:rStyle w:val="Znakapoznpodarou"/>
        </w:rPr>
        <w:footnoteRef/>
      </w:r>
      <w:r>
        <w:t xml:space="preserve"> Na potřebu široké interpretace pojmu novinářská činnost upozorňovali také zástupci Evropské komise v rámci transpozičního workshopu k příslušným částem AML směrnice. Workshop proběhl 27. 1. 2025 a byl pořádán </w:t>
      </w:r>
      <w:r w:rsidRPr="00A819E3">
        <w:t>Generální</w:t>
      </w:r>
      <w:r>
        <w:t>m</w:t>
      </w:r>
      <w:r w:rsidRPr="00A819E3">
        <w:t xml:space="preserve"> ředitelství</w:t>
      </w:r>
      <w:r>
        <w:t>m</w:t>
      </w:r>
      <w:r w:rsidRPr="00A819E3">
        <w:t xml:space="preserve"> pro finanční stabilitu, finanční služby a Unii kapitálových trhů</w:t>
      </w:r>
      <w:r>
        <w:t xml:space="preserve"> (DG FISMA).</w:t>
      </w:r>
    </w:p>
  </w:footnote>
  <w:footnote w:id="7">
    <w:p w14:paraId="3A53E6EA" w14:textId="1C112DB7" w:rsidR="001D7237" w:rsidRDefault="001D7237" w:rsidP="00A20686">
      <w:pPr>
        <w:pStyle w:val="Textpoznpodarou"/>
      </w:pPr>
      <w:r>
        <w:rPr>
          <w:rStyle w:val="Znakapoznpodarou"/>
        </w:rPr>
        <w:footnoteRef/>
      </w:r>
      <w:r>
        <w:t xml:space="preserve"> 41. recitál AML směrnice: </w:t>
      </w:r>
      <w:r w:rsidRPr="00A20686">
        <w:rPr>
          <w:i/>
          <w:iCs/>
        </w:rPr>
        <w:t>Možnost přístupu do centrálních registrů by neměla být podmíněna médiem nebo platformou, jejichž prostřednictvím vykonávají svou činnost, ani předchozími zkušenostmi v této oblasti.</w:t>
      </w:r>
    </w:p>
  </w:footnote>
  <w:footnote w:id="8">
    <w:p w14:paraId="6695B420" w14:textId="4B56D58D" w:rsidR="001D7237" w:rsidRDefault="001D7237">
      <w:pPr>
        <w:pStyle w:val="Textpoznpodarou"/>
      </w:pPr>
      <w:r>
        <w:rPr>
          <w:rStyle w:val="Znakapoznpodarou"/>
        </w:rPr>
        <w:footnoteRef/>
      </w:r>
      <w:r>
        <w:t xml:space="preserve"> V anglickém znění AML směrnice: </w:t>
      </w:r>
      <w:r w:rsidRPr="006B2C09">
        <w:rPr>
          <w:i/>
          <w:iCs/>
        </w:rPr>
        <w:t xml:space="preserve">„civil society </w:t>
      </w:r>
      <w:proofErr w:type="spellStart"/>
      <w:r w:rsidRPr="006B2C09">
        <w:rPr>
          <w:i/>
          <w:iCs/>
        </w:rPr>
        <w:t>organisations</w:t>
      </w:r>
      <w:proofErr w:type="spellEnd"/>
      <w:r w:rsidRPr="006B2C09">
        <w:rPr>
          <w:i/>
          <w:iCs/>
        </w:rPr>
        <w:t xml:space="preserve">, </w:t>
      </w:r>
      <w:proofErr w:type="spellStart"/>
      <w:r w:rsidRPr="006B2C09">
        <w:rPr>
          <w:i/>
          <w:iCs/>
        </w:rPr>
        <w:t>including</w:t>
      </w:r>
      <w:proofErr w:type="spellEnd"/>
      <w:r w:rsidRPr="006B2C09">
        <w:rPr>
          <w:i/>
          <w:iCs/>
        </w:rPr>
        <w:t xml:space="preserve"> non-</w:t>
      </w:r>
      <w:proofErr w:type="spellStart"/>
      <w:r w:rsidRPr="006B2C09">
        <w:rPr>
          <w:i/>
          <w:iCs/>
        </w:rPr>
        <w:t>governmental</w:t>
      </w:r>
      <w:proofErr w:type="spellEnd"/>
      <w:r w:rsidRPr="006B2C09">
        <w:rPr>
          <w:i/>
          <w:iCs/>
        </w:rPr>
        <w:t xml:space="preserve"> </w:t>
      </w:r>
      <w:proofErr w:type="spellStart"/>
      <w:r w:rsidRPr="006B2C09">
        <w:rPr>
          <w:i/>
          <w:iCs/>
        </w:rPr>
        <w:t>organisations</w:t>
      </w:r>
      <w:proofErr w:type="spellEnd"/>
      <w:r w:rsidRPr="006B2C09">
        <w:rPr>
          <w:i/>
          <w:iCs/>
        </w:rPr>
        <w:t>“</w:t>
      </w:r>
      <w:r>
        <w:t>.</w:t>
      </w:r>
    </w:p>
  </w:footnote>
  <w:footnote w:id="9">
    <w:p w14:paraId="4839C806" w14:textId="5681FDAB" w:rsidR="001D7237" w:rsidRDefault="001D7237">
      <w:pPr>
        <w:pStyle w:val="Textpoznpodarou"/>
      </w:pPr>
      <w:r>
        <w:rPr>
          <w:rStyle w:val="Znakapoznpodarou"/>
        </w:rPr>
        <w:footnoteRef/>
      </w:r>
      <w:r>
        <w:t xml:space="preserve"> Pojem nevládní neziskové právnické osoby je používán také např. v zákoně č. 349/1999 Sb., </w:t>
      </w:r>
      <w:r w:rsidRPr="00E00A74">
        <w:t>o veřejném ochránci práv a o ochránci práv dětí</w:t>
      </w:r>
      <w:r>
        <w:t>, ve znění pozdějších předpisů.</w:t>
      </w:r>
    </w:p>
  </w:footnote>
  <w:footnote w:id="10">
    <w:p w14:paraId="53CBE4F0" w14:textId="6F57FB35" w:rsidR="001D7237" w:rsidRDefault="001D7237" w:rsidP="009E048C">
      <w:pPr>
        <w:pStyle w:val="Textpoznpodarou"/>
      </w:pPr>
      <w:r>
        <w:rPr>
          <w:rStyle w:val="Znakapoznpodarou"/>
        </w:rPr>
        <w:footnoteRef/>
      </w:r>
      <w:r>
        <w:t xml:space="preserve"> Viz Strategie spolupráce veřejné správy s nestátními neziskovými organizacemi na léta 2021 až 2030 vypracovaná </w:t>
      </w:r>
      <w:r w:rsidRPr="009E048C">
        <w:t>Sekretariát</w:t>
      </w:r>
      <w:r>
        <w:t>em</w:t>
      </w:r>
      <w:r w:rsidRPr="009E048C">
        <w:t xml:space="preserve"> Rady vlády pro nestátní neziskové organizace</w:t>
      </w:r>
      <w:r>
        <w:t xml:space="preserve">; dostupná online na internetových stránkách Vlády ČR </w:t>
      </w:r>
      <w:hyperlink r:id="rId2" w:history="1">
        <w:r w:rsidRPr="009E048C">
          <w:rPr>
            <w:rStyle w:val="Hypertextovodkaz"/>
          </w:rPr>
          <w:t>zde</w:t>
        </w:r>
      </w:hyperlink>
      <w:r>
        <w:t>.</w:t>
      </w:r>
    </w:p>
  </w:footnote>
  <w:footnote w:id="11">
    <w:p w14:paraId="5E99947E" w14:textId="4E4303E2" w:rsidR="001D7237" w:rsidRDefault="001D7237">
      <w:pPr>
        <w:pStyle w:val="Textpoznpodarou"/>
      </w:pPr>
      <w:r>
        <w:rPr>
          <w:rStyle w:val="Znakapoznpodarou"/>
        </w:rPr>
        <w:footnoteRef/>
      </w:r>
      <w:r>
        <w:t xml:space="preserve"> V angličtině „</w:t>
      </w:r>
      <w:proofErr w:type="spellStart"/>
      <w:r w:rsidRPr="00883B54">
        <w:rPr>
          <w:i/>
        </w:rPr>
        <w:t>transactions</w:t>
      </w:r>
      <w:proofErr w:type="spellEnd"/>
      <w:r>
        <w:t>“.</w:t>
      </w:r>
    </w:p>
  </w:footnote>
  <w:footnote w:id="12">
    <w:p w14:paraId="476200C6" w14:textId="126DFD90" w:rsidR="001D7237" w:rsidRDefault="001D7237">
      <w:pPr>
        <w:pStyle w:val="Textpoznpodarou"/>
      </w:pPr>
      <w:r>
        <w:rPr>
          <w:rStyle w:val="Znakapoznpodarou"/>
        </w:rPr>
        <w:footnoteRef/>
      </w:r>
      <w:r>
        <w:t xml:space="preserve"> </w:t>
      </w:r>
      <w:r w:rsidRPr="00810A2F">
        <w:t>Směrnice Evropského parlamentu a Rady (EU) 2017/1132 ze dne 14. června 2017 o některých aspekte</w:t>
      </w:r>
      <w:r>
        <w:t>ch práva obchodních společností.</w:t>
      </w:r>
    </w:p>
  </w:footnote>
  <w:footnote w:id="13">
    <w:p w14:paraId="5BEABD7B" w14:textId="2532A15D" w:rsidR="001D7237" w:rsidRDefault="001D7237">
      <w:pPr>
        <w:pStyle w:val="Textpoznpodarou"/>
      </w:pPr>
      <w:r>
        <w:rPr>
          <w:rStyle w:val="Znakapoznpodarou"/>
        </w:rPr>
        <w:footnoteRef/>
      </w:r>
      <w:r>
        <w:t xml:space="preserve"> </w:t>
      </w:r>
      <w:r w:rsidRPr="00346CE2">
        <w:t>Nařízení Evropského parlamentu a Rady (EU) 2021/1060 ze dne 24. června 2021 o společných ustanoveních pro Evropský fond pro regionální rozvoj, Evropský sociální fond plus, Fond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r>
        <w:t>.</w:t>
      </w:r>
    </w:p>
  </w:footnote>
  <w:footnote w:id="14">
    <w:p w14:paraId="57A3D2EF" w14:textId="0EA99271" w:rsidR="001D7237" w:rsidRDefault="001D7237">
      <w:pPr>
        <w:pStyle w:val="Textpoznpodarou"/>
      </w:pPr>
      <w:r>
        <w:rPr>
          <w:rStyle w:val="Znakapoznpodarou"/>
        </w:rPr>
        <w:footnoteRef/>
      </w:r>
      <w:r>
        <w:t xml:space="preserve"> </w:t>
      </w:r>
      <w:r w:rsidRPr="00422C41">
        <w:t>Nařízení Evropského parlamentu a Rady (EU) 2021/241 ze dne 12. února 2021, kterým se zřizuje Nástroj pro oživení a odolnost</w:t>
      </w:r>
      <w:r>
        <w:t>.</w:t>
      </w:r>
    </w:p>
  </w:footnote>
  <w:footnote w:id="15">
    <w:p w14:paraId="2BF45334" w14:textId="21A65544" w:rsidR="001D7237" w:rsidRDefault="001D7237">
      <w:pPr>
        <w:pStyle w:val="Textpoznpodarou"/>
      </w:pPr>
      <w:r>
        <w:rPr>
          <w:rStyle w:val="Znakapoznpodarou"/>
        </w:rPr>
        <w:footnoteRef/>
      </w:r>
      <w:r>
        <w:t xml:space="preserve"> AML směrnice poněkud nešťastně odkazuje na kategorie, které sama vymezuje v čl. 12 odst. 2. Přitom transponující národní pravidlo nemůže odkazovat přímo na úpravu AML směrnice. Je proto třeba odkazovat na úpravy členských států, které dané kategorie po vzoru čl. 12 odst. 2 AML směrnice transponují.</w:t>
      </w:r>
    </w:p>
  </w:footnote>
  <w:footnote w:id="16">
    <w:p w14:paraId="43854854" w14:textId="01C60F0C" w:rsidR="001D7237" w:rsidRPr="00B00511" w:rsidRDefault="001D7237" w:rsidP="00091EBF">
      <w:pPr>
        <w:pStyle w:val="Textpoznpodarou"/>
      </w:pPr>
      <w:r w:rsidRPr="00B00511">
        <w:rPr>
          <w:rStyle w:val="Znakapoznpodarou"/>
        </w:rPr>
        <w:footnoteRef/>
      </w:r>
      <w:r w:rsidRPr="00B00511">
        <w:t xml:space="preserve"> Viz též stanovisko Nejvyššího soudu z</w:t>
      </w:r>
      <w:r>
        <w:t xml:space="preserve"> 5. </w:t>
      </w:r>
      <w:r w:rsidRPr="00B00511">
        <w:t xml:space="preserve">ledna 2017 </w:t>
      </w:r>
      <w:proofErr w:type="spellStart"/>
      <w:r w:rsidRPr="00B00511">
        <w:t>sp</w:t>
      </w:r>
      <w:proofErr w:type="spellEnd"/>
      <w:r w:rsidRPr="00B00511">
        <w:t xml:space="preserve">. zn. </w:t>
      </w:r>
      <w:proofErr w:type="spellStart"/>
      <w:r w:rsidRPr="00B00511">
        <w:t>Plsn</w:t>
      </w:r>
      <w:proofErr w:type="spellEnd"/>
      <w:r w:rsidRPr="00B00511">
        <w:t xml:space="preserve"> 1/2015 (R 1/2017).</w:t>
      </w:r>
    </w:p>
  </w:footnote>
  <w:footnote w:id="17">
    <w:p w14:paraId="3322D876" w14:textId="77777777" w:rsidR="001D7237" w:rsidRDefault="001D7237" w:rsidP="00A35959">
      <w:pPr>
        <w:pStyle w:val="Textpoznpodarou"/>
      </w:pPr>
      <w:r>
        <w:rPr>
          <w:rStyle w:val="Znakapoznpodarou"/>
        </w:rPr>
        <w:footnoteRef/>
      </w:r>
      <w:r>
        <w:t xml:space="preserve"> Bližší informace k tomuto procesu jsou k dispozici např. na internetové stránce Úřadu pro ochranu osobních údajů </w:t>
      </w:r>
      <w:hyperlink r:id="rId3" w:history="1">
        <w:r w:rsidRPr="007D15BF">
          <w:rPr>
            <w:rStyle w:val="Hypertextovodkaz"/>
          </w:rPr>
          <w:t>zde</w:t>
        </w:r>
      </w:hyperlink>
      <w:r>
        <w:t>.</w:t>
      </w:r>
    </w:p>
  </w:footnote>
  <w:footnote w:id="18">
    <w:p w14:paraId="3C253A74" w14:textId="77777777" w:rsidR="001D7237" w:rsidRDefault="001D7237" w:rsidP="00595C19">
      <w:pPr>
        <w:pStyle w:val="Textpoznpodarou"/>
      </w:pPr>
      <w:r>
        <w:rPr>
          <w:rStyle w:val="Znakapoznpodarou"/>
        </w:rPr>
        <w:footnoteRef/>
      </w:r>
      <w:r>
        <w:t xml:space="preserve"> N</w:t>
      </w:r>
      <w:r w:rsidRPr="00A84022">
        <w:t>ařízení Evropského Parlamentu a Rady (EU) č. 910/2014 ze dne 23. července 2014 o elektronické identifikaci a službách vytvářejících důvěru pro elektronické transakce na vnitřním trhu a o zrušení směrnice 1999/93/ES</w:t>
      </w:r>
      <w:r>
        <w:t>.</w:t>
      </w:r>
    </w:p>
  </w:footnote>
  <w:footnote w:id="19">
    <w:p w14:paraId="45C176FE" w14:textId="5DB41953" w:rsidR="001D7237" w:rsidRDefault="001D7237">
      <w:pPr>
        <w:pStyle w:val="Textpoznpodarou"/>
      </w:pPr>
      <w:r>
        <w:rPr>
          <w:rStyle w:val="Znakapoznpodarou"/>
        </w:rPr>
        <w:footnoteRef/>
      </w:r>
      <w:r>
        <w:t xml:space="preserve"> Jedná se o mezinárodní bránu, která umožňuje občanům členských států EU přihlašovat se k digitálním službám v jiných členských státech pomocí svého vlastního prostředku elektronické identifikace vydaného v jejich domovské zemi.</w:t>
      </w:r>
    </w:p>
  </w:footnote>
  <w:footnote w:id="20">
    <w:p w14:paraId="2A4E0B95" w14:textId="77777777" w:rsidR="001D7237" w:rsidRDefault="001D7237" w:rsidP="004A2E04">
      <w:pPr>
        <w:pStyle w:val="Textpoznpodarou"/>
      </w:pPr>
      <w:r>
        <w:rPr>
          <w:rStyle w:val="Znakapoznpodarou"/>
        </w:rPr>
        <w:footnoteRef/>
      </w:r>
      <w:r>
        <w:t xml:space="preserve"> Dle statistik Finančního analytického úřadu v roce 2021 podaly banky 75 % z celkového počtu 6 145 oznámení podezřelého obchodu, v roce 2022 pak podaly dokonce 81 % z celkových 5 693 oznámení. </w:t>
      </w:r>
    </w:p>
  </w:footnote>
  <w:footnote w:id="21">
    <w:p w14:paraId="549D4424" w14:textId="77777777" w:rsidR="001D7237" w:rsidRDefault="001D7237" w:rsidP="003B6A43">
      <w:pPr>
        <w:pStyle w:val="Textpoznpodarou"/>
      </w:pPr>
      <w:r>
        <w:rPr>
          <w:rStyle w:val="Znakapoznpodarou"/>
        </w:rPr>
        <w:footnoteRef/>
      </w:r>
      <w:r>
        <w:t xml:space="preserve"> </w:t>
      </w:r>
      <w:proofErr w:type="spellStart"/>
      <w:r>
        <w:rPr>
          <w:i/>
        </w:rPr>
        <w:t>Wirtschaftliche</w:t>
      </w:r>
      <w:proofErr w:type="spellEnd"/>
      <w:r>
        <w:rPr>
          <w:i/>
        </w:rPr>
        <w:t xml:space="preserve"> </w:t>
      </w:r>
      <w:proofErr w:type="spellStart"/>
      <w:r>
        <w:rPr>
          <w:i/>
        </w:rPr>
        <w:t>Eigentümer</w:t>
      </w:r>
      <w:proofErr w:type="spellEnd"/>
      <w:r>
        <w:rPr>
          <w:i/>
        </w:rPr>
        <w:t xml:space="preserve"> </w:t>
      </w:r>
      <w:proofErr w:type="spellStart"/>
      <w:proofErr w:type="gramStart"/>
      <w:r>
        <w:rPr>
          <w:i/>
        </w:rPr>
        <w:t>Registergesetz</w:t>
      </w:r>
      <w:proofErr w:type="spellEnd"/>
      <w:r>
        <w:rPr>
          <w:i/>
        </w:rPr>
        <w:t xml:space="preserve">  </w:t>
      </w:r>
      <w:proofErr w:type="spellStart"/>
      <w:r>
        <w:rPr>
          <w:i/>
        </w:rPr>
        <w:t>Nr</w:t>
      </w:r>
      <w:proofErr w:type="spellEnd"/>
      <w:proofErr w:type="gramEnd"/>
      <w:r>
        <w:rPr>
          <w:i/>
        </w:rPr>
        <w:t xml:space="preserve">. 136/2017 </w:t>
      </w:r>
      <w:proofErr w:type="spellStart"/>
      <w:r>
        <w:rPr>
          <w:i/>
        </w:rPr>
        <w:t>BGBl</w:t>
      </w:r>
      <w:proofErr w:type="spellEnd"/>
      <w:r>
        <w:t xml:space="preserve">, v anglickém jazyce dostupné na webové stránce </w:t>
      </w:r>
      <w:hyperlink r:id="rId4" w:history="1">
        <w:r w:rsidRPr="004F77B8">
          <w:rPr>
            <w:rStyle w:val="Hypertextovodkaz"/>
          </w:rPr>
          <w:t>zde</w:t>
        </w:r>
      </w:hyperlink>
      <w:r>
        <w:t xml:space="preserve">, v německém originále dostupné na </w:t>
      </w:r>
      <w:hyperlink r:id="rId5" w:history="1">
        <w:r w:rsidRPr="007E3BC2">
          <w:rPr>
            <w:rStyle w:val="Hypertextovodkaz"/>
          </w:rPr>
          <w:t>https://www.ris.bka.gv.at/GeltendeFassung.wxe?Abfrage=Bundesnormen&amp;Gesetzesnummer=20009980</w:t>
        </w:r>
      </w:hyperlink>
      <w:r>
        <w:t>.</w:t>
      </w:r>
    </w:p>
  </w:footnote>
  <w:footnote w:id="22">
    <w:p w14:paraId="021DC6E0" w14:textId="2ECDB38C" w:rsidR="001D7237" w:rsidRDefault="001D7237">
      <w:pPr>
        <w:pStyle w:val="Textpoznpodarou"/>
      </w:pPr>
      <w:r>
        <w:rPr>
          <w:rStyle w:val="Znakapoznpodarou"/>
        </w:rPr>
        <w:footnoteRef/>
      </w:r>
      <w:r>
        <w:t xml:space="preserve"> Jedná se o pro uživatele n</w:t>
      </w:r>
      <w:r w:rsidRPr="00340292">
        <w:t>eviditeln</w:t>
      </w:r>
      <w:r>
        <w:t>ou</w:t>
      </w:r>
      <w:r w:rsidRPr="00340292">
        <w:t xml:space="preserve"> „zadní část“ aplikace, která se stará o logiku, data a veškerou funkčnost běžící na serveru. Spolu s architekturou systému definuje, jak jsou tyto části propojeny a jak spolu komunikují.</w:t>
      </w:r>
    </w:p>
  </w:footnote>
  <w:footnote w:id="23">
    <w:p w14:paraId="3CB4E3BE" w14:textId="202745F2" w:rsidR="001D7237" w:rsidRDefault="001D7237">
      <w:pPr>
        <w:pStyle w:val="Textpoznpodarou"/>
      </w:pPr>
      <w:r>
        <w:rPr>
          <w:rStyle w:val="Znakapoznpodarou"/>
        </w:rPr>
        <w:footnoteRef/>
      </w:r>
      <w:r>
        <w:t xml:space="preserve"> Jde o pro uživatele vi</w:t>
      </w:r>
      <w:r w:rsidRPr="00340292">
        <w:t>ditelnou část webové aplikace, se kterou uživatelé přímo interagují.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476F4" w14:textId="77777777" w:rsidR="001D7237" w:rsidRDefault="001D723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EA468" w14:textId="1D7337E9" w:rsidR="001D7237" w:rsidRPr="00A41C73" w:rsidRDefault="001D7237" w:rsidP="00A41C73">
    <w:pPr>
      <w:pStyle w:val="Zhlav"/>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7CE0" w14:textId="528A8E30" w:rsidR="001D7237" w:rsidRPr="00A41C73" w:rsidRDefault="001D7237" w:rsidP="00A41C73">
    <w:pPr>
      <w:pStyle w:val="Zhlav"/>
      <w:jc w:val="right"/>
      <w:rPr>
        <w:b/>
      </w:rPr>
    </w:pPr>
    <w:r w:rsidRPr="00A41C73">
      <w:rPr>
        <w:b/>
      </w:rPr>
      <w:t>IV.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115C"/>
    <w:multiLevelType w:val="hybridMultilevel"/>
    <w:tmpl w:val="53D6D0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FC58A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A30E3B"/>
    <w:multiLevelType w:val="hybridMultilevel"/>
    <w:tmpl w:val="5C02254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AED21E8"/>
    <w:multiLevelType w:val="hybridMultilevel"/>
    <w:tmpl w:val="89B6A4E6"/>
    <w:lvl w:ilvl="0" w:tplc="09C422B8">
      <w:start w:val="1"/>
      <w:numFmt w:val="decimal"/>
      <w:pStyle w:val="Nadpis2"/>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CBA3B90"/>
    <w:multiLevelType w:val="hybridMultilevel"/>
    <w:tmpl w:val="F5E88202"/>
    <w:lvl w:ilvl="0" w:tplc="9C562FE6">
      <w:start w:val="1"/>
      <w:numFmt w:val="upperLetter"/>
      <w:pStyle w:val="Podnadpis"/>
      <w:lvlText w:val="%1"/>
      <w:lvlJc w:val="left"/>
      <w:pPr>
        <w:ind w:left="360" w:hanging="360"/>
      </w:pPr>
      <w:rPr>
        <w:rFonts w:hint="default"/>
        <w:b/>
      </w:rPr>
    </w:lvl>
    <w:lvl w:ilvl="1" w:tplc="AC3C3008">
      <w:numFmt w:val="bullet"/>
      <w:lvlText w:val="-"/>
      <w:lvlJc w:val="left"/>
      <w:pPr>
        <w:ind w:left="1440" w:hanging="360"/>
      </w:pPr>
      <w:rPr>
        <w:rFonts w:ascii="Times New Roman" w:eastAsia="Times New Roman" w:hAnsi="Times New Roman" w:cs="Times New Roman" w:hint="default"/>
      </w:rPr>
    </w:lvl>
    <w:lvl w:ilvl="2" w:tplc="53EC0538">
      <w:start w:val="1"/>
      <w:numFmt w:val="lowerLetter"/>
      <w:lvlText w:val="%3)"/>
      <w:lvlJc w:val="left"/>
      <w:pPr>
        <w:ind w:left="2340" w:hanging="360"/>
      </w:pPr>
      <w:rPr>
        <w:rFonts w:hint="default"/>
        <w:b w:val="0"/>
        <w:i w:val="0"/>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AE37CA3"/>
    <w:multiLevelType w:val="hybridMultilevel"/>
    <w:tmpl w:val="7534BF8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24F1DE4"/>
    <w:multiLevelType w:val="hybridMultilevel"/>
    <w:tmpl w:val="FBD0E6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2863F10"/>
    <w:multiLevelType w:val="hybridMultilevel"/>
    <w:tmpl w:val="08EC84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462F403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6587102"/>
    <w:multiLevelType w:val="hybridMultilevel"/>
    <w:tmpl w:val="481A7BB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45E6816"/>
    <w:multiLevelType w:val="hybridMultilevel"/>
    <w:tmpl w:val="B672B3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54B7909"/>
    <w:multiLevelType w:val="hybridMultilevel"/>
    <w:tmpl w:val="971A2C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71A1EFC"/>
    <w:multiLevelType w:val="hybridMultilevel"/>
    <w:tmpl w:val="19A65DE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67A56A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D4FA68"/>
    <w:multiLevelType w:val="hybridMultilevel"/>
    <w:tmpl w:val="25143E7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6A8F38FA"/>
    <w:multiLevelType w:val="multilevel"/>
    <w:tmpl w:val="EB0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73875C4"/>
    <w:multiLevelType w:val="hybridMultilevel"/>
    <w:tmpl w:val="6C78A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4B45AC"/>
    <w:multiLevelType w:val="hybridMultilevel"/>
    <w:tmpl w:val="59547C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B786E7F"/>
    <w:multiLevelType w:val="multilevel"/>
    <w:tmpl w:val="EB0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DA029BE"/>
    <w:multiLevelType w:val="multilevel"/>
    <w:tmpl w:val="EB0830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25979124">
    <w:abstractNumId w:val="4"/>
  </w:num>
  <w:num w:numId="2" w16cid:durableId="1104963118">
    <w:abstractNumId w:val="3"/>
  </w:num>
  <w:num w:numId="3" w16cid:durableId="76173772">
    <w:abstractNumId w:val="8"/>
  </w:num>
  <w:num w:numId="4" w16cid:durableId="781725172">
    <w:abstractNumId w:val="9"/>
  </w:num>
  <w:num w:numId="5" w16cid:durableId="1914007987">
    <w:abstractNumId w:val="0"/>
  </w:num>
  <w:num w:numId="6" w16cid:durableId="1017199171">
    <w:abstractNumId w:val="10"/>
  </w:num>
  <w:num w:numId="7" w16cid:durableId="2126339139">
    <w:abstractNumId w:val="5"/>
  </w:num>
  <w:num w:numId="8" w16cid:durableId="983776410">
    <w:abstractNumId w:val="18"/>
  </w:num>
  <w:num w:numId="9" w16cid:durableId="1408184367">
    <w:abstractNumId w:val="15"/>
  </w:num>
  <w:num w:numId="10" w16cid:durableId="970748339">
    <w:abstractNumId w:val="19"/>
  </w:num>
  <w:num w:numId="11" w16cid:durableId="1966887836">
    <w:abstractNumId w:val="16"/>
  </w:num>
  <w:num w:numId="12" w16cid:durableId="355740738">
    <w:abstractNumId w:val="2"/>
  </w:num>
  <w:num w:numId="13" w16cid:durableId="48038395">
    <w:abstractNumId w:val="12"/>
  </w:num>
  <w:num w:numId="14" w16cid:durableId="1070886757">
    <w:abstractNumId w:val="7"/>
  </w:num>
  <w:num w:numId="15" w16cid:durableId="1936546528">
    <w:abstractNumId w:val="1"/>
  </w:num>
  <w:num w:numId="16" w16cid:durableId="1248349322">
    <w:abstractNumId w:val="13"/>
  </w:num>
  <w:num w:numId="17" w16cid:durableId="64228019">
    <w:abstractNumId w:val="11"/>
  </w:num>
  <w:num w:numId="18" w16cid:durableId="88240476">
    <w:abstractNumId w:val="14"/>
  </w:num>
  <w:num w:numId="19" w16cid:durableId="158735084">
    <w:abstractNumId w:val="17"/>
  </w:num>
  <w:num w:numId="20" w16cid:durableId="2139672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hyphenationZone w:val="425"/>
  <w:characterSpacingControl w:val="doNotCompress"/>
  <w:hdrShapeDefaults>
    <o:shapedefaults v:ext="edit" spidmax="1167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30C"/>
    <w:rsid w:val="000010A5"/>
    <w:rsid w:val="000012CA"/>
    <w:rsid w:val="00001A28"/>
    <w:rsid w:val="00001C01"/>
    <w:rsid w:val="00001E38"/>
    <w:rsid w:val="00001FBB"/>
    <w:rsid w:val="00002741"/>
    <w:rsid w:val="00002B8E"/>
    <w:rsid w:val="00004976"/>
    <w:rsid w:val="00004B56"/>
    <w:rsid w:val="00004C13"/>
    <w:rsid w:val="00006AC5"/>
    <w:rsid w:val="00014757"/>
    <w:rsid w:val="00015172"/>
    <w:rsid w:val="00017C7B"/>
    <w:rsid w:val="00017FE6"/>
    <w:rsid w:val="000200A3"/>
    <w:rsid w:val="00020CC6"/>
    <w:rsid w:val="00030DBF"/>
    <w:rsid w:val="000331B4"/>
    <w:rsid w:val="00034B43"/>
    <w:rsid w:val="00035684"/>
    <w:rsid w:val="00035D5A"/>
    <w:rsid w:val="0003653D"/>
    <w:rsid w:val="000376E6"/>
    <w:rsid w:val="00037A5F"/>
    <w:rsid w:val="00037E2B"/>
    <w:rsid w:val="00041B4D"/>
    <w:rsid w:val="000426CB"/>
    <w:rsid w:val="00043642"/>
    <w:rsid w:val="00046D7C"/>
    <w:rsid w:val="00050308"/>
    <w:rsid w:val="0005089C"/>
    <w:rsid w:val="0005319D"/>
    <w:rsid w:val="00053467"/>
    <w:rsid w:val="00055E92"/>
    <w:rsid w:val="000571C4"/>
    <w:rsid w:val="00060BF5"/>
    <w:rsid w:val="00061B08"/>
    <w:rsid w:val="00065BD2"/>
    <w:rsid w:val="0007030C"/>
    <w:rsid w:val="00071334"/>
    <w:rsid w:val="000750F5"/>
    <w:rsid w:val="00075C9E"/>
    <w:rsid w:val="0007679F"/>
    <w:rsid w:val="000821D1"/>
    <w:rsid w:val="00082653"/>
    <w:rsid w:val="0008290D"/>
    <w:rsid w:val="00082CE1"/>
    <w:rsid w:val="00083947"/>
    <w:rsid w:val="00083CBD"/>
    <w:rsid w:val="00085FD9"/>
    <w:rsid w:val="00091B6B"/>
    <w:rsid w:val="00091EBF"/>
    <w:rsid w:val="000940BD"/>
    <w:rsid w:val="00095819"/>
    <w:rsid w:val="00095FAC"/>
    <w:rsid w:val="00095FCC"/>
    <w:rsid w:val="0009612C"/>
    <w:rsid w:val="00096E04"/>
    <w:rsid w:val="000974C3"/>
    <w:rsid w:val="000A1976"/>
    <w:rsid w:val="000A4840"/>
    <w:rsid w:val="000A6FDA"/>
    <w:rsid w:val="000A7BF2"/>
    <w:rsid w:val="000B0485"/>
    <w:rsid w:val="000B04D2"/>
    <w:rsid w:val="000B0D9C"/>
    <w:rsid w:val="000B2583"/>
    <w:rsid w:val="000B4F6C"/>
    <w:rsid w:val="000B5665"/>
    <w:rsid w:val="000B6612"/>
    <w:rsid w:val="000C150C"/>
    <w:rsid w:val="000C775D"/>
    <w:rsid w:val="000D01F3"/>
    <w:rsid w:val="000D059C"/>
    <w:rsid w:val="000D1877"/>
    <w:rsid w:val="000D1EC9"/>
    <w:rsid w:val="000D2D91"/>
    <w:rsid w:val="000D58F3"/>
    <w:rsid w:val="000D621C"/>
    <w:rsid w:val="000D6B75"/>
    <w:rsid w:val="000D730C"/>
    <w:rsid w:val="000E432C"/>
    <w:rsid w:val="000E441C"/>
    <w:rsid w:val="000E4651"/>
    <w:rsid w:val="000E79C4"/>
    <w:rsid w:val="000F2ECD"/>
    <w:rsid w:val="000F3041"/>
    <w:rsid w:val="000F3C2B"/>
    <w:rsid w:val="000F455E"/>
    <w:rsid w:val="000F4983"/>
    <w:rsid w:val="000F51AD"/>
    <w:rsid w:val="000F63F1"/>
    <w:rsid w:val="000F6B31"/>
    <w:rsid w:val="001007BE"/>
    <w:rsid w:val="0010188C"/>
    <w:rsid w:val="00107579"/>
    <w:rsid w:val="0011086D"/>
    <w:rsid w:val="0011109E"/>
    <w:rsid w:val="0011141E"/>
    <w:rsid w:val="00112E2B"/>
    <w:rsid w:val="00112F2A"/>
    <w:rsid w:val="00113D18"/>
    <w:rsid w:val="00115222"/>
    <w:rsid w:val="001168DC"/>
    <w:rsid w:val="00117D33"/>
    <w:rsid w:val="00120599"/>
    <w:rsid w:val="00123090"/>
    <w:rsid w:val="00123A62"/>
    <w:rsid w:val="00124C25"/>
    <w:rsid w:val="00125E05"/>
    <w:rsid w:val="00126AE6"/>
    <w:rsid w:val="0012736F"/>
    <w:rsid w:val="00127A0A"/>
    <w:rsid w:val="00127BE8"/>
    <w:rsid w:val="00130B7D"/>
    <w:rsid w:val="00131AD4"/>
    <w:rsid w:val="00131BC6"/>
    <w:rsid w:val="00132A68"/>
    <w:rsid w:val="00132D27"/>
    <w:rsid w:val="001357F7"/>
    <w:rsid w:val="00135B8B"/>
    <w:rsid w:val="0014386C"/>
    <w:rsid w:val="00143A1B"/>
    <w:rsid w:val="00145445"/>
    <w:rsid w:val="00146075"/>
    <w:rsid w:val="00152CC3"/>
    <w:rsid w:val="00153D30"/>
    <w:rsid w:val="001540CD"/>
    <w:rsid w:val="00161D55"/>
    <w:rsid w:val="00161E7A"/>
    <w:rsid w:val="001640DD"/>
    <w:rsid w:val="0016472C"/>
    <w:rsid w:val="00165198"/>
    <w:rsid w:val="001675E7"/>
    <w:rsid w:val="001676B3"/>
    <w:rsid w:val="001676DB"/>
    <w:rsid w:val="00167E86"/>
    <w:rsid w:val="00170D50"/>
    <w:rsid w:val="00174B08"/>
    <w:rsid w:val="00174B79"/>
    <w:rsid w:val="00175D8F"/>
    <w:rsid w:val="001769CB"/>
    <w:rsid w:val="00177252"/>
    <w:rsid w:val="001819B2"/>
    <w:rsid w:val="001828AF"/>
    <w:rsid w:val="00184644"/>
    <w:rsid w:val="00184DBE"/>
    <w:rsid w:val="00185C52"/>
    <w:rsid w:val="00185D4B"/>
    <w:rsid w:val="00187ECC"/>
    <w:rsid w:val="00191B1C"/>
    <w:rsid w:val="0019226F"/>
    <w:rsid w:val="00192579"/>
    <w:rsid w:val="001939AD"/>
    <w:rsid w:val="001939F4"/>
    <w:rsid w:val="00193AF9"/>
    <w:rsid w:val="00193C83"/>
    <w:rsid w:val="001943E1"/>
    <w:rsid w:val="00194A2A"/>
    <w:rsid w:val="00196B61"/>
    <w:rsid w:val="00197603"/>
    <w:rsid w:val="00197C4F"/>
    <w:rsid w:val="00197D27"/>
    <w:rsid w:val="001A20CB"/>
    <w:rsid w:val="001A5515"/>
    <w:rsid w:val="001A6A77"/>
    <w:rsid w:val="001A6EFF"/>
    <w:rsid w:val="001A7616"/>
    <w:rsid w:val="001A7C1F"/>
    <w:rsid w:val="001B28C9"/>
    <w:rsid w:val="001B31B2"/>
    <w:rsid w:val="001B3E19"/>
    <w:rsid w:val="001B4C8C"/>
    <w:rsid w:val="001B7C6C"/>
    <w:rsid w:val="001C2439"/>
    <w:rsid w:val="001C3815"/>
    <w:rsid w:val="001C3B78"/>
    <w:rsid w:val="001C759F"/>
    <w:rsid w:val="001D0741"/>
    <w:rsid w:val="001D1A2B"/>
    <w:rsid w:val="001D37EA"/>
    <w:rsid w:val="001D7237"/>
    <w:rsid w:val="001D7942"/>
    <w:rsid w:val="001D7BB3"/>
    <w:rsid w:val="001E149A"/>
    <w:rsid w:val="001E3EDE"/>
    <w:rsid w:val="001E64B2"/>
    <w:rsid w:val="001F43C9"/>
    <w:rsid w:val="001F536F"/>
    <w:rsid w:val="001F60B8"/>
    <w:rsid w:val="001F6749"/>
    <w:rsid w:val="00200DBA"/>
    <w:rsid w:val="002025AB"/>
    <w:rsid w:val="00202AE5"/>
    <w:rsid w:val="00204AB5"/>
    <w:rsid w:val="00204D23"/>
    <w:rsid w:val="00205544"/>
    <w:rsid w:val="002067A4"/>
    <w:rsid w:val="002073E7"/>
    <w:rsid w:val="00210237"/>
    <w:rsid w:val="002103E8"/>
    <w:rsid w:val="00210FA5"/>
    <w:rsid w:val="0021320F"/>
    <w:rsid w:val="00213A85"/>
    <w:rsid w:val="0021609F"/>
    <w:rsid w:val="002231E0"/>
    <w:rsid w:val="0022327D"/>
    <w:rsid w:val="00224FA0"/>
    <w:rsid w:val="002257EC"/>
    <w:rsid w:val="0022597E"/>
    <w:rsid w:val="00225ACD"/>
    <w:rsid w:val="002261B9"/>
    <w:rsid w:val="002266BA"/>
    <w:rsid w:val="00231B8A"/>
    <w:rsid w:val="002358AE"/>
    <w:rsid w:val="00237641"/>
    <w:rsid w:val="002408CA"/>
    <w:rsid w:val="00242190"/>
    <w:rsid w:val="002422E1"/>
    <w:rsid w:val="00242D3B"/>
    <w:rsid w:val="00243D61"/>
    <w:rsid w:val="002452E0"/>
    <w:rsid w:val="00245CF7"/>
    <w:rsid w:val="0024696F"/>
    <w:rsid w:val="00246B8B"/>
    <w:rsid w:val="002472E6"/>
    <w:rsid w:val="002508A9"/>
    <w:rsid w:val="00251D6A"/>
    <w:rsid w:val="00254328"/>
    <w:rsid w:val="00263482"/>
    <w:rsid w:val="00264D92"/>
    <w:rsid w:val="00265281"/>
    <w:rsid w:val="00270CDF"/>
    <w:rsid w:val="00270E45"/>
    <w:rsid w:val="00271252"/>
    <w:rsid w:val="0027342F"/>
    <w:rsid w:val="002746A5"/>
    <w:rsid w:val="00275A80"/>
    <w:rsid w:val="0027631B"/>
    <w:rsid w:val="00276DBD"/>
    <w:rsid w:val="00281A03"/>
    <w:rsid w:val="00281C4D"/>
    <w:rsid w:val="0028365D"/>
    <w:rsid w:val="002860A9"/>
    <w:rsid w:val="00290655"/>
    <w:rsid w:val="00290DC9"/>
    <w:rsid w:val="00291498"/>
    <w:rsid w:val="0029176F"/>
    <w:rsid w:val="00292C09"/>
    <w:rsid w:val="00293F3F"/>
    <w:rsid w:val="002965A0"/>
    <w:rsid w:val="002971E4"/>
    <w:rsid w:val="00297FB6"/>
    <w:rsid w:val="002A0592"/>
    <w:rsid w:val="002A2EC8"/>
    <w:rsid w:val="002A441A"/>
    <w:rsid w:val="002A5326"/>
    <w:rsid w:val="002A54A1"/>
    <w:rsid w:val="002A7466"/>
    <w:rsid w:val="002B193B"/>
    <w:rsid w:val="002B3262"/>
    <w:rsid w:val="002B578C"/>
    <w:rsid w:val="002B6570"/>
    <w:rsid w:val="002B6988"/>
    <w:rsid w:val="002C1676"/>
    <w:rsid w:val="002C2214"/>
    <w:rsid w:val="002C2FBA"/>
    <w:rsid w:val="002C30EB"/>
    <w:rsid w:val="002C4B3F"/>
    <w:rsid w:val="002C5970"/>
    <w:rsid w:val="002C71C7"/>
    <w:rsid w:val="002C75D7"/>
    <w:rsid w:val="002C7C58"/>
    <w:rsid w:val="002D16C9"/>
    <w:rsid w:val="002D6491"/>
    <w:rsid w:val="002D7A0A"/>
    <w:rsid w:val="002E104F"/>
    <w:rsid w:val="002E113E"/>
    <w:rsid w:val="002E16F9"/>
    <w:rsid w:val="002E35C1"/>
    <w:rsid w:val="002E3D7C"/>
    <w:rsid w:val="002E50AF"/>
    <w:rsid w:val="002E6153"/>
    <w:rsid w:val="002E7198"/>
    <w:rsid w:val="002E72DB"/>
    <w:rsid w:val="002F152B"/>
    <w:rsid w:val="002F241D"/>
    <w:rsid w:val="002F2698"/>
    <w:rsid w:val="002F2D37"/>
    <w:rsid w:val="002F2DB7"/>
    <w:rsid w:val="002F6504"/>
    <w:rsid w:val="002F700B"/>
    <w:rsid w:val="002F719C"/>
    <w:rsid w:val="003002CD"/>
    <w:rsid w:val="003021C7"/>
    <w:rsid w:val="00303604"/>
    <w:rsid w:val="0030423B"/>
    <w:rsid w:val="00307F01"/>
    <w:rsid w:val="00312951"/>
    <w:rsid w:val="00313FD6"/>
    <w:rsid w:val="0031405B"/>
    <w:rsid w:val="00315F48"/>
    <w:rsid w:val="00316437"/>
    <w:rsid w:val="00320F77"/>
    <w:rsid w:val="003224D9"/>
    <w:rsid w:val="003271E7"/>
    <w:rsid w:val="00327640"/>
    <w:rsid w:val="00327F40"/>
    <w:rsid w:val="00330ABC"/>
    <w:rsid w:val="00332D0B"/>
    <w:rsid w:val="00334B52"/>
    <w:rsid w:val="00335122"/>
    <w:rsid w:val="003360E9"/>
    <w:rsid w:val="00336947"/>
    <w:rsid w:val="00340292"/>
    <w:rsid w:val="0034052E"/>
    <w:rsid w:val="00346CE2"/>
    <w:rsid w:val="0035026C"/>
    <w:rsid w:val="00352384"/>
    <w:rsid w:val="0035244C"/>
    <w:rsid w:val="003568A7"/>
    <w:rsid w:val="00357816"/>
    <w:rsid w:val="003613D4"/>
    <w:rsid w:val="00361893"/>
    <w:rsid w:val="003619A1"/>
    <w:rsid w:val="00361E2E"/>
    <w:rsid w:val="00365B04"/>
    <w:rsid w:val="0036672B"/>
    <w:rsid w:val="00366BCE"/>
    <w:rsid w:val="003702FA"/>
    <w:rsid w:val="0037163C"/>
    <w:rsid w:val="00371C00"/>
    <w:rsid w:val="00373551"/>
    <w:rsid w:val="00377654"/>
    <w:rsid w:val="003800AB"/>
    <w:rsid w:val="003804BC"/>
    <w:rsid w:val="0038081A"/>
    <w:rsid w:val="00385BCD"/>
    <w:rsid w:val="00387CBA"/>
    <w:rsid w:val="0039012B"/>
    <w:rsid w:val="0039241D"/>
    <w:rsid w:val="00393687"/>
    <w:rsid w:val="0039478D"/>
    <w:rsid w:val="003A53F2"/>
    <w:rsid w:val="003A6A14"/>
    <w:rsid w:val="003A6C09"/>
    <w:rsid w:val="003A6D73"/>
    <w:rsid w:val="003A7C31"/>
    <w:rsid w:val="003A7EF5"/>
    <w:rsid w:val="003B03D6"/>
    <w:rsid w:val="003B0C4B"/>
    <w:rsid w:val="003B19E3"/>
    <w:rsid w:val="003B2AA0"/>
    <w:rsid w:val="003B412F"/>
    <w:rsid w:val="003B6032"/>
    <w:rsid w:val="003B68D1"/>
    <w:rsid w:val="003B6A43"/>
    <w:rsid w:val="003B6BE8"/>
    <w:rsid w:val="003B7566"/>
    <w:rsid w:val="003B7721"/>
    <w:rsid w:val="003C0B3D"/>
    <w:rsid w:val="003C39E5"/>
    <w:rsid w:val="003C45AA"/>
    <w:rsid w:val="003C781C"/>
    <w:rsid w:val="003C7BAE"/>
    <w:rsid w:val="003C7BCB"/>
    <w:rsid w:val="003C7E0C"/>
    <w:rsid w:val="003D161B"/>
    <w:rsid w:val="003D1C5B"/>
    <w:rsid w:val="003D2B81"/>
    <w:rsid w:val="003D3E68"/>
    <w:rsid w:val="003D6144"/>
    <w:rsid w:val="003D6C18"/>
    <w:rsid w:val="003E0916"/>
    <w:rsid w:val="003E1636"/>
    <w:rsid w:val="003E2F0C"/>
    <w:rsid w:val="003E3686"/>
    <w:rsid w:val="003E6DB0"/>
    <w:rsid w:val="003E6DDC"/>
    <w:rsid w:val="003E6F1C"/>
    <w:rsid w:val="003F0E9E"/>
    <w:rsid w:val="003F106F"/>
    <w:rsid w:val="003F3521"/>
    <w:rsid w:val="003F3BDD"/>
    <w:rsid w:val="003F4C56"/>
    <w:rsid w:val="003F5359"/>
    <w:rsid w:val="003F53C7"/>
    <w:rsid w:val="00401D69"/>
    <w:rsid w:val="004061C3"/>
    <w:rsid w:val="004065CF"/>
    <w:rsid w:val="0041209A"/>
    <w:rsid w:val="00412D3B"/>
    <w:rsid w:val="0041349E"/>
    <w:rsid w:val="004224F9"/>
    <w:rsid w:val="0042293A"/>
    <w:rsid w:val="00422C41"/>
    <w:rsid w:val="00423A45"/>
    <w:rsid w:val="00424637"/>
    <w:rsid w:val="0042536F"/>
    <w:rsid w:val="0042796D"/>
    <w:rsid w:val="004340FC"/>
    <w:rsid w:val="004434E5"/>
    <w:rsid w:val="004435B9"/>
    <w:rsid w:val="00443BDD"/>
    <w:rsid w:val="00446A84"/>
    <w:rsid w:val="004471F3"/>
    <w:rsid w:val="00450E65"/>
    <w:rsid w:val="00452443"/>
    <w:rsid w:val="00453583"/>
    <w:rsid w:val="00454FD5"/>
    <w:rsid w:val="0046076C"/>
    <w:rsid w:val="00460FEC"/>
    <w:rsid w:val="00461450"/>
    <w:rsid w:val="00464FAE"/>
    <w:rsid w:val="004706CC"/>
    <w:rsid w:val="004711A3"/>
    <w:rsid w:val="00473AF5"/>
    <w:rsid w:val="0047749C"/>
    <w:rsid w:val="00477A39"/>
    <w:rsid w:val="00484732"/>
    <w:rsid w:val="004855C6"/>
    <w:rsid w:val="00485C33"/>
    <w:rsid w:val="00486DB8"/>
    <w:rsid w:val="00486F2D"/>
    <w:rsid w:val="00490BDB"/>
    <w:rsid w:val="004911E6"/>
    <w:rsid w:val="0049186D"/>
    <w:rsid w:val="00492DD8"/>
    <w:rsid w:val="0049397C"/>
    <w:rsid w:val="00493C36"/>
    <w:rsid w:val="004941C5"/>
    <w:rsid w:val="00496037"/>
    <w:rsid w:val="00497BE3"/>
    <w:rsid w:val="004A07D9"/>
    <w:rsid w:val="004A2E04"/>
    <w:rsid w:val="004A36E7"/>
    <w:rsid w:val="004A40F3"/>
    <w:rsid w:val="004A4CA1"/>
    <w:rsid w:val="004A7466"/>
    <w:rsid w:val="004B019E"/>
    <w:rsid w:val="004B1CBB"/>
    <w:rsid w:val="004B2CDD"/>
    <w:rsid w:val="004B2F4D"/>
    <w:rsid w:val="004B45DE"/>
    <w:rsid w:val="004B4F12"/>
    <w:rsid w:val="004B55C6"/>
    <w:rsid w:val="004C0939"/>
    <w:rsid w:val="004C09AD"/>
    <w:rsid w:val="004C21A7"/>
    <w:rsid w:val="004C2997"/>
    <w:rsid w:val="004C30E7"/>
    <w:rsid w:val="004C404D"/>
    <w:rsid w:val="004C5273"/>
    <w:rsid w:val="004C52E2"/>
    <w:rsid w:val="004C688F"/>
    <w:rsid w:val="004C695E"/>
    <w:rsid w:val="004C7123"/>
    <w:rsid w:val="004C7D6F"/>
    <w:rsid w:val="004D07A3"/>
    <w:rsid w:val="004D2103"/>
    <w:rsid w:val="004D2C75"/>
    <w:rsid w:val="004D5BC6"/>
    <w:rsid w:val="004D6B73"/>
    <w:rsid w:val="004D7273"/>
    <w:rsid w:val="004D7A43"/>
    <w:rsid w:val="004E09EC"/>
    <w:rsid w:val="004E5555"/>
    <w:rsid w:val="004E614F"/>
    <w:rsid w:val="004E746D"/>
    <w:rsid w:val="004F0047"/>
    <w:rsid w:val="004F344E"/>
    <w:rsid w:val="004F3724"/>
    <w:rsid w:val="004F383E"/>
    <w:rsid w:val="004F3D6E"/>
    <w:rsid w:val="004F4356"/>
    <w:rsid w:val="004F7167"/>
    <w:rsid w:val="004F77B8"/>
    <w:rsid w:val="00500465"/>
    <w:rsid w:val="00500871"/>
    <w:rsid w:val="00501DFE"/>
    <w:rsid w:val="005020F0"/>
    <w:rsid w:val="005021E3"/>
    <w:rsid w:val="00502CD2"/>
    <w:rsid w:val="00504542"/>
    <w:rsid w:val="00504E31"/>
    <w:rsid w:val="00506F6A"/>
    <w:rsid w:val="00507838"/>
    <w:rsid w:val="00507F32"/>
    <w:rsid w:val="00511885"/>
    <w:rsid w:val="00511AC2"/>
    <w:rsid w:val="00511DFA"/>
    <w:rsid w:val="0051448F"/>
    <w:rsid w:val="00516C79"/>
    <w:rsid w:val="005205D3"/>
    <w:rsid w:val="005221BD"/>
    <w:rsid w:val="00524485"/>
    <w:rsid w:val="00524703"/>
    <w:rsid w:val="00524C08"/>
    <w:rsid w:val="005252CE"/>
    <w:rsid w:val="00525482"/>
    <w:rsid w:val="005300D5"/>
    <w:rsid w:val="00530674"/>
    <w:rsid w:val="0053125A"/>
    <w:rsid w:val="005316E3"/>
    <w:rsid w:val="005326EF"/>
    <w:rsid w:val="00534659"/>
    <w:rsid w:val="00534F02"/>
    <w:rsid w:val="0053566E"/>
    <w:rsid w:val="0053594D"/>
    <w:rsid w:val="00535B04"/>
    <w:rsid w:val="00536595"/>
    <w:rsid w:val="00536BDA"/>
    <w:rsid w:val="0054159A"/>
    <w:rsid w:val="00541937"/>
    <w:rsid w:val="00541B3E"/>
    <w:rsid w:val="00543424"/>
    <w:rsid w:val="005439AB"/>
    <w:rsid w:val="00543A4F"/>
    <w:rsid w:val="005444E6"/>
    <w:rsid w:val="0054557B"/>
    <w:rsid w:val="00545960"/>
    <w:rsid w:val="00545E84"/>
    <w:rsid w:val="00547483"/>
    <w:rsid w:val="005478E9"/>
    <w:rsid w:val="0055199B"/>
    <w:rsid w:val="005523BA"/>
    <w:rsid w:val="005523E6"/>
    <w:rsid w:val="00552F4E"/>
    <w:rsid w:val="00555504"/>
    <w:rsid w:val="00557323"/>
    <w:rsid w:val="00563462"/>
    <w:rsid w:val="005637BD"/>
    <w:rsid w:val="00563CB2"/>
    <w:rsid w:val="005643C4"/>
    <w:rsid w:val="00564DB9"/>
    <w:rsid w:val="00564EA9"/>
    <w:rsid w:val="00565FFE"/>
    <w:rsid w:val="0056731C"/>
    <w:rsid w:val="00570374"/>
    <w:rsid w:val="0057038F"/>
    <w:rsid w:val="00571971"/>
    <w:rsid w:val="00574365"/>
    <w:rsid w:val="005749B9"/>
    <w:rsid w:val="00580B0B"/>
    <w:rsid w:val="00582628"/>
    <w:rsid w:val="00583934"/>
    <w:rsid w:val="005844B2"/>
    <w:rsid w:val="00585826"/>
    <w:rsid w:val="00586175"/>
    <w:rsid w:val="005864E5"/>
    <w:rsid w:val="0058684B"/>
    <w:rsid w:val="005871A5"/>
    <w:rsid w:val="005908B2"/>
    <w:rsid w:val="00591E07"/>
    <w:rsid w:val="00592459"/>
    <w:rsid w:val="00593581"/>
    <w:rsid w:val="005952D0"/>
    <w:rsid w:val="00595C19"/>
    <w:rsid w:val="0059687E"/>
    <w:rsid w:val="00596A6D"/>
    <w:rsid w:val="005A04B3"/>
    <w:rsid w:val="005A1FCD"/>
    <w:rsid w:val="005A234A"/>
    <w:rsid w:val="005A4C5A"/>
    <w:rsid w:val="005A7EAE"/>
    <w:rsid w:val="005B0467"/>
    <w:rsid w:val="005B1754"/>
    <w:rsid w:val="005B3029"/>
    <w:rsid w:val="005B3A6E"/>
    <w:rsid w:val="005B3C29"/>
    <w:rsid w:val="005B4ADA"/>
    <w:rsid w:val="005B579E"/>
    <w:rsid w:val="005B6883"/>
    <w:rsid w:val="005C2166"/>
    <w:rsid w:val="005C2D88"/>
    <w:rsid w:val="005C35C9"/>
    <w:rsid w:val="005C434E"/>
    <w:rsid w:val="005C51E2"/>
    <w:rsid w:val="005C740C"/>
    <w:rsid w:val="005D060F"/>
    <w:rsid w:val="005D09E2"/>
    <w:rsid w:val="005D17CC"/>
    <w:rsid w:val="005D372C"/>
    <w:rsid w:val="005D560A"/>
    <w:rsid w:val="005D5E92"/>
    <w:rsid w:val="005E003F"/>
    <w:rsid w:val="005E0272"/>
    <w:rsid w:val="005E1106"/>
    <w:rsid w:val="005E1589"/>
    <w:rsid w:val="005E1C1E"/>
    <w:rsid w:val="005E2656"/>
    <w:rsid w:val="005E3314"/>
    <w:rsid w:val="005E5674"/>
    <w:rsid w:val="005E5F23"/>
    <w:rsid w:val="005E6C6F"/>
    <w:rsid w:val="005E6E5F"/>
    <w:rsid w:val="005E6EC2"/>
    <w:rsid w:val="005F14AF"/>
    <w:rsid w:val="005F325D"/>
    <w:rsid w:val="005F4191"/>
    <w:rsid w:val="005F489B"/>
    <w:rsid w:val="005F499C"/>
    <w:rsid w:val="005F4EC9"/>
    <w:rsid w:val="005F5A8F"/>
    <w:rsid w:val="005F6F8B"/>
    <w:rsid w:val="006007F5"/>
    <w:rsid w:val="00601353"/>
    <w:rsid w:val="0060215C"/>
    <w:rsid w:val="0060342E"/>
    <w:rsid w:val="00603625"/>
    <w:rsid w:val="00604800"/>
    <w:rsid w:val="006067FD"/>
    <w:rsid w:val="00606CEE"/>
    <w:rsid w:val="006071B8"/>
    <w:rsid w:val="00610642"/>
    <w:rsid w:val="00610E4B"/>
    <w:rsid w:val="006110A9"/>
    <w:rsid w:val="00612356"/>
    <w:rsid w:val="006133AC"/>
    <w:rsid w:val="00617931"/>
    <w:rsid w:val="00620843"/>
    <w:rsid w:val="006226CC"/>
    <w:rsid w:val="00623340"/>
    <w:rsid w:val="0062445D"/>
    <w:rsid w:val="006257BC"/>
    <w:rsid w:val="006257D0"/>
    <w:rsid w:val="00627255"/>
    <w:rsid w:val="00627BA3"/>
    <w:rsid w:val="00633C98"/>
    <w:rsid w:val="00634AA1"/>
    <w:rsid w:val="00634CEC"/>
    <w:rsid w:val="00635774"/>
    <w:rsid w:val="006357EB"/>
    <w:rsid w:val="00637A4D"/>
    <w:rsid w:val="00640394"/>
    <w:rsid w:val="00641549"/>
    <w:rsid w:val="006424D1"/>
    <w:rsid w:val="00642A85"/>
    <w:rsid w:val="00642CD5"/>
    <w:rsid w:val="006435CD"/>
    <w:rsid w:val="0064620D"/>
    <w:rsid w:val="00647C7F"/>
    <w:rsid w:val="00650A5F"/>
    <w:rsid w:val="00651176"/>
    <w:rsid w:val="00651D17"/>
    <w:rsid w:val="0065596B"/>
    <w:rsid w:val="00655CEA"/>
    <w:rsid w:val="0065685F"/>
    <w:rsid w:val="00656CAA"/>
    <w:rsid w:val="00657914"/>
    <w:rsid w:val="006601B5"/>
    <w:rsid w:val="00660214"/>
    <w:rsid w:val="0066027E"/>
    <w:rsid w:val="00661F33"/>
    <w:rsid w:val="0066400E"/>
    <w:rsid w:val="00665146"/>
    <w:rsid w:val="006658FB"/>
    <w:rsid w:val="00666010"/>
    <w:rsid w:val="00666CA4"/>
    <w:rsid w:val="006673A8"/>
    <w:rsid w:val="00667930"/>
    <w:rsid w:val="00667CF2"/>
    <w:rsid w:val="006704EF"/>
    <w:rsid w:val="006708F5"/>
    <w:rsid w:val="00675C35"/>
    <w:rsid w:val="00677016"/>
    <w:rsid w:val="006817E1"/>
    <w:rsid w:val="0068198A"/>
    <w:rsid w:val="00681EBC"/>
    <w:rsid w:val="00682576"/>
    <w:rsid w:val="00682A5C"/>
    <w:rsid w:val="00683AB2"/>
    <w:rsid w:val="00685355"/>
    <w:rsid w:val="00686A76"/>
    <w:rsid w:val="00687C18"/>
    <w:rsid w:val="00692B47"/>
    <w:rsid w:val="00693081"/>
    <w:rsid w:val="006934EA"/>
    <w:rsid w:val="00694E1B"/>
    <w:rsid w:val="0069607D"/>
    <w:rsid w:val="00697442"/>
    <w:rsid w:val="006A306D"/>
    <w:rsid w:val="006B0A6D"/>
    <w:rsid w:val="006B0CDA"/>
    <w:rsid w:val="006B1A92"/>
    <w:rsid w:val="006B1FFE"/>
    <w:rsid w:val="006B2C09"/>
    <w:rsid w:val="006B3943"/>
    <w:rsid w:val="006B3F08"/>
    <w:rsid w:val="006B414E"/>
    <w:rsid w:val="006B7FF8"/>
    <w:rsid w:val="006C1C4B"/>
    <w:rsid w:val="006C3FAF"/>
    <w:rsid w:val="006C44BF"/>
    <w:rsid w:val="006C7CC6"/>
    <w:rsid w:val="006D06BB"/>
    <w:rsid w:val="006D06E6"/>
    <w:rsid w:val="006D0A90"/>
    <w:rsid w:val="006D0E70"/>
    <w:rsid w:val="006E2AD4"/>
    <w:rsid w:val="006E334F"/>
    <w:rsid w:val="006E3746"/>
    <w:rsid w:val="006E567A"/>
    <w:rsid w:val="006E7DB1"/>
    <w:rsid w:val="006F0E09"/>
    <w:rsid w:val="006F0F28"/>
    <w:rsid w:val="006F154D"/>
    <w:rsid w:val="006F4591"/>
    <w:rsid w:val="006F50A5"/>
    <w:rsid w:val="00701A03"/>
    <w:rsid w:val="00701ABC"/>
    <w:rsid w:val="00702AFF"/>
    <w:rsid w:val="00702F7B"/>
    <w:rsid w:val="00702FDE"/>
    <w:rsid w:val="00704141"/>
    <w:rsid w:val="007043E9"/>
    <w:rsid w:val="007044DC"/>
    <w:rsid w:val="00704EDA"/>
    <w:rsid w:val="00705DA4"/>
    <w:rsid w:val="00707343"/>
    <w:rsid w:val="00707827"/>
    <w:rsid w:val="00707BDE"/>
    <w:rsid w:val="00710694"/>
    <w:rsid w:val="00710E22"/>
    <w:rsid w:val="00710FBD"/>
    <w:rsid w:val="00712169"/>
    <w:rsid w:val="00713AA4"/>
    <w:rsid w:val="00713CD2"/>
    <w:rsid w:val="00714392"/>
    <w:rsid w:val="007154E0"/>
    <w:rsid w:val="00716555"/>
    <w:rsid w:val="00716753"/>
    <w:rsid w:val="00716ED7"/>
    <w:rsid w:val="007172A0"/>
    <w:rsid w:val="0071772A"/>
    <w:rsid w:val="00720409"/>
    <w:rsid w:val="00720E07"/>
    <w:rsid w:val="007212A2"/>
    <w:rsid w:val="007245E8"/>
    <w:rsid w:val="00725F32"/>
    <w:rsid w:val="00731891"/>
    <w:rsid w:val="00731F99"/>
    <w:rsid w:val="00735058"/>
    <w:rsid w:val="007361CB"/>
    <w:rsid w:val="0073750F"/>
    <w:rsid w:val="00741F6C"/>
    <w:rsid w:val="00742ABC"/>
    <w:rsid w:val="00744401"/>
    <w:rsid w:val="00744D76"/>
    <w:rsid w:val="00747484"/>
    <w:rsid w:val="00747CF2"/>
    <w:rsid w:val="00751DBC"/>
    <w:rsid w:val="007547F9"/>
    <w:rsid w:val="007548E1"/>
    <w:rsid w:val="00754C55"/>
    <w:rsid w:val="007550B0"/>
    <w:rsid w:val="00755836"/>
    <w:rsid w:val="007572C0"/>
    <w:rsid w:val="00760901"/>
    <w:rsid w:val="0076109F"/>
    <w:rsid w:val="00761366"/>
    <w:rsid w:val="0076356A"/>
    <w:rsid w:val="0076668A"/>
    <w:rsid w:val="0077027F"/>
    <w:rsid w:val="00771DD7"/>
    <w:rsid w:val="00775655"/>
    <w:rsid w:val="00775713"/>
    <w:rsid w:val="00776000"/>
    <w:rsid w:val="00776169"/>
    <w:rsid w:val="00776DD6"/>
    <w:rsid w:val="0078278F"/>
    <w:rsid w:val="00783789"/>
    <w:rsid w:val="007858EA"/>
    <w:rsid w:val="00785A2C"/>
    <w:rsid w:val="00786350"/>
    <w:rsid w:val="007868E7"/>
    <w:rsid w:val="0078766A"/>
    <w:rsid w:val="00787A2F"/>
    <w:rsid w:val="00787FF0"/>
    <w:rsid w:val="00790A6A"/>
    <w:rsid w:val="0079373F"/>
    <w:rsid w:val="007960F1"/>
    <w:rsid w:val="007962F8"/>
    <w:rsid w:val="007A25A0"/>
    <w:rsid w:val="007A2668"/>
    <w:rsid w:val="007A2FE2"/>
    <w:rsid w:val="007A422C"/>
    <w:rsid w:val="007A5B3B"/>
    <w:rsid w:val="007A5C8B"/>
    <w:rsid w:val="007A74F3"/>
    <w:rsid w:val="007B1AF2"/>
    <w:rsid w:val="007B1FF3"/>
    <w:rsid w:val="007B29B2"/>
    <w:rsid w:val="007B3496"/>
    <w:rsid w:val="007B379E"/>
    <w:rsid w:val="007B49FE"/>
    <w:rsid w:val="007B4C44"/>
    <w:rsid w:val="007B5093"/>
    <w:rsid w:val="007B7563"/>
    <w:rsid w:val="007C2EC0"/>
    <w:rsid w:val="007C414B"/>
    <w:rsid w:val="007C42D2"/>
    <w:rsid w:val="007C56CA"/>
    <w:rsid w:val="007C7E3F"/>
    <w:rsid w:val="007D08BE"/>
    <w:rsid w:val="007D0B65"/>
    <w:rsid w:val="007D15BF"/>
    <w:rsid w:val="007D31BA"/>
    <w:rsid w:val="007D44C3"/>
    <w:rsid w:val="007D4DB8"/>
    <w:rsid w:val="007D5834"/>
    <w:rsid w:val="007D5B33"/>
    <w:rsid w:val="007D6F3C"/>
    <w:rsid w:val="007E017D"/>
    <w:rsid w:val="007E060C"/>
    <w:rsid w:val="007E10AA"/>
    <w:rsid w:val="007E2569"/>
    <w:rsid w:val="007E28A8"/>
    <w:rsid w:val="007E3544"/>
    <w:rsid w:val="007E4A01"/>
    <w:rsid w:val="007E5D8A"/>
    <w:rsid w:val="007E6584"/>
    <w:rsid w:val="007E778B"/>
    <w:rsid w:val="007F0DA5"/>
    <w:rsid w:val="007F1AB2"/>
    <w:rsid w:val="007F334B"/>
    <w:rsid w:val="007F3923"/>
    <w:rsid w:val="007F68D8"/>
    <w:rsid w:val="007F716A"/>
    <w:rsid w:val="007F75A8"/>
    <w:rsid w:val="00800042"/>
    <w:rsid w:val="0080194C"/>
    <w:rsid w:val="0080265E"/>
    <w:rsid w:val="00804133"/>
    <w:rsid w:val="00804384"/>
    <w:rsid w:val="00805900"/>
    <w:rsid w:val="00806B3F"/>
    <w:rsid w:val="00810A2F"/>
    <w:rsid w:val="008128F4"/>
    <w:rsid w:val="00814E2F"/>
    <w:rsid w:val="00815D50"/>
    <w:rsid w:val="00817264"/>
    <w:rsid w:val="00822396"/>
    <w:rsid w:val="00823E3D"/>
    <w:rsid w:val="00824146"/>
    <w:rsid w:val="00824416"/>
    <w:rsid w:val="00825462"/>
    <w:rsid w:val="00825FE0"/>
    <w:rsid w:val="00826C1F"/>
    <w:rsid w:val="008310D3"/>
    <w:rsid w:val="008314E2"/>
    <w:rsid w:val="00833DBC"/>
    <w:rsid w:val="008352D1"/>
    <w:rsid w:val="00835F31"/>
    <w:rsid w:val="008379C0"/>
    <w:rsid w:val="008451AA"/>
    <w:rsid w:val="00845AF9"/>
    <w:rsid w:val="008461C3"/>
    <w:rsid w:val="008464AD"/>
    <w:rsid w:val="0084766C"/>
    <w:rsid w:val="00847AF5"/>
    <w:rsid w:val="00847FAE"/>
    <w:rsid w:val="0085057C"/>
    <w:rsid w:val="00850949"/>
    <w:rsid w:val="008511FC"/>
    <w:rsid w:val="00851303"/>
    <w:rsid w:val="00852181"/>
    <w:rsid w:val="00852C97"/>
    <w:rsid w:val="00852E62"/>
    <w:rsid w:val="008557F1"/>
    <w:rsid w:val="00857EEE"/>
    <w:rsid w:val="008600DC"/>
    <w:rsid w:val="008626BB"/>
    <w:rsid w:val="008671E6"/>
    <w:rsid w:val="00871FEC"/>
    <w:rsid w:val="008747C7"/>
    <w:rsid w:val="00875C14"/>
    <w:rsid w:val="0087652B"/>
    <w:rsid w:val="00876735"/>
    <w:rsid w:val="00876F6C"/>
    <w:rsid w:val="008774A2"/>
    <w:rsid w:val="008815DA"/>
    <w:rsid w:val="00882276"/>
    <w:rsid w:val="008832FD"/>
    <w:rsid w:val="00883AF3"/>
    <w:rsid w:val="00883B54"/>
    <w:rsid w:val="00883B68"/>
    <w:rsid w:val="00884E7E"/>
    <w:rsid w:val="0088702C"/>
    <w:rsid w:val="00887CF6"/>
    <w:rsid w:val="008908DF"/>
    <w:rsid w:val="0089119C"/>
    <w:rsid w:val="00891311"/>
    <w:rsid w:val="00892D1E"/>
    <w:rsid w:val="00894861"/>
    <w:rsid w:val="008A024B"/>
    <w:rsid w:val="008A086D"/>
    <w:rsid w:val="008A1043"/>
    <w:rsid w:val="008A1422"/>
    <w:rsid w:val="008A1948"/>
    <w:rsid w:val="008A1F45"/>
    <w:rsid w:val="008A230E"/>
    <w:rsid w:val="008A4E31"/>
    <w:rsid w:val="008A6C86"/>
    <w:rsid w:val="008A7D8F"/>
    <w:rsid w:val="008B1B5B"/>
    <w:rsid w:val="008B423C"/>
    <w:rsid w:val="008B47B8"/>
    <w:rsid w:val="008B5028"/>
    <w:rsid w:val="008B57BB"/>
    <w:rsid w:val="008B61F0"/>
    <w:rsid w:val="008C1012"/>
    <w:rsid w:val="008C12EA"/>
    <w:rsid w:val="008C2725"/>
    <w:rsid w:val="008C2A60"/>
    <w:rsid w:val="008C2C03"/>
    <w:rsid w:val="008C311E"/>
    <w:rsid w:val="008C3D2F"/>
    <w:rsid w:val="008C3E01"/>
    <w:rsid w:val="008D21C4"/>
    <w:rsid w:val="008D3416"/>
    <w:rsid w:val="008D4186"/>
    <w:rsid w:val="008D59FC"/>
    <w:rsid w:val="008E14BF"/>
    <w:rsid w:val="008E3D87"/>
    <w:rsid w:val="008E57BF"/>
    <w:rsid w:val="008E58BF"/>
    <w:rsid w:val="008E59E6"/>
    <w:rsid w:val="008F12B8"/>
    <w:rsid w:val="008F1589"/>
    <w:rsid w:val="008F230A"/>
    <w:rsid w:val="008F399B"/>
    <w:rsid w:val="008F3E09"/>
    <w:rsid w:val="008F46D8"/>
    <w:rsid w:val="008F5BC3"/>
    <w:rsid w:val="008F5CA0"/>
    <w:rsid w:val="008F6A31"/>
    <w:rsid w:val="008F6B09"/>
    <w:rsid w:val="008F6D12"/>
    <w:rsid w:val="009049E7"/>
    <w:rsid w:val="009052BC"/>
    <w:rsid w:val="00906111"/>
    <w:rsid w:val="009107EA"/>
    <w:rsid w:val="0091099A"/>
    <w:rsid w:val="00911FA0"/>
    <w:rsid w:val="00912ABA"/>
    <w:rsid w:val="00912AD9"/>
    <w:rsid w:val="00913676"/>
    <w:rsid w:val="00915051"/>
    <w:rsid w:val="009160E6"/>
    <w:rsid w:val="0091687E"/>
    <w:rsid w:val="00921009"/>
    <w:rsid w:val="00921B27"/>
    <w:rsid w:val="00921D1D"/>
    <w:rsid w:val="00922C4B"/>
    <w:rsid w:val="0092423F"/>
    <w:rsid w:val="00924F46"/>
    <w:rsid w:val="00925EDE"/>
    <w:rsid w:val="0092636E"/>
    <w:rsid w:val="00926D7A"/>
    <w:rsid w:val="0093377D"/>
    <w:rsid w:val="00933FB5"/>
    <w:rsid w:val="00934834"/>
    <w:rsid w:val="009349FD"/>
    <w:rsid w:val="0093681D"/>
    <w:rsid w:val="00936DA8"/>
    <w:rsid w:val="00940534"/>
    <w:rsid w:val="009421FE"/>
    <w:rsid w:val="00942844"/>
    <w:rsid w:val="0094303A"/>
    <w:rsid w:val="009442B8"/>
    <w:rsid w:val="00944DB5"/>
    <w:rsid w:val="00945634"/>
    <w:rsid w:val="0094593F"/>
    <w:rsid w:val="00945B8F"/>
    <w:rsid w:val="009460ED"/>
    <w:rsid w:val="00946684"/>
    <w:rsid w:val="00946B00"/>
    <w:rsid w:val="009505B0"/>
    <w:rsid w:val="00956190"/>
    <w:rsid w:val="0095713B"/>
    <w:rsid w:val="00957AAC"/>
    <w:rsid w:val="00961553"/>
    <w:rsid w:val="0096289B"/>
    <w:rsid w:val="0096340D"/>
    <w:rsid w:val="0096467C"/>
    <w:rsid w:val="0096791F"/>
    <w:rsid w:val="0097038E"/>
    <w:rsid w:val="00970527"/>
    <w:rsid w:val="009705C0"/>
    <w:rsid w:val="00970890"/>
    <w:rsid w:val="00970D39"/>
    <w:rsid w:val="00971AAC"/>
    <w:rsid w:val="009722C9"/>
    <w:rsid w:val="00973070"/>
    <w:rsid w:val="00973ED5"/>
    <w:rsid w:val="00975327"/>
    <w:rsid w:val="009754FA"/>
    <w:rsid w:val="009766FC"/>
    <w:rsid w:val="00976AF6"/>
    <w:rsid w:val="00980001"/>
    <w:rsid w:val="0098069B"/>
    <w:rsid w:val="009806A1"/>
    <w:rsid w:val="0099034F"/>
    <w:rsid w:val="0099084D"/>
    <w:rsid w:val="00991232"/>
    <w:rsid w:val="00993263"/>
    <w:rsid w:val="00993343"/>
    <w:rsid w:val="00997D90"/>
    <w:rsid w:val="009A00C2"/>
    <w:rsid w:val="009A18BF"/>
    <w:rsid w:val="009A3DB5"/>
    <w:rsid w:val="009A3DC4"/>
    <w:rsid w:val="009A4034"/>
    <w:rsid w:val="009A5123"/>
    <w:rsid w:val="009A53B3"/>
    <w:rsid w:val="009A57E3"/>
    <w:rsid w:val="009A6124"/>
    <w:rsid w:val="009A63C6"/>
    <w:rsid w:val="009A7B68"/>
    <w:rsid w:val="009B0684"/>
    <w:rsid w:val="009B0F91"/>
    <w:rsid w:val="009B2D6C"/>
    <w:rsid w:val="009B32C6"/>
    <w:rsid w:val="009B4D68"/>
    <w:rsid w:val="009B5AC5"/>
    <w:rsid w:val="009B76BB"/>
    <w:rsid w:val="009B78EC"/>
    <w:rsid w:val="009C23C9"/>
    <w:rsid w:val="009C3263"/>
    <w:rsid w:val="009C381E"/>
    <w:rsid w:val="009C3836"/>
    <w:rsid w:val="009C4E9D"/>
    <w:rsid w:val="009C5620"/>
    <w:rsid w:val="009C70E8"/>
    <w:rsid w:val="009D25D7"/>
    <w:rsid w:val="009D33EB"/>
    <w:rsid w:val="009D6AB9"/>
    <w:rsid w:val="009E048C"/>
    <w:rsid w:val="009E051B"/>
    <w:rsid w:val="009E142C"/>
    <w:rsid w:val="009E2B65"/>
    <w:rsid w:val="009E5A8C"/>
    <w:rsid w:val="009E7835"/>
    <w:rsid w:val="009E79E3"/>
    <w:rsid w:val="009F079A"/>
    <w:rsid w:val="009F08B4"/>
    <w:rsid w:val="009F2209"/>
    <w:rsid w:val="009F3B6E"/>
    <w:rsid w:val="009F4088"/>
    <w:rsid w:val="009F4893"/>
    <w:rsid w:val="009F48D0"/>
    <w:rsid w:val="009F4FD2"/>
    <w:rsid w:val="009F7576"/>
    <w:rsid w:val="00A01D13"/>
    <w:rsid w:val="00A0397E"/>
    <w:rsid w:val="00A04C94"/>
    <w:rsid w:val="00A05A58"/>
    <w:rsid w:val="00A06299"/>
    <w:rsid w:val="00A06F6B"/>
    <w:rsid w:val="00A07F76"/>
    <w:rsid w:val="00A1073E"/>
    <w:rsid w:val="00A110A4"/>
    <w:rsid w:val="00A12815"/>
    <w:rsid w:val="00A14239"/>
    <w:rsid w:val="00A14296"/>
    <w:rsid w:val="00A148D0"/>
    <w:rsid w:val="00A15A88"/>
    <w:rsid w:val="00A15AA8"/>
    <w:rsid w:val="00A1731D"/>
    <w:rsid w:val="00A177F2"/>
    <w:rsid w:val="00A178E9"/>
    <w:rsid w:val="00A179D3"/>
    <w:rsid w:val="00A20686"/>
    <w:rsid w:val="00A20753"/>
    <w:rsid w:val="00A20AE9"/>
    <w:rsid w:val="00A21301"/>
    <w:rsid w:val="00A23E04"/>
    <w:rsid w:val="00A241B2"/>
    <w:rsid w:val="00A24676"/>
    <w:rsid w:val="00A2667A"/>
    <w:rsid w:val="00A27713"/>
    <w:rsid w:val="00A343B6"/>
    <w:rsid w:val="00A34499"/>
    <w:rsid w:val="00A352AB"/>
    <w:rsid w:val="00A35959"/>
    <w:rsid w:val="00A4030E"/>
    <w:rsid w:val="00A403D3"/>
    <w:rsid w:val="00A41C73"/>
    <w:rsid w:val="00A432C0"/>
    <w:rsid w:val="00A45390"/>
    <w:rsid w:val="00A46072"/>
    <w:rsid w:val="00A46466"/>
    <w:rsid w:val="00A46B69"/>
    <w:rsid w:val="00A50F3A"/>
    <w:rsid w:val="00A527A6"/>
    <w:rsid w:val="00A54112"/>
    <w:rsid w:val="00A541D3"/>
    <w:rsid w:val="00A54C14"/>
    <w:rsid w:val="00A54C54"/>
    <w:rsid w:val="00A54F98"/>
    <w:rsid w:val="00A5578B"/>
    <w:rsid w:val="00A557FC"/>
    <w:rsid w:val="00A55A36"/>
    <w:rsid w:val="00A55B62"/>
    <w:rsid w:val="00A55F22"/>
    <w:rsid w:val="00A61CC9"/>
    <w:rsid w:val="00A6207C"/>
    <w:rsid w:val="00A6363A"/>
    <w:rsid w:val="00A64B5B"/>
    <w:rsid w:val="00A657E7"/>
    <w:rsid w:val="00A701E3"/>
    <w:rsid w:val="00A7107C"/>
    <w:rsid w:val="00A71935"/>
    <w:rsid w:val="00A71DCF"/>
    <w:rsid w:val="00A72CF9"/>
    <w:rsid w:val="00A72DFF"/>
    <w:rsid w:val="00A740E3"/>
    <w:rsid w:val="00A745E3"/>
    <w:rsid w:val="00A74623"/>
    <w:rsid w:val="00A753AC"/>
    <w:rsid w:val="00A76453"/>
    <w:rsid w:val="00A76460"/>
    <w:rsid w:val="00A76FE9"/>
    <w:rsid w:val="00A77A18"/>
    <w:rsid w:val="00A80728"/>
    <w:rsid w:val="00A819E3"/>
    <w:rsid w:val="00A821B9"/>
    <w:rsid w:val="00A82D2E"/>
    <w:rsid w:val="00A83339"/>
    <w:rsid w:val="00A83AB6"/>
    <w:rsid w:val="00A849A6"/>
    <w:rsid w:val="00A851F3"/>
    <w:rsid w:val="00A85EC5"/>
    <w:rsid w:val="00A86470"/>
    <w:rsid w:val="00A86E14"/>
    <w:rsid w:val="00A92F26"/>
    <w:rsid w:val="00A9579D"/>
    <w:rsid w:val="00AA021D"/>
    <w:rsid w:val="00AA02FE"/>
    <w:rsid w:val="00AA078A"/>
    <w:rsid w:val="00AA164B"/>
    <w:rsid w:val="00AA3EEB"/>
    <w:rsid w:val="00AA3FCA"/>
    <w:rsid w:val="00AA4E02"/>
    <w:rsid w:val="00AA5DC7"/>
    <w:rsid w:val="00AA5EC9"/>
    <w:rsid w:val="00AA6C92"/>
    <w:rsid w:val="00AA79FC"/>
    <w:rsid w:val="00AB1123"/>
    <w:rsid w:val="00AB1849"/>
    <w:rsid w:val="00AB2269"/>
    <w:rsid w:val="00AB2746"/>
    <w:rsid w:val="00AB7BC1"/>
    <w:rsid w:val="00AC2706"/>
    <w:rsid w:val="00AC3184"/>
    <w:rsid w:val="00AC3E35"/>
    <w:rsid w:val="00AC56E9"/>
    <w:rsid w:val="00AC6B51"/>
    <w:rsid w:val="00AC769B"/>
    <w:rsid w:val="00AC7855"/>
    <w:rsid w:val="00AC7A58"/>
    <w:rsid w:val="00AD15FB"/>
    <w:rsid w:val="00AD2BFD"/>
    <w:rsid w:val="00AD5687"/>
    <w:rsid w:val="00AD7563"/>
    <w:rsid w:val="00AD7BF9"/>
    <w:rsid w:val="00AE117A"/>
    <w:rsid w:val="00AE2DD1"/>
    <w:rsid w:val="00AE377F"/>
    <w:rsid w:val="00AE4954"/>
    <w:rsid w:val="00AE60D6"/>
    <w:rsid w:val="00AE77F4"/>
    <w:rsid w:val="00AF07B4"/>
    <w:rsid w:val="00AF411E"/>
    <w:rsid w:val="00AF6E98"/>
    <w:rsid w:val="00AF78A1"/>
    <w:rsid w:val="00B00511"/>
    <w:rsid w:val="00B01463"/>
    <w:rsid w:val="00B01B5E"/>
    <w:rsid w:val="00B03A92"/>
    <w:rsid w:val="00B06ABB"/>
    <w:rsid w:val="00B06B31"/>
    <w:rsid w:val="00B10A20"/>
    <w:rsid w:val="00B10C45"/>
    <w:rsid w:val="00B10EE4"/>
    <w:rsid w:val="00B111F7"/>
    <w:rsid w:val="00B11254"/>
    <w:rsid w:val="00B143AA"/>
    <w:rsid w:val="00B16BAA"/>
    <w:rsid w:val="00B1741B"/>
    <w:rsid w:val="00B2003D"/>
    <w:rsid w:val="00B21621"/>
    <w:rsid w:val="00B21AF4"/>
    <w:rsid w:val="00B22ECB"/>
    <w:rsid w:val="00B22EF9"/>
    <w:rsid w:val="00B2390E"/>
    <w:rsid w:val="00B25DC9"/>
    <w:rsid w:val="00B2629E"/>
    <w:rsid w:val="00B37BB0"/>
    <w:rsid w:val="00B37E13"/>
    <w:rsid w:val="00B4377A"/>
    <w:rsid w:val="00B44CC5"/>
    <w:rsid w:val="00B457A3"/>
    <w:rsid w:val="00B45AE0"/>
    <w:rsid w:val="00B53A1E"/>
    <w:rsid w:val="00B54F60"/>
    <w:rsid w:val="00B5559A"/>
    <w:rsid w:val="00B55687"/>
    <w:rsid w:val="00B57469"/>
    <w:rsid w:val="00B57F93"/>
    <w:rsid w:val="00B6527C"/>
    <w:rsid w:val="00B705CD"/>
    <w:rsid w:val="00B71057"/>
    <w:rsid w:val="00B73D75"/>
    <w:rsid w:val="00B7783B"/>
    <w:rsid w:val="00B8351F"/>
    <w:rsid w:val="00B86A42"/>
    <w:rsid w:val="00B86FBA"/>
    <w:rsid w:val="00B876A3"/>
    <w:rsid w:val="00B907E3"/>
    <w:rsid w:val="00B90C65"/>
    <w:rsid w:val="00B91E24"/>
    <w:rsid w:val="00B92185"/>
    <w:rsid w:val="00B92508"/>
    <w:rsid w:val="00B93F44"/>
    <w:rsid w:val="00B96A1E"/>
    <w:rsid w:val="00BA0216"/>
    <w:rsid w:val="00BA0D2D"/>
    <w:rsid w:val="00BA56A1"/>
    <w:rsid w:val="00BA59D9"/>
    <w:rsid w:val="00BA6F9E"/>
    <w:rsid w:val="00BB0CF7"/>
    <w:rsid w:val="00BB41DC"/>
    <w:rsid w:val="00BB4A80"/>
    <w:rsid w:val="00BB6B1D"/>
    <w:rsid w:val="00BB6D21"/>
    <w:rsid w:val="00BB6DC7"/>
    <w:rsid w:val="00BB7102"/>
    <w:rsid w:val="00BC2102"/>
    <w:rsid w:val="00BC3E18"/>
    <w:rsid w:val="00BC4A18"/>
    <w:rsid w:val="00BC506E"/>
    <w:rsid w:val="00BC5B6D"/>
    <w:rsid w:val="00BC78EC"/>
    <w:rsid w:val="00BD04A4"/>
    <w:rsid w:val="00BD0540"/>
    <w:rsid w:val="00BD143F"/>
    <w:rsid w:val="00BD19F3"/>
    <w:rsid w:val="00BD30C8"/>
    <w:rsid w:val="00BD31C2"/>
    <w:rsid w:val="00BE0D2C"/>
    <w:rsid w:val="00BE0E7C"/>
    <w:rsid w:val="00BE3F0C"/>
    <w:rsid w:val="00BE6D45"/>
    <w:rsid w:val="00BF2846"/>
    <w:rsid w:val="00BF3AA7"/>
    <w:rsid w:val="00BF45A4"/>
    <w:rsid w:val="00BF4A55"/>
    <w:rsid w:val="00BF553C"/>
    <w:rsid w:val="00BF5E12"/>
    <w:rsid w:val="00BF7158"/>
    <w:rsid w:val="00BF7C3E"/>
    <w:rsid w:val="00C0020D"/>
    <w:rsid w:val="00C00682"/>
    <w:rsid w:val="00C036E9"/>
    <w:rsid w:val="00C037BB"/>
    <w:rsid w:val="00C037D5"/>
    <w:rsid w:val="00C038CD"/>
    <w:rsid w:val="00C03972"/>
    <w:rsid w:val="00C04972"/>
    <w:rsid w:val="00C0728B"/>
    <w:rsid w:val="00C07F95"/>
    <w:rsid w:val="00C10BD5"/>
    <w:rsid w:val="00C14312"/>
    <w:rsid w:val="00C165B2"/>
    <w:rsid w:val="00C16D70"/>
    <w:rsid w:val="00C1787C"/>
    <w:rsid w:val="00C17908"/>
    <w:rsid w:val="00C17A88"/>
    <w:rsid w:val="00C17D65"/>
    <w:rsid w:val="00C24295"/>
    <w:rsid w:val="00C24345"/>
    <w:rsid w:val="00C24EEC"/>
    <w:rsid w:val="00C27CF5"/>
    <w:rsid w:val="00C30544"/>
    <w:rsid w:val="00C316F2"/>
    <w:rsid w:val="00C33188"/>
    <w:rsid w:val="00C33816"/>
    <w:rsid w:val="00C348CD"/>
    <w:rsid w:val="00C35872"/>
    <w:rsid w:val="00C364A4"/>
    <w:rsid w:val="00C438FE"/>
    <w:rsid w:val="00C45965"/>
    <w:rsid w:val="00C47221"/>
    <w:rsid w:val="00C5186D"/>
    <w:rsid w:val="00C52546"/>
    <w:rsid w:val="00C54ABD"/>
    <w:rsid w:val="00C55707"/>
    <w:rsid w:val="00C601EA"/>
    <w:rsid w:val="00C60E55"/>
    <w:rsid w:val="00C62699"/>
    <w:rsid w:val="00C62D74"/>
    <w:rsid w:val="00C6485E"/>
    <w:rsid w:val="00C64B3C"/>
    <w:rsid w:val="00C64B72"/>
    <w:rsid w:val="00C64EBA"/>
    <w:rsid w:val="00C64F14"/>
    <w:rsid w:val="00C65B93"/>
    <w:rsid w:val="00C669CD"/>
    <w:rsid w:val="00C66D3D"/>
    <w:rsid w:val="00C6791D"/>
    <w:rsid w:val="00C67EF4"/>
    <w:rsid w:val="00C740C5"/>
    <w:rsid w:val="00C74524"/>
    <w:rsid w:val="00C74619"/>
    <w:rsid w:val="00C75400"/>
    <w:rsid w:val="00C75736"/>
    <w:rsid w:val="00C757E9"/>
    <w:rsid w:val="00C75E9B"/>
    <w:rsid w:val="00C77261"/>
    <w:rsid w:val="00C772C4"/>
    <w:rsid w:val="00C77882"/>
    <w:rsid w:val="00C8249D"/>
    <w:rsid w:val="00C83BDA"/>
    <w:rsid w:val="00C84CF0"/>
    <w:rsid w:val="00C8677B"/>
    <w:rsid w:val="00C86820"/>
    <w:rsid w:val="00C90A62"/>
    <w:rsid w:val="00C90F99"/>
    <w:rsid w:val="00C91734"/>
    <w:rsid w:val="00C9377F"/>
    <w:rsid w:val="00C9514D"/>
    <w:rsid w:val="00C95C8F"/>
    <w:rsid w:val="00C96915"/>
    <w:rsid w:val="00C97FEA"/>
    <w:rsid w:val="00CA127E"/>
    <w:rsid w:val="00CA2437"/>
    <w:rsid w:val="00CA2675"/>
    <w:rsid w:val="00CA4D0C"/>
    <w:rsid w:val="00CA5202"/>
    <w:rsid w:val="00CA571C"/>
    <w:rsid w:val="00CA59B7"/>
    <w:rsid w:val="00CA5E76"/>
    <w:rsid w:val="00CA6DA0"/>
    <w:rsid w:val="00CA7F00"/>
    <w:rsid w:val="00CB0F50"/>
    <w:rsid w:val="00CB21A7"/>
    <w:rsid w:val="00CB27FF"/>
    <w:rsid w:val="00CB2E19"/>
    <w:rsid w:val="00CB2E1C"/>
    <w:rsid w:val="00CB30C2"/>
    <w:rsid w:val="00CB3893"/>
    <w:rsid w:val="00CB4B76"/>
    <w:rsid w:val="00CB4D60"/>
    <w:rsid w:val="00CB4DEB"/>
    <w:rsid w:val="00CB692F"/>
    <w:rsid w:val="00CB6C98"/>
    <w:rsid w:val="00CB717D"/>
    <w:rsid w:val="00CC00B0"/>
    <w:rsid w:val="00CC349D"/>
    <w:rsid w:val="00CC7255"/>
    <w:rsid w:val="00CC7D1E"/>
    <w:rsid w:val="00CC7F0A"/>
    <w:rsid w:val="00CD1DBB"/>
    <w:rsid w:val="00CD3C0F"/>
    <w:rsid w:val="00CD679E"/>
    <w:rsid w:val="00CD6EA2"/>
    <w:rsid w:val="00CD7DFF"/>
    <w:rsid w:val="00CE0740"/>
    <w:rsid w:val="00CE19B3"/>
    <w:rsid w:val="00CE1A21"/>
    <w:rsid w:val="00CE3E7B"/>
    <w:rsid w:val="00CE42D9"/>
    <w:rsid w:val="00CE525B"/>
    <w:rsid w:val="00CE547D"/>
    <w:rsid w:val="00CE69D3"/>
    <w:rsid w:val="00CE7414"/>
    <w:rsid w:val="00CE782D"/>
    <w:rsid w:val="00CF2859"/>
    <w:rsid w:val="00CF29E9"/>
    <w:rsid w:val="00CF5A4E"/>
    <w:rsid w:val="00CF7C26"/>
    <w:rsid w:val="00D011D8"/>
    <w:rsid w:val="00D024F3"/>
    <w:rsid w:val="00D041FE"/>
    <w:rsid w:val="00D047C2"/>
    <w:rsid w:val="00D04A50"/>
    <w:rsid w:val="00D05907"/>
    <w:rsid w:val="00D06C8A"/>
    <w:rsid w:val="00D07AFD"/>
    <w:rsid w:val="00D14BF4"/>
    <w:rsid w:val="00D160F2"/>
    <w:rsid w:val="00D174E8"/>
    <w:rsid w:val="00D1755D"/>
    <w:rsid w:val="00D177B5"/>
    <w:rsid w:val="00D2006D"/>
    <w:rsid w:val="00D22397"/>
    <w:rsid w:val="00D22CC9"/>
    <w:rsid w:val="00D234D0"/>
    <w:rsid w:val="00D237C9"/>
    <w:rsid w:val="00D23A8B"/>
    <w:rsid w:val="00D24042"/>
    <w:rsid w:val="00D27590"/>
    <w:rsid w:val="00D27F2D"/>
    <w:rsid w:val="00D308FF"/>
    <w:rsid w:val="00D30908"/>
    <w:rsid w:val="00D315AE"/>
    <w:rsid w:val="00D31BA4"/>
    <w:rsid w:val="00D325CE"/>
    <w:rsid w:val="00D328DE"/>
    <w:rsid w:val="00D32E80"/>
    <w:rsid w:val="00D33336"/>
    <w:rsid w:val="00D334A3"/>
    <w:rsid w:val="00D353D1"/>
    <w:rsid w:val="00D36027"/>
    <w:rsid w:val="00D36603"/>
    <w:rsid w:val="00D36E0E"/>
    <w:rsid w:val="00D37483"/>
    <w:rsid w:val="00D3782F"/>
    <w:rsid w:val="00D430D5"/>
    <w:rsid w:val="00D43FD1"/>
    <w:rsid w:val="00D50198"/>
    <w:rsid w:val="00D502A0"/>
    <w:rsid w:val="00D52886"/>
    <w:rsid w:val="00D555B3"/>
    <w:rsid w:val="00D5692A"/>
    <w:rsid w:val="00D570A2"/>
    <w:rsid w:val="00D57451"/>
    <w:rsid w:val="00D57991"/>
    <w:rsid w:val="00D57C5C"/>
    <w:rsid w:val="00D66A6D"/>
    <w:rsid w:val="00D67157"/>
    <w:rsid w:val="00D701E0"/>
    <w:rsid w:val="00D703CC"/>
    <w:rsid w:val="00D70C9B"/>
    <w:rsid w:val="00D72776"/>
    <w:rsid w:val="00D739B8"/>
    <w:rsid w:val="00D80714"/>
    <w:rsid w:val="00D80E51"/>
    <w:rsid w:val="00D81533"/>
    <w:rsid w:val="00D8301A"/>
    <w:rsid w:val="00D9192F"/>
    <w:rsid w:val="00D92EDB"/>
    <w:rsid w:val="00D94256"/>
    <w:rsid w:val="00D9466F"/>
    <w:rsid w:val="00D96575"/>
    <w:rsid w:val="00D97663"/>
    <w:rsid w:val="00DA137E"/>
    <w:rsid w:val="00DA3D35"/>
    <w:rsid w:val="00DA41A5"/>
    <w:rsid w:val="00DA4D52"/>
    <w:rsid w:val="00DA679A"/>
    <w:rsid w:val="00DA7997"/>
    <w:rsid w:val="00DB15B9"/>
    <w:rsid w:val="00DB174E"/>
    <w:rsid w:val="00DB1A9A"/>
    <w:rsid w:val="00DB50E9"/>
    <w:rsid w:val="00DB56D2"/>
    <w:rsid w:val="00DB680B"/>
    <w:rsid w:val="00DB6BFE"/>
    <w:rsid w:val="00DB7155"/>
    <w:rsid w:val="00DC0310"/>
    <w:rsid w:val="00DC441C"/>
    <w:rsid w:val="00DC6024"/>
    <w:rsid w:val="00DD0461"/>
    <w:rsid w:val="00DD131D"/>
    <w:rsid w:val="00DD27A7"/>
    <w:rsid w:val="00DD2BC9"/>
    <w:rsid w:val="00DD35AE"/>
    <w:rsid w:val="00DE136C"/>
    <w:rsid w:val="00DE1A19"/>
    <w:rsid w:val="00DE4A88"/>
    <w:rsid w:val="00DE5AC9"/>
    <w:rsid w:val="00DE5CE2"/>
    <w:rsid w:val="00DE6018"/>
    <w:rsid w:val="00DE7F62"/>
    <w:rsid w:val="00DF0C2A"/>
    <w:rsid w:val="00DF21E6"/>
    <w:rsid w:val="00DF41AC"/>
    <w:rsid w:val="00DF5194"/>
    <w:rsid w:val="00DF6B73"/>
    <w:rsid w:val="00DF7DA5"/>
    <w:rsid w:val="00DF7F72"/>
    <w:rsid w:val="00E00A74"/>
    <w:rsid w:val="00E0162E"/>
    <w:rsid w:val="00E04271"/>
    <w:rsid w:val="00E05220"/>
    <w:rsid w:val="00E06D3F"/>
    <w:rsid w:val="00E072BD"/>
    <w:rsid w:val="00E13301"/>
    <w:rsid w:val="00E13718"/>
    <w:rsid w:val="00E13F3D"/>
    <w:rsid w:val="00E144D3"/>
    <w:rsid w:val="00E208EA"/>
    <w:rsid w:val="00E213E8"/>
    <w:rsid w:val="00E21893"/>
    <w:rsid w:val="00E23E12"/>
    <w:rsid w:val="00E24756"/>
    <w:rsid w:val="00E247A1"/>
    <w:rsid w:val="00E249F8"/>
    <w:rsid w:val="00E24ADE"/>
    <w:rsid w:val="00E24FE2"/>
    <w:rsid w:val="00E25AD9"/>
    <w:rsid w:val="00E30A7E"/>
    <w:rsid w:val="00E31374"/>
    <w:rsid w:val="00E33656"/>
    <w:rsid w:val="00E34172"/>
    <w:rsid w:val="00E35B6F"/>
    <w:rsid w:val="00E36110"/>
    <w:rsid w:val="00E3690B"/>
    <w:rsid w:val="00E36F23"/>
    <w:rsid w:val="00E41742"/>
    <w:rsid w:val="00E41C1D"/>
    <w:rsid w:val="00E43EAF"/>
    <w:rsid w:val="00E45A0D"/>
    <w:rsid w:val="00E45BBB"/>
    <w:rsid w:val="00E47846"/>
    <w:rsid w:val="00E503E3"/>
    <w:rsid w:val="00E5070E"/>
    <w:rsid w:val="00E51321"/>
    <w:rsid w:val="00E51ECD"/>
    <w:rsid w:val="00E52984"/>
    <w:rsid w:val="00E5411F"/>
    <w:rsid w:val="00E5463D"/>
    <w:rsid w:val="00E549B2"/>
    <w:rsid w:val="00E54B8B"/>
    <w:rsid w:val="00E54E5E"/>
    <w:rsid w:val="00E56E89"/>
    <w:rsid w:val="00E56EFD"/>
    <w:rsid w:val="00E60C37"/>
    <w:rsid w:val="00E61036"/>
    <w:rsid w:val="00E6183D"/>
    <w:rsid w:val="00E61D53"/>
    <w:rsid w:val="00E62163"/>
    <w:rsid w:val="00E6219A"/>
    <w:rsid w:val="00E6255A"/>
    <w:rsid w:val="00E628F3"/>
    <w:rsid w:val="00E62A7E"/>
    <w:rsid w:val="00E63F1D"/>
    <w:rsid w:val="00E65E58"/>
    <w:rsid w:val="00E6737D"/>
    <w:rsid w:val="00E71171"/>
    <w:rsid w:val="00E76EA0"/>
    <w:rsid w:val="00E80B26"/>
    <w:rsid w:val="00E80C22"/>
    <w:rsid w:val="00E823B8"/>
    <w:rsid w:val="00E82D73"/>
    <w:rsid w:val="00E83E97"/>
    <w:rsid w:val="00E86B53"/>
    <w:rsid w:val="00E86BCC"/>
    <w:rsid w:val="00E877C8"/>
    <w:rsid w:val="00E87B79"/>
    <w:rsid w:val="00E91BE4"/>
    <w:rsid w:val="00E928E5"/>
    <w:rsid w:val="00E93CA3"/>
    <w:rsid w:val="00EA0E5C"/>
    <w:rsid w:val="00EA2413"/>
    <w:rsid w:val="00EA5623"/>
    <w:rsid w:val="00EA6F21"/>
    <w:rsid w:val="00EB34E9"/>
    <w:rsid w:val="00EB4931"/>
    <w:rsid w:val="00EB57EC"/>
    <w:rsid w:val="00EC185B"/>
    <w:rsid w:val="00EC3495"/>
    <w:rsid w:val="00EC42BD"/>
    <w:rsid w:val="00EC68D1"/>
    <w:rsid w:val="00ED2B77"/>
    <w:rsid w:val="00ED4980"/>
    <w:rsid w:val="00ED5085"/>
    <w:rsid w:val="00ED6BBF"/>
    <w:rsid w:val="00ED6D75"/>
    <w:rsid w:val="00ED76DC"/>
    <w:rsid w:val="00EE0411"/>
    <w:rsid w:val="00EE2515"/>
    <w:rsid w:val="00EE3A56"/>
    <w:rsid w:val="00EE4F8F"/>
    <w:rsid w:val="00EF3E44"/>
    <w:rsid w:val="00EF5986"/>
    <w:rsid w:val="00EF5BCC"/>
    <w:rsid w:val="00EF5BD1"/>
    <w:rsid w:val="00EF6616"/>
    <w:rsid w:val="00EF7253"/>
    <w:rsid w:val="00F00106"/>
    <w:rsid w:val="00F005D0"/>
    <w:rsid w:val="00F009D3"/>
    <w:rsid w:val="00F00E4B"/>
    <w:rsid w:val="00F03079"/>
    <w:rsid w:val="00F12765"/>
    <w:rsid w:val="00F13E3C"/>
    <w:rsid w:val="00F15C05"/>
    <w:rsid w:val="00F16D33"/>
    <w:rsid w:val="00F17F9A"/>
    <w:rsid w:val="00F20BB5"/>
    <w:rsid w:val="00F20F20"/>
    <w:rsid w:val="00F219CB"/>
    <w:rsid w:val="00F2382E"/>
    <w:rsid w:val="00F24563"/>
    <w:rsid w:val="00F24B37"/>
    <w:rsid w:val="00F25757"/>
    <w:rsid w:val="00F257BE"/>
    <w:rsid w:val="00F2690E"/>
    <w:rsid w:val="00F275C4"/>
    <w:rsid w:val="00F37F9E"/>
    <w:rsid w:val="00F40059"/>
    <w:rsid w:val="00F4022F"/>
    <w:rsid w:val="00F409A9"/>
    <w:rsid w:val="00F4145C"/>
    <w:rsid w:val="00F4266B"/>
    <w:rsid w:val="00F44001"/>
    <w:rsid w:val="00F44605"/>
    <w:rsid w:val="00F44F5F"/>
    <w:rsid w:val="00F45B0E"/>
    <w:rsid w:val="00F46464"/>
    <w:rsid w:val="00F468FF"/>
    <w:rsid w:val="00F470D1"/>
    <w:rsid w:val="00F47135"/>
    <w:rsid w:val="00F50D9D"/>
    <w:rsid w:val="00F50F45"/>
    <w:rsid w:val="00F51081"/>
    <w:rsid w:val="00F519FB"/>
    <w:rsid w:val="00F55B48"/>
    <w:rsid w:val="00F57871"/>
    <w:rsid w:val="00F604EB"/>
    <w:rsid w:val="00F60748"/>
    <w:rsid w:val="00F61FFA"/>
    <w:rsid w:val="00F6507B"/>
    <w:rsid w:val="00F66DED"/>
    <w:rsid w:val="00F67CC2"/>
    <w:rsid w:val="00F67EAC"/>
    <w:rsid w:val="00F71B16"/>
    <w:rsid w:val="00F72484"/>
    <w:rsid w:val="00F7542E"/>
    <w:rsid w:val="00F7572C"/>
    <w:rsid w:val="00F76C24"/>
    <w:rsid w:val="00F76CD8"/>
    <w:rsid w:val="00F80BB7"/>
    <w:rsid w:val="00F82554"/>
    <w:rsid w:val="00F82AF0"/>
    <w:rsid w:val="00F83443"/>
    <w:rsid w:val="00F83B77"/>
    <w:rsid w:val="00F85A48"/>
    <w:rsid w:val="00F8720E"/>
    <w:rsid w:val="00F87CAE"/>
    <w:rsid w:val="00F9150E"/>
    <w:rsid w:val="00F91735"/>
    <w:rsid w:val="00F92A88"/>
    <w:rsid w:val="00F94806"/>
    <w:rsid w:val="00F97880"/>
    <w:rsid w:val="00FA174E"/>
    <w:rsid w:val="00FA2250"/>
    <w:rsid w:val="00FA3055"/>
    <w:rsid w:val="00FA3B7C"/>
    <w:rsid w:val="00FA42A0"/>
    <w:rsid w:val="00FA4B98"/>
    <w:rsid w:val="00FA4F3C"/>
    <w:rsid w:val="00FA614C"/>
    <w:rsid w:val="00FA65BF"/>
    <w:rsid w:val="00FA6991"/>
    <w:rsid w:val="00FA74A0"/>
    <w:rsid w:val="00FB05DA"/>
    <w:rsid w:val="00FB2593"/>
    <w:rsid w:val="00FB2AB7"/>
    <w:rsid w:val="00FB3082"/>
    <w:rsid w:val="00FB5209"/>
    <w:rsid w:val="00FB7467"/>
    <w:rsid w:val="00FC0052"/>
    <w:rsid w:val="00FC3F8F"/>
    <w:rsid w:val="00FC509A"/>
    <w:rsid w:val="00FC573B"/>
    <w:rsid w:val="00FC7B71"/>
    <w:rsid w:val="00FD25F5"/>
    <w:rsid w:val="00FD2E3E"/>
    <w:rsid w:val="00FD31C9"/>
    <w:rsid w:val="00FD3924"/>
    <w:rsid w:val="00FD5008"/>
    <w:rsid w:val="00FD58A1"/>
    <w:rsid w:val="00FE05E8"/>
    <w:rsid w:val="00FE0BB9"/>
    <w:rsid w:val="00FE0F8D"/>
    <w:rsid w:val="00FE1CE5"/>
    <w:rsid w:val="00FE5134"/>
    <w:rsid w:val="00FE5167"/>
    <w:rsid w:val="00FE5CEB"/>
    <w:rsid w:val="00FE5FBA"/>
    <w:rsid w:val="00FF16E1"/>
    <w:rsid w:val="00FF1E45"/>
    <w:rsid w:val="00FF2667"/>
    <w:rsid w:val="00FF33A3"/>
    <w:rsid w:val="00FF3A77"/>
    <w:rsid w:val="00FF3D9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3DD31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F6A31"/>
    <w:pPr>
      <w:spacing w:after="240"/>
      <w:jc w:val="both"/>
    </w:pPr>
    <w:rPr>
      <w:rFonts w:ascii="Times New Roman" w:eastAsia="Calibri" w:hAnsi="Times New Roman" w:cs="Times New Roman"/>
      <w:sz w:val="24"/>
    </w:rPr>
  </w:style>
  <w:style w:type="paragraph" w:styleId="Nadpis1">
    <w:name w:val="heading 1"/>
    <w:basedOn w:val="Normln"/>
    <w:next w:val="Normln"/>
    <w:link w:val="Nadpis1Char"/>
    <w:uiPriority w:val="9"/>
    <w:qFormat/>
    <w:rsid w:val="005871A5"/>
    <w:pPr>
      <w:keepNext/>
      <w:keepLines/>
      <w:spacing w:before="480" w:after="0"/>
      <w:jc w:val="center"/>
      <w:outlineLvl w:val="0"/>
    </w:pPr>
    <w:rPr>
      <w:rFonts w:eastAsiaTheme="majorEastAsia" w:cstheme="majorBidi"/>
      <w:b/>
      <w:bCs/>
      <w:sz w:val="28"/>
      <w:szCs w:val="28"/>
    </w:rPr>
  </w:style>
  <w:style w:type="paragraph" w:styleId="Nadpis2">
    <w:name w:val="heading 2"/>
    <w:basedOn w:val="Normln"/>
    <w:next w:val="Normln"/>
    <w:link w:val="Nadpis2Char"/>
    <w:uiPriority w:val="9"/>
    <w:unhideWhenUsed/>
    <w:qFormat/>
    <w:rsid w:val="005A04B3"/>
    <w:pPr>
      <w:keepNext/>
      <w:keepLines/>
      <w:numPr>
        <w:numId w:val="2"/>
      </w:numPr>
      <w:spacing w:before="240"/>
      <w:ind w:left="851" w:hanging="851"/>
      <w:outlineLvl w:val="1"/>
    </w:pPr>
    <w:rPr>
      <w:rFonts w:eastAsiaTheme="majorEastAsia" w:cstheme="majorBidi"/>
      <w:b/>
      <w:bCs/>
      <w:color w:val="000000" w:themeColor="text1"/>
      <w:szCs w:val="26"/>
    </w:rPr>
  </w:style>
  <w:style w:type="paragraph" w:styleId="Nadpis3">
    <w:name w:val="heading 3"/>
    <w:basedOn w:val="Normln"/>
    <w:next w:val="Normln"/>
    <w:link w:val="Nadpis3Char"/>
    <w:uiPriority w:val="9"/>
    <w:unhideWhenUsed/>
    <w:qFormat/>
    <w:rsid w:val="005A04B3"/>
    <w:pPr>
      <w:keepNext/>
      <w:keepLines/>
      <w:spacing w:before="240"/>
      <w:outlineLvl w:val="2"/>
    </w:pPr>
    <w:rPr>
      <w:rFonts w:eastAsiaTheme="majorEastAsia" w:cstheme="majorBidi"/>
      <w:b/>
      <w:bCs/>
    </w:rPr>
  </w:style>
  <w:style w:type="paragraph" w:styleId="Nadpis4">
    <w:name w:val="heading 4"/>
    <w:basedOn w:val="Normln"/>
    <w:next w:val="Normln"/>
    <w:link w:val="Nadpis4Char"/>
    <w:uiPriority w:val="9"/>
    <w:unhideWhenUsed/>
    <w:qFormat/>
    <w:rsid w:val="007A5B3B"/>
    <w:pPr>
      <w:keepNext/>
      <w:keepLines/>
      <w:spacing w:before="240"/>
      <w:outlineLvl w:val="3"/>
    </w:pPr>
    <w:rPr>
      <w:rFonts w:eastAsiaTheme="majorEastAsia" w:cstheme="majorBidi"/>
      <w:b/>
      <w:bCs/>
      <w:iCs/>
    </w:rPr>
  </w:style>
  <w:style w:type="paragraph" w:styleId="Nadpis5">
    <w:name w:val="heading 5"/>
    <w:basedOn w:val="Normln"/>
    <w:next w:val="Normln"/>
    <w:link w:val="Nadpis5Char"/>
    <w:uiPriority w:val="9"/>
    <w:unhideWhenUsed/>
    <w:qFormat/>
    <w:rsid w:val="00970D39"/>
    <w:pPr>
      <w:keepNext/>
      <w:keepLines/>
      <w:spacing w:before="240"/>
      <w:outlineLvl w:val="4"/>
    </w:pPr>
    <w:rPr>
      <w:rFonts w:eastAsiaTheme="majorEastAsia" w:cstheme="majorBidi"/>
      <w:b/>
      <w:i/>
    </w:rPr>
  </w:style>
  <w:style w:type="paragraph" w:styleId="Nadpis6">
    <w:name w:val="heading 6"/>
    <w:basedOn w:val="Normln"/>
    <w:next w:val="Normln"/>
    <w:link w:val="Nadpis6Char"/>
    <w:uiPriority w:val="9"/>
    <w:unhideWhenUsed/>
    <w:qFormat/>
    <w:rsid w:val="005B3A6E"/>
    <w:pPr>
      <w:keepNext/>
      <w:keepLines/>
      <w:outlineLvl w:val="5"/>
    </w:pPr>
    <w:rPr>
      <w:rFonts w:eastAsiaTheme="majorEastAsia" w:cstheme="majorBidi"/>
      <w:i/>
      <w:iCs/>
    </w:rPr>
  </w:style>
  <w:style w:type="paragraph" w:styleId="Nadpis7">
    <w:name w:val="heading 7"/>
    <w:basedOn w:val="Normln"/>
    <w:next w:val="Normln"/>
    <w:link w:val="Nadpis7Char"/>
    <w:uiPriority w:val="9"/>
    <w:unhideWhenUsed/>
    <w:qFormat/>
    <w:rsid w:val="000750F5"/>
    <w:pPr>
      <w:keepNext/>
      <w:keepLines/>
      <w:outlineLvl w:val="6"/>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Podnadpis">
    <w:name w:val="Subtitle"/>
    <w:basedOn w:val="Normln"/>
    <w:next w:val="Normln"/>
    <w:link w:val="PodnadpisChar"/>
    <w:uiPriority w:val="11"/>
    <w:qFormat/>
    <w:rsid w:val="00504542"/>
    <w:pPr>
      <w:numPr>
        <w:numId w:val="1"/>
      </w:numPr>
      <w:tabs>
        <w:tab w:val="num" w:pos="360"/>
      </w:tabs>
      <w:spacing w:before="240" w:after="120"/>
      <w:ind w:left="0" w:firstLine="0"/>
      <w:outlineLvl w:val="1"/>
    </w:pPr>
    <w:rPr>
      <w:rFonts w:eastAsia="Times New Roman" w:cs="Cambria"/>
      <w:b/>
      <w:szCs w:val="24"/>
    </w:rPr>
  </w:style>
  <w:style w:type="character" w:customStyle="1" w:styleId="PodnadpisChar">
    <w:name w:val="Podnadpis Char"/>
    <w:basedOn w:val="Standardnpsmoodstavce"/>
    <w:link w:val="Podnadpis"/>
    <w:uiPriority w:val="11"/>
    <w:rsid w:val="00504542"/>
    <w:rPr>
      <w:rFonts w:ascii="Times New Roman" w:eastAsia="Times New Roman" w:hAnsi="Times New Roman" w:cs="Cambria"/>
      <w:b/>
      <w:sz w:val="24"/>
      <w:szCs w:val="24"/>
    </w:rPr>
  </w:style>
  <w:style w:type="character" w:customStyle="1" w:styleId="Nadpis1Char">
    <w:name w:val="Nadpis 1 Char"/>
    <w:basedOn w:val="Standardnpsmoodstavce"/>
    <w:link w:val="Nadpis1"/>
    <w:uiPriority w:val="9"/>
    <w:rsid w:val="005871A5"/>
    <w:rPr>
      <w:rFonts w:ascii="Times New Roman" w:eastAsiaTheme="majorEastAsia" w:hAnsi="Times New Roman" w:cstheme="majorBidi"/>
      <w:b/>
      <w:bCs/>
      <w:sz w:val="28"/>
      <w:szCs w:val="28"/>
    </w:rPr>
  </w:style>
  <w:style w:type="character" w:customStyle="1" w:styleId="Nadpis2Char">
    <w:name w:val="Nadpis 2 Char"/>
    <w:basedOn w:val="Standardnpsmoodstavce"/>
    <w:link w:val="Nadpis2"/>
    <w:uiPriority w:val="9"/>
    <w:rsid w:val="005A04B3"/>
    <w:rPr>
      <w:rFonts w:ascii="Times New Roman" w:eastAsiaTheme="majorEastAsia" w:hAnsi="Times New Roman" w:cstheme="majorBidi"/>
      <w:b/>
      <w:bCs/>
      <w:color w:val="000000" w:themeColor="text1"/>
      <w:sz w:val="24"/>
      <w:szCs w:val="26"/>
    </w:rPr>
  </w:style>
  <w:style w:type="character" w:customStyle="1" w:styleId="Nadpis3Char">
    <w:name w:val="Nadpis 3 Char"/>
    <w:basedOn w:val="Standardnpsmoodstavce"/>
    <w:link w:val="Nadpis3"/>
    <w:uiPriority w:val="9"/>
    <w:rsid w:val="005A04B3"/>
    <w:rPr>
      <w:rFonts w:ascii="Times New Roman" w:eastAsiaTheme="majorEastAsia" w:hAnsi="Times New Roman" w:cstheme="majorBidi"/>
      <w:b/>
      <w:bCs/>
      <w:sz w:val="24"/>
    </w:rPr>
  </w:style>
  <w:style w:type="paragraph" w:styleId="Odstavecseseznamem">
    <w:name w:val="List Paragraph"/>
    <w:aliases w:val="Odstavec_muj,Nad"/>
    <w:basedOn w:val="Normln"/>
    <w:link w:val="OdstavecseseznamemChar"/>
    <w:uiPriority w:val="34"/>
    <w:qFormat/>
    <w:rsid w:val="005871A5"/>
    <w:pPr>
      <w:ind w:left="720"/>
      <w:contextualSpacing/>
    </w:pPr>
  </w:style>
  <w:style w:type="character" w:styleId="Hypertextovodkaz">
    <w:name w:val="Hyperlink"/>
    <w:basedOn w:val="Standardnpsmoodstavce"/>
    <w:uiPriority w:val="99"/>
    <w:unhideWhenUsed/>
    <w:rsid w:val="001676DB"/>
    <w:rPr>
      <w:color w:val="0000FF"/>
      <w:u w:val="single"/>
    </w:rPr>
  </w:style>
  <w:style w:type="character" w:styleId="Odkaznakoment">
    <w:name w:val="annotation reference"/>
    <w:basedOn w:val="Standardnpsmoodstavce"/>
    <w:uiPriority w:val="99"/>
    <w:semiHidden/>
    <w:unhideWhenUsed/>
    <w:rsid w:val="001676DB"/>
    <w:rPr>
      <w:sz w:val="16"/>
      <w:szCs w:val="16"/>
    </w:rPr>
  </w:style>
  <w:style w:type="paragraph" w:styleId="Textkomente">
    <w:name w:val="annotation text"/>
    <w:basedOn w:val="Normln"/>
    <w:link w:val="TextkomenteChar"/>
    <w:uiPriority w:val="99"/>
    <w:unhideWhenUsed/>
    <w:rsid w:val="001676DB"/>
    <w:pPr>
      <w:spacing w:line="240" w:lineRule="auto"/>
    </w:pPr>
    <w:rPr>
      <w:sz w:val="20"/>
      <w:szCs w:val="20"/>
    </w:rPr>
  </w:style>
  <w:style w:type="character" w:customStyle="1" w:styleId="TextkomenteChar">
    <w:name w:val="Text komentáře Char"/>
    <w:basedOn w:val="Standardnpsmoodstavce"/>
    <w:link w:val="Textkomente"/>
    <w:uiPriority w:val="99"/>
    <w:rsid w:val="001676DB"/>
    <w:rPr>
      <w:rFonts w:ascii="Times New Roman" w:eastAsia="Calibri" w:hAnsi="Times New Roman" w:cs="Times New Roman"/>
      <w:sz w:val="20"/>
      <w:szCs w:val="20"/>
    </w:rPr>
  </w:style>
  <w:style w:type="paragraph" w:styleId="Pedmtkomente">
    <w:name w:val="annotation subject"/>
    <w:basedOn w:val="Textkomente"/>
    <w:next w:val="Textkomente"/>
    <w:link w:val="PedmtkomenteChar"/>
    <w:uiPriority w:val="99"/>
    <w:semiHidden/>
    <w:unhideWhenUsed/>
    <w:rsid w:val="001676DB"/>
    <w:rPr>
      <w:b/>
      <w:bCs/>
    </w:rPr>
  </w:style>
  <w:style w:type="character" w:customStyle="1" w:styleId="PedmtkomenteChar">
    <w:name w:val="Předmět komentáře Char"/>
    <w:basedOn w:val="TextkomenteChar"/>
    <w:link w:val="Pedmtkomente"/>
    <w:uiPriority w:val="99"/>
    <w:semiHidden/>
    <w:rsid w:val="001676DB"/>
    <w:rPr>
      <w:rFonts w:ascii="Times New Roman" w:eastAsia="Calibri" w:hAnsi="Times New Roman" w:cs="Times New Roman"/>
      <w:b/>
      <w:bCs/>
      <w:sz w:val="20"/>
      <w:szCs w:val="20"/>
    </w:rPr>
  </w:style>
  <w:style w:type="paragraph" w:styleId="Textbubliny">
    <w:name w:val="Balloon Text"/>
    <w:basedOn w:val="Normln"/>
    <w:link w:val="TextbublinyChar"/>
    <w:uiPriority w:val="99"/>
    <w:semiHidden/>
    <w:unhideWhenUsed/>
    <w:rsid w:val="001676D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676DB"/>
    <w:rPr>
      <w:rFonts w:ascii="Tahoma" w:eastAsia="Calibri" w:hAnsi="Tahoma" w:cs="Tahoma"/>
      <w:sz w:val="16"/>
      <w:szCs w:val="16"/>
    </w:rPr>
  </w:style>
  <w:style w:type="paragraph" w:styleId="Textpoznpodarou">
    <w:name w:val="footnote text"/>
    <w:basedOn w:val="Normln"/>
    <w:link w:val="TextpoznpodarouChar"/>
    <w:uiPriority w:val="99"/>
    <w:unhideWhenUsed/>
    <w:rsid w:val="001676DB"/>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1676DB"/>
    <w:rPr>
      <w:rFonts w:ascii="Times New Roman" w:eastAsia="Calibri" w:hAnsi="Times New Roman" w:cs="Times New Roman"/>
      <w:sz w:val="20"/>
      <w:szCs w:val="20"/>
    </w:rPr>
  </w:style>
  <w:style w:type="character" w:styleId="Znakapoznpodarou">
    <w:name w:val="footnote reference"/>
    <w:basedOn w:val="Standardnpsmoodstavce"/>
    <w:uiPriority w:val="99"/>
    <w:semiHidden/>
    <w:unhideWhenUsed/>
    <w:rsid w:val="001676DB"/>
    <w:rPr>
      <w:vertAlign w:val="superscript"/>
    </w:rPr>
  </w:style>
  <w:style w:type="character" w:customStyle="1" w:styleId="Nadpis4Char">
    <w:name w:val="Nadpis 4 Char"/>
    <w:basedOn w:val="Standardnpsmoodstavce"/>
    <w:link w:val="Nadpis4"/>
    <w:uiPriority w:val="9"/>
    <w:rsid w:val="007A5B3B"/>
    <w:rPr>
      <w:rFonts w:ascii="Times New Roman" w:eastAsiaTheme="majorEastAsia" w:hAnsi="Times New Roman" w:cstheme="majorBidi"/>
      <w:b/>
      <w:bCs/>
      <w:iCs/>
      <w:sz w:val="24"/>
    </w:rPr>
  </w:style>
  <w:style w:type="character" w:customStyle="1" w:styleId="Nadpis5Char">
    <w:name w:val="Nadpis 5 Char"/>
    <w:basedOn w:val="Standardnpsmoodstavce"/>
    <w:link w:val="Nadpis5"/>
    <w:uiPriority w:val="9"/>
    <w:rsid w:val="00970D39"/>
    <w:rPr>
      <w:rFonts w:ascii="Times New Roman" w:eastAsiaTheme="majorEastAsia" w:hAnsi="Times New Roman" w:cstheme="majorBidi"/>
      <w:b/>
      <w:i/>
      <w:sz w:val="24"/>
    </w:rPr>
  </w:style>
  <w:style w:type="character" w:customStyle="1" w:styleId="Nadpis6Char">
    <w:name w:val="Nadpis 6 Char"/>
    <w:basedOn w:val="Standardnpsmoodstavce"/>
    <w:link w:val="Nadpis6"/>
    <w:uiPriority w:val="9"/>
    <w:rsid w:val="005B3A6E"/>
    <w:rPr>
      <w:rFonts w:ascii="Times New Roman" w:eastAsiaTheme="majorEastAsia" w:hAnsi="Times New Roman" w:cstheme="majorBidi"/>
      <w:i/>
      <w:iCs/>
      <w:sz w:val="24"/>
    </w:rPr>
  </w:style>
  <w:style w:type="paragraph" w:styleId="Zhlav">
    <w:name w:val="header"/>
    <w:basedOn w:val="Normln"/>
    <w:link w:val="ZhlavChar"/>
    <w:uiPriority w:val="99"/>
    <w:unhideWhenUsed/>
    <w:rsid w:val="008626B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626BB"/>
    <w:rPr>
      <w:rFonts w:ascii="Times New Roman" w:eastAsia="Calibri" w:hAnsi="Times New Roman" w:cs="Times New Roman"/>
      <w:sz w:val="24"/>
    </w:rPr>
  </w:style>
  <w:style w:type="paragraph" w:styleId="Zpat">
    <w:name w:val="footer"/>
    <w:basedOn w:val="Normln"/>
    <w:link w:val="ZpatChar"/>
    <w:uiPriority w:val="99"/>
    <w:unhideWhenUsed/>
    <w:rsid w:val="008626BB"/>
    <w:pPr>
      <w:tabs>
        <w:tab w:val="center" w:pos="4536"/>
        <w:tab w:val="right" w:pos="9072"/>
      </w:tabs>
      <w:spacing w:after="0" w:line="240" w:lineRule="auto"/>
    </w:pPr>
  </w:style>
  <w:style w:type="character" w:customStyle="1" w:styleId="ZpatChar">
    <w:name w:val="Zápatí Char"/>
    <w:basedOn w:val="Standardnpsmoodstavce"/>
    <w:link w:val="Zpat"/>
    <w:uiPriority w:val="99"/>
    <w:rsid w:val="008626BB"/>
    <w:rPr>
      <w:rFonts w:ascii="Times New Roman" w:eastAsia="Calibri" w:hAnsi="Times New Roman" w:cs="Times New Roman"/>
      <w:sz w:val="24"/>
    </w:rPr>
  </w:style>
  <w:style w:type="paragraph" w:styleId="Bezmezer">
    <w:name w:val="No Spacing"/>
    <w:uiPriority w:val="1"/>
    <w:qFormat/>
    <w:rsid w:val="003B03D6"/>
    <w:pPr>
      <w:spacing w:after="0" w:line="240" w:lineRule="auto"/>
      <w:jc w:val="both"/>
    </w:pPr>
    <w:rPr>
      <w:rFonts w:ascii="Times New Roman" w:eastAsia="Calibri" w:hAnsi="Times New Roman" w:cs="Times New Roman"/>
      <w:sz w:val="24"/>
    </w:rPr>
  </w:style>
  <w:style w:type="character" w:customStyle="1" w:styleId="Nadpis7Char">
    <w:name w:val="Nadpis 7 Char"/>
    <w:basedOn w:val="Standardnpsmoodstavce"/>
    <w:link w:val="Nadpis7"/>
    <w:uiPriority w:val="9"/>
    <w:rsid w:val="000750F5"/>
    <w:rPr>
      <w:rFonts w:ascii="Times New Roman" w:eastAsiaTheme="majorEastAsia" w:hAnsi="Times New Roman" w:cstheme="majorBidi"/>
      <w:i/>
      <w:iCs/>
      <w:color w:val="404040" w:themeColor="text1" w:themeTint="BF"/>
      <w:sz w:val="24"/>
    </w:rPr>
  </w:style>
  <w:style w:type="character" w:styleId="Sledovanodkaz">
    <w:name w:val="FollowedHyperlink"/>
    <w:basedOn w:val="Standardnpsmoodstavce"/>
    <w:uiPriority w:val="99"/>
    <w:semiHidden/>
    <w:unhideWhenUsed/>
    <w:rsid w:val="006B3943"/>
    <w:rPr>
      <w:color w:val="800080" w:themeColor="followedHyperlink"/>
      <w:u w:val="single"/>
    </w:rPr>
  </w:style>
  <w:style w:type="character" w:customStyle="1" w:styleId="TextChar">
    <w:name w:val="Text Char"/>
    <w:link w:val="Text"/>
    <w:locked/>
    <w:rsid w:val="00BB4A80"/>
    <w:rPr>
      <w:rFonts w:ascii="Times New Roman" w:eastAsia="Times New Roman" w:hAnsi="Times New Roman" w:cs="Times New Roman"/>
      <w:sz w:val="24"/>
      <w:szCs w:val="24"/>
    </w:rPr>
  </w:style>
  <w:style w:type="paragraph" w:customStyle="1" w:styleId="Text">
    <w:name w:val="Text"/>
    <w:basedOn w:val="Normln"/>
    <w:link w:val="TextChar"/>
    <w:qFormat/>
    <w:rsid w:val="00BB4A80"/>
    <w:pPr>
      <w:spacing w:before="120" w:after="100" w:afterAutospacing="1"/>
    </w:pPr>
    <w:rPr>
      <w:rFonts w:eastAsia="Times New Roman"/>
      <w:szCs w:val="24"/>
    </w:rPr>
  </w:style>
  <w:style w:type="paragraph" w:styleId="Revize">
    <w:name w:val="Revision"/>
    <w:hidden/>
    <w:uiPriority w:val="99"/>
    <w:semiHidden/>
    <w:rsid w:val="00AE2DD1"/>
    <w:pPr>
      <w:spacing w:after="0" w:line="240" w:lineRule="auto"/>
    </w:pPr>
    <w:rPr>
      <w:rFonts w:ascii="Times New Roman" w:eastAsia="Calibri" w:hAnsi="Times New Roman" w:cs="Times New Roman"/>
      <w:sz w:val="24"/>
    </w:rPr>
  </w:style>
  <w:style w:type="character" w:customStyle="1" w:styleId="highlight">
    <w:name w:val="highlight"/>
    <w:basedOn w:val="Standardnpsmoodstavce"/>
    <w:rsid w:val="00BF7158"/>
  </w:style>
  <w:style w:type="character" w:customStyle="1" w:styleId="OdstavecseseznamemChar">
    <w:name w:val="Odstavec se seznamem Char"/>
    <w:aliases w:val="Odstavec_muj Char,Nad Char"/>
    <w:link w:val="Odstavecseseznamem"/>
    <w:uiPriority w:val="34"/>
    <w:rsid w:val="003B0C4B"/>
    <w:rPr>
      <w:rFonts w:ascii="Times New Roman" w:eastAsia="Calibri" w:hAnsi="Times New Roman" w:cs="Times New Roman"/>
      <w:sz w:val="24"/>
    </w:rPr>
  </w:style>
  <w:style w:type="table" w:styleId="Mkatabulky">
    <w:name w:val="Table Grid"/>
    <w:basedOn w:val="Normlntabulka"/>
    <w:uiPriority w:val="59"/>
    <w:rsid w:val="00C91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lnweb">
    <w:name w:val="Normal (Web)"/>
    <w:basedOn w:val="Normln"/>
    <w:uiPriority w:val="99"/>
    <w:semiHidden/>
    <w:unhideWhenUsed/>
    <w:rsid w:val="00A72CF9"/>
    <w:pPr>
      <w:spacing w:before="100" w:beforeAutospacing="1" w:after="100" w:afterAutospacing="1" w:line="240" w:lineRule="auto"/>
      <w:jc w:val="left"/>
    </w:pPr>
    <w:rPr>
      <w:rFonts w:eastAsia="Times New Roman"/>
      <w:szCs w:val="24"/>
      <w:lang w:eastAsia="cs-CZ"/>
    </w:rPr>
  </w:style>
  <w:style w:type="character" w:customStyle="1" w:styleId="affairetitle">
    <w:name w:val="affaire_title"/>
    <w:basedOn w:val="Standardnpsmoodstavce"/>
    <w:rsid w:val="009442B8"/>
  </w:style>
  <w:style w:type="character" w:customStyle="1" w:styleId="Nevyeenzmnka1">
    <w:name w:val="Nevyřešená zmínka1"/>
    <w:basedOn w:val="Standardnpsmoodstavce"/>
    <w:uiPriority w:val="99"/>
    <w:semiHidden/>
    <w:unhideWhenUsed/>
    <w:rsid w:val="009E048C"/>
    <w:rPr>
      <w:color w:val="605E5C"/>
      <w:shd w:val="clear" w:color="auto" w:fill="E1DFDD"/>
    </w:rPr>
  </w:style>
  <w:style w:type="paragraph" w:customStyle="1" w:styleId="Default">
    <w:name w:val="Default"/>
    <w:rsid w:val="000821D1"/>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9321">
      <w:bodyDiv w:val="1"/>
      <w:marLeft w:val="0"/>
      <w:marRight w:val="0"/>
      <w:marTop w:val="0"/>
      <w:marBottom w:val="0"/>
      <w:divBdr>
        <w:top w:val="none" w:sz="0" w:space="0" w:color="auto"/>
        <w:left w:val="none" w:sz="0" w:space="0" w:color="auto"/>
        <w:bottom w:val="none" w:sz="0" w:space="0" w:color="auto"/>
        <w:right w:val="none" w:sz="0" w:space="0" w:color="auto"/>
      </w:divBdr>
    </w:div>
    <w:div w:id="2896757">
      <w:bodyDiv w:val="1"/>
      <w:marLeft w:val="0"/>
      <w:marRight w:val="0"/>
      <w:marTop w:val="0"/>
      <w:marBottom w:val="0"/>
      <w:divBdr>
        <w:top w:val="none" w:sz="0" w:space="0" w:color="auto"/>
        <w:left w:val="none" w:sz="0" w:space="0" w:color="auto"/>
        <w:bottom w:val="none" w:sz="0" w:space="0" w:color="auto"/>
        <w:right w:val="none" w:sz="0" w:space="0" w:color="auto"/>
      </w:divBdr>
    </w:div>
    <w:div w:id="19209121">
      <w:bodyDiv w:val="1"/>
      <w:marLeft w:val="0"/>
      <w:marRight w:val="0"/>
      <w:marTop w:val="0"/>
      <w:marBottom w:val="0"/>
      <w:divBdr>
        <w:top w:val="none" w:sz="0" w:space="0" w:color="auto"/>
        <w:left w:val="none" w:sz="0" w:space="0" w:color="auto"/>
        <w:bottom w:val="none" w:sz="0" w:space="0" w:color="auto"/>
        <w:right w:val="none" w:sz="0" w:space="0" w:color="auto"/>
      </w:divBdr>
    </w:div>
    <w:div w:id="56713471">
      <w:bodyDiv w:val="1"/>
      <w:marLeft w:val="0"/>
      <w:marRight w:val="0"/>
      <w:marTop w:val="0"/>
      <w:marBottom w:val="0"/>
      <w:divBdr>
        <w:top w:val="none" w:sz="0" w:space="0" w:color="auto"/>
        <w:left w:val="none" w:sz="0" w:space="0" w:color="auto"/>
        <w:bottom w:val="none" w:sz="0" w:space="0" w:color="auto"/>
        <w:right w:val="none" w:sz="0" w:space="0" w:color="auto"/>
      </w:divBdr>
    </w:div>
    <w:div w:id="57561418">
      <w:bodyDiv w:val="1"/>
      <w:marLeft w:val="0"/>
      <w:marRight w:val="0"/>
      <w:marTop w:val="0"/>
      <w:marBottom w:val="0"/>
      <w:divBdr>
        <w:top w:val="none" w:sz="0" w:space="0" w:color="auto"/>
        <w:left w:val="none" w:sz="0" w:space="0" w:color="auto"/>
        <w:bottom w:val="none" w:sz="0" w:space="0" w:color="auto"/>
        <w:right w:val="none" w:sz="0" w:space="0" w:color="auto"/>
      </w:divBdr>
    </w:div>
    <w:div w:id="98139798">
      <w:bodyDiv w:val="1"/>
      <w:marLeft w:val="0"/>
      <w:marRight w:val="0"/>
      <w:marTop w:val="0"/>
      <w:marBottom w:val="0"/>
      <w:divBdr>
        <w:top w:val="none" w:sz="0" w:space="0" w:color="auto"/>
        <w:left w:val="none" w:sz="0" w:space="0" w:color="auto"/>
        <w:bottom w:val="none" w:sz="0" w:space="0" w:color="auto"/>
        <w:right w:val="none" w:sz="0" w:space="0" w:color="auto"/>
      </w:divBdr>
    </w:div>
    <w:div w:id="134028876">
      <w:bodyDiv w:val="1"/>
      <w:marLeft w:val="0"/>
      <w:marRight w:val="0"/>
      <w:marTop w:val="0"/>
      <w:marBottom w:val="0"/>
      <w:divBdr>
        <w:top w:val="none" w:sz="0" w:space="0" w:color="auto"/>
        <w:left w:val="none" w:sz="0" w:space="0" w:color="auto"/>
        <w:bottom w:val="none" w:sz="0" w:space="0" w:color="auto"/>
        <w:right w:val="none" w:sz="0" w:space="0" w:color="auto"/>
      </w:divBdr>
    </w:div>
    <w:div w:id="148912918">
      <w:bodyDiv w:val="1"/>
      <w:marLeft w:val="0"/>
      <w:marRight w:val="0"/>
      <w:marTop w:val="0"/>
      <w:marBottom w:val="0"/>
      <w:divBdr>
        <w:top w:val="none" w:sz="0" w:space="0" w:color="auto"/>
        <w:left w:val="none" w:sz="0" w:space="0" w:color="auto"/>
        <w:bottom w:val="none" w:sz="0" w:space="0" w:color="auto"/>
        <w:right w:val="none" w:sz="0" w:space="0" w:color="auto"/>
      </w:divBdr>
    </w:div>
    <w:div w:id="174073535">
      <w:bodyDiv w:val="1"/>
      <w:marLeft w:val="0"/>
      <w:marRight w:val="0"/>
      <w:marTop w:val="0"/>
      <w:marBottom w:val="0"/>
      <w:divBdr>
        <w:top w:val="none" w:sz="0" w:space="0" w:color="auto"/>
        <w:left w:val="none" w:sz="0" w:space="0" w:color="auto"/>
        <w:bottom w:val="none" w:sz="0" w:space="0" w:color="auto"/>
        <w:right w:val="none" w:sz="0" w:space="0" w:color="auto"/>
      </w:divBdr>
      <w:divsChild>
        <w:div w:id="1159542911">
          <w:marLeft w:val="0"/>
          <w:marRight w:val="0"/>
          <w:marTop w:val="0"/>
          <w:marBottom w:val="0"/>
          <w:divBdr>
            <w:top w:val="none" w:sz="0" w:space="0" w:color="auto"/>
            <w:left w:val="none" w:sz="0" w:space="0" w:color="auto"/>
            <w:bottom w:val="none" w:sz="0" w:space="0" w:color="auto"/>
            <w:right w:val="none" w:sz="0" w:space="0" w:color="auto"/>
          </w:divBdr>
          <w:divsChild>
            <w:div w:id="519898661">
              <w:marLeft w:val="0"/>
              <w:marRight w:val="0"/>
              <w:marTop w:val="0"/>
              <w:marBottom w:val="0"/>
              <w:divBdr>
                <w:top w:val="none" w:sz="0" w:space="0" w:color="auto"/>
                <w:left w:val="none" w:sz="0" w:space="0" w:color="auto"/>
                <w:bottom w:val="none" w:sz="0" w:space="0" w:color="auto"/>
                <w:right w:val="none" w:sz="0" w:space="0" w:color="auto"/>
              </w:divBdr>
              <w:divsChild>
                <w:div w:id="1596356797">
                  <w:marLeft w:val="0"/>
                  <w:marRight w:val="0"/>
                  <w:marTop w:val="0"/>
                  <w:marBottom w:val="0"/>
                  <w:divBdr>
                    <w:top w:val="none" w:sz="0" w:space="0" w:color="auto"/>
                    <w:left w:val="none" w:sz="0" w:space="0" w:color="auto"/>
                    <w:bottom w:val="none" w:sz="0" w:space="0" w:color="auto"/>
                    <w:right w:val="none" w:sz="0" w:space="0" w:color="auto"/>
                  </w:divBdr>
                  <w:divsChild>
                    <w:div w:id="1558785346">
                      <w:marLeft w:val="0"/>
                      <w:marRight w:val="0"/>
                      <w:marTop w:val="0"/>
                      <w:marBottom w:val="0"/>
                      <w:divBdr>
                        <w:top w:val="none" w:sz="0" w:space="0" w:color="auto"/>
                        <w:left w:val="none" w:sz="0" w:space="0" w:color="auto"/>
                        <w:bottom w:val="none" w:sz="0" w:space="0" w:color="auto"/>
                        <w:right w:val="none" w:sz="0" w:space="0" w:color="auto"/>
                      </w:divBdr>
                      <w:divsChild>
                        <w:div w:id="965357574">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 w:id="174266762">
      <w:bodyDiv w:val="1"/>
      <w:marLeft w:val="0"/>
      <w:marRight w:val="0"/>
      <w:marTop w:val="0"/>
      <w:marBottom w:val="0"/>
      <w:divBdr>
        <w:top w:val="none" w:sz="0" w:space="0" w:color="auto"/>
        <w:left w:val="none" w:sz="0" w:space="0" w:color="auto"/>
        <w:bottom w:val="none" w:sz="0" w:space="0" w:color="auto"/>
        <w:right w:val="none" w:sz="0" w:space="0" w:color="auto"/>
      </w:divBdr>
    </w:div>
    <w:div w:id="182206787">
      <w:bodyDiv w:val="1"/>
      <w:marLeft w:val="0"/>
      <w:marRight w:val="0"/>
      <w:marTop w:val="0"/>
      <w:marBottom w:val="0"/>
      <w:divBdr>
        <w:top w:val="none" w:sz="0" w:space="0" w:color="auto"/>
        <w:left w:val="none" w:sz="0" w:space="0" w:color="auto"/>
        <w:bottom w:val="none" w:sz="0" w:space="0" w:color="auto"/>
        <w:right w:val="none" w:sz="0" w:space="0" w:color="auto"/>
      </w:divBdr>
    </w:div>
    <w:div w:id="182406705">
      <w:bodyDiv w:val="1"/>
      <w:marLeft w:val="0"/>
      <w:marRight w:val="0"/>
      <w:marTop w:val="0"/>
      <w:marBottom w:val="0"/>
      <w:divBdr>
        <w:top w:val="none" w:sz="0" w:space="0" w:color="auto"/>
        <w:left w:val="none" w:sz="0" w:space="0" w:color="auto"/>
        <w:bottom w:val="none" w:sz="0" w:space="0" w:color="auto"/>
        <w:right w:val="none" w:sz="0" w:space="0" w:color="auto"/>
      </w:divBdr>
    </w:div>
    <w:div w:id="188180934">
      <w:bodyDiv w:val="1"/>
      <w:marLeft w:val="0"/>
      <w:marRight w:val="0"/>
      <w:marTop w:val="0"/>
      <w:marBottom w:val="0"/>
      <w:divBdr>
        <w:top w:val="none" w:sz="0" w:space="0" w:color="auto"/>
        <w:left w:val="none" w:sz="0" w:space="0" w:color="auto"/>
        <w:bottom w:val="none" w:sz="0" w:space="0" w:color="auto"/>
        <w:right w:val="none" w:sz="0" w:space="0" w:color="auto"/>
      </w:divBdr>
    </w:div>
    <w:div w:id="201794188">
      <w:bodyDiv w:val="1"/>
      <w:marLeft w:val="0"/>
      <w:marRight w:val="0"/>
      <w:marTop w:val="0"/>
      <w:marBottom w:val="0"/>
      <w:divBdr>
        <w:top w:val="none" w:sz="0" w:space="0" w:color="auto"/>
        <w:left w:val="none" w:sz="0" w:space="0" w:color="auto"/>
        <w:bottom w:val="none" w:sz="0" w:space="0" w:color="auto"/>
        <w:right w:val="none" w:sz="0" w:space="0" w:color="auto"/>
      </w:divBdr>
    </w:div>
    <w:div w:id="224220769">
      <w:bodyDiv w:val="1"/>
      <w:marLeft w:val="0"/>
      <w:marRight w:val="0"/>
      <w:marTop w:val="0"/>
      <w:marBottom w:val="0"/>
      <w:divBdr>
        <w:top w:val="none" w:sz="0" w:space="0" w:color="auto"/>
        <w:left w:val="none" w:sz="0" w:space="0" w:color="auto"/>
        <w:bottom w:val="none" w:sz="0" w:space="0" w:color="auto"/>
        <w:right w:val="none" w:sz="0" w:space="0" w:color="auto"/>
      </w:divBdr>
    </w:div>
    <w:div w:id="272521828">
      <w:bodyDiv w:val="1"/>
      <w:marLeft w:val="0"/>
      <w:marRight w:val="0"/>
      <w:marTop w:val="0"/>
      <w:marBottom w:val="0"/>
      <w:divBdr>
        <w:top w:val="none" w:sz="0" w:space="0" w:color="auto"/>
        <w:left w:val="none" w:sz="0" w:space="0" w:color="auto"/>
        <w:bottom w:val="none" w:sz="0" w:space="0" w:color="auto"/>
        <w:right w:val="none" w:sz="0" w:space="0" w:color="auto"/>
      </w:divBdr>
    </w:div>
    <w:div w:id="274872386">
      <w:bodyDiv w:val="1"/>
      <w:marLeft w:val="0"/>
      <w:marRight w:val="0"/>
      <w:marTop w:val="0"/>
      <w:marBottom w:val="0"/>
      <w:divBdr>
        <w:top w:val="none" w:sz="0" w:space="0" w:color="auto"/>
        <w:left w:val="none" w:sz="0" w:space="0" w:color="auto"/>
        <w:bottom w:val="none" w:sz="0" w:space="0" w:color="auto"/>
        <w:right w:val="none" w:sz="0" w:space="0" w:color="auto"/>
      </w:divBdr>
    </w:div>
    <w:div w:id="362168682">
      <w:bodyDiv w:val="1"/>
      <w:marLeft w:val="0"/>
      <w:marRight w:val="0"/>
      <w:marTop w:val="0"/>
      <w:marBottom w:val="0"/>
      <w:divBdr>
        <w:top w:val="none" w:sz="0" w:space="0" w:color="auto"/>
        <w:left w:val="none" w:sz="0" w:space="0" w:color="auto"/>
        <w:bottom w:val="none" w:sz="0" w:space="0" w:color="auto"/>
        <w:right w:val="none" w:sz="0" w:space="0" w:color="auto"/>
      </w:divBdr>
    </w:div>
    <w:div w:id="362944022">
      <w:bodyDiv w:val="1"/>
      <w:marLeft w:val="0"/>
      <w:marRight w:val="0"/>
      <w:marTop w:val="0"/>
      <w:marBottom w:val="0"/>
      <w:divBdr>
        <w:top w:val="none" w:sz="0" w:space="0" w:color="auto"/>
        <w:left w:val="none" w:sz="0" w:space="0" w:color="auto"/>
        <w:bottom w:val="none" w:sz="0" w:space="0" w:color="auto"/>
        <w:right w:val="none" w:sz="0" w:space="0" w:color="auto"/>
      </w:divBdr>
      <w:divsChild>
        <w:div w:id="818302815">
          <w:marLeft w:val="480"/>
          <w:marRight w:val="0"/>
          <w:marTop w:val="0"/>
          <w:marBottom w:val="0"/>
          <w:divBdr>
            <w:top w:val="none" w:sz="0" w:space="0" w:color="auto"/>
            <w:left w:val="none" w:sz="0" w:space="0" w:color="auto"/>
            <w:bottom w:val="none" w:sz="0" w:space="0" w:color="auto"/>
            <w:right w:val="none" w:sz="0" w:space="0" w:color="auto"/>
          </w:divBdr>
        </w:div>
      </w:divsChild>
    </w:div>
    <w:div w:id="367343313">
      <w:bodyDiv w:val="1"/>
      <w:marLeft w:val="0"/>
      <w:marRight w:val="0"/>
      <w:marTop w:val="0"/>
      <w:marBottom w:val="0"/>
      <w:divBdr>
        <w:top w:val="none" w:sz="0" w:space="0" w:color="auto"/>
        <w:left w:val="none" w:sz="0" w:space="0" w:color="auto"/>
        <w:bottom w:val="none" w:sz="0" w:space="0" w:color="auto"/>
        <w:right w:val="none" w:sz="0" w:space="0" w:color="auto"/>
      </w:divBdr>
      <w:divsChild>
        <w:div w:id="377097304">
          <w:marLeft w:val="547"/>
          <w:marRight w:val="0"/>
          <w:marTop w:val="0"/>
          <w:marBottom w:val="0"/>
          <w:divBdr>
            <w:top w:val="none" w:sz="0" w:space="0" w:color="auto"/>
            <w:left w:val="none" w:sz="0" w:space="0" w:color="auto"/>
            <w:bottom w:val="none" w:sz="0" w:space="0" w:color="auto"/>
            <w:right w:val="none" w:sz="0" w:space="0" w:color="auto"/>
          </w:divBdr>
        </w:div>
      </w:divsChild>
    </w:div>
    <w:div w:id="472917834">
      <w:bodyDiv w:val="1"/>
      <w:marLeft w:val="0"/>
      <w:marRight w:val="0"/>
      <w:marTop w:val="0"/>
      <w:marBottom w:val="0"/>
      <w:divBdr>
        <w:top w:val="none" w:sz="0" w:space="0" w:color="auto"/>
        <w:left w:val="none" w:sz="0" w:space="0" w:color="auto"/>
        <w:bottom w:val="none" w:sz="0" w:space="0" w:color="auto"/>
        <w:right w:val="none" w:sz="0" w:space="0" w:color="auto"/>
      </w:divBdr>
    </w:div>
    <w:div w:id="522061057">
      <w:bodyDiv w:val="1"/>
      <w:marLeft w:val="0"/>
      <w:marRight w:val="0"/>
      <w:marTop w:val="0"/>
      <w:marBottom w:val="0"/>
      <w:divBdr>
        <w:top w:val="none" w:sz="0" w:space="0" w:color="auto"/>
        <w:left w:val="none" w:sz="0" w:space="0" w:color="auto"/>
        <w:bottom w:val="none" w:sz="0" w:space="0" w:color="auto"/>
        <w:right w:val="none" w:sz="0" w:space="0" w:color="auto"/>
      </w:divBdr>
    </w:div>
    <w:div w:id="528638820">
      <w:bodyDiv w:val="1"/>
      <w:marLeft w:val="0"/>
      <w:marRight w:val="0"/>
      <w:marTop w:val="0"/>
      <w:marBottom w:val="0"/>
      <w:divBdr>
        <w:top w:val="none" w:sz="0" w:space="0" w:color="auto"/>
        <w:left w:val="none" w:sz="0" w:space="0" w:color="auto"/>
        <w:bottom w:val="none" w:sz="0" w:space="0" w:color="auto"/>
        <w:right w:val="none" w:sz="0" w:space="0" w:color="auto"/>
      </w:divBdr>
    </w:div>
    <w:div w:id="556017240">
      <w:bodyDiv w:val="1"/>
      <w:marLeft w:val="0"/>
      <w:marRight w:val="0"/>
      <w:marTop w:val="0"/>
      <w:marBottom w:val="0"/>
      <w:divBdr>
        <w:top w:val="none" w:sz="0" w:space="0" w:color="auto"/>
        <w:left w:val="none" w:sz="0" w:space="0" w:color="auto"/>
        <w:bottom w:val="none" w:sz="0" w:space="0" w:color="auto"/>
        <w:right w:val="none" w:sz="0" w:space="0" w:color="auto"/>
      </w:divBdr>
      <w:divsChild>
        <w:div w:id="1924946917">
          <w:marLeft w:val="0"/>
          <w:marRight w:val="0"/>
          <w:marTop w:val="0"/>
          <w:marBottom w:val="0"/>
          <w:divBdr>
            <w:top w:val="none" w:sz="0" w:space="0" w:color="auto"/>
            <w:left w:val="none" w:sz="0" w:space="0" w:color="auto"/>
            <w:bottom w:val="none" w:sz="0" w:space="0" w:color="auto"/>
            <w:right w:val="none" w:sz="0" w:space="0" w:color="auto"/>
          </w:divBdr>
        </w:div>
      </w:divsChild>
    </w:div>
    <w:div w:id="568425587">
      <w:bodyDiv w:val="1"/>
      <w:marLeft w:val="0"/>
      <w:marRight w:val="0"/>
      <w:marTop w:val="0"/>
      <w:marBottom w:val="0"/>
      <w:divBdr>
        <w:top w:val="none" w:sz="0" w:space="0" w:color="auto"/>
        <w:left w:val="none" w:sz="0" w:space="0" w:color="auto"/>
        <w:bottom w:val="none" w:sz="0" w:space="0" w:color="auto"/>
        <w:right w:val="none" w:sz="0" w:space="0" w:color="auto"/>
      </w:divBdr>
      <w:divsChild>
        <w:div w:id="60911745">
          <w:marLeft w:val="0"/>
          <w:marRight w:val="0"/>
          <w:marTop w:val="0"/>
          <w:marBottom w:val="0"/>
          <w:divBdr>
            <w:top w:val="none" w:sz="0" w:space="0" w:color="auto"/>
            <w:left w:val="none" w:sz="0" w:space="0" w:color="auto"/>
            <w:bottom w:val="none" w:sz="0" w:space="0" w:color="auto"/>
            <w:right w:val="none" w:sz="0" w:space="0" w:color="auto"/>
          </w:divBdr>
          <w:divsChild>
            <w:div w:id="532808991">
              <w:marLeft w:val="0"/>
              <w:marRight w:val="0"/>
              <w:marTop w:val="0"/>
              <w:marBottom w:val="0"/>
              <w:divBdr>
                <w:top w:val="none" w:sz="0" w:space="0" w:color="auto"/>
                <w:left w:val="none" w:sz="0" w:space="0" w:color="auto"/>
                <w:bottom w:val="none" w:sz="0" w:space="0" w:color="auto"/>
                <w:right w:val="none" w:sz="0" w:space="0" w:color="auto"/>
              </w:divBdr>
              <w:divsChild>
                <w:div w:id="1706983083">
                  <w:marLeft w:val="0"/>
                  <w:marRight w:val="0"/>
                  <w:marTop w:val="0"/>
                  <w:marBottom w:val="0"/>
                  <w:divBdr>
                    <w:top w:val="none" w:sz="0" w:space="0" w:color="auto"/>
                    <w:left w:val="none" w:sz="0" w:space="0" w:color="auto"/>
                    <w:bottom w:val="none" w:sz="0" w:space="0" w:color="auto"/>
                    <w:right w:val="none" w:sz="0" w:space="0" w:color="auto"/>
                  </w:divBdr>
                  <w:divsChild>
                    <w:div w:id="891120113">
                      <w:marLeft w:val="0"/>
                      <w:marRight w:val="0"/>
                      <w:marTop w:val="0"/>
                      <w:marBottom w:val="0"/>
                      <w:divBdr>
                        <w:top w:val="none" w:sz="0" w:space="0" w:color="auto"/>
                        <w:left w:val="none" w:sz="0" w:space="0" w:color="auto"/>
                        <w:bottom w:val="none" w:sz="0" w:space="0" w:color="auto"/>
                        <w:right w:val="none" w:sz="0" w:space="0" w:color="auto"/>
                      </w:divBdr>
                      <w:divsChild>
                        <w:div w:id="1866794009">
                          <w:marLeft w:val="0"/>
                          <w:marRight w:val="0"/>
                          <w:marTop w:val="0"/>
                          <w:marBottom w:val="0"/>
                          <w:divBdr>
                            <w:top w:val="none" w:sz="0" w:space="0" w:color="auto"/>
                            <w:left w:val="none" w:sz="0" w:space="0" w:color="auto"/>
                            <w:bottom w:val="none" w:sz="0" w:space="0" w:color="auto"/>
                            <w:right w:val="none" w:sz="0" w:space="0" w:color="auto"/>
                          </w:divBdr>
                          <w:divsChild>
                            <w:div w:id="1148085208">
                              <w:marLeft w:val="0"/>
                              <w:marRight w:val="0"/>
                              <w:marTop w:val="0"/>
                              <w:marBottom w:val="0"/>
                              <w:divBdr>
                                <w:top w:val="none" w:sz="0" w:space="0" w:color="auto"/>
                                <w:left w:val="none" w:sz="0" w:space="0" w:color="auto"/>
                                <w:bottom w:val="none" w:sz="0" w:space="0" w:color="auto"/>
                                <w:right w:val="none" w:sz="0" w:space="0" w:color="auto"/>
                              </w:divBdr>
                              <w:divsChild>
                                <w:div w:id="1520316988">
                                  <w:marLeft w:val="0"/>
                                  <w:marRight w:val="0"/>
                                  <w:marTop w:val="0"/>
                                  <w:marBottom w:val="0"/>
                                  <w:divBdr>
                                    <w:top w:val="none" w:sz="0" w:space="0" w:color="auto"/>
                                    <w:left w:val="none" w:sz="0" w:space="0" w:color="auto"/>
                                    <w:bottom w:val="none" w:sz="0" w:space="0" w:color="auto"/>
                                    <w:right w:val="none" w:sz="0" w:space="0" w:color="auto"/>
                                  </w:divBdr>
                                  <w:divsChild>
                                    <w:div w:id="385614243">
                                      <w:marLeft w:val="0"/>
                                      <w:marRight w:val="0"/>
                                      <w:marTop w:val="0"/>
                                      <w:marBottom w:val="0"/>
                                      <w:divBdr>
                                        <w:top w:val="none" w:sz="0" w:space="0" w:color="auto"/>
                                        <w:left w:val="none" w:sz="0" w:space="0" w:color="auto"/>
                                        <w:bottom w:val="none" w:sz="0" w:space="0" w:color="auto"/>
                                        <w:right w:val="none" w:sz="0" w:space="0" w:color="auto"/>
                                      </w:divBdr>
                                      <w:divsChild>
                                        <w:div w:id="1759599206">
                                          <w:marLeft w:val="0"/>
                                          <w:marRight w:val="0"/>
                                          <w:marTop w:val="0"/>
                                          <w:marBottom w:val="0"/>
                                          <w:divBdr>
                                            <w:top w:val="none" w:sz="0" w:space="0" w:color="auto"/>
                                            <w:left w:val="none" w:sz="0" w:space="0" w:color="auto"/>
                                            <w:bottom w:val="none" w:sz="0" w:space="0" w:color="auto"/>
                                            <w:right w:val="none" w:sz="0" w:space="0" w:color="auto"/>
                                          </w:divBdr>
                                          <w:divsChild>
                                            <w:div w:id="785319125">
                                              <w:marLeft w:val="0"/>
                                              <w:marRight w:val="0"/>
                                              <w:marTop w:val="0"/>
                                              <w:marBottom w:val="0"/>
                                              <w:divBdr>
                                                <w:top w:val="none" w:sz="0" w:space="0" w:color="auto"/>
                                                <w:left w:val="none" w:sz="0" w:space="0" w:color="auto"/>
                                                <w:bottom w:val="none" w:sz="0" w:space="0" w:color="auto"/>
                                                <w:right w:val="none" w:sz="0" w:space="0" w:color="auto"/>
                                              </w:divBdr>
                                              <w:divsChild>
                                                <w:div w:id="13241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713920">
      <w:bodyDiv w:val="1"/>
      <w:marLeft w:val="0"/>
      <w:marRight w:val="0"/>
      <w:marTop w:val="0"/>
      <w:marBottom w:val="0"/>
      <w:divBdr>
        <w:top w:val="none" w:sz="0" w:space="0" w:color="auto"/>
        <w:left w:val="none" w:sz="0" w:space="0" w:color="auto"/>
        <w:bottom w:val="none" w:sz="0" w:space="0" w:color="auto"/>
        <w:right w:val="none" w:sz="0" w:space="0" w:color="auto"/>
      </w:divBdr>
      <w:divsChild>
        <w:div w:id="434861535">
          <w:marLeft w:val="0"/>
          <w:marRight w:val="0"/>
          <w:marTop w:val="200"/>
          <w:marBottom w:val="100"/>
          <w:divBdr>
            <w:top w:val="none" w:sz="0" w:space="0" w:color="auto"/>
            <w:left w:val="none" w:sz="0" w:space="0" w:color="auto"/>
            <w:bottom w:val="none" w:sz="0" w:space="0" w:color="auto"/>
            <w:right w:val="none" w:sz="0" w:space="0" w:color="auto"/>
          </w:divBdr>
        </w:div>
      </w:divsChild>
    </w:div>
    <w:div w:id="615798952">
      <w:bodyDiv w:val="1"/>
      <w:marLeft w:val="0"/>
      <w:marRight w:val="0"/>
      <w:marTop w:val="0"/>
      <w:marBottom w:val="0"/>
      <w:divBdr>
        <w:top w:val="none" w:sz="0" w:space="0" w:color="auto"/>
        <w:left w:val="none" w:sz="0" w:space="0" w:color="auto"/>
        <w:bottom w:val="none" w:sz="0" w:space="0" w:color="auto"/>
        <w:right w:val="none" w:sz="0" w:space="0" w:color="auto"/>
      </w:divBdr>
      <w:divsChild>
        <w:div w:id="1785689250">
          <w:marLeft w:val="0"/>
          <w:marRight w:val="0"/>
          <w:marTop w:val="200"/>
          <w:marBottom w:val="100"/>
          <w:divBdr>
            <w:top w:val="none" w:sz="0" w:space="0" w:color="auto"/>
            <w:left w:val="none" w:sz="0" w:space="0" w:color="auto"/>
            <w:bottom w:val="none" w:sz="0" w:space="0" w:color="auto"/>
            <w:right w:val="none" w:sz="0" w:space="0" w:color="auto"/>
          </w:divBdr>
        </w:div>
      </w:divsChild>
    </w:div>
    <w:div w:id="632753105">
      <w:bodyDiv w:val="1"/>
      <w:marLeft w:val="0"/>
      <w:marRight w:val="0"/>
      <w:marTop w:val="0"/>
      <w:marBottom w:val="0"/>
      <w:divBdr>
        <w:top w:val="none" w:sz="0" w:space="0" w:color="auto"/>
        <w:left w:val="none" w:sz="0" w:space="0" w:color="auto"/>
        <w:bottom w:val="none" w:sz="0" w:space="0" w:color="auto"/>
        <w:right w:val="none" w:sz="0" w:space="0" w:color="auto"/>
      </w:divBdr>
    </w:div>
    <w:div w:id="640355391">
      <w:bodyDiv w:val="1"/>
      <w:marLeft w:val="0"/>
      <w:marRight w:val="0"/>
      <w:marTop w:val="0"/>
      <w:marBottom w:val="0"/>
      <w:divBdr>
        <w:top w:val="none" w:sz="0" w:space="0" w:color="auto"/>
        <w:left w:val="none" w:sz="0" w:space="0" w:color="auto"/>
        <w:bottom w:val="none" w:sz="0" w:space="0" w:color="auto"/>
        <w:right w:val="none" w:sz="0" w:space="0" w:color="auto"/>
      </w:divBdr>
    </w:div>
    <w:div w:id="660424330">
      <w:bodyDiv w:val="1"/>
      <w:marLeft w:val="0"/>
      <w:marRight w:val="0"/>
      <w:marTop w:val="0"/>
      <w:marBottom w:val="0"/>
      <w:divBdr>
        <w:top w:val="none" w:sz="0" w:space="0" w:color="auto"/>
        <w:left w:val="none" w:sz="0" w:space="0" w:color="auto"/>
        <w:bottom w:val="none" w:sz="0" w:space="0" w:color="auto"/>
        <w:right w:val="none" w:sz="0" w:space="0" w:color="auto"/>
      </w:divBdr>
    </w:div>
    <w:div w:id="668405440">
      <w:bodyDiv w:val="1"/>
      <w:marLeft w:val="0"/>
      <w:marRight w:val="0"/>
      <w:marTop w:val="0"/>
      <w:marBottom w:val="0"/>
      <w:divBdr>
        <w:top w:val="none" w:sz="0" w:space="0" w:color="auto"/>
        <w:left w:val="none" w:sz="0" w:space="0" w:color="auto"/>
        <w:bottom w:val="none" w:sz="0" w:space="0" w:color="auto"/>
        <w:right w:val="none" w:sz="0" w:space="0" w:color="auto"/>
      </w:divBdr>
      <w:divsChild>
        <w:div w:id="1060976386">
          <w:marLeft w:val="0"/>
          <w:marRight w:val="0"/>
          <w:marTop w:val="0"/>
          <w:marBottom w:val="0"/>
          <w:divBdr>
            <w:top w:val="none" w:sz="0" w:space="0" w:color="auto"/>
            <w:left w:val="none" w:sz="0" w:space="0" w:color="auto"/>
            <w:bottom w:val="none" w:sz="0" w:space="0" w:color="auto"/>
            <w:right w:val="none" w:sz="0" w:space="0" w:color="auto"/>
          </w:divBdr>
          <w:divsChild>
            <w:div w:id="455493875">
              <w:marLeft w:val="0"/>
              <w:marRight w:val="0"/>
              <w:marTop w:val="0"/>
              <w:marBottom w:val="0"/>
              <w:divBdr>
                <w:top w:val="none" w:sz="0" w:space="0" w:color="auto"/>
                <w:left w:val="none" w:sz="0" w:space="0" w:color="auto"/>
                <w:bottom w:val="none" w:sz="0" w:space="0" w:color="auto"/>
                <w:right w:val="none" w:sz="0" w:space="0" w:color="auto"/>
              </w:divBdr>
            </w:div>
          </w:divsChild>
        </w:div>
        <w:div w:id="1671063390">
          <w:marLeft w:val="0"/>
          <w:marRight w:val="0"/>
          <w:marTop w:val="0"/>
          <w:marBottom w:val="0"/>
          <w:divBdr>
            <w:top w:val="none" w:sz="0" w:space="0" w:color="auto"/>
            <w:left w:val="none" w:sz="0" w:space="0" w:color="auto"/>
            <w:bottom w:val="none" w:sz="0" w:space="0" w:color="auto"/>
            <w:right w:val="none" w:sz="0" w:space="0" w:color="auto"/>
          </w:divBdr>
          <w:divsChild>
            <w:div w:id="1488980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142108">
      <w:bodyDiv w:val="1"/>
      <w:marLeft w:val="0"/>
      <w:marRight w:val="0"/>
      <w:marTop w:val="0"/>
      <w:marBottom w:val="0"/>
      <w:divBdr>
        <w:top w:val="none" w:sz="0" w:space="0" w:color="auto"/>
        <w:left w:val="none" w:sz="0" w:space="0" w:color="auto"/>
        <w:bottom w:val="none" w:sz="0" w:space="0" w:color="auto"/>
        <w:right w:val="none" w:sz="0" w:space="0" w:color="auto"/>
      </w:divBdr>
    </w:div>
    <w:div w:id="677389888">
      <w:bodyDiv w:val="1"/>
      <w:marLeft w:val="0"/>
      <w:marRight w:val="0"/>
      <w:marTop w:val="0"/>
      <w:marBottom w:val="0"/>
      <w:divBdr>
        <w:top w:val="none" w:sz="0" w:space="0" w:color="auto"/>
        <w:left w:val="none" w:sz="0" w:space="0" w:color="auto"/>
        <w:bottom w:val="none" w:sz="0" w:space="0" w:color="auto"/>
        <w:right w:val="none" w:sz="0" w:space="0" w:color="auto"/>
      </w:divBdr>
    </w:div>
    <w:div w:id="682754521">
      <w:bodyDiv w:val="1"/>
      <w:marLeft w:val="0"/>
      <w:marRight w:val="0"/>
      <w:marTop w:val="0"/>
      <w:marBottom w:val="0"/>
      <w:divBdr>
        <w:top w:val="none" w:sz="0" w:space="0" w:color="auto"/>
        <w:left w:val="none" w:sz="0" w:space="0" w:color="auto"/>
        <w:bottom w:val="none" w:sz="0" w:space="0" w:color="auto"/>
        <w:right w:val="none" w:sz="0" w:space="0" w:color="auto"/>
      </w:divBdr>
    </w:div>
    <w:div w:id="691221672">
      <w:bodyDiv w:val="1"/>
      <w:marLeft w:val="0"/>
      <w:marRight w:val="0"/>
      <w:marTop w:val="0"/>
      <w:marBottom w:val="0"/>
      <w:divBdr>
        <w:top w:val="none" w:sz="0" w:space="0" w:color="auto"/>
        <w:left w:val="none" w:sz="0" w:space="0" w:color="auto"/>
        <w:bottom w:val="none" w:sz="0" w:space="0" w:color="auto"/>
        <w:right w:val="none" w:sz="0" w:space="0" w:color="auto"/>
      </w:divBdr>
    </w:div>
    <w:div w:id="705834779">
      <w:bodyDiv w:val="1"/>
      <w:marLeft w:val="0"/>
      <w:marRight w:val="0"/>
      <w:marTop w:val="0"/>
      <w:marBottom w:val="0"/>
      <w:divBdr>
        <w:top w:val="none" w:sz="0" w:space="0" w:color="auto"/>
        <w:left w:val="none" w:sz="0" w:space="0" w:color="auto"/>
        <w:bottom w:val="none" w:sz="0" w:space="0" w:color="auto"/>
        <w:right w:val="none" w:sz="0" w:space="0" w:color="auto"/>
      </w:divBdr>
    </w:div>
    <w:div w:id="715085356">
      <w:bodyDiv w:val="1"/>
      <w:marLeft w:val="0"/>
      <w:marRight w:val="0"/>
      <w:marTop w:val="0"/>
      <w:marBottom w:val="0"/>
      <w:divBdr>
        <w:top w:val="none" w:sz="0" w:space="0" w:color="auto"/>
        <w:left w:val="none" w:sz="0" w:space="0" w:color="auto"/>
        <w:bottom w:val="none" w:sz="0" w:space="0" w:color="auto"/>
        <w:right w:val="none" w:sz="0" w:space="0" w:color="auto"/>
      </w:divBdr>
    </w:div>
    <w:div w:id="720329694">
      <w:bodyDiv w:val="1"/>
      <w:marLeft w:val="0"/>
      <w:marRight w:val="0"/>
      <w:marTop w:val="0"/>
      <w:marBottom w:val="0"/>
      <w:divBdr>
        <w:top w:val="none" w:sz="0" w:space="0" w:color="auto"/>
        <w:left w:val="none" w:sz="0" w:space="0" w:color="auto"/>
        <w:bottom w:val="none" w:sz="0" w:space="0" w:color="auto"/>
        <w:right w:val="none" w:sz="0" w:space="0" w:color="auto"/>
      </w:divBdr>
    </w:div>
    <w:div w:id="726996662">
      <w:bodyDiv w:val="1"/>
      <w:marLeft w:val="0"/>
      <w:marRight w:val="0"/>
      <w:marTop w:val="0"/>
      <w:marBottom w:val="0"/>
      <w:divBdr>
        <w:top w:val="none" w:sz="0" w:space="0" w:color="auto"/>
        <w:left w:val="none" w:sz="0" w:space="0" w:color="auto"/>
        <w:bottom w:val="none" w:sz="0" w:space="0" w:color="auto"/>
        <w:right w:val="none" w:sz="0" w:space="0" w:color="auto"/>
      </w:divBdr>
    </w:div>
    <w:div w:id="737023932">
      <w:bodyDiv w:val="1"/>
      <w:marLeft w:val="0"/>
      <w:marRight w:val="0"/>
      <w:marTop w:val="0"/>
      <w:marBottom w:val="0"/>
      <w:divBdr>
        <w:top w:val="none" w:sz="0" w:space="0" w:color="auto"/>
        <w:left w:val="none" w:sz="0" w:space="0" w:color="auto"/>
        <w:bottom w:val="none" w:sz="0" w:space="0" w:color="auto"/>
        <w:right w:val="none" w:sz="0" w:space="0" w:color="auto"/>
      </w:divBdr>
    </w:div>
    <w:div w:id="740255494">
      <w:bodyDiv w:val="1"/>
      <w:marLeft w:val="0"/>
      <w:marRight w:val="0"/>
      <w:marTop w:val="0"/>
      <w:marBottom w:val="0"/>
      <w:divBdr>
        <w:top w:val="none" w:sz="0" w:space="0" w:color="auto"/>
        <w:left w:val="none" w:sz="0" w:space="0" w:color="auto"/>
        <w:bottom w:val="none" w:sz="0" w:space="0" w:color="auto"/>
        <w:right w:val="none" w:sz="0" w:space="0" w:color="auto"/>
      </w:divBdr>
      <w:divsChild>
        <w:div w:id="253131282">
          <w:marLeft w:val="0"/>
          <w:marRight w:val="0"/>
          <w:marTop w:val="0"/>
          <w:marBottom w:val="0"/>
          <w:divBdr>
            <w:top w:val="none" w:sz="0" w:space="0" w:color="auto"/>
            <w:left w:val="none" w:sz="0" w:space="0" w:color="auto"/>
            <w:bottom w:val="none" w:sz="0" w:space="0" w:color="auto"/>
            <w:right w:val="none" w:sz="0" w:space="0" w:color="auto"/>
          </w:divBdr>
          <w:divsChild>
            <w:div w:id="2090692192">
              <w:marLeft w:val="0"/>
              <w:marRight w:val="0"/>
              <w:marTop w:val="0"/>
              <w:marBottom w:val="0"/>
              <w:divBdr>
                <w:top w:val="none" w:sz="0" w:space="0" w:color="auto"/>
                <w:left w:val="none" w:sz="0" w:space="0" w:color="auto"/>
                <w:bottom w:val="none" w:sz="0" w:space="0" w:color="auto"/>
                <w:right w:val="none" w:sz="0" w:space="0" w:color="auto"/>
              </w:divBdr>
              <w:divsChild>
                <w:div w:id="669605581">
                  <w:marLeft w:val="0"/>
                  <w:marRight w:val="0"/>
                  <w:marTop w:val="0"/>
                  <w:marBottom w:val="0"/>
                  <w:divBdr>
                    <w:top w:val="none" w:sz="0" w:space="0" w:color="auto"/>
                    <w:left w:val="none" w:sz="0" w:space="0" w:color="auto"/>
                    <w:bottom w:val="none" w:sz="0" w:space="0" w:color="auto"/>
                    <w:right w:val="none" w:sz="0" w:space="0" w:color="auto"/>
                  </w:divBdr>
                  <w:divsChild>
                    <w:div w:id="1310207657">
                      <w:marLeft w:val="-150"/>
                      <w:marRight w:val="-150"/>
                      <w:marTop w:val="0"/>
                      <w:marBottom w:val="0"/>
                      <w:divBdr>
                        <w:top w:val="none" w:sz="0" w:space="0" w:color="auto"/>
                        <w:left w:val="none" w:sz="0" w:space="0" w:color="auto"/>
                        <w:bottom w:val="none" w:sz="0" w:space="0" w:color="auto"/>
                        <w:right w:val="none" w:sz="0" w:space="0" w:color="auto"/>
                      </w:divBdr>
                      <w:divsChild>
                        <w:div w:id="630981014">
                          <w:marLeft w:val="0"/>
                          <w:marRight w:val="0"/>
                          <w:marTop w:val="0"/>
                          <w:marBottom w:val="0"/>
                          <w:divBdr>
                            <w:top w:val="none" w:sz="0" w:space="0" w:color="auto"/>
                            <w:left w:val="none" w:sz="0" w:space="0" w:color="auto"/>
                            <w:bottom w:val="none" w:sz="0" w:space="0" w:color="auto"/>
                            <w:right w:val="none" w:sz="0" w:space="0" w:color="auto"/>
                          </w:divBdr>
                          <w:divsChild>
                            <w:div w:id="963149550">
                              <w:marLeft w:val="0"/>
                              <w:marRight w:val="0"/>
                              <w:marTop w:val="0"/>
                              <w:marBottom w:val="0"/>
                              <w:divBdr>
                                <w:top w:val="none" w:sz="0" w:space="0" w:color="auto"/>
                                <w:left w:val="none" w:sz="0" w:space="0" w:color="auto"/>
                                <w:bottom w:val="none" w:sz="0" w:space="0" w:color="auto"/>
                                <w:right w:val="none" w:sz="0" w:space="0" w:color="auto"/>
                              </w:divBdr>
                              <w:divsChild>
                                <w:div w:id="1597790589">
                                  <w:marLeft w:val="0"/>
                                  <w:marRight w:val="0"/>
                                  <w:marTop w:val="0"/>
                                  <w:marBottom w:val="300"/>
                                  <w:divBdr>
                                    <w:top w:val="none" w:sz="0" w:space="0" w:color="auto"/>
                                    <w:left w:val="none" w:sz="0" w:space="0" w:color="auto"/>
                                    <w:bottom w:val="none" w:sz="0" w:space="0" w:color="auto"/>
                                    <w:right w:val="none" w:sz="0" w:space="0" w:color="auto"/>
                                  </w:divBdr>
                                  <w:divsChild>
                                    <w:div w:id="1050610761">
                                      <w:marLeft w:val="0"/>
                                      <w:marRight w:val="0"/>
                                      <w:marTop w:val="0"/>
                                      <w:marBottom w:val="0"/>
                                      <w:divBdr>
                                        <w:top w:val="none" w:sz="0" w:space="0" w:color="auto"/>
                                        <w:left w:val="none" w:sz="0" w:space="0" w:color="auto"/>
                                        <w:bottom w:val="none" w:sz="0" w:space="0" w:color="auto"/>
                                        <w:right w:val="none" w:sz="0" w:space="0" w:color="auto"/>
                                      </w:divBdr>
                                      <w:divsChild>
                                        <w:div w:id="2018535309">
                                          <w:marLeft w:val="0"/>
                                          <w:marRight w:val="0"/>
                                          <w:marTop w:val="0"/>
                                          <w:marBottom w:val="0"/>
                                          <w:divBdr>
                                            <w:top w:val="none" w:sz="0" w:space="0" w:color="auto"/>
                                            <w:left w:val="none" w:sz="0" w:space="0" w:color="auto"/>
                                            <w:bottom w:val="none" w:sz="0" w:space="0" w:color="auto"/>
                                            <w:right w:val="none" w:sz="0" w:space="0" w:color="auto"/>
                                          </w:divBdr>
                                          <w:divsChild>
                                            <w:div w:id="958343621">
                                              <w:marLeft w:val="0"/>
                                              <w:marRight w:val="0"/>
                                              <w:marTop w:val="0"/>
                                              <w:marBottom w:val="0"/>
                                              <w:divBdr>
                                                <w:top w:val="none" w:sz="0" w:space="0" w:color="auto"/>
                                                <w:left w:val="none" w:sz="0" w:space="0" w:color="auto"/>
                                                <w:bottom w:val="none" w:sz="0" w:space="0" w:color="auto"/>
                                                <w:right w:val="none" w:sz="0" w:space="0" w:color="auto"/>
                                              </w:divBdr>
                                              <w:divsChild>
                                                <w:div w:id="313607291">
                                                  <w:marLeft w:val="0"/>
                                                  <w:marRight w:val="0"/>
                                                  <w:marTop w:val="0"/>
                                                  <w:marBottom w:val="0"/>
                                                  <w:divBdr>
                                                    <w:top w:val="none" w:sz="0" w:space="0" w:color="auto"/>
                                                    <w:left w:val="none" w:sz="0" w:space="0" w:color="auto"/>
                                                    <w:bottom w:val="none" w:sz="0" w:space="0" w:color="auto"/>
                                                    <w:right w:val="none" w:sz="0" w:space="0" w:color="auto"/>
                                                  </w:divBdr>
                                                  <w:divsChild>
                                                    <w:div w:id="1280840015">
                                                      <w:marLeft w:val="0"/>
                                                      <w:marRight w:val="0"/>
                                                      <w:marTop w:val="0"/>
                                                      <w:marBottom w:val="0"/>
                                                      <w:divBdr>
                                                        <w:top w:val="none" w:sz="0" w:space="0" w:color="auto"/>
                                                        <w:left w:val="none" w:sz="0" w:space="0" w:color="auto"/>
                                                        <w:bottom w:val="none" w:sz="0" w:space="0" w:color="auto"/>
                                                        <w:right w:val="none" w:sz="0" w:space="0" w:color="auto"/>
                                                      </w:divBdr>
                                                      <w:divsChild>
                                                        <w:div w:id="1916931722">
                                                          <w:marLeft w:val="0"/>
                                                          <w:marRight w:val="0"/>
                                                          <w:marTop w:val="0"/>
                                                          <w:marBottom w:val="0"/>
                                                          <w:divBdr>
                                                            <w:top w:val="none" w:sz="0" w:space="0" w:color="auto"/>
                                                            <w:left w:val="none" w:sz="0" w:space="0" w:color="auto"/>
                                                            <w:bottom w:val="none" w:sz="0" w:space="0" w:color="auto"/>
                                                            <w:right w:val="none" w:sz="0" w:space="0" w:color="auto"/>
                                                          </w:divBdr>
                                                          <w:divsChild>
                                                            <w:div w:id="51099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375480">
      <w:bodyDiv w:val="1"/>
      <w:marLeft w:val="0"/>
      <w:marRight w:val="0"/>
      <w:marTop w:val="0"/>
      <w:marBottom w:val="0"/>
      <w:divBdr>
        <w:top w:val="none" w:sz="0" w:space="0" w:color="auto"/>
        <w:left w:val="none" w:sz="0" w:space="0" w:color="auto"/>
        <w:bottom w:val="none" w:sz="0" w:space="0" w:color="auto"/>
        <w:right w:val="none" w:sz="0" w:space="0" w:color="auto"/>
      </w:divBdr>
    </w:div>
    <w:div w:id="750004567">
      <w:bodyDiv w:val="1"/>
      <w:marLeft w:val="0"/>
      <w:marRight w:val="0"/>
      <w:marTop w:val="0"/>
      <w:marBottom w:val="0"/>
      <w:divBdr>
        <w:top w:val="none" w:sz="0" w:space="0" w:color="auto"/>
        <w:left w:val="none" w:sz="0" w:space="0" w:color="auto"/>
        <w:bottom w:val="none" w:sz="0" w:space="0" w:color="auto"/>
        <w:right w:val="none" w:sz="0" w:space="0" w:color="auto"/>
      </w:divBdr>
    </w:div>
    <w:div w:id="757674847">
      <w:bodyDiv w:val="1"/>
      <w:marLeft w:val="0"/>
      <w:marRight w:val="0"/>
      <w:marTop w:val="0"/>
      <w:marBottom w:val="0"/>
      <w:divBdr>
        <w:top w:val="none" w:sz="0" w:space="0" w:color="auto"/>
        <w:left w:val="none" w:sz="0" w:space="0" w:color="auto"/>
        <w:bottom w:val="none" w:sz="0" w:space="0" w:color="auto"/>
        <w:right w:val="none" w:sz="0" w:space="0" w:color="auto"/>
      </w:divBdr>
    </w:div>
    <w:div w:id="761950874">
      <w:bodyDiv w:val="1"/>
      <w:marLeft w:val="0"/>
      <w:marRight w:val="0"/>
      <w:marTop w:val="0"/>
      <w:marBottom w:val="0"/>
      <w:divBdr>
        <w:top w:val="none" w:sz="0" w:space="0" w:color="auto"/>
        <w:left w:val="none" w:sz="0" w:space="0" w:color="auto"/>
        <w:bottom w:val="none" w:sz="0" w:space="0" w:color="auto"/>
        <w:right w:val="none" w:sz="0" w:space="0" w:color="auto"/>
      </w:divBdr>
    </w:div>
    <w:div w:id="831877177">
      <w:bodyDiv w:val="1"/>
      <w:marLeft w:val="0"/>
      <w:marRight w:val="0"/>
      <w:marTop w:val="0"/>
      <w:marBottom w:val="0"/>
      <w:divBdr>
        <w:top w:val="none" w:sz="0" w:space="0" w:color="auto"/>
        <w:left w:val="none" w:sz="0" w:space="0" w:color="auto"/>
        <w:bottom w:val="none" w:sz="0" w:space="0" w:color="auto"/>
        <w:right w:val="none" w:sz="0" w:space="0" w:color="auto"/>
      </w:divBdr>
      <w:divsChild>
        <w:div w:id="1701587231">
          <w:blockQuote w:val="1"/>
          <w:marLeft w:val="0"/>
          <w:marRight w:val="0"/>
          <w:marTop w:val="0"/>
          <w:marBottom w:val="0"/>
          <w:divBdr>
            <w:top w:val="none" w:sz="0" w:space="0" w:color="auto"/>
            <w:left w:val="none" w:sz="0" w:space="0" w:color="auto"/>
            <w:bottom w:val="none" w:sz="0" w:space="0" w:color="auto"/>
            <w:right w:val="none" w:sz="0" w:space="0" w:color="auto"/>
          </w:divBdr>
          <w:divsChild>
            <w:div w:id="428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256113">
      <w:bodyDiv w:val="1"/>
      <w:marLeft w:val="0"/>
      <w:marRight w:val="0"/>
      <w:marTop w:val="0"/>
      <w:marBottom w:val="0"/>
      <w:divBdr>
        <w:top w:val="none" w:sz="0" w:space="0" w:color="auto"/>
        <w:left w:val="none" w:sz="0" w:space="0" w:color="auto"/>
        <w:bottom w:val="none" w:sz="0" w:space="0" w:color="auto"/>
        <w:right w:val="none" w:sz="0" w:space="0" w:color="auto"/>
      </w:divBdr>
    </w:div>
    <w:div w:id="843664695">
      <w:bodyDiv w:val="1"/>
      <w:marLeft w:val="0"/>
      <w:marRight w:val="0"/>
      <w:marTop w:val="0"/>
      <w:marBottom w:val="0"/>
      <w:divBdr>
        <w:top w:val="none" w:sz="0" w:space="0" w:color="auto"/>
        <w:left w:val="none" w:sz="0" w:space="0" w:color="auto"/>
        <w:bottom w:val="none" w:sz="0" w:space="0" w:color="auto"/>
        <w:right w:val="none" w:sz="0" w:space="0" w:color="auto"/>
      </w:divBdr>
    </w:div>
    <w:div w:id="869953887">
      <w:bodyDiv w:val="1"/>
      <w:marLeft w:val="0"/>
      <w:marRight w:val="0"/>
      <w:marTop w:val="0"/>
      <w:marBottom w:val="0"/>
      <w:divBdr>
        <w:top w:val="none" w:sz="0" w:space="0" w:color="auto"/>
        <w:left w:val="none" w:sz="0" w:space="0" w:color="auto"/>
        <w:bottom w:val="none" w:sz="0" w:space="0" w:color="auto"/>
        <w:right w:val="none" w:sz="0" w:space="0" w:color="auto"/>
      </w:divBdr>
    </w:div>
    <w:div w:id="923150878">
      <w:bodyDiv w:val="1"/>
      <w:marLeft w:val="0"/>
      <w:marRight w:val="0"/>
      <w:marTop w:val="0"/>
      <w:marBottom w:val="0"/>
      <w:divBdr>
        <w:top w:val="none" w:sz="0" w:space="0" w:color="auto"/>
        <w:left w:val="none" w:sz="0" w:space="0" w:color="auto"/>
        <w:bottom w:val="none" w:sz="0" w:space="0" w:color="auto"/>
        <w:right w:val="none" w:sz="0" w:space="0" w:color="auto"/>
      </w:divBdr>
    </w:div>
    <w:div w:id="941260750">
      <w:bodyDiv w:val="1"/>
      <w:marLeft w:val="0"/>
      <w:marRight w:val="0"/>
      <w:marTop w:val="0"/>
      <w:marBottom w:val="0"/>
      <w:divBdr>
        <w:top w:val="none" w:sz="0" w:space="0" w:color="auto"/>
        <w:left w:val="none" w:sz="0" w:space="0" w:color="auto"/>
        <w:bottom w:val="none" w:sz="0" w:space="0" w:color="auto"/>
        <w:right w:val="none" w:sz="0" w:space="0" w:color="auto"/>
      </w:divBdr>
    </w:div>
    <w:div w:id="962808689">
      <w:bodyDiv w:val="1"/>
      <w:marLeft w:val="0"/>
      <w:marRight w:val="0"/>
      <w:marTop w:val="0"/>
      <w:marBottom w:val="0"/>
      <w:divBdr>
        <w:top w:val="none" w:sz="0" w:space="0" w:color="auto"/>
        <w:left w:val="none" w:sz="0" w:space="0" w:color="auto"/>
        <w:bottom w:val="none" w:sz="0" w:space="0" w:color="auto"/>
        <w:right w:val="none" w:sz="0" w:space="0" w:color="auto"/>
      </w:divBdr>
    </w:div>
    <w:div w:id="967855598">
      <w:bodyDiv w:val="1"/>
      <w:marLeft w:val="0"/>
      <w:marRight w:val="0"/>
      <w:marTop w:val="0"/>
      <w:marBottom w:val="0"/>
      <w:divBdr>
        <w:top w:val="none" w:sz="0" w:space="0" w:color="auto"/>
        <w:left w:val="none" w:sz="0" w:space="0" w:color="auto"/>
        <w:bottom w:val="none" w:sz="0" w:space="0" w:color="auto"/>
        <w:right w:val="none" w:sz="0" w:space="0" w:color="auto"/>
      </w:divBdr>
    </w:div>
    <w:div w:id="977103421">
      <w:bodyDiv w:val="1"/>
      <w:marLeft w:val="0"/>
      <w:marRight w:val="0"/>
      <w:marTop w:val="0"/>
      <w:marBottom w:val="0"/>
      <w:divBdr>
        <w:top w:val="none" w:sz="0" w:space="0" w:color="auto"/>
        <w:left w:val="none" w:sz="0" w:space="0" w:color="auto"/>
        <w:bottom w:val="none" w:sz="0" w:space="0" w:color="auto"/>
        <w:right w:val="none" w:sz="0" w:space="0" w:color="auto"/>
      </w:divBdr>
    </w:div>
    <w:div w:id="989289651">
      <w:bodyDiv w:val="1"/>
      <w:marLeft w:val="0"/>
      <w:marRight w:val="0"/>
      <w:marTop w:val="0"/>
      <w:marBottom w:val="0"/>
      <w:divBdr>
        <w:top w:val="none" w:sz="0" w:space="0" w:color="auto"/>
        <w:left w:val="none" w:sz="0" w:space="0" w:color="auto"/>
        <w:bottom w:val="none" w:sz="0" w:space="0" w:color="auto"/>
        <w:right w:val="none" w:sz="0" w:space="0" w:color="auto"/>
      </w:divBdr>
    </w:div>
    <w:div w:id="993215660">
      <w:bodyDiv w:val="1"/>
      <w:marLeft w:val="0"/>
      <w:marRight w:val="0"/>
      <w:marTop w:val="0"/>
      <w:marBottom w:val="0"/>
      <w:divBdr>
        <w:top w:val="none" w:sz="0" w:space="0" w:color="auto"/>
        <w:left w:val="none" w:sz="0" w:space="0" w:color="auto"/>
        <w:bottom w:val="none" w:sz="0" w:space="0" w:color="auto"/>
        <w:right w:val="none" w:sz="0" w:space="0" w:color="auto"/>
      </w:divBdr>
    </w:div>
    <w:div w:id="1006783838">
      <w:bodyDiv w:val="1"/>
      <w:marLeft w:val="0"/>
      <w:marRight w:val="0"/>
      <w:marTop w:val="0"/>
      <w:marBottom w:val="0"/>
      <w:divBdr>
        <w:top w:val="none" w:sz="0" w:space="0" w:color="auto"/>
        <w:left w:val="none" w:sz="0" w:space="0" w:color="auto"/>
        <w:bottom w:val="none" w:sz="0" w:space="0" w:color="auto"/>
        <w:right w:val="none" w:sz="0" w:space="0" w:color="auto"/>
      </w:divBdr>
      <w:divsChild>
        <w:div w:id="55082654">
          <w:marLeft w:val="0"/>
          <w:marRight w:val="0"/>
          <w:marTop w:val="0"/>
          <w:marBottom w:val="0"/>
          <w:divBdr>
            <w:top w:val="none" w:sz="0" w:space="0" w:color="auto"/>
            <w:left w:val="none" w:sz="0" w:space="0" w:color="auto"/>
            <w:bottom w:val="none" w:sz="0" w:space="0" w:color="auto"/>
            <w:right w:val="none" w:sz="0" w:space="0" w:color="auto"/>
          </w:divBdr>
          <w:divsChild>
            <w:div w:id="2119134075">
              <w:marLeft w:val="0"/>
              <w:marRight w:val="0"/>
              <w:marTop w:val="0"/>
              <w:marBottom w:val="0"/>
              <w:divBdr>
                <w:top w:val="none" w:sz="0" w:space="0" w:color="auto"/>
                <w:left w:val="none" w:sz="0" w:space="0" w:color="auto"/>
                <w:bottom w:val="none" w:sz="0" w:space="0" w:color="auto"/>
                <w:right w:val="none" w:sz="0" w:space="0" w:color="auto"/>
              </w:divBdr>
            </w:div>
          </w:divsChild>
        </w:div>
        <w:div w:id="1875343383">
          <w:marLeft w:val="0"/>
          <w:marRight w:val="0"/>
          <w:marTop w:val="0"/>
          <w:marBottom w:val="0"/>
          <w:divBdr>
            <w:top w:val="none" w:sz="0" w:space="0" w:color="auto"/>
            <w:left w:val="none" w:sz="0" w:space="0" w:color="auto"/>
            <w:bottom w:val="none" w:sz="0" w:space="0" w:color="auto"/>
            <w:right w:val="none" w:sz="0" w:space="0" w:color="auto"/>
          </w:divBdr>
          <w:divsChild>
            <w:div w:id="332876467">
              <w:marLeft w:val="0"/>
              <w:marRight w:val="0"/>
              <w:marTop w:val="120"/>
              <w:marBottom w:val="0"/>
              <w:divBdr>
                <w:top w:val="none" w:sz="0" w:space="0" w:color="auto"/>
                <w:left w:val="none" w:sz="0" w:space="0" w:color="auto"/>
                <w:bottom w:val="none" w:sz="0" w:space="0" w:color="auto"/>
                <w:right w:val="none" w:sz="0" w:space="0" w:color="auto"/>
              </w:divBdr>
            </w:div>
            <w:div w:id="115699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767092">
      <w:bodyDiv w:val="1"/>
      <w:marLeft w:val="0"/>
      <w:marRight w:val="0"/>
      <w:marTop w:val="0"/>
      <w:marBottom w:val="0"/>
      <w:divBdr>
        <w:top w:val="none" w:sz="0" w:space="0" w:color="auto"/>
        <w:left w:val="none" w:sz="0" w:space="0" w:color="auto"/>
        <w:bottom w:val="none" w:sz="0" w:space="0" w:color="auto"/>
        <w:right w:val="none" w:sz="0" w:space="0" w:color="auto"/>
      </w:divBdr>
      <w:divsChild>
        <w:div w:id="2061900379">
          <w:marLeft w:val="480"/>
          <w:marRight w:val="0"/>
          <w:marTop w:val="0"/>
          <w:marBottom w:val="0"/>
          <w:divBdr>
            <w:top w:val="none" w:sz="0" w:space="0" w:color="auto"/>
            <w:left w:val="none" w:sz="0" w:space="0" w:color="auto"/>
            <w:bottom w:val="none" w:sz="0" w:space="0" w:color="auto"/>
            <w:right w:val="none" w:sz="0" w:space="0" w:color="auto"/>
          </w:divBdr>
        </w:div>
        <w:div w:id="302586850">
          <w:marLeft w:val="480"/>
          <w:marRight w:val="0"/>
          <w:marTop w:val="0"/>
          <w:marBottom w:val="0"/>
          <w:divBdr>
            <w:top w:val="none" w:sz="0" w:space="0" w:color="auto"/>
            <w:left w:val="none" w:sz="0" w:space="0" w:color="auto"/>
            <w:bottom w:val="none" w:sz="0" w:space="0" w:color="auto"/>
            <w:right w:val="none" w:sz="0" w:space="0" w:color="auto"/>
          </w:divBdr>
        </w:div>
      </w:divsChild>
    </w:div>
    <w:div w:id="1033383151">
      <w:bodyDiv w:val="1"/>
      <w:marLeft w:val="0"/>
      <w:marRight w:val="0"/>
      <w:marTop w:val="0"/>
      <w:marBottom w:val="0"/>
      <w:divBdr>
        <w:top w:val="none" w:sz="0" w:space="0" w:color="auto"/>
        <w:left w:val="none" w:sz="0" w:space="0" w:color="auto"/>
        <w:bottom w:val="none" w:sz="0" w:space="0" w:color="auto"/>
        <w:right w:val="none" w:sz="0" w:space="0" w:color="auto"/>
      </w:divBdr>
      <w:divsChild>
        <w:div w:id="335500998">
          <w:marLeft w:val="480"/>
          <w:marRight w:val="0"/>
          <w:marTop w:val="0"/>
          <w:marBottom w:val="0"/>
          <w:divBdr>
            <w:top w:val="none" w:sz="0" w:space="0" w:color="auto"/>
            <w:left w:val="none" w:sz="0" w:space="0" w:color="auto"/>
            <w:bottom w:val="none" w:sz="0" w:space="0" w:color="auto"/>
            <w:right w:val="none" w:sz="0" w:space="0" w:color="auto"/>
          </w:divBdr>
        </w:div>
        <w:div w:id="387343822">
          <w:marLeft w:val="480"/>
          <w:marRight w:val="0"/>
          <w:marTop w:val="0"/>
          <w:marBottom w:val="0"/>
          <w:divBdr>
            <w:top w:val="none" w:sz="0" w:space="0" w:color="auto"/>
            <w:left w:val="none" w:sz="0" w:space="0" w:color="auto"/>
            <w:bottom w:val="none" w:sz="0" w:space="0" w:color="auto"/>
            <w:right w:val="none" w:sz="0" w:space="0" w:color="auto"/>
          </w:divBdr>
        </w:div>
        <w:div w:id="970864949">
          <w:marLeft w:val="480"/>
          <w:marRight w:val="0"/>
          <w:marTop w:val="0"/>
          <w:marBottom w:val="0"/>
          <w:divBdr>
            <w:top w:val="none" w:sz="0" w:space="0" w:color="auto"/>
            <w:left w:val="none" w:sz="0" w:space="0" w:color="auto"/>
            <w:bottom w:val="none" w:sz="0" w:space="0" w:color="auto"/>
            <w:right w:val="none" w:sz="0" w:space="0" w:color="auto"/>
          </w:divBdr>
        </w:div>
      </w:divsChild>
    </w:div>
    <w:div w:id="1034111897">
      <w:bodyDiv w:val="1"/>
      <w:marLeft w:val="0"/>
      <w:marRight w:val="0"/>
      <w:marTop w:val="0"/>
      <w:marBottom w:val="0"/>
      <w:divBdr>
        <w:top w:val="none" w:sz="0" w:space="0" w:color="auto"/>
        <w:left w:val="none" w:sz="0" w:space="0" w:color="auto"/>
        <w:bottom w:val="none" w:sz="0" w:space="0" w:color="auto"/>
        <w:right w:val="none" w:sz="0" w:space="0" w:color="auto"/>
      </w:divBdr>
    </w:div>
    <w:div w:id="1090200471">
      <w:bodyDiv w:val="1"/>
      <w:marLeft w:val="0"/>
      <w:marRight w:val="0"/>
      <w:marTop w:val="0"/>
      <w:marBottom w:val="0"/>
      <w:divBdr>
        <w:top w:val="none" w:sz="0" w:space="0" w:color="auto"/>
        <w:left w:val="none" w:sz="0" w:space="0" w:color="auto"/>
        <w:bottom w:val="none" w:sz="0" w:space="0" w:color="auto"/>
        <w:right w:val="none" w:sz="0" w:space="0" w:color="auto"/>
      </w:divBdr>
    </w:div>
    <w:div w:id="1101073652">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18063769">
      <w:bodyDiv w:val="1"/>
      <w:marLeft w:val="0"/>
      <w:marRight w:val="0"/>
      <w:marTop w:val="0"/>
      <w:marBottom w:val="0"/>
      <w:divBdr>
        <w:top w:val="none" w:sz="0" w:space="0" w:color="auto"/>
        <w:left w:val="none" w:sz="0" w:space="0" w:color="auto"/>
        <w:bottom w:val="none" w:sz="0" w:space="0" w:color="auto"/>
        <w:right w:val="none" w:sz="0" w:space="0" w:color="auto"/>
      </w:divBdr>
      <w:divsChild>
        <w:div w:id="1206285645">
          <w:marLeft w:val="0"/>
          <w:marRight w:val="0"/>
          <w:marTop w:val="0"/>
          <w:marBottom w:val="0"/>
          <w:divBdr>
            <w:top w:val="none" w:sz="0" w:space="0" w:color="auto"/>
            <w:left w:val="none" w:sz="0" w:space="0" w:color="auto"/>
            <w:bottom w:val="none" w:sz="0" w:space="0" w:color="auto"/>
            <w:right w:val="none" w:sz="0" w:space="0" w:color="auto"/>
          </w:divBdr>
          <w:divsChild>
            <w:div w:id="452407148">
              <w:marLeft w:val="0"/>
              <w:marRight w:val="0"/>
              <w:marTop w:val="0"/>
              <w:marBottom w:val="0"/>
              <w:divBdr>
                <w:top w:val="none" w:sz="0" w:space="0" w:color="auto"/>
                <w:left w:val="none" w:sz="0" w:space="0" w:color="auto"/>
                <w:bottom w:val="none" w:sz="0" w:space="0" w:color="auto"/>
                <w:right w:val="none" w:sz="0" w:space="0" w:color="auto"/>
              </w:divBdr>
              <w:divsChild>
                <w:div w:id="621037700">
                  <w:marLeft w:val="0"/>
                  <w:marRight w:val="0"/>
                  <w:marTop w:val="0"/>
                  <w:marBottom w:val="0"/>
                  <w:divBdr>
                    <w:top w:val="none" w:sz="0" w:space="0" w:color="auto"/>
                    <w:left w:val="none" w:sz="0" w:space="0" w:color="auto"/>
                    <w:bottom w:val="none" w:sz="0" w:space="0" w:color="auto"/>
                    <w:right w:val="none" w:sz="0" w:space="0" w:color="auto"/>
                  </w:divBdr>
                  <w:divsChild>
                    <w:div w:id="417336255">
                      <w:marLeft w:val="-150"/>
                      <w:marRight w:val="-150"/>
                      <w:marTop w:val="0"/>
                      <w:marBottom w:val="0"/>
                      <w:divBdr>
                        <w:top w:val="none" w:sz="0" w:space="0" w:color="auto"/>
                        <w:left w:val="none" w:sz="0" w:space="0" w:color="auto"/>
                        <w:bottom w:val="none" w:sz="0" w:space="0" w:color="auto"/>
                        <w:right w:val="none" w:sz="0" w:space="0" w:color="auto"/>
                      </w:divBdr>
                      <w:divsChild>
                        <w:div w:id="1607927112">
                          <w:marLeft w:val="0"/>
                          <w:marRight w:val="0"/>
                          <w:marTop w:val="0"/>
                          <w:marBottom w:val="0"/>
                          <w:divBdr>
                            <w:top w:val="none" w:sz="0" w:space="0" w:color="auto"/>
                            <w:left w:val="none" w:sz="0" w:space="0" w:color="auto"/>
                            <w:bottom w:val="none" w:sz="0" w:space="0" w:color="auto"/>
                            <w:right w:val="none" w:sz="0" w:space="0" w:color="auto"/>
                          </w:divBdr>
                          <w:divsChild>
                            <w:div w:id="357124153">
                              <w:marLeft w:val="0"/>
                              <w:marRight w:val="0"/>
                              <w:marTop w:val="0"/>
                              <w:marBottom w:val="0"/>
                              <w:divBdr>
                                <w:top w:val="none" w:sz="0" w:space="0" w:color="auto"/>
                                <w:left w:val="none" w:sz="0" w:space="0" w:color="auto"/>
                                <w:bottom w:val="none" w:sz="0" w:space="0" w:color="auto"/>
                                <w:right w:val="none" w:sz="0" w:space="0" w:color="auto"/>
                              </w:divBdr>
                              <w:divsChild>
                                <w:div w:id="1283463617">
                                  <w:marLeft w:val="0"/>
                                  <w:marRight w:val="0"/>
                                  <w:marTop w:val="0"/>
                                  <w:marBottom w:val="300"/>
                                  <w:divBdr>
                                    <w:top w:val="none" w:sz="0" w:space="0" w:color="auto"/>
                                    <w:left w:val="none" w:sz="0" w:space="0" w:color="auto"/>
                                    <w:bottom w:val="none" w:sz="0" w:space="0" w:color="auto"/>
                                    <w:right w:val="none" w:sz="0" w:space="0" w:color="auto"/>
                                  </w:divBdr>
                                  <w:divsChild>
                                    <w:div w:id="1276870420">
                                      <w:marLeft w:val="0"/>
                                      <w:marRight w:val="0"/>
                                      <w:marTop w:val="0"/>
                                      <w:marBottom w:val="0"/>
                                      <w:divBdr>
                                        <w:top w:val="none" w:sz="0" w:space="0" w:color="auto"/>
                                        <w:left w:val="none" w:sz="0" w:space="0" w:color="auto"/>
                                        <w:bottom w:val="none" w:sz="0" w:space="0" w:color="auto"/>
                                        <w:right w:val="none" w:sz="0" w:space="0" w:color="auto"/>
                                      </w:divBdr>
                                      <w:divsChild>
                                        <w:div w:id="715934110">
                                          <w:marLeft w:val="0"/>
                                          <w:marRight w:val="0"/>
                                          <w:marTop w:val="0"/>
                                          <w:marBottom w:val="0"/>
                                          <w:divBdr>
                                            <w:top w:val="none" w:sz="0" w:space="0" w:color="auto"/>
                                            <w:left w:val="none" w:sz="0" w:space="0" w:color="auto"/>
                                            <w:bottom w:val="none" w:sz="0" w:space="0" w:color="auto"/>
                                            <w:right w:val="none" w:sz="0" w:space="0" w:color="auto"/>
                                          </w:divBdr>
                                          <w:divsChild>
                                            <w:div w:id="1807746560">
                                              <w:marLeft w:val="0"/>
                                              <w:marRight w:val="0"/>
                                              <w:marTop w:val="0"/>
                                              <w:marBottom w:val="0"/>
                                              <w:divBdr>
                                                <w:top w:val="none" w:sz="0" w:space="0" w:color="auto"/>
                                                <w:left w:val="none" w:sz="0" w:space="0" w:color="auto"/>
                                                <w:bottom w:val="none" w:sz="0" w:space="0" w:color="auto"/>
                                                <w:right w:val="none" w:sz="0" w:space="0" w:color="auto"/>
                                              </w:divBdr>
                                              <w:divsChild>
                                                <w:div w:id="2101559633">
                                                  <w:marLeft w:val="0"/>
                                                  <w:marRight w:val="0"/>
                                                  <w:marTop w:val="0"/>
                                                  <w:marBottom w:val="0"/>
                                                  <w:divBdr>
                                                    <w:top w:val="none" w:sz="0" w:space="0" w:color="auto"/>
                                                    <w:left w:val="none" w:sz="0" w:space="0" w:color="auto"/>
                                                    <w:bottom w:val="none" w:sz="0" w:space="0" w:color="auto"/>
                                                    <w:right w:val="none" w:sz="0" w:space="0" w:color="auto"/>
                                                  </w:divBdr>
                                                  <w:divsChild>
                                                    <w:div w:id="1710185809">
                                                      <w:marLeft w:val="0"/>
                                                      <w:marRight w:val="0"/>
                                                      <w:marTop w:val="0"/>
                                                      <w:marBottom w:val="0"/>
                                                      <w:divBdr>
                                                        <w:top w:val="none" w:sz="0" w:space="0" w:color="auto"/>
                                                        <w:left w:val="none" w:sz="0" w:space="0" w:color="auto"/>
                                                        <w:bottom w:val="none" w:sz="0" w:space="0" w:color="auto"/>
                                                        <w:right w:val="none" w:sz="0" w:space="0" w:color="auto"/>
                                                      </w:divBdr>
                                                      <w:divsChild>
                                                        <w:div w:id="1245148734">
                                                          <w:marLeft w:val="0"/>
                                                          <w:marRight w:val="0"/>
                                                          <w:marTop w:val="0"/>
                                                          <w:marBottom w:val="0"/>
                                                          <w:divBdr>
                                                            <w:top w:val="none" w:sz="0" w:space="0" w:color="auto"/>
                                                            <w:left w:val="none" w:sz="0" w:space="0" w:color="auto"/>
                                                            <w:bottom w:val="none" w:sz="0" w:space="0" w:color="auto"/>
                                                            <w:right w:val="none" w:sz="0" w:space="0" w:color="auto"/>
                                                          </w:divBdr>
                                                          <w:divsChild>
                                                            <w:div w:id="3369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151649">
      <w:bodyDiv w:val="1"/>
      <w:marLeft w:val="0"/>
      <w:marRight w:val="0"/>
      <w:marTop w:val="0"/>
      <w:marBottom w:val="0"/>
      <w:divBdr>
        <w:top w:val="none" w:sz="0" w:space="0" w:color="auto"/>
        <w:left w:val="none" w:sz="0" w:space="0" w:color="auto"/>
        <w:bottom w:val="none" w:sz="0" w:space="0" w:color="auto"/>
        <w:right w:val="none" w:sz="0" w:space="0" w:color="auto"/>
      </w:divBdr>
    </w:div>
    <w:div w:id="1197889081">
      <w:bodyDiv w:val="1"/>
      <w:marLeft w:val="0"/>
      <w:marRight w:val="0"/>
      <w:marTop w:val="0"/>
      <w:marBottom w:val="0"/>
      <w:divBdr>
        <w:top w:val="none" w:sz="0" w:space="0" w:color="auto"/>
        <w:left w:val="none" w:sz="0" w:space="0" w:color="auto"/>
        <w:bottom w:val="none" w:sz="0" w:space="0" w:color="auto"/>
        <w:right w:val="none" w:sz="0" w:space="0" w:color="auto"/>
      </w:divBdr>
    </w:div>
    <w:div w:id="1234661938">
      <w:bodyDiv w:val="1"/>
      <w:marLeft w:val="0"/>
      <w:marRight w:val="0"/>
      <w:marTop w:val="0"/>
      <w:marBottom w:val="0"/>
      <w:divBdr>
        <w:top w:val="none" w:sz="0" w:space="0" w:color="auto"/>
        <w:left w:val="none" w:sz="0" w:space="0" w:color="auto"/>
        <w:bottom w:val="none" w:sz="0" w:space="0" w:color="auto"/>
        <w:right w:val="none" w:sz="0" w:space="0" w:color="auto"/>
      </w:divBdr>
    </w:div>
    <w:div w:id="1259949936">
      <w:bodyDiv w:val="1"/>
      <w:marLeft w:val="0"/>
      <w:marRight w:val="0"/>
      <w:marTop w:val="0"/>
      <w:marBottom w:val="0"/>
      <w:divBdr>
        <w:top w:val="none" w:sz="0" w:space="0" w:color="auto"/>
        <w:left w:val="none" w:sz="0" w:space="0" w:color="auto"/>
        <w:bottom w:val="none" w:sz="0" w:space="0" w:color="auto"/>
        <w:right w:val="none" w:sz="0" w:space="0" w:color="auto"/>
      </w:divBdr>
    </w:div>
    <w:div w:id="1276329088">
      <w:bodyDiv w:val="1"/>
      <w:marLeft w:val="0"/>
      <w:marRight w:val="0"/>
      <w:marTop w:val="0"/>
      <w:marBottom w:val="0"/>
      <w:divBdr>
        <w:top w:val="none" w:sz="0" w:space="0" w:color="auto"/>
        <w:left w:val="none" w:sz="0" w:space="0" w:color="auto"/>
        <w:bottom w:val="none" w:sz="0" w:space="0" w:color="auto"/>
        <w:right w:val="none" w:sz="0" w:space="0" w:color="auto"/>
      </w:divBdr>
    </w:div>
    <w:div w:id="1282767369">
      <w:bodyDiv w:val="1"/>
      <w:marLeft w:val="0"/>
      <w:marRight w:val="0"/>
      <w:marTop w:val="0"/>
      <w:marBottom w:val="0"/>
      <w:divBdr>
        <w:top w:val="none" w:sz="0" w:space="0" w:color="auto"/>
        <w:left w:val="none" w:sz="0" w:space="0" w:color="auto"/>
        <w:bottom w:val="none" w:sz="0" w:space="0" w:color="auto"/>
        <w:right w:val="none" w:sz="0" w:space="0" w:color="auto"/>
      </w:divBdr>
    </w:div>
    <w:div w:id="1284381326">
      <w:bodyDiv w:val="1"/>
      <w:marLeft w:val="0"/>
      <w:marRight w:val="0"/>
      <w:marTop w:val="0"/>
      <w:marBottom w:val="0"/>
      <w:divBdr>
        <w:top w:val="none" w:sz="0" w:space="0" w:color="auto"/>
        <w:left w:val="none" w:sz="0" w:space="0" w:color="auto"/>
        <w:bottom w:val="none" w:sz="0" w:space="0" w:color="auto"/>
        <w:right w:val="none" w:sz="0" w:space="0" w:color="auto"/>
      </w:divBdr>
      <w:divsChild>
        <w:div w:id="968970717">
          <w:marLeft w:val="-150"/>
          <w:marRight w:val="-150"/>
          <w:marTop w:val="0"/>
          <w:marBottom w:val="0"/>
          <w:divBdr>
            <w:top w:val="none" w:sz="0" w:space="0" w:color="auto"/>
            <w:left w:val="none" w:sz="0" w:space="0" w:color="auto"/>
            <w:bottom w:val="none" w:sz="0" w:space="0" w:color="auto"/>
            <w:right w:val="none" w:sz="0" w:space="0" w:color="auto"/>
          </w:divBdr>
          <w:divsChild>
            <w:div w:id="620459822">
              <w:marLeft w:val="-225"/>
              <w:marRight w:val="-225"/>
              <w:marTop w:val="0"/>
              <w:marBottom w:val="0"/>
              <w:divBdr>
                <w:top w:val="none" w:sz="0" w:space="0" w:color="auto"/>
                <w:left w:val="none" w:sz="0" w:space="0" w:color="auto"/>
                <w:bottom w:val="none" w:sz="0" w:space="0" w:color="auto"/>
                <w:right w:val="none" w:sz="0" w:space="0" w:color="auto"/>
              </w:divBdr>
              <w:divsChild>
                <w:div w:id="1027483612">
                  <w:marLeft w:val="0"/>
                  <w:marRight w:val="0"/>
                  <w:marTop w:val="0"/>
                  <w:marBottom w:val="0"/>
                  <w:divBdr>
                    <w:top w:val="none" w:sz="0" w:space="0" w:color="auto"/>
                    <w:left w:val="none" w:sz="0" w:space="0" w:color="auto"/>
                    <w:bottom w:val="none" w:sz="0" w:space="0" w:color="auto"/>
                    <w:right w:val="none" w:sz="0" w:space="0" w:color="auto"/>
                  </w:divBdr>
                  <w:divsChild>
                    <w:div w:id="1421095657">
                      <w:marLeft w:val="0"/>
                      <w:marRight w:val="0"/>
                      <w:marTop w:val="0"/>
                      <w:marBottom w:val="0"/>
                      <w:divBdr>
                        <w:top w:val="none" w:sz="0" w:space="0" w:color="auto"/>
                        <w:left w:val="none" w:sz="0" w:space="0" w:color="auto"/>
                        <w:bottom w:val="none" w:sz="0" w:space="0" w:color="auto"/>
                        <w:right w:val="none" w:sz="0" w:space="0" w:color="auto"/>
                      </w:divBdr>
                      <w:divsChild>
                        <w:div w:id="1865971059">
                          <w:marLeft w:val="0"/>
                          <w:marRight w:val="0"/>
                          <w:marTop w:val="0"/>
                          <w:marBottom w:val="0"/>
                          <w:divBdr>
                            <w:top w:val="none" w:sz="0" w:space="0" w:color="auto"/>
                            <w:left w:val="none" w:sz="0" w:space="0" w:color="auto"/>
                            <w:bottom w:val="none" w:sz="0" w:space="0" w:color="auto"/>
                            <w:right w:val="none" w:sz="0" w:space="0" w:color="auto"/>
                          </w:divBdr>
                          <w:divsChild>
                            <w:div w:id="1511289203">
                              <w:marLeft w:val="0"/>
                              <w:marRight w:val="0"/>
                              <w:marTop w:val="0"/>
                              <w:marBottom w:val="0"/>
                              <w:divBdr>
                                <w:top w:val="none" w:sz="0" w:space="0" w:color="auto"/>
                                <w:left w:val="none" w:sz="0" w:space="0" w:color="auto"/>
                                <w:bottom w:val="none" w:sz="0" w:space="0" w:color="auto"/>
                                <w:right w:val="none" w:sz="0" w:space="0" w:color="auto"/>
                              </w:divBdr>
                            </w:div>
                          </w:divsChild>
                        </w:div>
                        <w:div w:id="286008650">
                          <w:marLeft w:val="-15"/>
                          <w:marRight w:val="-15"/>
                          <w:marTop w:val="0"/>
                          <w:marBottom w:val="0"/>
                          <w:divBdr>
                            <w:top w:val="none" w:sz="0" w:space="0" w:color="auto"/>
                            <w:left w:val="none" w:sz="0" w:space="0" w:color="auto"/>
                            <w:bottom w:val="none" w:sz="0" w:space="0" w:color="auto"/>
                            <w:right w:val="none" w:sz="0" w:space="0" w:color="auto"/>
                          </w:divBdr>
                          <w:divsChild>
                            <w:div w:id="1656058668">
                              <w:marLeft w:val="0"/>
                              <w:marRight w:val="0"/>
                              <w:marTop w:val="0"/>
                              <w:marBottom w:val="0"/>
                              <w:divBdr>
                                <w:top w:val="none" w:sz="0" w:space="0" w:color="auto"/>
                                <w:left w:val="none" w:sz="0" w:space="0" w:color="auto"/>
                                <w:bottom w:val="none" w:sz="0" w:space="0" w:color="auto"/>
                                <w:right w:val="none" w:sz="0" w:space="0" w:color="auto"/>
                              </w:divBdr>
                            </w:div>
                          </w:divsChild>
                        </w:div>
                        <w:div w:id="193613194">
                          <w:marLeft w:val="75"/>
                          <w:marRight w:val="75"/>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 w:id="1004556563">
          <w:marLeft w:val="-150"/>
          <w:marRight w:val="-150"/>
          <w:marTop w:val="0"/>
          <w:marBottom w:val="0"/>
          <w:divBdr>
            <w:top w:val="none" w:sz="0" w:space="0" w:color="auto"/>
            <w:left w:val="none" w:sz="0" w:space="0" w:color="auto"/>
            <w:bottom w:val="none" w:sz="0" w:space="0" w:color="auto"/>
            <w:right w:val="none" w:sz="0" w:space="0" w:color="auto"/>
          </w:divBdr>
        </w:div>
        <w:div w:id="1965770098">
          <w:marLeft w:val="0"/>
          <w:marRight w:val="0"/>
          <w:marTop w:val="0"/>
          <w:marBottom w:val="0"/>
          <w:divBdr>
            <w:top w:val="none" w:sz="0" w:space="0" w:color="auto"/>
            <w:left w:val="none" w:sz="0" w:space="0" w:color="auto"/>
            <w:bottom w:val="none" w:sz="0" w:space="0" w:color="auto"/>
            <w:right w:val="none" w:sz="0" w:space="0" w:color="auto"/>
          </w:divBdr>
          <w:divsChild>
            <w:div w:id="1831828932">
              <w:marLeft w:val="0"/>
              <w:marRight w:val="0"/>
              <w:marTop w:val="0"/>
              <w:marBottom w:val="0"/>
              <w:divBdr>
                <w:top w:val="none" w:sz="0" w:space="0" w:color="auto"/>
                <w:left w:val="none" w:sz="0" w:space="0" w:color="auto"/>
                <w:bottom w:val="none" w:sz="0" w:space="0" w:color="auto"/>
                <w:right w:val="none" w:sz="0" w:space="0" w:color="auto"/>
              </w:divBdr>
              <w:divsChild>
                <w:div w:id="510753913">
                  <w:marLeft w:val="-225"/>
                  <w:marRight w:val="-225"/>
                  <w:marTop w:val="0"/>
                  <w:marBottom w:val="0"/>
                  <w:divBdr>
                    <w:top w:val="none" w:sz="0" w:space="0" w:color="auto"/>
                    <w:left w:val="none" w:sz="0" w:space="0" w:color="auto"/>
                    <w:bottom w:val="none" w:sz="0" w:space="0" w:color="auto"/>
                    <w:right w:val="none" w:sz="0" w:space="0" w:color="auto"/>
                  </w:divBdr>
                  <w:divsChild>
                    <w:div w:id="1876774748">
                      <w:marLeft w:val="0"/>
                      <w:marRight w:val="0"/>
                      <w:marTop w:val="0"/>
                      <w:marBottom w:val="0"/>
                      <w:divBdr>
                        <w:top w:val="none" w:sz="0" w:space="0" w:color="auto"/>
                        <w:left w:val="none" w:sz="0" w:space="0" w:color="auto"/>
                        <w:bottom w:val="none" w:sz="0" w:space="0" w:color="auto"/>
                        <w:right w:val="none" w:sz="0" w:space="0" w:color="auto"/>
                      </w:divBdr>
                    </w:div>
                    <w:div w:id="1996831228">
                      <w:marLeft w:val="0"/>
                      <w:marRight w:val="0"/>
                      <w:marTop w:val="0"/>
                      <w:marBottom w:val="0"/>
                      <w:divBdr>
                        <w:top w:val="none" w:sz="0" w:space="0" w:color="auto"/>
                        <w:left w:val="none" w:sz="0" w:space="0" w:color="auto"/>
                        <w:bottom w:val="none" w:sz="0" w:space="0" w:color="auto"/>
                        <w:right w:val="none" w:sz="0" w:space="0" w:color="auto"/>
                      </w:divBdr>
                      <w:divsChild>
                        <w:div w:id="118489917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325665808">
              <w:marLeft w:val="-225"/>
              <w:marRight w:val="-225"/>
              <w:marTop w:val="0"/>
              <w:marBottom w:val="0"/>
              <w:divBdr>
                <w:top w:val="none" w:sz="0" w:space="0" w:color="auto"/>
                <w:left w:val="none" w:sz="0" w:space="0" w:color="auto"/>
                <w:bottom w:val="none" w:sz="0" w:space="0" w:color="auto"/>
                <w:right w:val="none" w:sz="0" w:space="0" w:color="auto"/>
              </w:divBdr>
              <w:divsChild>
                <w:div w:id="1242909450">
                  <w:marLeft w:val="0"/>
                  <w:marRight w:val="0"/>
                  <w:marTop w:val="0"/>
                  <w:marBottom w:val="0"/>
                  <w:divBdr>
                    <w:top w:val="none" w:sz="0" w:space="0" w:color="auto"/>
                    <w:left w:val="none" w:sz="0" w:space="0" w:color="auto"/>
                    <w:bottom w:val="none" w:sz="0" w:space="0" w:color="auto"/>
                    <w:right w:val="none" w:sz="0" w:space="0" w:color="auto"/>
                  </w:divBdr>
                  <w:divsChild>
                    <w:div w:id="1966812659">
                      <w:marLeft w:val="0"/>
                      <w:marRight w:val="0"/>
                      <w:marTop w:val="0"/>
                      <w:marBottom w:val="0"/>
                      <w:divBdr>
                        <w:top w:val="none" w:sz="0" w:space="0" w:color="auto"/>
                        <w:left w:val="none" w:sz="0" w:space="0" w:color="auto"/>
                        <w:bottom w:val="none" w:sz="0" w:space="0" w:color="auto"/>
                        <w:right w:val="none" w:sz="0" w:space="0" w:color="auto"/>
                      </w:divBdr>
                      <w:divsChild>
                        <w:div w:id="1647321635">
                          <w:marLeft w:val="0"/>
                          <w:marRight w:val="0"/>
                          <w:marTop w:val="0"/>
                          <w:marBottom w:val="0"/>
                          <w:divBdr>
                            <w:top w:val="none" w:sz="0" w:space="0" w:color="auto"/>
                            <w:left w:val="none" w:sz="0" w:space="0" w:color="auto"/>
                            <w:bottom w:val="none" w:sz="0" w:space="0" w:color="auto"/>
                            <w:right w:val="none" w:sz="0" w:space="0" w:color="auto"/>
                          </w:divBdr>
                          <w:divsChild>
                            <w:div w:id="411313878">
                              <w:marLeft w:val="0"/>
                              <w:marRight w:val="0"/>
                              <w:marTop w:val="0"/>
                              <w:marBottom w:val="0"/>
                              <w:divBdr>
                                <w:top w:val="none" w:sz="0" w:space="0" w:color="auto"/>
                                <w:left w:val="none" w:sz="0" w:space="0" w:color="auto"/>
                                <w:bottom w:val="none" w:sz="0" w:space="0" w:color="auto"/>
                                <w:right w:val="none" w:sz="0" w:space="0" w:color="auto"/>
                              </w:divBdr>
                            </w:div>
                          </w:divsChild>
                        </w:div>
                        <w:div w:id="690107722">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7196025">
      <w:bodyDiv w:val="1"/>
      <w:marLeft w:val="0"/>
      <w:marRight w:val="0"/>
      <w:marTop w:val="0"/>
      <w:marBottom w:val="0"/>
      <w:divBdr>
        <w:top w:val="none" w:sz="0" w:space="0" w:color="auto"/>
        <w:left w:val="none" w:sz="0" w:space="0" w:color="auto"/>
        <w:bottom w:val="none" w:sz="0" w:space="0" w:color="auto"/>
        <w:right w:val="none" w:sz="0" w:space="0" w:color="auto"/>
      </w:divBdr>
    </w:div>
    <w:div w:id="1300376925">
      <w:bodyDiv w:val="1"/>
      <w:marLeft w:val="0"/>
      <w:marRight w:val="0"/>
      <w:marTop w:val="0"/>
      <w:marBottom w:val="0"/>
      <w:divBdr>
        <w:top w:val="none" w:sz="0" w:space="0" w:color="auto"/>
        <w:left w:val="none" w:sz="0" w:space="0" w:color="auto"/>
        <w:bottom w:val="none" w:sz="0" w:space="0" w:color="auto"/>
        <w:right w:val="none" w:sz="0" w:space="0" w:color="auto"/>
      </w:divBdr>
    </w:div>
    <w:div w:id="1305740725">
      <w:bodyDiv w:val="1"/>
      <w:marLeft w:val="0"/>
      <w:marRight w:val="0"/>
      <w:marTop w:val="0"/>
      <w:marBottom w:val="0"/>
      <w:divBdr>
        <w:top w:val="none" w:sz="0" w:space="0" w:color="auto"/>
        <w:left w:val="none" w:sz="0" w:space="0" w:color="auto"/>
        <w:bottom w:val="none" w:sz="0" w:space="0" w:color="auto"/>
        <w:right w:val="none" w:sz="0" w:space="0" w:color="auto"/>
      </w:divBdr>
      <w:divsChild>
        <w:div w:id="686522355">
          <w:marLeft w:val="0"/>
          <w:marRight w:val="0"/>
          <w:marTop w:val="0"/>
          <w:marBottom w:val="0"/>
          <w:divBdr>
            <w:top w:val="none" w:sz="0" w:space="0" w:color="auto"/>
            <w:left w:val="none" w:sz="0" w:space="0" w:color="auto"/>
            <w:bottom w:val="none" w:sz="0" w:space="0" w:color="auto"/>
            <w:right w:val="none" w:sz="0" w:space="0" w:color="auto"/>
          </w:divBdr>
          <w:divsChild>
            <w:div w:id="240214281">
              <w:marLeft w:val="0"/>
              <w:marRight w:val="0"/>
              <w:marTop w:val="0"/>
              <w:marBottom w:val="0"/>
              <w:divBdr>
                <w:top w:val="none" w:sz="0" w:space="0" w:color="auto"/>
                <w:left w:val="none" w:sz="0" w:space="0" w:color="auto"/>
                <w:bottom w:val="none" w:sz="0" w:space="0" w:color="auto"/>
                <w:right w:val="none" w:sz="0" w:space="0" w:color="auto"/>
              </w:divBdr>
              <w:divsChild>
                <w:div w:id="15081641">
                  <w:marLeft w:val="0"/>
                  <w:marRight w:val="0"/>
                  <w:marTop w:val="0"/>
                  <w:marBottom w:val="0"/>
                  <w:divBdr>
                    <w:top w:val="none" w:sz="0" w:space="0" w:color="auto"/>
                    <w:left w:val="none" w:sz="0" w:space="0" w:color="auto"/>
                    <w:bottom w:val="none" w:sz="0" w:space="0" w:color="auto"/>
                    <w:right w:val="none" w:sz="0" w:space="0" w:color="auto"/>
                  </w:divBdr>
                  <w:divsChild>
                    <w:div w:id="1359741605">
                      <w:marLeft w:val="-150"/>
                      <w:marRight w:val="-150"/>
                      <w:marTop w:val="0"/>
                      <w:marBottom w:val="0"/>
                      <w:divBdr>
                        <w:top w:val="none" w:sz="0" w:space="0" w:color="auto"/>
                        <w:left w:val="none" w:sz="0" w:space="0" w:color="auto"/>
                        <w:bottom w:val="none" w:sz="0" w:space="0" w:color="auto"/>
                        <w:right w:val="none" w:sz="0" w:space="0" w:color="auto"/>
                      </w:divBdr>
                      <w:divsChild>
                        <w:div w:id="293102624">
                          <w:marLeft w:val="0"/>
                          <w:marRight w:val="0"/>
                          <w:marTop w:val="0"/>
                          <w:marBottom w:val="0"/>
                          <w:divBdr>
                            <w:top w:val="none" w:sz="0" w:space="0" w:color="auto"/>
                            <w:left w:val="none" w:sz="0" w:space="0" w:color="auto"/>
                            <w:bottom w:val="none" w:sz="0" w:space="0" w:color="auto"/>
                            <w:right w:val="none" w:sz="0" w:space="0" w:color="auto"/>
                          </w:divBdr>
                          <w:divsChild>
                            <w:div w:id="63338702">
                              <w:marLeft w:val="0"/>
                              <w:marRight w:val="0"/>
                              <w:marTop w:val="0"/>
                              <w:marBottom w:val="0"/>
                              <w:divBdr>
                                <w:top w:val="none" w:sz="0" w:space="0" w:color="auto"/>
                                <w:left w:val="none" w:sz="0" w:space="0" w:color="auto"/>
                                <w:bottom w:val="none" w:sz="0" w:space="0" w:color="auto"/>
                                <w:right w:val="none" w:sz="0" w:space="0" w:color="auto"/>
                              </w:divBdr>
                              <w:divsChild>
                                <w:div w:id="293755473">
                                  <w:marLeft w:val="0"/>
                                  <w:marRight w:val="0"/>
                                  <w:marTop w:val="0"/>
                                  <w:marBottom w:val="300"/>
                                  <w:divBdr>
                                    <w:top w:val="none" w:sz="0" w:space="0" w:color="auto"/>
                                    <w:left w:val="none" w:sz="0" w:space="0" w:color="auto"/>
                                    <w:bottom w:val="none" w:sz="0" w:space="0" w:color="auto"/>
                                    <w:right w:val="none" w:sz="0" w:space="0" w:color="auto"/>
                                  </w:divBdr>
                                  <w:divsChild>
                                    <w:div w:id="1067804319">
                                      <w:marLeft w:val="0"/>
                                      <w:marRight w:val="0"/>
                                      <w:marTop w:val="0"/>
                                      <w:marBottom w:val="0"/>
                                      <w:divBdr>
                                        <w:top w:val="none" w:sz="0" w:space="0" w:color="auto"/>
                                        <w:left w:val="none" w:sz="0" w:space="0" w:color="auto"/>
                                        <w:bottom w:val="none" w:sz="0" w:space="0" w:color="auto"/>
                                        <w:right w:val="none" w:sz="0" w:space="0" w:color="auto"/>
                                      </w:divBdr>
                                      <w:divsChild>
                                        <w:div w:id="1791897848">
                                          <w:marLeft w:val="0"/>
                                          <w:marRight w:val="0"/>
                                          <w:marTop w:val="0"/>
                                          <w:marBottom w:val="0"/>
                                          <w:divBdr>
                                            <w:top w:val="none" w:sz="0" w:space="0" w:color="auto"/>
                                            <w:left w:val="none" w:sz="0" w:space="0" w:color="auto"/>
                                            <w:bottom w:val="none" w:sz="0" w:space="0" w:color="auto"/>
                                            <w:right w:val="none" w:sz="0" w:space="0" w:color="auto"/>
                                          </w:divBdr>
                                          <w:divsChild>
                                            <w:div w:id="2056851293">
                                              <w:marLeft w:val="0"/>
                                              <w:marRight w:val="0"/>
                                              <w:marTop w:val="0"/>
                                              <w:marBottom w:val="0"/>
                                              <w:divBdr>
                                                <w:top w:val="none" w:sz="0" w:space="0" w:color="auto"/>
                                                <w:left w:val="none" w:sz="0" w:space="0" w:color="auto"/>
                                                <w:bottom w:val="none" w:sz="0" w:space="0" w:color="auto"/>
                                                <w:right w:val="none" w:sz="0" w:space="0" w:color="auto"/>
                                              </w:divBdr>
                                              <w:divsChild>
                                                <w:div w:id="20859118">
                                                  <w:marLeft w:val="0"/>
                                                  <w:marRight w:val="0"/>
                                                  <w:marTop w:val="0"/>
                                                  <w:marBottom w:val="0"/>
                                                  <w:divBdr>
                                                    <w:top w:val="none" w:sz="0" w:space="0" w:color="auto"/>
                                                    <w:left w:val="none" w:sz="0" w:space="0" w:color="auto"/>
                                                    <w:bottom w:val="none" w:sz="0" w:space="0" w:color="auto"/>
                                                    <w:right w:val="none" w:sz="0" w:space="0" w:color="auto"/>
                                                  </w:divBdr>
                                                  <w:divsChild>
                                                    <w:div w:id="443351410">
                                                      <w:marLeft w:val="0"/>
                                                      <w:marRight w:val="0"/>
                                                      <w:marTop w:val="0"/>
                                                      <w:marBottom w:val="0"/>
                                                      <w:divBdr>
                                                        <w:top w:val="none" w:sz="0" w:space="0" w:color="auto"/>
                                                        <w:left w:val="none" w:sz="0" w:space="0" w:color="auto"/>
                                                        <w:bottom w:val="none" w:sz="0" w:space="0" w:color="auto"/>
                                                        <w:right w:val="none" w:sz="0" w:space="0" w:color="auto"/>
                                                      </w:divBdr>
                                                      <w:divsChild>
                                                        <w:div w:id="1117992487">
                                                          <w:marLeft w:val="0"/>
                                                          <w:marRight w:val="0"/>
                                                          <w:marTop w:val="0"/>
                                                          <w:marBottom w:val="0"/>
                                                          <w:divBdr>
                                                            <w:top w:val="none" w:sz="0" w:space="0" w:color="auto"/>
                                                            <w:left w:val="none" w:sz="0" w:space="0" w:color="auto"/>
                                                            <w:bottom w:val="none" w:sz="0" w:space="0" w:color="auto"/>
                                                            <w:right w:val="none" w:sz="0" w:space="0" w:color="auto"/>
                                                          </w:divBdr>
                                                          <w:divsChild>
                                                            <w:div w:id="121565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9478392">
      <w:bodyDiv w:val="1"/>
      <w:marLeft w:val="0"/>
      <w:marRight w:val="0"/>
      <w:marTop w:val="0"/>
      <w:marBottom w:val="0"/>
      <w:divBdr>
        <w:top w:val="none" w:sz="0" w:space="0" w:color="auto"/>
        <w:left w:val="none" w:sz="0" w:space="0" w:color="auto"/>
        <w:bottom w:val="none" w:sz="0" w:space="0" w:color="auto"/>
        <w:right w:val="none" w:sz="0" w:space="0" w:color="auto"/>
      </w:divBdr>
    </w:div>
    <w:div w:id="1330060142">
      <w:bodyDiv w:val="1"/>
      <w:marLeft w:val="0"/>
      <w:marRight w:val="0"/>
      <w:marTop w:val="0"/>
      <w:marBottom w:val="0"/>
      <w:divBdr>
        <w:top w:val="none" w:sz="0" w:space="0" w:color="auto"/>
        <w:left w:val="none" w:sz="0" w:space="0" w:color="auto"/>
        <w:bottom w:val="none" w:sz="0" w:space="0" w:color="auto"/>
        <w:right w:val="none" w:sz="0" w:space="0" w:color="auto"/>
      </w:divBdr>
    </w:div>
    <w:div w:id="1338997172">
      <w:bodyDiv w:val="1"/>
      <w:marLeft w:val="0"/>
      <w:marRight w:val="0"/>
      <w:marTop w:val="0"/>
      <w:marBottom w:val="0"/>
      <w:divBdr>
        <w:top w:val="none" w:sz="0" w:space="0" w:color="auto"/>
        <w:left w:val="none" w:sz="0" w:space="0" w:color="auto"/>
        <w:bottom w:val="none" w:sz="0" w:space="0" w:color="auto"/>
        <w:right w:val="none" w:sz="0" w:space="0" w:color="auto"/>
      </w:divBdr>
    </w:div>
    <w:div w:id="1344670349">
      <w:bodyDiv w:val="1"/>
      <w:marLeft w:val="0"/>
      <w:marRight w:val="0"/>
      <w:marTop w:val="0"/>
      <w:marBottom w:val="0"/>
      <w:divBdr>
        <w:top w:val="none" w:sz="0" w:space="0" w:color="auto"/>
        <w:left w:val="none" w:sz="0" w:space="0" w:color="auto"/>
        <w:bottom w:val="none" w:sz="0" w:space="0" w:color="auto"/>
        <w:right w:val="none" w:sz="0" w:space="0" w:color="auto"/>
      </w:divBdr>
    </w:div>
    <w:div w:id="1380131340">
      <w:bodyDiv w:val="1"/>
      <w:marLeft w:val="0"/>
      <w:marRight w:val="0"/>
      <w:marTop w:val="0"/>
      <w:marBottom w:val="0"/>
      <w:divBdr>
        <w:top w:val="none" w:sz="0" w:space="0" w:color="auto"/>
        <w:left w:val="none" w:sz="0" w:space="0" w:color="auto"/>
        <w:bottom w:val="none" w:sz="0" w:space="0" w:color="auto"/>
        <w:right w:val="none" w:sz="0" w:space="0" w:color="auto"/>
      </w:divBdr>
    </w:div>
    <w:div w:id="1398162116">
      <w:bodyDiv w:val="1"/>
      <w:marLeft w:val="0"/>
      <w:marRight w:val="0"/>
      <w:marTop w:val="0"/>
      <w:marBottom w:val="0"/>
      <w:divBdr>
        <w:top w:val="none" w:sz="0" w:space="0" w:color="auto"/>
        <w:left w:val="none" w:sz="0" w:space="0" w:color="auto"/>
        <w:bottom w:val="none" w:sz="0" w:space="0" w:color="auto"/>
        <w:right w:val="none" w:sz="0" w:space="0" w:color="auto"/>
      </w:divBdr>
    </w:div>
    <w:div w:id="1400859976">
      <w:bodyDiv w:val="1"/>
      <w:marLeft w:val="0"/>
      <w:marRight w:val="0"/>
      <w:marTop w:val="0"/>
      <w:marBottom w:val="0"/>
      <w:divBdr>
        <w:top w:val="none" w:sz="0" w:space="0" w:color="auto"/>
        <w:left w:val="none" w:sz="0" w:space="0" w:color="auto"/>
        <w:bottom w:val="none" w:sz="0" w:space="0" w:color="auto"/>
        <w:right w:val="none" w:sz="0" w:space="0" w:color="auto"/>
      </w:divBdr>
    </w:div>
    <w:div w:id="1410927111">
      <w:bodyDiv w:val="1"/>
      <w:marLeft w:val="0"/>
      <w:marRight w:val="0"/>
      <w:marTop w:val="0"/>
      <w:marBottom w:val="0"/>
      <w:divBdr>
        <w:top w:val="none" w:sz="0" w:space="0" w:color="auto"/>
        <w:left w:val="none" w:sz="0" w:space="0" w:color="auto"/>
        <w:bottom w:val="none" w:sz="0" w:space="0" w:color="auto"/>
        <w:right w:val="none" w:sz="0" w:space="0" w:color="auto"/>
      </w:divBdr>
    </w:div>
    <w:div w:id="1421830505">
      <w:bodyDiv w:val="1"/>
      <w:marLeft w:val="0"/>
      <w:marRight w:val="0"/>
      <w:marTop w:val="0"/>
      <w:marBottom w:val="0"/>
      <w:divBdr>
        <w:top w:val="none" w:sz="0" w:space="0" w:color="auto"/>
        <w:left w:val="none" w:sz="0" w:space="0" w:color="auto"/>
        <w:bottom w:val="none" w:sz="0" w:space="0" w:color="auto"/>
        <w:right w:val="none" w:sz="0" w:space="0" w:color="auto"/>
      </w:divBdr>
    </w:div>
    <w:div w:id="1471484381">
      <w:bodyDiv w:val="1"/>
      <w:marLeft w:val="0"/>
      <w:marRight w:val="0"/>
      <w:marTop w:val="0"/>
      <w:marBottom w:val="0"/>
      <w:divBdr>
        <w:top w:val="none" w:sz="0" w:space="0" w:color="auto"/>
        <w:left w:val="none" w:sz="0" w:space="0" w:color="auto"/>
        <w:bottom w:val="none" w:sz="0" w:space="0" w:color="auto"/>
        <w:right w:val="none" w:sz="0" w:space="0" w:color="auto"/>
      </w:divBdr>
      <w:divsChild>
        <w:div w:id="2100758374">
          <w:marLeft w:val="0"/>
          <w:marRight w:val="0"/>
          <w:marTop w:val="0"/>
          <w:marBottom w:val="0"/>
          <w:divBdr>
            <w:top w:val="none" w:sz="0" w:space="0" w:color="auto"/>
            <w:left w:val="none" w:sz="0" w:space="0" w:color="auto"/>
            <w:bottom w:val="none" w:sz="0" w:space="0" w:color="auto"/>
            <w:right w:val="none" w:sz="0" w:space="0" w:color="auto"/>
          </w:divBdr>
          <w:divsChild>
            <w:div w:id="2086879290">
              <w:marLeft w:val="0"/>
              <w:marRight w:val="0"/>
              <w:marTop w:val="0"/>
              <w:marBottom w:val="0"/>
              <w:divBdr>
                <w:top w:val="none" w:sz="0" w:space="0" w:color="auto"/>
                <w:left w:val="none" w:sz="0" w:space="0" w:color="auto"/>
                <w:bottom w:val="none" w:sz="0" w:space="0" w:color="auto"/>
                <w:right w:val="none" w:sz="0" w:space="0" w:color="auto"/>
              </w:divBdr>
              <w:divsChild>
                <w:div w:id="1764446710">
                  <w:marLeft w:val="0"/>
                  <w:marRight w:val="0"/>
                  <w:marTop w:val="0"/>
                  <w:marBottom w:val="0"/>
                  <w:divBdr>
                    <w:top w:val="none" w:sz="0" w:space="0" w:color="auto"/>
                    <w:left w:val="none" w:sz="0" w:space="0" w:color="auto"/>
                    <w:bottom w:val="none" w:sz="0" w:space="0" w:color="auto"/>
                    <w:right w:val="none" w:sz="0" w:space="0" w:color="auto"/>
                  </w:divBdr>
                  <w:divsChild>
                    <w:div w:id="1497577025">
                      <w:marLeft w:val="0"/>
                      <w:marRight w:val="0"/>
                      <w:marTop w:val="0"/>
                      <w:marBottom w:val="0"/>
                      <w:divBdr>
                        <w:top w:val="none" w:sz="0" w:space="0" w:color="auto"/>
                        <w:left w:val="none" w:sz="0" w:space="0" w:color="auto"/>
                        <w:bottom w:val="none" w:sz="0" w:space="0" w:color="auto"/>
                        <w:right w:val="none" w:sz="0" w:space="0" w:color="auto"/>
                      </w:divBdr>
                      <w:divsChild>
                        <w:div w:id="105966850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 w:id="1493450496">
      <w:bodyDiv w:val="1"/>
      <w:marLeft w:val="0"/>
      <w:marRight w:val="0"/>
      <w:marTop w:val="0"/>
      <w:marBottom w:val="0"/>
      <w:divBdr>
        <w:top w:val="none" w:sz="0" w:space="0" w:color="auto"/>
        <w:left w:val="none" w:sz="0" w:space="0" w:color="auto"/>
        <w:bottom w:val="none" w:sz="0" w:space="0" w:color="auto"/>
        <w:right w:val="none" w:sz="0" w:space="0" w:color="auto"/>
      </w:divBdr>
    </w:div>
    <w:div w:id="1502969844">
      <w:bodyDiv w:val="1"/>
      <w:marLeft w:val="0"/>
      <w:marRight w:val="0"/>
      <w:marTop w:val="0"/>
      <w:marBottom w:val="0"/>
      <w:divBdr>
        <w:top w:val="none" w:sz="0" w:space="0" w:color="auto"/>
        <w:left w:val="none" w:sz="0" w:space="0" w:color="auto"/>
        <w:bottom w:val="none" w:sz="0" w:space="0" w:color="auto"/>
        <w:right w:val="none" w:sz="0" w:space="0" w:color="auto"/>
      </w:divBdr>
    </w:div>
    <w:div w:id="1503739944">
      <w:bodyDiv w:val="1"/>
      <w:marLeft w:val="0"/>
      <w:marRight w:val="0"/>
      <w:marTop w:val="0"/>
      <w:marBottom w:val="0"/>
      <w:divBdr>
        <w:top w:val="none" w:sz="0" w:space="0" w:color="auto"/>
        <w:left w:val="none" w:sz="0" w:space="0" w:color="auto"/>
        <w:bottom w:val="none" w:sz="0" w:space="0" w:color="auto"/>
        <w:right w:val="none" w:sz="0" w:space="0" w:color="auto"/>
      </w:divBdr>
    </w:div>
    <w:div w:id="1527792007">
      <w:bodyDiv w:val="1"/>
      <w:marLeft w:val="0"/>
      <w:marRight w:val="0"/>
      <w:marTop w:val="0"/>
      <w:marBottom w:val="0"/>
      <w:divBdr>
        <w:top w:val="none" w:sz="0" w:space="0" w:color="auto"/>
        <w:left w:val="none" w:sz="0" w:space="0" w:color="auto"/>
        <w:bottom w:val="none" w:sz="0" w:space="0" w:color="auto"/>
        <w:right w:val="none" w:sz="0" w:space="0" w:color="auto"/>
      </w:divBdr>
    </w:div>
    <w:div w:id="1557353588">
      <w:bodyDiv w:val="1"/>
      <w:marLeft w:val="0"/>
      <w:marRight w:val="0"/>
      <w:marTop w:val="0"/>
      <w:marBottom w:val="0"/>
      <w:divBdr>
        <w:top w:val="none" w:sz="0" w:space="0" w:color="auto"/>
        <w:left w:val="none" w:sz="0" w:space="0" w:color="auto"/>
        <w:bottom w:val="none" w:sz="0" w:space="0" w:color="auto"/>
        <w:right w:val="none" w:sz="0" w:space="0" w:color="auto"/>
      </w:divBdr>
    </w:div>
    <w:div w:id="1680615680">
      <w:bodyDiv w:val="1"/>
      <w:marLeft w:val="0"/>
      <w:marRight w:val="0"/>
      <w:marTop w:val="0"/>
      <w:marBottom w:val="0"/>
      <w:divBdr>
        <w:top w:val="none" w:sz="0" w:space="0" w:color="auto"/>
        <w:left w:val="none" w:sz="0" w:space="0" w:color="auto"/>
        <w:bottom w:val="none" w:sz="0" w:space="0" w:color="auto"/>
        <w:right w:val="none" w:sz="0" w:space="0" w:color="auto"/>
      </w:divBdr>
    </w:div>
    <w:div w:id="1686245116">
      <w:bodyDiv w:val="1"/>
      <w:marLeft w:val="0"/>
      <w:marRight w:val="0"/>
      <w:marTop w:val="0"/>
      <w:marBottom w:val="0"/>
      <w:divBdr>
        <w:top w:val="none" w:sz="0" w:space="0" w:color="auto"/>
        <w:left w:val="none" w:sz="0" w:space="0" w:color="auto"/>
        <w:bottom w:val="none" w:sz="0" w:space="0" w:color="auto"/>
        <w:right w:val="none" w:sz="0" w:space="0" w:color="auto"/>
      </w:divBdr>
    </w:div>
    <w:div w:id="1742369019">
      <w:bodyDiv w:val="1"/>
      <w:marLeft w:val="0"/>
      <w:marRight w:val="0"/>
      <w:marTop w:val="0"/>
      <w:marBottom w:val="0"/>
      <w:divBdr>
        <w:top w:val="none" w:sz="0" w:space="0" w:color="auto"/>
        <w:left w:val="none" w:sz="0" w:space="0" w:color="auto"/>
        <w:bottom w:val="none" w:sz="0" w:space="0" w:color="auto"/>
        <w:right w:val="none" w:sz="0" w:space="0" w:color="auto"/>
      </w:divBdr>
    </w:div>
    <w:div w:id="1747654387">
      <w:bodyDiv w:val="1"/>
      <w:marLeft w:val="0"/>
      <w:marRight w:val="0"/>
      <w:marTop w:val="0"/>
      <w:marBottom w:val="0"/>
      <w:divBdr>
        <w:top w:val="none" w:sz="0" w:space="0" w:color="auto"/>
        <w:left w:val="none" w:sz="0" w:space="0" w:color="auto"/>
        <w:bottom w:val="none" w:sz="0" w:space="0" w:color="auto"/>
        <w:right w:val="none" w:sz="0" w:space="0" w:color="auto"/>
      </w:divBdr>
    </w:div>
    <w:div w:id="1771007587">
      <w:bodyDiv w:val="1"/>
      <w:marLeft w:val="0"/>
      <w:marRight w:val="0"/>
      <w:marTop w:val="0"/>
      <w:marBottom w:val="0"/>
      <w:divBdr>
        <w:top w:val="none" w:sz="0" w:space="0" w:color="auto"/>
        <w:left w:val="none" w:sz="0" w:space="0" w:color="auto"/>
        <w:bottom w:val="none" w:sz="0" w:space="0" w:color="auto"/>
        <w:right w:val="none" w:sz="0" w:space="0" w:color="auto"/>
      </w:divBdr>
    </w:div>
    <w:div w:id="1839231178">
      <w:bodyDiv w:val="1"/>
      <w:marLeft w:val="0"/>
      <w:marRight w:val="0"/>
      <w:marTop w:val="0"/>
      <w:marBottom w:val="0"/>
      <w:divBdr>
        <w:top w:val="none" w:sz="0" w:space="0" w:color="auto"/>
        <w:left w:val="none" w:sz="0" w:space="0" w:color="auto"/>
        <w:bottom w:val="none" w:sz="0" w:space="0" w:color="auto"/>
        <w:right w:val="none" w:sz="0" w:space="0" w:color="auto"/>
      </w:divBdr>
    </w:div>
    <w:div w:id="1860385905">
      <w:bodyDiv w:val="1"/>
      <w:marLeft w:val="0"/>
      <w:marRight w:val="0"/>
      <w:marTop w:val="0"/>
      <w:marBottom w:val="0"/>
      <w:divBdr>
        <w:top w:val="none" w:sz="0" w:space="0" w:color="auto"/>
        <w:left w:val="none" w:sz="0" w:space="0" w:color="auto"/>
        <w:bottom w:val="none" w:sz="0" w:space="0" w:color="auto"/>
        <w:right w:val="none" w:sz="0" w:space="0" w:color="auto"/>
      </w:divBdr>
    </w:div>
    <w:div w:id="1870338039">
      <w:bodyDiv w:val="1"/>
      <w:marLeft w:val="0"/>
      <w:marRight w:val="0"/>
      <w:marTop w:val="0"/>
      <w:marBottom w:val="0"/>
      <w:divBdr>
        <w:top w:val="none" w:sz="0" w:space="0" w:color="auto"/>
        <w:left w:val="none" w:sz="0" w:space="0" w:color="auto"/>
        <w:bottom w:val="none" w:sz="0" w:space="0" w:color="auto"/>
        <w:right w:val="none" w:sz="0" w:space="0" w:color="auto"/>
      </w:divBdr>
      <w:divsChild>
        <w:div w:id="1759907033">
          <w:marLeft w:val="0"/>
          <w:marRight w:val="0"/>
          <w:marTop w:val="0"/>
          <w:marBottom w:val="100"/>
          <w:divBdr>
            <w:top w:val="none" w:sz="0" w:space="0" w:color="auto"/>
            <w:left w:val="none" w:sz="0" w:space="0" w:color="auto"/>
            <w:bottom w:val="none" w:sz="0" w:space="0" w:color="auto"/>
            <w:right w:val="none" w:sz="0" w:space="0" w:color="auto"/>
          </w:divBdr>
        </w:div>
      </w:divsChild>
    </w:div>
    <w:div w:id="1885869327">
      <w:bodyDiv w:val="1"/>
      <w:marLeft w:val="0"/>
      <w:marRight w:val="0"/>
      <w:marTop w:val="0"/>
      <w:marBottom w:val="0"/>
      <w:divBdr>
        <w:top w:val="none" w:sz="0" w:space="0" w:color="auto"/>
        <w:left w:val="none" w:sz="0" w:space="0" w:color="auto"/>
        <w:bottom w:val="none" w:sz="0" w:space="0" w:color="auto"/>
        <w:right w:val="none" w:sz="0" w:space="0" w:color="auto"/>
      </w:divBdr>
    </w:div>
    <w:div w:id="1917978126">
      <w:bodyDiv w:val="1"/>
      <w:marLeft w:val="0"/>
      <w:marRight w:val="0"/>
      <w:marTop w:val="0"/>
      <w:marBottom w:val="0"/>
      <w:divBdr>
        <w:top w:val="none" w:sz="0" w:space="0" w:color="auto"/>
        <w:left w:val="none" w:sz="0" w:space="0" w:color="auto"/>
        <w:bottom w:val="none" w:sz="0" w:space="0" w:color="auto"/>
        <w:right w:val="none" w:sz="0" w:space="0" w:color="auto"/>
      </w:divBdr>
    </w:div>
    <w:div w:id="1938440869">
      <w:bodyDiv w:val="1"/>
      <w:marLeft w:val="0"/>
      <w:marRight w:val="0"/>
      <w:marTop w:val="0"/>
      <w:marBottom w:val="0"/>
      <w:divBdr>
        <w:top w:val="none" w:sz="0" w:space="0" w:color="auto"/>
        <w:left w:val="none" w:sz="0" w:space="0" w:color="auto"/>
        <w:bottom w:val="none" w:sz="0" w:space="0" w:color="auto"/>
        <w:right w:val="none" w:sz="0" w:space="0" w:color="auto"/>
      </w:divBdr>
    </w:div>
    <w:div w:id="1943032841">
      <w:bodyDiv w:val="1"/>
      <w:marLeft w:val="0"/>
      <w:marRight w:val="0"/>
      <w:marTop w:val="0"/>
      <w:marBottom w:val="0"/>
      <w:divBdr>
        <w:top w:val="none" w:sz="0" w:space="0" w:color="auto"/>
        <w:left w:val="none" w:sz="0" w:space="0" w:color="auto"/>
        <w:bottom w:val="none" w:sz="0" w:space="0" w:color="auto"/>
        <w:right w:val="none" w:sz="0" w:space="0" w:color="auto"/>
      </w:divBdr>
    </w:div>
    <w:div w:id="1946882148">
      <w:bodyDiv w:val="1"/>
      <w:marLeft w:val="0"/>
      <w:marRight w:val="0"/>
      <w:marTop w:val="0"/>
      <w:marBottom w:val="0"/>
      <w:divBdr>
        <w:top w:val="none" w:sz="0" w:space="0" w:color="auto"/>
        <w:left w:val="none" w:sz="0" w:space="0" w:color="auto"/>
        <w:bottom w:val="none" w:sz="0" w:space="0" w:color="auto"/>
        <w:right w:val="none" w:sz="0" w:space="0" w:color="auto"/>
      </w:divBdr>
    </w:div>
    <w:div w:id="1959604407">
      <w:bodyDiv w:val="1"/>
      <w:marLeft w:val="0"/>
      <w:marRight w:val="0"/>
      <w:marTop w:val="0"/>
      <w:marBottom w:val="0"/>
      <w:divBdr>
        <w:top w:val="none" w:sz="0" w:space="0" w:color="auto"/>
        <w:left w:val="none" w:sz="0" w:space="0" w:color="auto"/>
        <w:bottom w:val="none" w:sz="0" w:space="0" w:color="auto"/>
        <w:right w:val="none" w:sz="0" w:space="0" w:color="auto"/>
      </w:divBdr>
    </w:div>
    <w:div w:id="1967391721">
      <w:bodyDiv w:val="1"/>
      <w:marLeft w:val="0"/>
      <w:marRight w:val="0"/>
      <w:marTop w:val="0"/>
      <w:marBottom w:val="0"/>
      <w:divBdr>
        <w:top w:val="none" w:sz="0" w:space="0" w:color="auto"/>
        <w:left w:val="none" w:sz="0" w:space="0" w:color="auto"/>
        <w:bottom w:val="none" w:sz="0" w:space="0" w:color="auto"/>
        <w:right w:val="none" w:sz="0" w:space="0" w:color="auto"/>
      </w:divBdr>
    </w:div>
    <w:div w:id="1995403103">
      <w:bodyDiv w:val="1"/>
      <w:marLeft w:val="0"/>
      <w:marRight w:val="0"/>
      <w:marTop w:val="0"/>
      <w:marBottom w:val="0"/>
      <w:divBdr>
        <w:top w:val="none" w:sz="0" w:space="0" w:color="auto"/>
        <w:left w:val="none" w:sz="0" w:space="0" w:color="auto"/>
        <w:bottom w:val="none" w:sz="0" w:space="0" w:color="auto"/>
        <w:right w:val="none" w:sz="0" w:space="0" w:color="auto"/>
      </w:divBdr>
    </w:div>
    <w:div w:id="2003196092">
      <w:bodyDiv w:val="1"/>
      <w:marLeft w:val="0"/>
      <w:marRight w:val="0"/>
      <w:marTop w:val="0"/>
      <w:marBottom w:val="0"/>
      <w:divBdr>
        <w:top w:val="none" w:sz="0" w:space="0" w:color="auto"/>
        <w:left w:val="none" w:sz="0" w:space="0" w:color="auto"/>
        <w:bottom w:val="none" w:sz="0" w:space="0" w:color="auto"/>
        <w:right w:val="none" w:sz="0" w:space="0" w:color="auto"/>
      </w:divBdr>
    </w:div>
    <w:div w:id="2030253655">
      <w:bodyDiv w:val="1"/>
      <w:marLeft w:val="0"/>
      <w:marRight w:val="0"/>
      <w:marTop w:val="0"/>
      <w:marBottom w:val="0"/>
      <w:divBdr>
        <w:top w:val="none" w:sz="0" w:space="0" w:color="auto"/>
        <w:left w:val="none" w:sz="0" w:space="0" w:color="auto"/>
        <w:bottom w:val="none" w:sz="0" w:space="0" w:color="auto"/>
        <w:right w:val="none" w:sz="0" w:space="0" w:color="auto"/>
      </w:divBdr>
    </w:div>
    <w:div w:id="2059355689">
      <w:bodyDiv w:val="1"/>
      <w:marLeft w:val="0"/>
      <w:marRight w:val="0"/>
      <w:marTop w:val="0"/>
      <w:marBottom w:val="0"/>
      <w:divBdr>
        <w:top w:val="none" w:sz="0" w:space="0" w:color="auto"/>
        <w:left w:val="none" w:sz="0" w:space="0" w:color="auto"/>
        <w:bottom w:val="none" w:sz="0" w:space="0" w:color="auto"/>
        <w:right w:val="none" w:sz="0" w:space="0" w:color="auto"/>
      </w:divBdr>
    </w:div>
    <w:div w:id="2071659444">
      <w:bodyDiv w:val="1"/>
      <w:marLeft w:val="0"/>
      <w:marRight w:val="0"/>
      <w:marTop w:val="0"/>
      <w:marBottom w:val="0"/>
      <w:divBdr>
        <w:top w:val="none" w:sz="0" w:space="0" w:color="auto"/>
        <w:left w:val="none" w:sz="0" w:space="0" w:color="auto"/>
        <w:bottom w:val="none" w:sz="0" w:space="0" w:color="auto"/>
        <w:right w:val="none" w:sz="0" w:space="0" w:color="auto"/>
      </w:divBdr>
    </w:div>
    <w:div w:id="2073428217">
      <w:bodyDiv w:val="1"/>
      <w:marLeft w:val="0"/>
      <w:marRight w:val="0"/>
      <w:marTop w:val="0"/>
      <w:marBottom w:val="0"/>
      <w:divBdr>
        <w:top w:val="none" w:sz="0" w:space="0" w:color="auto"/>
        <w:left w:val="none" w:sz="0" w:space="0" w:color="auto"/>
        <w:bottom w:val="none" w:sz="0" w:space="0" w:color="auto"/>
        <w:right w:val="none" w:sz="0" w:space="0" w:color="auto"/>
      </w:divBdr>
    </w:div>
    <w:div w:id="2076581153">
      <w:bodyDiv w:val="1"/>
      <w:marLeft w:val="0"/>
      <w:marRight w:val="0"/>
      <w:marTop w:val="0"/>
      <w:marBottom w:val="0"/>
      <w:divBdr>
        <w:top w:val="none" w:sz="0" w:space="0" w:color="auto"/>
        <w:left w:val="none" w:sz="0" w:space="0" w:color="auto"/>
        <w:bottom w:val="none" w:sz="0" w:space="0" w:color="auto"/>
        <w:right w:val="none" w:sz="0" w:space="0" w:color="auto"/>
      </w:divBdr>
    </w:div>
    <w:div w:id="2110538115">
      <w:bodyDiv w:val="1"/>
      <w:marLeft w:val="0"/>
      <w:marRight w:val="0"/>
      <w:marTop w:val="0"/>
      <w:marBottom w:val="0"/>
      <w:divBdr>
        <w:top w:val="none" w:sz="0" w:space="0" w:color="auto"/>
        <w:left w:val="none" w:sz="0" w:space="0" w:color="auto"/>
        <w:bottom w:val="none" w:sz="0" w:space="0" w:color="auto"/>
        <w:right w:val="none" w:sz="0" w:space="0" w:color="auto"/>
      </w:divBdr>
    </w:div>
    <w:div w:id="213871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uoou.gov.cz/profesional/predavani-osobnich-udaju-do-tretich-zemi-1" TargetMode="External"/><Relationship Id="rId2" Type="http://schemas.openxmlformats.org/officeDocument/2006/relationships/hyperlink" Target="https://vlada.gov.cz/cz/ppov/rnno/dokumenty/strategie-spoluprace-verejne-spravy-s-nestatnimi-neziskovymi-organizacemi-na-leta-2021-az-2030-189753/" TargetMode="External"/><Relationship Id="rId1" Type="http://schemas.openxmlformats.org/officeDocument/2006/relationships/hyperlink" Target="https://curia.europa.eu/juris/document/document.jsf?text=&amp;docid=268059&amp;pageIndex=0&amp;doclang=CS&amp;mode=lst&amp;dir=&amp;occ=first&amp;part=1&amp;cid=312879" TargetMode="External"/><Relationship Id="rId5" Type="http://schemas.openxmlformats.org/officeDocument/2006/relationships/hyperlink" Target="https://www.ris.bka.gv.at/GeltendeFassung.wxe?Abfrage=Bundesnormen&amp;Gesetzesnummer=20009980" TargetMode="External"/><Relationship Id="rId4" Type="http://schemas.openxmlformats.org/officeDocument/2006/relationships/hyperlink" Target="https://www.google.com/url?sa=t&amp;rct=j&amp;q=&amp;esrc=s&amp;source=web&amp;cd=&amp;cad=rja&amp;uact=8&amp;ved=2ahUKEwjAkKWBw6GQAxUXQ_EDHRxcEYcQFnoECAsQAQ&amp;url=https%3A%2F%2Fwww.fma.gv.at%2Fwp-content%2Fplugins%2Fdw-fma%2Fdownload.php%3Fd%3D3612&amp;usg=AOvVaw0qPKzlZg-xqR31KlkRC15t&amp;opi=8997844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A61210-3F33-472E-9B29-ECA938CB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64</Pages>
  <Words>25762</Words>
  <Characters>150453</Characters>
  <Application>Microsoft Office Word</Application>
  <DocSecurity>0</DocSecurity>
  <Lines>2279</Lines>
  <Paragraphs>677</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175538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2025-11-07T15:05:00Z</dcterms:created>
  <dcterms:modified xsi:type="dcterms:W3CDTF">2025-11-07T16:22:00Z</dcterms:modified>
</cp:coreProperties>
</file>