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D09FAA" w14:textId="25894B4A" w:rsidR="00365A7C" w:rsidRPr="00471759" w:rsidRDefault="00365A7C" w:rsidP="00AB680C">
      <w:pPr>
        <w:pStyle w:val="Podst"/>
        <w:keepNext w:val="0"/>
        <w:numPr>
          <w:ilvl w:val="1"/>
          <w:numId w:val="0"/>
        </w:numPr>
        <w:tabs>
          <w:tab w:val="left" w:pos="2552"/>
        </w:tabs>
        <w:jc w:val="both"/>
      </w:pPr>
      <w:r>
        <w:t xml:space="preserve">                                                                                                                                                                                                                                                             </w:t>
      </w:r>
    </w:p>
    <w:p w14:paraId="470B09DF" w14:textId="77777777" w:rsidR="00365A7C" w:rsidRDefault="00365A7C" w:rsidP="00AB680C">
      <w:pPr>
        <w:pStyle w:val="Nzev"/>
        <w:keepNext w:val="0"/>
        <w:rPr>
          <w:sz w:val="44"/>
        </w:rPr>
      </w:pPr>
    </w:p>
    <w:p w14:paraId="7F0F8E98" w14:textId="77777777" w:rsidR="00365A7C" w:rsidRDefault="00365A7C" w:rsidP="00AB680C">
      <w:pPr>
        <w:pStyle w:val="Nzev"/>
        <w:keepNext w:val="0"/>
        <w:rPr>
          <w:sz w:val="44"/>
        </w:rPr>
      </w:pPr>
    </w:p>
    <w:p w14:paraId="7798EB38" w14:textId="77777777" w:rsidR="00365A7C" w:rsidRDefault="00365A7C" w:rsidP="00AB680C">
      <w:pPr>
        <w:pStyle w:val="Nzev"/>
        <w:keepNext w:val="0"/>
        <w:rPr>
          <w:sz w:val="44"/>
        </w:rPr>
      </w:pPr>
    </w:p>
    <w:p w14:paraId="3C6370D1" w14:textId="77777777" w:rsidR="00365A7C" w:rsidRDefault="00365A7C" w:rsidP="00AB680C">
      <w:pPr>
        <w:pStyle w:val="Nzev"/>
        <w:keepNext w:val="0"/>
        <w:rPr>
          <w:sz w:val="44"/>
        </w:rPr>
      </w:pPr>
    </w:p>
    <w:p w14:paraId="6B71EA59" w14:textId="77777777" w:rsidR="00365A7C" w:rsidRDefault="00365A7C" w:rsidP="00AB680C">
      <w:pPr>
        <w:pStyle w:val="Nzev"/>
        <w:keepNext w:val="0"/>
        <w:rPr>
          <w:sz w:val="44"/>
        </w:rPr>
      </w:pPr>
    </w:p>
    <w:p w14:paraId="66E04601" w14:textId="77777777" w:rsidR="00365A7C" w:rsidRDefault="00365A7C" w:rsidP="00AB680C">
      <w:pPr>
        <w:pStyle w:val="Nzev"/>
        <w:keepNext w:val="0"/>
        <w:rPr>
          <w:sz w:val="44"/>
        </w:rPr>
      </w:pPr>
    </w:p>
    <w:p w14:paraId="111EF0DD" w14:textId="77777777" w:rsidR="00421AC8" w:rsidRPr="00D14A9B" w:rsidRDefault="00421AC8" w:rsidP="00AB680C">
      <w:pPr>
        <w:pStyle w:val="Nzev"/>
        <w:keepNext w:val="0"/>
        <w:rPr>
          <w:sz w:val="44"/>
        </w:rPr>
      </w:pPr>
      <w:r w:rsidRPr="00D14A9B">
        <w:rPr>
          <w:sz w:val="44"/>
        </w:rPr>
        <w:t>Závěrečná zpráva z hodnocení dopadů regulace (RIA)</w:t>
      </w:r>
    </w:p>
    <w:p w14:paraId="6B0B0DE6" w14:textId="77777777" w:rsidR="00421AC8" w:rsidRPr="00D14A9B" w:rsidRDefault="00421AC8" w:rsidP="00AB680C"/>
    <w:p w14:paraId="22211290" w14:textId="642BCB9F" w:rsidR="00421AC8" w:rsidRDefault="00CE03AF" w:rsidP="00AB680C">
      <w:pPr>
        <w:jc w:val="center"/>
        <w:rPr>
          <w:rFonts w:eastAsia="Calibri"/>
        </w:rPr>
      </w:pPr>
      <w:r>
        <w:t>Závěrečná zpráva z hodnocení dopadů regulace k</w:t>
      </w:r>
      <w:r w:rsidR="00845CEC">
        <w:t> </w:t>
      </w:r>
      <w:r w:rsidR="002D29D1">
        <w:t>návrhu zákona, kterým se mění některé zákony v oblasti správy daní a působnosti Celní správy České republiky</w:t>
      </w:r>
    </w:p>
    <w:p w14:paraId="7F2F7537" w14:textId="5AB0B2BE" w:rsidR="00B31322" w:rsidRDefault="00B31322" w:rsidP="00AB680C">
      <w:pPr>
        <w:jc w:val="center"/>
        <w:rPr>
          <w:rFonts w:eastAsia="Calibri"/>
        </w:rPr>
      </w:pPr>
    </w:p>
    <w:p w14:paraId="47C6154A" w14:textId="152B91CD" w:rsidR="00B31322" w:rsidRDefault="00B31322" w:rsidP="00AB680C">
      <w:pPr>
        <w:jc w:val="center"/>
        <w:rPr>
          <w:rFonts w:eastAsia="Calibri"/>
        </w:rPr>
      </w:pPr>
    </w:p>
    <w:p w14:paraId="438517C0" w14:textId="63ECF604" w:rsidR="00B31322" w:rsidRDefault="00B31322" w:rsidP="00AB680C">
      <w:pPr>
        <w:jc w:val="center"/>
        <w:rPr>
          <w:rFonts w:eastAsia="Calibri"/>
        </w:rPr>
      </w:pPr>
    </w:p>
    <w:p w14:paraId="14A6EC6B" w14:textId="62C88D1A" w:rsidR="00B31322" w:rsidRDefault="00B31322" w:rsidP="00AB680C">
      <w:pPr>
        <w:jc w:val="center"/>
        <w:rPr>
          <w:rFonts w:eastAsia="Calibri"/>
        </w:rPr>
      </w:pPr>
    </w:p>
    <w:p w14:paraId="42D9FC2E" w14:textId="3FAC5377" w:rsidR="00B31322" w:rsidRDefault="00B31322" w:rsidP="00AB680C">
      <w:pPr>
        <w:jc w:val="center"/>
        <w:rPr>
          <w:rFonts w:eastAsia="Calibri"/>
        </w:rPr>
      </w:pPr>
    </w:p>
    <w:p w14:paraId="510AE581" w14:textId="2A136792" w:rsidR="00B31322" w:rsidRDefault="00B31322" w:rsidP="00AB680C">
      <w:pPr>
        <w:jc w:val="center"/>
        <w:rPr>
          <w:rFonts w:eastAsia="Calibri"/>
        </w:rPr>
      </w:pPr>
    </w:p>
    <w:p w14:paraId="4579207C" w14:textId="52E003B9" w:rsidR="00B31322" w:rsidRDefault="00B31322" w:rsidP="00AB680C">
      <w:pPr>
        <w:jc w:val="center"/>
        <w:rPr>
          <w:rFonts w:eastAsia="Calibri"/>
        </w:rPr>
      </w:pPr>
    </w:p>
    <w:p w14:paraId="76FB9F67" w14:textId="2E1F3266" w:rsidR="00B31322" w:rsidRDefault="00B31322" w:rsidP="00AB680C">
      <w:pPr>
        <w:jc w:val="center"/>
        <w:rPr>
          <w:rFonts w:eastAsia="Calibri"/>
        </w:rPr>
      </w:pPr>
    </w:p>
    <w:p w14:paraId="7DDD2FD1" w14:textId="2980710B" w:rsidR="00B31322" w:rsidRDefault="00B31322" w:rsidP="00AB680C">
      <w:pPr>
        <w:jc w:val="center"/>
        <w:rPr>
          <w:rFonts w:eastAsia="Calibri"/>
        </w:rPr>
      </w:pPr>
    </w:p>
    <w:p w14:paraId="3F7D803F" w14:textId="4CADD524" w:rsidR="00B31322" w:rsidRDefault="00B31322" w:rsidP="00AB680C">
      <w:pPr>
        <w:jc w:val="center"/>
        <w:rPr>
          <w:rFonts w:eastAsia="Calibri"/>
        </w:rPr>
      </w:pPr>
    </w:p>
    <w:p w14:paraId="43D6A144" w14:textId="1BF589B8" w:rsidR="00B31322" w:rsidRDefault="00B31322" w:rsidP="00AB680C">
      <w:pPr>
        <w:jc w:val="center"/>
        <w:rPr>
          <w:rFonts w:eastAsia="Calibri"/>
        </w:rPr>
      </w:pPr>
    </w:p>
    <w:p w14:paraId="35B10D6B" w14:textId="645C96D6" w:rsidR="00B31322" w:rsidRDefault="00B31322" w:rsidP="00AB680C">
      <w:pPr>
        <w:jc w:val="center"/>
        <w:rPr>
          <w:rFonts w:eastAsia="Calibri"/>
        </w:rPr>
      </w:pPr>
    </w:p>
    <w:p w14:paraId="4F138F32" w14:textId="3C6949E1" w:rsidR="00B31322" w:rsidRDefault="00B31322" w:rsidP="00AB680C">
      <w:pPr>
        <w:jc w:val="center"/>
        <w:rPr>
          <w:rFonts w:eastAsia="Calibri"/>
        </w:rPr>
      </w:pPr>
    </w:p>
    <w:p w14:paraId="2E4418FA" w14:textId="057EF94E" w:rsidR="00B31322" w:rsidRDefault="00B31322" w:rsidP="00AB680C">
      <w:pPr>
        <w:jc w:val="center"/>
        <w:rPr>
          <w:rFonts w:eastAsia="Calibri"/>
        </w:rPr>
      </w:pPr>
    </w:p>
    <w:p w14:paraId="732EC793" w14:textId="64AB52FA" w:rsidR="00B31322" w:rsidRDefault="00B31322" w:rsidP="00AB680C">
      <w:pPr>
        <w:jc w:val="center"/>
        <w:rPr>
          <w:rFonts w:eastAsia="Calibri"/>
        </w:rPr>
      </w:pPr>
    </w:p>
    <w:p w14:paraId="1B9B3556" w14:textId="2C59E907" w:rsidR="00B31322" w:rsidRDefault="00B31322" w:rsidP="00AB680C">
      <w:pPr>
        <w:jc w:val="center"/>
        <w:rPr>
          <w:rFonts w:eastAsia="Calibri"/>
        </w:rPr>
      </w:pPr>
    </w:p>
    <w:p w14:paraId="733FF31B" w14:textId="099ACA29" w:rsidR="000F567A" w:rsidRDefault="000F567A" w:rsidP="00AB680C">
      <w:pPr>
        <w:pStyle w:val="Bezmezer"/>
        <w:rPr>
          <w:sz w:val="24"/>
          <w:szCs w:val="24"/>
        </w:rPr>
      </w:pPr>
    </w:p>
    <w:p w14:paraId="2FC84937" w14:textId="0D379082" w:rsidR="00B31322" w:rsidRPr="00AC70FE" w:rsidRDefault="00B31322" w:rsidP="00AB680C">
      <w:pPr>
        <w:tabs>
          <w:tab w:val="left" w:pos="6660"/>
        </w:tabs>
        <w:jc w:val="center"/>
        <w:rPr>
          <w:rFonts w:eastAsia="MS Mincho" w:cs="Times New Roman"/>
          <w:b/>
          <w:bCs/>
          <w:szCs w:val="24"/>
        </w:rPr>
      </w:pPr>
      <w:r w:rsidRPr="00AC70FE">
        <w:rPr>
          <w:rFonts w:eastAsia="MS Mincho" w:cs="Times New Roman"/>
          <w:b/>
          <w:bCs/>
          <w:szCs w:val="24"/>
        </w:rPr>
        <w:lastRenderedPageBreak/>
        <w:t>SHRNUTÍ ZÁVĚREČNÉ ZPRÁVY RIA</w:t>
      </w:r>
    </w:p>
    <w:tbl>
      <w:tblPr>
        <w:tblW w:w="9648" w:type="dxa"/>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Layout w:type="fixed"/>
        <w:tblLook w:val="00A0" w:firstRow="1" w:lastRow="0" w:firstColumn="1" w:lastColumn="0" w:noHBand="0" w:noVBand="0"/>
      </w:tblPr>
      <w:tblGrid>
        <w:gridCol w:w="4644"/>
        <w:gridCol w:w="5004"/>
      </w:tblGrid>
      <w:tr w:rsidR="0016130F" w:rsidRPr="00F62CA3" w14:paraId="2E0D8724" w14:textId="77777777" w:rsidTr="00AC70FE">
        <w:trPr>
          <w:trHeight w:val="187"/>
          <w:jc w:val="center"/>
        </w:trPr>
        <w:tc>
          <w:tcPr>
            <w:tcW w:w="9648" w:type="dxa"/>
            <w:gridSpan w:val="2"/>
            <w:tcBorders>
              <w:top w:val="single" w:sz="12" w:space="0" w:color="000000"/>
              <w:left w:val="single" w:sz="12" w:space="0" w:color="000000"/>
              <w:bottom w:val="single" w:sz="4" w:space="0" w:color="auto"/>
              <w:right w:val="single" w:sz="12" w:space="0" w:color="000000"/>
            </w:tcBorders>
            <w:shd w:val="clear" w:color="auto" w:fill="99CCFF"/>
            <w:vAlign w:val="center"/>
          </w:tcPr>
          <w:p w14:paraId="2BC134A6" w14:textId="77777777" w:rsidR="0016130F" w:rsidRPr="00F62CA3" w:rsidRDefault="0016130F" w:rsidP="00AC70FE">
            <w:pPr>
              <w:tabs>
                <w:tab w:val="left" w:pos="6660"/>
              </w:tabs>
              <w:spacing w:before="0" w:after="0"/>
              <w:rPr>
                <w:bCs/>
              </w:rPr>
            </w:pPr>
            <w:r w:rsidRPr="00915C2F">
              <w:rPr>
                <w:bCs/>
              </w:rPr>
              <w:t>1. Základní identifikační údaje</w:t>
            </w:r>
          </w:p>
        </w:tc>
      </w:tr>
      <w:tr w:rsidR="0016130F" w:rsidRPr="00915C2F" w14:paraId="04710C7F" w14:textId="77777777" w:rsidTr="00AC70FE">
        <w:trPr>
          <w:trHeight w:val="704"/>
          <w:jc w:val="center"/>
        </w:trPr>
        <w:tc>
          <w:tcPr>
            <w:tcW w:w="9648" w:type="dxa"/>
            <w:gridSpan w:val="2"/>
            <w:tcBorders>
              <w:top w:val="single" w:sz="4" w:space="0" w:color="auto"/>
              <w:left w:val="single" w:sz="12" w:space="0" w:color="000000"/>
              <w:bottom w:val="single" w:sz="4" w:space="0" w:color="auto"/>
              <w:right w:val="single" w:sz="12" w:space="0" w:color="000000"/>
            </w:tcBorders>
            <w:shd w:val="clear" w:color="auto" w:fill="auto"/>
            <w:vAlign w:val="center"/>
          </w:tcPr>
          <w:p w14:paraId="58064AD1" w14:textId="77777777" w:rsidR="0016130F" w:rsidRPr="00915C2F" w:rsidRDefault="0016130F" w:rsidP="00AC70FE">
            <w:pPr>
              <w:tabs>
                <w:tab w:val="left" w:pos="6660"/>
              </w:tabs>
              <w:spacing w:before="0" w:after="0"/>
              <w:jc w:val="center"/>
              <w:rPr>
                <w:bCs/>
              </w:rPr>
            </w:pPr>
            <w:r w:rsidRPr="00915C2F">
              <w:rPr>
                <w:bCs/>
              </w:rPr>
              <w:t xml:space="preserve">Název návrhu: </w:t>
            </w:r>
            <w:r w:rsidRPr="00F62CA3">
              <w:rPr>
                <w:bCs/>
              </w:rPr>
              <w:t>Návrh zákona, kterým se mění některé zákony v oblasti správy daní a působnosti Celní správy České republiky</w:t>
            </w:r>
          </w:p>
        </w:tc>
      </w:tr>
      <w:tr w:rsidR="0016130F" w:rsidRPr="00915C2F" w14:paraId="646B4ECA" w14:textId="77777777" w:rsidTr="00AC70FE">
        <w:trPr>
          <w:trHeight w:val="979"/>
          <w:jc w:val="center"/>
        </w:trPr>
        <w:tc>
          <w:tcPr>
            <w:tcW w:w="4644" w:type="dxa"/>
            <w:tcBorders>
              <w:top w:val="single" w:sz="4" w:space="0" w:color="auto"/>
              <w:left w:val="single" w:sz="12" w:space="0" w:color="000000"/>
              <w:bottom w:val="single" w:sz="4" w:space="0" w:color="auto"/>
              <w:right w:val="single" w:sz="4" w:space="0" w:color="auto"/>
            </w:tcBorders>
            <w:shd w:val="clear" w:color="auto" w:fill="auto"/>
            <w:vAlign w:val="center"/>
          </w:tcPr>
          <w:p w14:paraId="7FF90C12" w14:textId="77777777" w:rsidR="0016130F" w:rsidRPr="00915C2F" w:rsidRDefault="0016130F" w:rsidP="00AC70FE">
            <w:pPr>
              <w:tabs>
                <w:tab w:val="left" w:pos="6660"/>
              </w:tabs>
              <w:spacing w:before="0" w:after="0"/>
              <w:jc w:val="center"/>
              <w:rPr>
                <w:bCs/>
              </w:rPr>
            </w:pPr>
            <w:r w:rsidRPr="00915C2F">
              <w:rPr>
                <w:bCs/>
              </w:rPr>
              <w:t xml:space="preserve">Zpracovatel / zástupce předkladatele: </w:t>
            </w:r>
          </w:p>
          <w:p w14:paraId="105107A0" w14:textId="77777777" w:rsidR="0016130F" w:rsidRPr="00915C2F" w:rsidRDefault="0016130F" w:rsidP="00AC70FE">
            <w:pPr>
              <w:tabs>
                <w:tab w:val="left" w:pos="6660"/>
              </w:tabs>
              <w:spacing w:before="0" w:after="0"/>
              <w:jc w:val="center"/>
              <w:rPr>
                <w:bCs/>
                <w:u w:val="single"/>
              </w:rPr>
            </w:pPr>
            <w:r w:rsidRPr="00915C2F">
              <w:rPr>
                <w:rFonts w:eastAsia="MS Gothic"/>
                <w:bCs/>
              </w:rPr>
              <w:t>Ministerstvo financí</w:t>
            </w:r>
            <w:r w:rsidRPr="00915C2F">
              <w:rPr>
                <w:bCs/>
                <w:u w:val="single"/>
              </w:rPr>
              <w:t xml:space="preserve"> </w:t>
            </w:r>
          </w:p>
        </w:tc>
        <w:tc>
          <w:tcPr>
            <w:tcW w:w="5004" w:type="dxa"/>
            <w:tcBorders>
              <w:top w:val="single" w:sz="4" w:space="0" w:color="auto"/>
              <w:left w:val="single" w:sz="4" w:space="0" w:color="auto"/>
              <w:bottom w:val="single" w:sz="4" w:space="0" w:color="auto"/>
              <w:right w:val="single" w:sz="12" w:space="0" w:color="000000"/>
            </w:tcBorders>
            <w:shd w:val="clear" w:color="auto" w:fill="auto"/>
            <w:vAlign w:val="center"/>
          </w:tcPr>
          <w:p w14:paraId="0F9E4CFC" w14:textId="77777777" w:rsidR="0016130F" w:rsidRPr="00915C2F" w:rsidRDefault="0016130F" w:rsidP="00AC70FE">
            <w:pPr>
              <w:tabs>
                <w:tab w:val="left" w:pos="6660"/>
              </w:tabs>
              <w:spacing w:before="0" w:after="0"/>
              <w:jc w:val="center"/>
              <w:rPr>
                <w:bCs/>
              </w:rPr>
            </w:pPr>
            <w:r w:rsidRPr="00915C2F">
              <w:rPr>
                <w:bCs/>
              </w:rPr>
              <w:t>Předpokládaný termín nabytí účinnosti, v případě dělené účinnosti rozveďte</w:t>
            </w:r>
          </w:p>
          <w:p w14:paraId="46FC1A71" w14:textId="77777777" w:rsidR="0016130F" w:rsidRPr="00915C2F" w:rsidRDefault="0016130F" w:rsidP="00AC70FE">
            <w:pPr>
              <w:tabs>
                <w:tab w:val="left" w:pos="6660"/>
              </w:tabs>
              <w:spacing w:before="0" w:after="0"/>
              <w:jc w:val="center"/>
              <w:rPr>
                <w:i/>
                <w:iCs/>
              </w:rPr>
            </w:pPr>
            <w:r w:rsidRPr="00915C2F">
              <w:rPr>
                <w:bCs/>
                <w:i/>
                <w:iCs/>
              </w:rPr>
              <w:t xml:space="preserve">1. </w:t>
            </w:r>
            <w:r>
              <w:rPr>
                <w:bCs/>
                <w:i/>
                <w:iCs/>
              </w:rPr>
              <w:t>července</w:t>
            </w:r>
            <w:r w:rsidRPr="00915C2F">
              <w:rPr>
                <w:i/>
                <w:iCs/>
              </w:rPr>
              <w:t xml:space="preserve"> 202</w:t>
            </w:r>
            <w:r>
              <w:rPr>
                <w:i/>
                <w:iCs/>
              </w:rPr>
              <w:t>5</w:t>
            </w:r>
            <w:r w:rsidRPr="00915C2F">
              <w:rPr>
                <w:i/>
                <w:iCs/>
              </w:rPr>
              <w:t>,</w:t>
            </w:r>
          </w:p>
          <w:p w14:paraId="207FDDC3" w14:textId="1E255BB5" w:rsidR="0016130F" w:rsidRPr="00915C2F" w:rsidRDefault="0016130F" w:rsidP="00186BC6">
            <w:pPr>
              <w:tabs>
                <w:tab w:val="left" w:pos="6660"/>
              </w:tabs>
              <w:spacing w:before="0" w:after="0"/>
              <w:jc w:val="center"/>
              <w:rPr>
                <w:bCs/>
              </w:rPr>
            </w:pPr>
            <w:r w:rsidRPr="00915C2F">
              <w:rPr>
                <w:bCs/>
              </w:rPr>
              <w:t xml:space="preserve">vybrané části </w:t>
            </w:r>
            <w:r w:rsidRPr="00915C2F">
              <w:rPr>
                <w:bCs/>
                <w:i/>
              </w:rPr>
              <w:t>1. ledna 202</w:t>
            </w:r>
            <w:r>
              <w:rPr>
                <w:bCs/>
                <w:i/>
              </w:rPr>
              <w:t>6</w:t>
            </w:r>
          </w:p>
        </w:tc>
      </w:tr>
      <w:tr w:rsidR="0016130F" w:rsidRPr="00915C2F" w14:paraId="2651D94D" w14:textId="77777777" w:rsidTr="00AC70FE">
        <w:tblPrEx>
          <w:tblBorders>
            <w:top w:val="single" w:sz="4" w:space="0" w:color="auto"/>
            <w:left w:val="single" w:sz="4" w:space="0" w:color="auto"/>
            <w:bottom w:val="single" w:sz="4" w:space="0" w:color="auto"/>
            <w:right w:val="single" w:sz="4" w:space="0" w:color="auto"/>
          </w:tblBorders>
        </w:tblPrEx>
        <w:trPr>
          <w:trHeight w:val="400"/>
          <w:jc w:val="center"/>
        </w:trPr>
        <w:tc>
          <w:tcPr>
            <w:tcW w:w="9648" w:type="dxa"/>
            <w:gridSpan w:val="2"/>
            <w:tcBorders>
              <w:top w:val="single" w:sz="12" w:space="0" w:color="000000"/>
              <w:left w:val="single" w:sz="12" w:space="0" w:color="000000"/>
              <w:right w:val="single" w:sz="12" w:space="0" w:color="000000"/>
            </w:tcBorders>
            <w:shd w:val="clear" w:color="auto" w:fill="auto"/>
            <w:vAlign w:val="center"/>
          </w:tcPr>
          <w:p w14:paraId="03BA8A21" w14:textId="7795F37F" w:rsidR="0016130F" w:rsidRPr="00915C2F" w:rsidRDefault="0016130F" w:rsidP="00186BC6">
            <w:pPr>
              <w:tabs>
                <w:tab w:val="left" w:pos="6660"/>
              </w:tabs>
              <w:spacing w:before="0" w:after="0"/>
              <w:rPr>
                <w:i/>
                <w:iCs/>
                <w:u w:val="single"/>
              </w:rPr>
            </w:pPr>
            <w:r w:rsidRPr="00186BC6">
              <w:rPr>
                <w:bCs/>
              </w:rPr>
              <w:t xml:space="preserve">Implementace práva EU: </w:t>
            </w:r>
            <w:r w:rsidR="00186BC6" w:rsidRPr="00186BC6">
              <w:rPr>
                <w:bCs/>
              </w:rPr>
              <w:t>Ano</w:t>
            </w:r>
          </w:p>
        </w:tc>
      </w:tr>
      <w:tr w:rsidR="0016130F" w:rsidRPr="00915C2F" w14:paraId="768C7648" w14:textId="77777777" w:rsidTr="00AC70FE">
        <w:tblPrEx>
          <w:tblBorders>
            <w:top w:val="single" w:sz="4" w:space="0" w:color="auto"/>
            <w:left w:val="single" w:sz="4" w:space="0" w:color="auto"/>
            <w:bottom w:val="single" w:sz="4" w:space="0" w:color="auto"/>
            <w:right w:val="single" w:sz="4" w:space="0" w:color="auto"/>
          </w:tblBorders>
        </w:tblPrEx>
        <w:trPr>
          <w:jc w:val="center"/>
        </w:trPr>
        <w:tc>
          <w:tcPr>
            <w:tcW w:w="9648" w:type="dxa"/>
            <w:gridSpan w:val="2"/>
            <w:tcBorders>
              <w:top w:val="single" w:sz="12" w:space="0" w:color="auto"/>
              <w:left w:val="single" w:sz="12" w:space="0" w:color="auto"/>
              <w:bottom w:val="single" w:sz="4" w:space="0" w:color="auto"/>
              <w:right w:val="single" w:sz="12" w:space="0" w:color="auto"/>
            </w:tcBorders>
            <w:shd w:val="clear" w:color="auto" w:fill="99CCFF"/>
            <w:vAlign w:val="center"/>
          </w:tcPr>
          <w:p w14:paraId="2D0A1320" w14:textId="77777777" w:rsidR="0016130F" w:rsidRPr="00915C2F" w:rsidRDefault="0016130F" w:rsidP="00AC70FE">
            <w:pPr>
              <w:tabs>
                <w:tab w:val="left" w:pos="6660"/>
              </w:tabs>
              <w:spacing w:before="0" w:after="0"/>
              <w:rPr>
                <w:bCs/>
              </w:rPr>
            </w:pPr>
            <w:r w:rsidRPr="00915C2F">
              <w:rPr>
                <w:bCs/>
              </w:rPr>
              <w:t xml:space="preserve">2. Cíl návrhu zákona </w:t>
            </w:r>
          </w:p>
        </w:tc>
      </w:tr>
      <w:tr w:rsidR="0016130F" w:rsidRPr="00915C2F" w14:paraId="7CC6D0C1" w14:textId="77777777" w:rsidTr="00AC70FE">
        <w:tblPrEx>
          <w:tblBorders>
            <w:top w:val="single" w:sz="4" w:space="0" w:color="auto"/>
            <w:left w:val="single" w:sz="4" w:space="0" w:color="auto"/>
            <w:bottom w:val="single" w:sz="4" w:space="0" w:color="auto"/>
            <w:right w:val="single" w:sz="4" w:space="0" w:color="auto"/>
          </w:tblBorders>
        </w:tblPrEx>
        <w:trPr>
          <w:jc w:val="center"/>
        </w:trPr>
        <w:tc>
          <w:tcPr>
            <w:tcW w:w="9648" w:type="dxa"/>
            <w:gridSpan w:val="2"/>
            <w:tcBorders>
              <w:top w:val="single" w:sz="4" w:space="0" w:color="auto"/>
              <w:left w:val="single" w:sz="12" w:space="0" w:color="auto"/>
              <w:bottom w:val="single" w:sz="12" w:space="0" w:color="auto"/>
              <w:right w:val="single" w:sz="12" w:space="0" w:color="auto"/>
            </w:tcBorders>
            <w:shd w:val="clear" w:color="auto" w:fill="auto"/>
            <w:vAlign w:val="center"/>
          </w:tcPr>
          <w:p w14:paraId="05A2A930" w14:textId="5C365742" w:rsidR="0016130F" w:rsidRPr="00F62CA3" w:rsidRDefault="0016130F" w:rsidP="00AC70FE">
            <w:pPr>
              <w:tabs>
                <w:tab w:val="left" w:pos="1037"/>
              </w:tabs>
              <w:spacing w:before="0"/>
              <w:rPr>
                <w:bCs/>
              </w:rPr>
            </w:pPr>
            <w:r w:rsidRPr="00F62CA3">
              <w:rPr>
                <w:bCs/>
              </w:rPr>
              <w:t>Cílem návrhu právního předpisu jsou primárně organizačně-kompetenční změny v právních předpisech upravujících působnost Celní správy České republiky (dále jen „</w:t>
            </w:r>
            <w:r w:rsidR="008209E0">
              <w:rPr>
                <w:bCs/>
              </w:rPr>
              <w:t>c</w:t>
            </w:r>
            <w:r w:rsidRPr="00F62CA3">
              <w:rPr>
                <w:bCs/>
              </w:rPr>
              <w:t>elní správa</w:t>
            </w:r>
            <w:r w:rsidR="008209E0">
              <w:rPr>
                <w:bCs/>
              </w:rPr>
              <w:t>“</w:t>
            </w:r>
            <w:r w:rsidRPr="00F62CA3">
              <w:rPr>
                <w:bCs/>
              </w:rPr>
              <w:t>). Jde tedy o změny navazující nebo související se změnami, které jsou zahrnuty v</w:t>
            </w:r>
            <w:r w:rsidR="00186BC6">
              <w:rPr>
                <w:bCs/>
              </w:rPr>
              <w:t xml:space="preserve"> tzv. konsolidačním balíčku, tj. </w:t>
            </w:r>
            <w:r w:rsidRPr="00F62CA3">
              <w:rPr>
                <w:bCs/>
              </w:rPr>
              <w:t>zákoně č. 349/2023 Sb.</w:t>
            </w:r>
            <w:r w:rsidR="006F1BC0">
              <w:rPr>
                <w:bCs/>
              </w:rPr>
              <w:t xml:space="preserve">, </w:t>
            </w:r>
            <w:r w:rsidR="006F1BC0" w:rsidRPr="006F1BC0">
              <w:rPr>
                <w:bCs/>
              </w:rPr>
              <w:t>kterým se mění některé zákony v souvislosti s konsolidací veřejných rozpočtů</w:t>
            </w:r>
            <w:r w:rsidRPr="00F62CA3">
              <w:rPr>
                <w:bCs/>
              </w:rPr>
              <w:t xml:space="preserve"> (např. redukce počtu celních úřadů z 15 na 6 nebo nová kompetence v</w:t>
            </w:r>
            <w:r w:rsidR="00186BC6">
              <w:rPr>
                <w:bCs/>
              </w:rPr>
              <w:t> </w:t>
            </w:r>
            <w:r w:rsidRPr="00F62CA3">
              <w:rPr>
                <w:bCs/>
              </w:rPr>
              <w:t>oblasti vymáhání justičních pohledávek). Sekundárně jde o změny v hmotněprávních normách (např. nesjednocené prekluzivní lhůty pro placení daně) a procesních normách (zejména úprava daňového řádu), jejichž aplikace působí v praxi obtíže.</w:t>
            </w:r>
          </w:p>
          <w:p w14:paraId="7E86F5A5" w14:textId="182A8C89" w:rsidR="0016130F" w:rsidRPr="00F62CA3" w:rsidRDefault="0016130F" w:rsidP="00AC70FE">
            <w:pPr>
              <w:tabs>
                <w:tab w:val="left" w:pos="1037"/>
              </w:tabs>
              <w:spacing w:before="0"/>
              <w:rPr>
                <w:bCs/>
              </w:rPr>
            </w:pPr>
            <w:r w:rsidRPr="00F62CA3">
              <w:rPr>
                <w:bCs/>
              </w:rPr>
              <w:t>Vláda se zavázala v koaliční smlouvě k tomu, že státní správa (celní správu nevyjímaje) bude moderní, štíhlá a pružná (čl. II bod 11 Koaliční smlouvy). Vize je taková, že celní správa musí být kompetenčně jasně profilovaným, efektivně fungujícím bezpečnostním sborem s vysokou přidanou hodnotou pro stát i pro klienty z řad obchodní veřejnosti. Musí být organizací, která bude mít v</w:t>
            </w:r>
            <w:r w:rsidR="00186BC6">
              <w:rPr>
                <w:bCs/>
              </w:rPr>
              <w:t> </w:t>
            </w:r>
            <w:r w:rsidRPr="00F62CA3">
              <w:rPr>
                <w:bCs/>
              </w:rPr>
              <w:t xml:space="preserve">systému veřejné správy svou nezastupitelnou pozici. Aby celní správa mohla dostát daným požadavkům, je navrhováno identifikované nedostatky </w:t>
            </w:r>
            <w:r w:rsidR="009C58FB">
              <w:rPr>
                <w:bCs/>
              </w:rPr>
              <w:t xml:space="preserve">či potenciální zefektivnění </w:t>
            </w:r>
            <w:r w:rsidRPr="00F62CA3">
              <w:rPr>
                <w:bCs/>
              </w:rPr>
              <w:t>v různých právních předpise</w:t>
            </w:r>
            <w:r w:rsidR="008A0F67">
              <w:rPr>
                <w:bCs/>
              </w:rPr>
              <w:t>ch</w:t>
            </w:r>
            <w:r w:rsidRPr="00F62CA3">
              <w:rPr>
                <w:bCs/>
              </w:rPr>
              <w:t xml:space="preserve"> </w:t>
            </w:r>
            <w:r w:rsidR="009C58FB">
              <w:rPr>
                <w:bCs/>
              </w:rPr>
              <w:t xml:space="preserve">řešit </w:t>
            </w:r>
            <w:r w:rsidRPr="00F62CA3">
              <w:rPr>
                <w:bCs/>
              </w:rPr>
              <w:t>jedním návrhem zákona v podobě tzv. balíčku.</w:t>
            </w:r>
            <w:r w:rsidR="00186BC6">
              <w:rPr>
                <w:bCs/>
              </w:rPr>
              <w:t xml:space="preserve"> </w:t>
            </w:r>
          </w:p>
          <w:p w14:paraId="54DEA758" w14:textId="7BF5CCBC" w:rsidR="0016130F" w:rsidRPr="00915C2F" w:rsidRDefault="0016130F" w:rsidP="009C58FB">
            <w:pPr>
              <w:tabs>
                <w:tab w:val="left" w:pos="1037"/>
              </w:tabs>
              <w:spacing w:before="0" w:after="0"/>
              <w:rPr>
                <w:bCs/>
              </w:rPr>
            </w:pPr>
            <w:r w:rsidRPr="00F62CA3">
              <w:rPr>
                <w:bCs/>
              </w:rPr>
              <w:t xml:space="preserve">Podobně je třeba provést též zohlednění poznatků z aplikační praxe týkajících se některých témat z oblasti obecné správy daní, a to především na poli vymáhání daní a dělené správy, což je oblast, která je úzce provázána mimo jiné s oblastí působnosti orgánů celní správy, které se dnes nacházejí v postavení tzv. obecného správce daně. Rovněž se jedná o oblast, která do značné míry navazuje na problematiku řešenou zákonem č. 349/2023 Sb. V neposlední řadě zde rovněž vznikne dílčí potřeba řešení </w:t>
            </w:r>
            <w:proofErr w:type="spellStart"/>
            <w:r w:rsidRPr="00F62CA3">
              <w:rPr>
                <w:bCs/>
              </w:rPr>
              <w:t>provazeb</w:t>
            </w:r>
            <w:proofErr w:type="spellEnd"/>
            <w:r w:rsidRPr="00F62CA3">
              <w:rPr>
                <w:bCs/>
              </w:rPr>
              <w:t xml:space="preserve"> v oblasti správy daní a kompetenční legislativy ve vztahu k orgánům Finanční správy České republiky, jako partnerské resortní organizace celní správy v rám</w:t>
            </w:r>
            <w:r w:rsidR="009C58FB">
              <w:rPr>
                <w:bCs/>
              </w:rPr>
              <w:t>ci resortu Ministerstva financí, jakož i další rezortům, v jejichž gesci se nacházejí předpisy upravující některé působnosti orgánů celní správy a s nimiž je na daném poli úzce spolupracováno.</w:t>
            </w:r>
          </w:p>
        </w:tc>
      </w:tr>
      <w:tr w:rsidR="0016130F" w:rsidRPr="00915C2F" w14:paraId="1F5E9FB2" w14:textId="77777777" w:rsidTr="00AC70FE">
        <w:tblPrEx>
          <w:tblBorders>
            <w:top w:val="single" w:sz="4" w:space="0" w:color="auto"/>
            <w:left w:val="single" w:sz="4" w:space="0" w:color="auto"/>
            <w:bottom w:val="single" w:sz="4" w:space="0" w:color="auto"/>
            <w:right w:val="single" w:sz="4" w:space="0" w:color="auto"/>
          </w:tblBorders>
        </w:tblPrEx>
        <w:trPr>
          <w:jc w:val="center"/>
        </w:trPr>
        <w:tc>
          <w:tcPr>
            <w:tcW w:w="9648" w:type="dxa"/>
            <w:gridSpan w:val="2"/>
            <w:tcBorders>
              <w:top w:val="single" w:sz="4" w:space="0" w:color="auto"/>
              <w:left w:val="single" w:sz="12" w:space="0" w:color="auto"/>
              <w:bottom w:val="single" w:sz="12" w:space="0" w:color="auto"/>
              <w:right w:val="single" w:sz="12" w:space="0" w:color="auto"/>
            </w:tcBorders>
            <w:shd w:val="clear" w:color="auto" w:fill="99CCFF"/>
            <w:vAlign w:val="center"/>
          </w:tcPr>
          <w:p w14:paraId="72436AA1" w14:textId="77777777" w:rsidR="0016130F" w:rsidRPr="00915C2F" w:rsidRDefault="0016130F" w:rsidP="00AC70FE">
            <w:pPr>
              <w:tabs>
                <w:tab w:val="left" w:pos="1037"/>
              </w:tabs>
              <w:spacing w:before="0" w:after="0"/>
              <w:rPr>
                <w:bCs/>
              </w:rPr>
            </w:pPr>
            <w:r w:rsidRPr="00915C2F">
              <w:rPr>
                <w:bCs/>
              </w:rPr>
              <w:t xml:space="preserve">3. </w:t>
            </w:r>
            <w:r w:rsidRPr="00915C2F">
              <w:t>Agregované</w:t>
            </w:r>
            <w:r w:rsidRPr="00915C2F">
              <w:rPr>
                <w:bCs/>
              </w:rPr>
              <w:t xml:space="preserve"> dopady návrhu zákona</w:t>
            </w:r>
          </w:p>
        </w:tc>
      </w:tr>
      <w:tr w:rsidR="0016130F" w:rsidRPr="00F62CA3" w14:paraId="71504B17" w14:textId="77777777" w:rsidTr="00AC70FE">
        <w:tblPrEx>
          <w:tblBorders>
            <w:top w:val="single" w:sz="4" w:space="0" w:color="auto"/>
            <w:left w:val="single" w:sz="4" w:space="0" w:color="auto"/>
            <w:bottom w:val="single" w:sz="4" w:space="0" w:color="auto"/>
            <w:right w:val="single" w:sz="4" w:space="0" w:color="auto"/>
          </w:tblBorders>
        </w:tblPrEx>
        <w:trPr>
          <w:jc w:val="center"/>
        </w:trPr>
        <w:tc>
          <w:tcPr>
            <w:tcW w:w="9648" w:type="dxa"/>
            <w:gridSpan w:val="2"/>
            <w:tcBorders>
              <w:top w:val="single" w:sz="4" w:space="0" w:color="auto"/>
              <w:left w:val="single" w:sz="12" w:space="0" w:color="auto"/>
              <w:bottom w:val="single" w:sz="4" w:space="0" w:color="auto"/>
              <w:right w:val="single" w:sz="12" w:space="0" w:color="auto"/>
            </w:tcBorders>
            <w:shd w:val="clear" w:color="auto" w:fill="99CCFF"/>
            <w:vAlign w:val="center"/>
          </w:tcPr>
          <w:p w14:paraId="0C213739" w14:textId="77777777" w:rsidR="0016130F" w:rsidRPr="00915C2F" w:rsidRDefault="0016130F" w:rsidP="00AC70FE">
            <w:pPr>
              <w:tabs>
                <w:tab w:val="left" w:pos="1037"/>
              </w:tabs>
              <w:spacing w:before="0" w:after="0"/>
              <w:rPr>
                <w:bCs/>
              </w:rPr>
            </w:pPr>
            <w:r w:rsidRPr="00915C2F">
              <w:rPr>
                <w:bCs/>
              </w:rPr>
              <w:t xml:space="preserve">3.1 Dopady na státní rozpočet a ostatní veřejné rozpočty: </w:t>
            </w:r>
            <w:r>
              <w:rPr>
                <w:bCs/>
              </w:rPr>
              <w:t>Ano</w:t>
            </w:r>
            <w:r w:rsidRPr="00915C2F">
              <w:rPr>
                <w:bCs/>
              </w:rPr>
              <w:t xml:space="preserve"> </w:t>
            </w:r>
          </w:p>
        </w:tc>
      </w:tr>
      <w:tr w:rsidR="0016130F" w:rsidRPr="00915C2F" w14:paraId="10D701B9" w14:textId="77777777" w:rsidTr="00AC70FE">
        <w:tblPrEx>
          <w:tblBorders>
            <w:top w:val="single" w:sz="4" w:space="0" w:color="auto"/>
            <w:left w:val="single" w:sz="4" w:space="0" w:color="auto"/>
            <w:bottom w:val="single" w:sz="4" w:space="0" w:color="auto"/>
            <w:right w:val="single" w:sz="4" w:space="0" w:color="auto"/>
          </w:tblBorders>
        </w:tblPrEx>
        <w:trPr>
          <w:jc w:val="center"/>
        </w:trPr>
        <w:tc>
          <w:tcPr>
            <w:tcW w:w="9648" w:type="dxa"/>
            <w:gridSpan w:val="2"/>
            <w:tcBorders>
              <w:top w:val="single" w:sz="4" w:space="0" w:color="auto"/>
              <w:left w:val="single" w:sz="12" w:space="0" w:color="auto"/>
              <w:bottom w:val="single" w:sz="12" w:space="0" w:color="auto"/>
              <w:right w:val="single" w:sz="12" w:space="0" w:color="auto"/>
            </w:tcBorders>
            <w:shd w:val="clear" w:color="auto" w:fill="auto"/>
            <w:vAlign w:val="center"/>
          </w:tcPr>
          <w:p w14:paraId="5FE12D0D" w14:textId="30F5E73C" w:rsidR="008209E0" w:rsidRPr="008209E0" w:rsidRDefault="008209E0" w:rsidP="008209E0">
            <w:pPr>
              <w:tabs>
                <w:tab w:val="left" w:pos="1037"/>
              </w:tabs>
              <w:spacing w:before="0" w:after="0"/>
              <w:rPr>
                <w:bCs/>
              </w:rPr>
            </w:pPr>
            <w:r w:rsidRPr="008209E0">
              <w:rPr>
                <w:bCs/>
              </w:rPr>
              <w:t xml:space="preserve">V rámci posouzení dopadů na státní rozpočet je možné v souvislosti s navrhovanými změnami kompetencí </w:t>
            </w:r>
            <w:r>
              <w:rPr>
                <w:bCs/>
              </w:rPr>
              <w:t>orgánů c</w:t>
            </w:r>
            <w:r w:rsidRPr="008209E0">
              <w:rPr>
                <w:bCs/>
              </w:rPr>
              <w:t>elní správy očekávat z komplexního pohledu na státní správu dosažení dílčích úspor, které je však velmi obtížné kvantifikovat. Navržené změny by totiž primárně měly přispět k</w:t>
            </w:r>
            <w:r>
              <w:rPr>
                <w:bCs/>
              </w:rPr>
              <w:t> </w:t>
            </w:r>
            <w:r w:rsidRPr="008209E0">
              <w:rPr>
                <w:bCs/>
              </w:rPr>
              <w:t xml:space="preserve">efektivnější činnosti </w:t>
            </w:r>
            <w:r>
              <w:rPr>
                <w:bCs/>
              </w:rPr>
              <w:t>c</w:t>
            </w:r>
            <w:r w:rsidRPr="008209E0">
              <w:rPr>
                <w:bCs/>
              </w:rPr>
              <w:t xml:space="preserve">elní správy a jiných orgánů veřejné moci. Přestože personální substrát (počet systemizovaných míst a počet reálně obsazených míst) </w:t>
            </w:r>
            <w:r>
              <w:rPr>
                <w:bCs/>
              </w:rPr>
              <w:t>c</w:t>
            </w:r>
            <w:r w:rsidRPr="008209E0">
              <w:rPr>
                <w:bCs/>
              </w:rPr>
              <w:t xml:space="preserve">elní správy setrvale klesá, zákonné kompetence </w:t>
            </w:r>
            <w:r>
              <w:rPr>
                <w:bCs/>
              </w:rPr>
              <w:t>c</w:t>
            </w:r>
            <w:r w:rsidRPr="008209E0">
              <w:rPr>
                <w:bCs/>
              </w:rPr>
              <w:t xml:space="preserve">elní správy měly spíše opačný trend, tedy setrvale rostly. </w:t>
            </w:r>
            <w:r>
              <w:rPr>
                <w:bCs/>
              </w:rPr>
              <w:t>C</w:t>
            </w:r>
            <w:r w:rsidRPr="008209E0">
              <w:rPr>
                <w:bCs/>
              </w:rPr>
              <w:t>elní správa zvládá vykonávat svěřené kompetence v návaznosti na vysokou míru analytiky, digitalizace, automatizace a technického vybavení. Nicméně tyto zdroje, jakož i personální zdroje, jsou do značné míry roztříštěny velkým množstvím svěřených kompetencí a mohly by být využívány efektivněji a</w:t>
            </w:r>
            <w:r>
              <w:rPr>
                <w:bCs/>
              </w:rPr>
              <w:t> </w:t>
            </w:r>
            <w:r w:rsidRPr="008209E0">
              <w:rPr>
                <w:bCs/>
              </w:rPr>
              <w:t>hospodárněji.</w:t>
            </w:r>
          </w:p>
          <w:p w14:paraId="73BB27CE" w14:textId="7B731EA8" w:rsidR="00F80DA8" w:rsidRPr="008209E0" w:rsidRDefault="00F80DA8" w:rsidP="008209E0">
            <w:pPr>
              <w:tabs>
                <w:tab w:val="left" w:pos="1037"/>
              </w:tabs>
              <w:spacing w:before="0" w:after="0"/>
              <w:rPr>
                <w:bCs/>
              </w:rPr>
            </w:pPr>
            <w:r w:rsidRPr="00F80DA8">
              <w:rPr>
                <w:bCs/>
              </w:rPr>
              <w:lastRenderedPageBreak/>
              <w:t xml:space="preserve">U </w:t>
            </w:r>
            <w:r>
              <w:rPr>
                <w:bCs/>
              </w:rPr>
              <w:t>c</w:t>
            </w:r>
            <w:r w:rsidRPr="00F80DA8">
              <w:rPr>
                <w:bCs/>
              </w:rPr>
              <w:t>elní správy se předpokládá úspora systemizovaných míst, které budou primárně využity na</w:t>
            </w:r>
            <w:r>
              <w:rPr>
                <w:bCs/>
              </w:rPr>
              <w:t> </w:t>
            </w:r>
            <w:r w:rsidRPr="00F80DA8">
              <w:rPr>
                <w:bCs/>
              </w:rPr>
              <w:t>výkon jiných stávajíc</w:t>
            </w:r>
            <w:r>
              <w:rPr>
                <w:bCs/>
              </w:rPr>
              <w:t>ích agend; personální dopad na c</w:t>
            </w:r>
            <w:r w:rsidRPr="00F80DA8">
              <w:rPr>
                <w:bCs/>
              </w:rPr>
              <w:t>elní správu se předpokládá v rámci vyšších desítek systemizovaných míst.</w:t>
            </w:r>
          </w:p>
          <w:p w14:paraId="3BD84B16" w14:textId="07A6918F" w:rsidR="008209E0" w:rsidRPr="008209E0" w:rsidRDefault="008209E0" w:rsidP="008209E0">
            <w:pPr>
              <w:tabs>
                <w:tab w:val="left" w:pos="1037"/>
              </w:tabs>
              <w:spacing w:before="0" w:after="0"/>
              <w:rPr>
                <w:bCs/>
              </w:rPr>
            </w:pPr>
            <w:r w:rsidRPr="008209E0">
              <w:rPr>
                <w:bCs/>
              </w:rPr>
              <w:t xml:space="preserve">Náklady spojené s územní reorganizací soustavy orgánů </w:t>
            </w:r>
            <w:r w:rsidR="00616155">
              <w:rPr>
                <w:bCs/>
              </w:rPr>
              <w:t>c</w:t>
            </w:r>
            <w:r w:rsidRPr="008209E0">
              <w:rPr>
                <w:bCs/>
              </w:rPr>
              <w:t xml:space="preserve">elní správy nevyplývají z nyní předkládaného návrhu zákona, ale z již platného zákona č. 349/2023 Sb.  </w:t>
            </w:r>
          </w:p>
          <w:p w14:paraId="73C568E0" w14:textId="23417CF4" w:rsidR="008209E0" w:rsidRPr="008209E0" w:rsidRDefault="008209E0" w:rsidP="008209E0">
            <w:pPr>
              <w:tabs>
                <w:tab w:val="left" w:pos="1037"/>
              </w:tabs>
              <w:spacing w:before="0" w:after="0"/>
              <w:rPr>
                <w:bCs/>
              </w:rPr>
            </w:pPr>
            <w:r w:rsidRPr="008209E0">
              <w:rPr>
                <w:bCs/>
              </w:rPr>
              <w:t>Dílčí náklady je možné předpokládat na straně některých jiných orgánů veřejné moci ve vztahu k</w:t>
            </w:r>
            <w:r>
              <w:rPr>
                <w:bCs/>
              </w:rPr>
              <w:t> </w:t>
            </w:r>
            <w:r w:rsidRPr="008209E0">
              <w:rPr>
                <w:bCs/>
              </w:rPr>
              <w:t xml:space="preserve">předání výkonu současných agend orgánů </w:t>
            </w:r>
            <w:r w:rsidR="00616155">
              <w:rPr>
                <w:bCs/>
              </w:rPr>
              <w:t>c</w:t>
            </w:r>
            <w:r w:rsidRPr="008209E0">
              <w:rPr>
                <w:bCs/>
              </w:rPr>
              <w:t>elní správy do jejich působnosti. Jde-li o sdílené kompetence, měly by být náklady na straně dotčeného orgánu veřejné moci zanedbatelné, neboť danou kompetenci již nyní vykonává.</w:t>
            </w:r>
          </w:p>
          <w:p w14:paraId="77554A10" w14:textId="77777777" w:rsidR="008209E0" w:rsidRPr="008209E0" w:rsidRDefault="008209E0" w:rsidP="008209E0">
            <w:pPr>
              <w:tabs>
                <w:tab w:val="left" w:pos="1037"/>
              </w:tabs>
              <w:spacing w:before="0" w:after="0"/>
              <w:rPr>
                <w:bCs/>
              </w:rPr>
            </w:pPr>
            <w:r w:rsidRPr="008209E0">
              <w:rPr>
                <w:bCs/>
              </w:rPr>
              <w:t>Případné výdaje, vzniklé v souvislosti s navrženými změnami, budou kryty v rámci schválených rozpočtových limitů příslušné rozpočtové kapitoly z peněžních prostředků přidělených danému orgánu pro daný kalendářní rok.</w:t>
            </w:r>
          </w:p>
          <w:p w14:paraId="305D92D7" w14:textId="1E074F36" w:rsidR="008209E0" w:rsidRPr="007D132D" w:rsidRDefault="008209E0" w:rsidP="008209E0">
            <w:pPr>
              <w:tabs>
                <w:tab w:val="left" w:pos="1037"/>
              </w:tabs>
              <w:spacing w:before="0" w:after="0"/>
              <w:rPr>
                <w:bCs/>
              </w:rPr>
            </w:pPr>
            <w:r w:rsidRPr="008209E0">
              <w:rPr>
                <w:bCs/>
              </w:rPr>
              <w:t>Obdobně lze předpokládat pro související změny daňového řádu a dalších daňových zákonů.</w:t>
            </w:r>
          </w:p>
        </w:tc>
      </w:tr>
      <w:tr w:rsidR="0016130F" w:rsidRPr="00915C2F" w14:paraId="2DA46227" w14:textId="77777777" w:rsidTr="00AC70FE">
        <w:tblPrEx>
          <w:tblBorders>
            <w:top w:val="single" w:sz="4" w:space="0" w:color="auto"/>
            <w:left w:val="single" w:sz="4" w:space="0" w:color="auto"/>
            <w:bottom w:val="single" w:sz="4" w:space="0" w:color="auto"/>
            <w:right w:val="single" w:sz="4" w:space="0" w:color="auto"/>
          </w:tblBorders>
        </w:tblPrEx>
        <w:trPr>
          <w:jc w:val="center"/>
        </w:trPr>
        <w:tc>
          <w:tcPr>
            <w:tcW w:w="9648" w:type="dxa"/>
            <w:gridSpan w:val="2"/>
            <w:tcBorders>
              <w:top w:val="single" w:sz="12" w:space="0" w:color="auto"/>
              <w:left w:val="single" w:sz="12" w:space="0" w:color="auto"/>
              <w:bottom w:val="single" w:sz="4" w:space="0" w:color="auto"/>
              <w:right w:val="single" w:sz="12" w:space="0" w:color="auto"/>
            </w:tcBorders>
            <w:shd w:val="clear" w:color="auto" w:fill="99CCFF"/>
            <w:vAlign w:val="center"/>
          </w:tcPr>
          <w:p w14:paraId="2369D1DA" w14:textId="77777777" w:rsidR="0016130F" w:rsidRPr="00915C2F" w:rsidRDefault="0016130F" w:rsidP="00AC70FE">
            <w:pPr>
              <w:tabs>
                <w:tab w:val="left" w:pos="1037"/>
              </w:tabs>
              <w:spacing w:before="0" w:after="0"/>
              <w:rPr>
                <w:bCs/>
              </w:rPr>
            </w:pPr>
            <w:r w:rsidRPr="00915C2F">
              <w:rPr>
                <w:bCs/>
              </w:rPr>
              <w:lastRenderedPageBreak/>
              <w:t xml:space="preserve">3.2 Dopady na mezinárodní konkurenceschopnost ČR: </w:t>
            </w:r>
            <w:r>
              <w:rPr>
                <w:bCs/>
              </w:rPr>
              <w:t>Ne</w:t>
            </w:r>
          </w:p>
        </w:tc>
      </w:tr>
      <w:tr w:rsidR="0016130F" w:rsidRPr="00915C2F" w14:paraId="038A0A20" w14:textId="77777777" w:rsidTr="00AC70FE">
        <w:tblPrEx>
          <w:tblBorders>
            <w:top w:val="single" w:sz="4" w:space="0" w:color="auto"/>
            <w:left w:val="single" w:sz="4" w:space="0" w:color="auto"/>
            <w:bottom w:val="single" w:sz="4" w:space="0" w:color="auto"/>
            <w:right w:val="single" w:sz="4" w:space="0" w:color="auto"/>
          </w:tblBorders>
        </w:tblPrEx>
        <w:trPr>
          <w:jc w:val="center"/>
        </w:trPr>
        <w:tc>
          <w:tcPr>
            <w:tcW w:w="9648" w:type="dxa"/>
            <w:gridSpan w:val="2"/>
            <w:tcBorders>
              <w:top w:val="single" w:sz="4" w:space="0" w:color="auto"/>
              <w:left w:val="single" w:sz="12" w:space="0" w:color="auto"/>
              <w:bottom w:val="single" w:sz="12" w:space="0" w:color="auto"/>
              <w:right w:val="single" w:sz="12" w:space="0" w:color="auto"/>
            </w:tcBorders>
            <w:shd w:val="clear" w:color="auto" w:fill="auto"/>
            <w:vAlign w:val="center"/>
          </w:tcPr>
          <w:p w14:paraId="1656305C" w14:textId="77777777" w:rsidR="0016130F" w:rsidRPr="007D132D" w:rsidRDefault="0016130F" w:rsidP="00AC70FE">
            <w:pPr>
              <w:tabs>
                <w:tab w:val="left" w:pos="1037"/>
              </w:tabs>
              <w:spacing w:before="0" w:after="0"/>
              <w:rPr>
                <w:bCs/>
              </w:rPr>
            </w:pPr>
          </w:p>
        </w:tc>
      </w:tr>
      <w:tr w:rsidR="0016130F" w:rsidRPr="00915C2F" w14:paraId="2DE4ACD2" w14:textId="77777777" w:rsidTr="00AC70FE">
        <w:tblPrEx>
          <w:tblBorders>
            <w:top w:val="single" w:sz="4" w:space="0" w:color="auto"/>
            <w:left w:val="single" w:sz="4" w:space="0" w:color="auto"/>
            <w:bottom w:val="single" w:sz="4" w:space="0" w:color="auto"/>
            <w:right w:val="single" w:sz="4" w:space="0" w:color="auto"/>
          </w:tblBorders>
        </w:tblPrEx>
        <w:trPr>
          <w:jc w:val="center"/>
        </w:trPr>
        <w:tc>
          <w:tcPr>
            <w:tcW w:w="9648" w:type="dxa"/>
            <w:gridSpan w:val="2"/>
            <w:tcBorders>
              <w:top w:val="single" w:sz="12" w:space="0" w:color="auto"/>
              <w:left w:val="single" w:sz="12" w:space="0" w:color="auto"/>
              <w:bottom w:val="single" w:sz="4" w:space="0" w:color="auto"/>
              <w:right w:val="single" w:sz="12" w:space="0" w:color="auto"/>
            </w:tcBorders>
            <w:shd w:val="clear" w:color="auto" w:fill="99CCFF"/>
            <w:vAlign w:val="center"/>
          </w:tcPr>
          <w:p w14:paraId="61B312CA" w14:textId="77777777" w:rsidR="0016130F" w:rsidRPr="00915C2F" w:rsidRDefault="0016130F" w:rsidP="00AC70FE">
            <w:pPr>
              <w:tabs>
                <w:tab w:val="left" w:pos="1037"/>
              </w:tabs>
              <w:spacing w:before="0" w:after="0"/>
              <w:rPr>
                <w:bCs/>
              </w:rPr>
            </w:pPr>
            <w:r w:rsidRPr="00915C2F">
              <w:rPr>
                <w:bCs/>
              </w:rPr>
              <w:t xml:space="preserve">3.3 Dopady na podnikatelské prostředí: </w:t>
            </w:r>
            <w:r>
              <w:rPr>
                <w:bCs/>
              </w:rPr>
              <w:t>Ano</w:t>
            </w:r>
            <w:r w:rsidRPr="00915C2F">
              <w:rPr>
                <w:bCs/>
              </w:rPr>
              <w:t xml:space="preserve"> </w:t>
            </w:r>
          </w:p>
        </w:tc>
      </w:tr>
      <w:tr w:rsidR="0016130F" w:rsidRPr="00915C2F" w14:paraId="3B075A61" w14:textId="77777777" w:rsidTr="00AC70FE">
        <w:tblPrEx>
          <w:tblBorders>
            <w:top w:val="single" w:sz="4" w:space="0" w:color="auto"/>
            <w:left w:val="single" w:sz="4" w:space="0" w:color="auto"/>
            <w:bottom w:val="single" w:sz="4" w:space="0" w:color="auto"/>
            <w:right w:val="single" w:sz="4" w:space="0" w:color="auto"/>
          </w:tblBorders>
        </w:tblPrEx>
        <w:trPr>
          <w:trHeight w:val="369"/>
          <w:jc w:val="center"/>
        </w:trPr>
        <w:tc>
          <w:tcPr>
            <w:tcW w:w="9648" w:type="dxa"/>
            <w:gridSpan w:val="2"/>
            <w:tcBorders>
              <w:top w:val="single" w:sz="4" w:space="0" w:color="auto"/>
              <w:left w:val="single" w:sz="12" w:space="0" w:color="auto"/>
              <w:bottom w:val="single" w:sz="12" w:space="0" w:color="auto"/>
              <w:right w:val="single" w:sz="12" w:space="0" w:color="auto"/>
            </w:tcBorders>
            <w:shd w:val="clear" w:color="auto" w:fill="auto"/>
            <w:vAlign w:val="center"/>
          </w:tcPr>
          <w:p w14:paraId="38C6BB2C" w14:textId="77777777" w:rsidR="0016130F" w:rsidRPr="007D132D" w:rsidRDefault="0016130F" w:rsidP="00AC70FE">
            <w:pPr>
              <w:tabs>
                <w:tab w:val="left" w:pos="1037"/>
              </w:tabs>
              <w:spacing w:before="0" w:after="0"/>
              <w:rPr>
                <w:bCs/>
              </w:rPr>
            </w:pPr>
            <w:r w:rsidRPr="00F62CA3">
              <w:rPr>
                <w:bCs/>
              </w:rPr>
              <w:t>Z pohledu hospodářských subjektů lze předpokládat v případě provedení změn pozitivní přínos zejména ve věci přehlednosti a srozumitelnosti výkonu státní správy a částečné snížení administrativní zátěže</w:t>
            </w:r>
            <w:r>
              <w:rPr>
                <w:bCs/>
              </w:rPr>
              <w:t>.</w:t>
            </w:r>
          </w:p>
        </w:tc>
      </w:tr>
      <w:tr w:rsidR="0016130F" w:rsidRPr="00915C2F" w14:paraId="71E0C6F1" w14:textId="77777777" w:rsidTr="00AC70FE">
        <w:tblPrEx>
          <w:tblBorders>
            <w:top w:val="single" w:sz="4" w:space="0" w:color="auto"/>
            <w:left w:val="single" w:sz="4" w:space="0" w:color="auto"/>
            <w:bottom w:val="single" w:sz="4" w:space="0" w:color="auto"/>
            <w:right w:val="single" w:sz="4" w:space="0" w:color="auto"/>
          </w:tblBorders>
        </w:tblPrEx>
        <w:trPr>
          <w:jc w:val="center"/>
        </w:trPr>
        <w:tc>
          <w:tcPr>
            <w:tcW w:w="9648" w:type="dxa"/>
            <w:gridSpan w:val="2"/>
            <w:tcBorders>
              <w:top w:val="single" w:sz="4" w:space="0" w:color="auto"/>
              <w:left w:val="single" w:sz="12" w:space="0" w:color="auto"/>
              <w:bottom w:val="single" w:sz="4" w:space="0" w:color="auto"/>
              <w:right w:val="single" w:sz="12" w:space="0" w:color="auto"/>
            </w:tcBorders>
            <w:shd w:val="clear" w:color="auto" w:fill="99CCFF"/>
            <w:vAlign w:val="center"/>
          </w:tcPr>
          <w:p w14:paraId="24231B73" w14:textId="77777777" w:rsidR="0016130F" w:rsidRPr="00915C2F" w:rsidRDefault="0016130F" w:rsidP="00AC70FE">
            <w:pPr>
              <w:tabs>
                <w:tab w:val="left" w:pos="1037"/>
              </w:tabs>
              <w:spacing w:before="0" w:after="0"/>
              <w:rPr>
                <w:bCs/>
              </w:rPr>
            </w:pPr>
            <w:r w:rsidRPr="00915C2F">
              <w:rPr>
                <w:bCs/>
              </w:rPr>
              <w:t xml:space="preserve">3.4 Územní dopady včetně dopadů na územní samosprávné celky: </w:t>
            </w:r>
            <w:r>
              <w:rPr>
                <w:bCs/>
              </w:rPr>
              <w:t>Ano</w:t>
            </w:r>
            <w:r w:rsidRPr="00915C2F">
              <w:rPr>
                <w:bCs/>
              </w:rPr>
              <w:t xml:space="preserve"> </w:t>
            </w:r>
          </w:p>
        </w:tc>
      </w:tr>
      <w:tr w:rsidR="0016130F" w:rsidRPr="00915C2F" w:rsidDel="007D15F9" w14:paraId="5B26E660" w14:textId="77777777" w:rsidTr="00AC70FE">
        <w:tblPrEx>
          <w:tblBorders>
            <w:top w:val="single" w:sz="4" w:space="0" w:color="auto"/>
            <w:left w:val="single" w:sz="4" w:space="0" w:color="auto"/>
            <w:bottom w:val="single" w:sz="4" w:space="0" w:color="auto"/>
            <w:right w:val="single" w:sz="4" w:space="0" w:color="auto"/>
          </w:tblBorders>
        </w:tblPrEx>
        <w:trPr>
          <w:jc w:val="center"/>
        </w:trPr>
        <w:tc>
          <w:tcPr>
            <w:tcW w:w="9648" w:type="dxa"/>
            <w:gridSpan w:val="2"/>
            <w:tcBorders>
              <w:top w:val="single" w:sz="4" w:space="0" w:color="auto"/>
              <w:left w:val="single" w:sz="12" w:space="0" w:color="auto"/>
              <w:bottom w:val="single" w:sz="12" w:space="0" w:color="auto"/>
              <w:right w:val="single" w:sz="12" w:space="0" w:color="auto"/>
            </w:tcBorders>
            <w:shd w:val="clear" w:color="auto" w:fill="auto"/>
            <w:vAlign w:val="center"/>
          </w:tcPr>
          <w:p w14:paraId="573D0648" w14:textId="1AF02637" w:rsidR="0016130F" w:rsidRPr="00125E10" w:rsidDel="007D15F9" w:rsidRDefault="0016130F" w:rsidP="004A53C5">
            <w:pPr>
              <w:tabs>
                <w:tab w:val="left" w:pos="1037"/>
              </w:tabs>
              <w:spacing w:before="0" w:after="0"/>
              <w:rPr>
                <w:bCs/>
              </w:rPr>
            </w:pPr>
            <w:r w:rsidRPr="00F62CA3">
              <w:rPr>
                <w:bCs/>
              </w:rPr>
              <w:t>Nově se zavádí fakultativní možnost, aby kraje mohly požádat obecného správce daně o vymáhání peněžitého plnění uloženého v režimu správního řádu (viz nově navržené ust</w:t>
            </w:r>
            <w:r w:rsidR="004A53C5">
              <w:rPr>
                <w:bCs/>
              </w:rPr>
              <w:t>anovení</w:t>
            </w:r>
            <w:r w:rsidRPr="00F62CA3">
              <w:rPr>
                <w:bCs/>
              </w:rPr>
              <w:t xml:space="preserve"> § 106 správního řádu)</w:t>
            </w:r>
            <w:r w:rsidR="004A53C5">
              <w:rPr>
                <w:bCs/>
              </w:rPr>
              <w:t>,</w:t>
            </w:r>
            <w:r w:rsidRPr="00F62CA3">
              <w:rPr>
                <w:bCs/>
              </w:rPr>
              <w:t xml:space="preserve"> a dále aby obce a k</w:t>
            </w:r>
            <w:r w:rsidR="004A53C5">
              <w:rPr>
                <w:bCs/>
              </w:rPr>
              <w:t>r</w:t>
            </w:r>
            <w:r w:rsidRPr="00F62CA3">
              <w:rPr>
                <w:bCs/>
              </w:rPr>
              <w:t>aje mohly požádat obecného správce daně o vymáhání peněžitého plnění uloženého v režimu daňového řádu (viz nově navržené ust</w:t>
            </w:r>
            <w:r w:rsidR="004A53C5">
              <w:rPr>
                <w:bCs/>
              </w:rPr>
              <w:t>anovení</w:t>
            </w:r>
            <w:r w:rsidRPr="00F62CA3">
              <w:rPr>
                <w:bCs/>
              </w:rPr>
              <w:t xml:space="preserve"> § 175 daňového řádu); jedná se o přínos z pohledu územních samosprávných celků.</w:t>
            </w:r>
          </w:p>
        </w:tc>
      </w:tr>
      <w:tr w:rsidR="0016130F" w:rsidRPr="00915C2F" w14:paraId="636A3359" w14:textId="77777777" w:rsidTr="00AC70FE">
        <w:tblPrEx>
          <w:tblBorders>
            <w:top w:val="single" w:sz="4" w:space="0" w:color="auto"/>
            <w:left w:val="single" w:sz="4" w:space="0" w:color="auto"/>
            <w:bottom w:val="single" w:sz="4" w:space="0" w:color="auto"/>
            <w:right w:val="single" w:sz="4" w:space="0" w:color="auto"/>
          </w:tblBorders>
        </w:tblPrEx>
        <w:trPr>
          <w:jc w:val="center"/>
        </w:trPr>
        <w:tc>
          <w:tcPr>
            <w:tcW w:w="9648" w:type="dxa"/>
            <w:gridSpan w:val="2"/>
            <w:tcBorders>
              <w:top w:val="single" w:sz="4" w:space="0" w:color="auto"/>
              <w:left w:val="single" w:sz="12" w:space="0" w:color="auto"/>
              <w:bottom w:val="single" w:sz="4" w:space="0" w:color="auto"/>
              <w:right w:val="single" w:sz="12" w:space="0" w:color="auto"/>
            </w:tcBorders>
            <w:shd w:val="clear" w:color="auto" w:fill="99CCFF"/>
            <w:vAlign w:val="center"/>
          </w:tcPr>
          <w:p w14:paraId="7E60D221" w14:textId="77777777" w:rsidR="0016130F" w:rsidRPr="00915C2F" w:rsidRDefault="0016130F" w:rsidP="00AC70FE">
            <w:pPr>
              <w:tabs>
                <w:tab w:val="left" w:pos="1037"/>
                <w:tab w:val="left" w:pos="3970"/>
              </w:tabs>
              <w:spacing w:before="0" w:after="0"/>
              <w:rPr>
                <w:bCs/>
              </w:rPr>
            </w:pPr>
            <w:r w:rsidRPr="00915C2F">
              <w:rPr>
                <w:bCs/>
              </w:rPr>
              <w:t xml:space="preserve">3.5 Sociální dopady: </w:t>
            </w:r>
            <w:r>
              <w:rPr>
                <w:bCs/>
              </w:rPr>
              <w:t>Ne</w:t>
            </w:r>
            <w:r w:rsidRPr="00915C2F">
              <w:rPr>
                <w:bCs/>
              </w:rPr>
              <w:t xml:space="preserve"> </w:t>
            </w:r>
          </w:p>
        </w:tc>
      </w:tr>
      <w:tr w:rsidR="0016130F" w:rsidRPr="00915C2F" w14:paraId="5BCB0D1E" w14:textId="77777777" w:rsidTr="00AC70FE">
        <w:tblPrEx>
          <w:tblBorders>
            <w:top w:val="single" w:sz="4" w:space="0" w:color="auto"/>
            <w:left w:val="single" w:sz="4" w:space="0" w:color="auto"/>
            <w:bottom w:val="single" w:sz="4" w:space="0" w:color="auto"/>
            <w:right w:val="single" w:sz="4" w:space="0" w:color="auto"/>
          </w:tblBorders>
        </w:tblPrEx>
        <w:trPr>
          <w:jc w:val="center"/>
        </w:trPr>
        <w:tc>
          <w:tcPr>
            <w:tcW w:w="9648" w:type="dxa"/>
            <w:gridSpan w:val="2"/>
            <w:tcBorders>
              <w:top w:val="single" w:sz="4" w:space="0" w:color="auto"/>
              <w:left w:val="single" w:sz="12" w:space="0" w:color="auto"/>
              <w:bottom w:val="single" w:sz="12" w:space="0" w:color="auto"/>
              <w:right w:val="single" w:sz="12" w:space="0" w:color="auto"/>
            </w:tcBorders>
            <w:shd w:val="clear" w:color="auto" w:fill="auto"/>
            <w:vAlign w:val="center"/>
          </w:tcPr>
          <w:p w14:paraId="7C40C4CE" w14:textId="77777777" w:rsidR="0016130F" w:rsidRPr="007D132D" w:rsidRDefault="0016130F" w:rsidP="00AC70FE">
            <w:pPr>
              <w:tabs>
                <w:tab w:val="left" w:pos="1037"/>
              </w:tabs>
              <w:spacing w:before="0" w:after="0"/>
              <w:rPr>
                <w:bCs/>
              </w:rPr>
            </w:pPr>
          </w:p>
        </w:tc>
      </w:tr>
      <w:tr w:rsidR="0016130F" w:rsidRPr="00915C2F" w14:paraId="3410345D" w14:textId="77777777" w:rsidTr="00AC70FE">
        <w:tblPrEx>
          <w:tblBorders>
            <w:top w:val="single" w:sz="4" w:space="0" w:color="auto"/>
            <w:left w:val="single" w:sz="4" w:space="0" w:color="auto"/>
            <w:bottom w:val="single" w:sz="4" w:space="0" w:color="auto"/>
            <w:right w:val="single" w:sz="4" w:space="0" w:color="auto"/>
          </w:tblBorders>
        </w:tblPrEx>
        <w:trPr>
          <w:jc w:val="center"/>
        </w:trPr>
        <w:tc>
          <w:tcPr>
            <w:tcW w:w="9648" w:type="dxa"/>
            <w:gridSpan w:val="2"/>
            <w:tcBorders>
              <w:top w:val="single" w:sz="12" w:space="0" w:color="auto"/>
              <w:left w:val="single" w:sz="12" w:space="0" w:color="auto"/>
              <w:bottom w:val="single" w:sz="4" w:space="0" w:color="auto"/>
              <w:right w:val="single" w:sz="12" w:space="0" w:color="auto"/>
            </w:tcBorders>
            <w:shd w:val="clear" w:color="auto" w:fill="99CCFF"/>
            <w:vAlign w:val="center"/>
          </w:tcPr>
          <w:p w14:paraId="17C32286" w14:textId="77777777" w:rsidR="0016130F" w:rsidRPr="00915C2F" w:rsidRDefault="0016130F" w:rsidP="00AC70FE">
            <w:pPr>
              <w:tabs>
                <w:tab w:val="left" w:pos="1037"/>
              </w:tabs>
              <w:spacing w:before="0" w:after="0"/>
              <w:rPr>
                <w:bCs/>
              </w:rPr>
            </w:pPr>
            <w:r w:rsidRPr="00915C2F">
              <w:rPr>
                <w:bCs/>
              </w:rPr>
              <w:t xml:space="preserve">3.6 Dopady na rodiny: </w:t>
            </w:r>
            <w:r>
              <w:rPr>
                <w:bCs/>
              </w:rPr>
              <w:t>Ne</w:t>
            </w:r>
          </w:p>
        </w:tc>
      </w:tr>
      <w:tr w:rsidR="0016130F" w:rsidRPr="00915C2F" w14:paraId="106569B7" w14:textId="77777777" w:rsidTr="00AC70FE">
        <w:tblPrEx>
          <w:tblBorders>
            <w:top w:val="single" w:sz="4" w:space="0" w:color="auto"/>
            <w:left w:val="single" w:sz="4" w:space="0" w:color="auto"/>
            <w:bottom w:val="single" w:sz="4" w:space="0" w:color="auto"/>
            <w:right w:val="single" w:sz="4" w:space="0" w:color="auto"/>
          </w:tblBorders>
        </w:tblPrEx>
        <w:trPr>
          <w:jc w:val="center"/>
        </w:trPr>
        <w:tc>
          <w:tcPr>
            <w:tcW w:w="9648" w:type="dxa"/>
            <w:gridSpan w:val="2"/>
            <w:tcBorders>
              <w:top w:val="single" w:sz="4" w:space="0" w:color="auto"/>
              <w:left w:val="single" w:sz="12" w:space="0" w:color="auto"/>
              <w:bottom w:val="single" w:sz="12" w:space="0" w:color="auto"/>
              <w:right w:val="single" w:sz="12" w:space="0" w:color="auto"/>
            </w:tcBorders>
            <w:shd w:val="clear" w:color="auto" w:fill="auto"/>
            <w:vAlign w:val="center"/>
          </w:tcPr>
          <w:p w14:paraId="6CB5AAC6" w14:textId="77777777" w:rsidR="0016130F" w:rsidRPr="00125E10" w:rsidRDefault="0016130F" w:rsidP="00AC70FE">
            <w:pPr>
              <w:tabs>
                <w:tab w:val="left" w:pos="1037"/>
              </w:tabs>
              <w:spacing w:before="0" w:after="0"/>
              <w:rPr>
                <w:bCs/>
              </w:rPr>
            </w:pPr>
          </w:p>
        </w:tc>
      </w:tr>
      <w:tr w:rsidR="0016130F" w:rsidRPr="00F62CA3" w14:paraId="02EAB806" w14:textId="77777777" w:rsidTr="00AC70FE">
        <w:tblPrEx>
          <w:tblBorders>
            <w:top w:val="single" w:sz="4" w:space="0" w:color="auto"/>
            <w:left w:val="single" w:sz="4" w:space="0" w:color="auto"/>
            <w:bottom w:val="single" w:sz="4" w:space="0" w:color="auto"/>
            <w:right w:val="single" w:sz="4" w:space="0" w:color="auto"/>
          </w:tblBorders>
        </w:tblPrEx>
        <w:trPr>
          <w:jc w:val="center"/>
        </w:trPr>
        <w:tc>
          <w:tcPr>
            <w:tcW w:w="9648" w:type="dxa"/>
            <w:gridSpan w:val="2"/>
            <w:tcBorders>
              <w:top w:val="single" w:sz="12" w:space="0" w:color="auto"/>
              <w:left w:val="single" w:sz="12" w:space="0" w:color="auto"/>
              <w:bottom w:val="single" w:sz="4" w:space="0" w:color="auto"/>
              <w:right w:val="single" w:sz="12" w:space="0" w:color="auto"/>
            </w:tcBorders>
            <w:shd w:val="clear" w:color="auto" w:fill="99CCFF"/>
            <w:vAlign w:val="center"/>
          </w:tcPr>
          <w:p w14:paraId="1D9547A8" w14:textId="77777777" w:rsidR="0016130F" w:rsidRPr="00915C2F" w:rsidRDefault="0016130F" w:rsidP="00AC70FE">
            <w:pPr>
              <w:tabs>
                <w:tab w:val="left" w:pos="1037"/>
              </w:tabs>
              <w:spacing w:before="0" w:after="0"/>
              <w:rPr>
                <w:bCs/>
              </w:rPr>
            </w:pPr>
            <w:r w:rsidRPr="00915C2F">
              <w:rPr>
                <w:bCs/>
              </w:rPr>
              <w:t xml:space="preserve">3.7 Dopady na spotřebitele: </w:t>
            </w:r>
            <w:r>
              <w:rPr>
                <w:bCs/>
              </w:rPr>
              <w:t>Ano</w:t>
            </w:r>
          </w:p>
        </w:tc>
      </w:tr>
      <w:tr w:rsidR="0016130F" w:rsidRPr="00915C2F" w14:paraId="50A143B0" w14:textId="77777777" w:rsidTr="00AC70FE">
        <w:tblPrEx>
          <w:tblBorders>
            <w:top w:val="single" w:sz="4" w:space="0" w:color="auto"/>
            <w:left w:val="single" w:sz="4" w:space="0" w:color="auto"/>
            <w:bottom w:val="single" w:sz="4" w:space="0" w:color="auto"/>
            <w:right w:val="single" w:sz="4" w:space="0" w:color="auto"/>
          </w:tblBorders>
        </w:tblPrEx>
        <w:trPr>
          <w:jc w:val="center"/>
        </w:trPr>
        <w:tc>
          <w:tcPr>
            <w:tcW w:w="9648" w:type="dxa"/>
            <w:gridSpan w:val="2"/>
            <w:tcBorders>
              <w:top w:val="single" w:sz="4" w:space="0" w:color="auto"/>
              <w:left w:val="single" w:sz="12" w:space="0" w:color="auto"/>
              <w:bottom w:val="single" w:sz="12" w:space="0" w:color="auto"/>
              <w:right w:val="single" w:sz="12" w:space="0" w:color="auto"/>
            </w:tcBorders>
            <w:shd w:val="clear" w:color="auto" w:fill="auto"/>
            <w:vAlign w:val="center"/>
          </w:tcPr>
          <w:p w14:paraId="01A2764E" w14:textId="77777777" w:rsidR="0016130F" w:rsidRPr="007D132D" w:rsidRDefault="0016130F" w:rsidP="00AC70FE">
            <w:pPr>
              <w:tabs>
                <w:tab w:val="left" w:pos="1037"/>
              </w:tabs>
              <w:spacing w:before="0" w:after="0"/>
              <w:rPr>
                <w:bCs/>
              </w:rPr>
            </w:pPr>
            <w:r w:rsidRPr="00F62CA3">
              <w:rPr>
                <w:bCs/>
              </w:rPr>
              <w:t>V návrhu je zdůrazněna role celní správy jakožto ozbrojeného bezpečnostního sboru, jehož základním úkolem je chránit fiskální zájmy České republiky a trh zejména při kontrole zboží svěřené jí právními předpisy.</w:t>
            </w:r>
          </w:p>
        </w:tc>
      </w:tr>
      <w:tr w:rsidR="0016130F" w:rsidRPr="00F62CA3" w14:paraId="248A5F48" w14:textId="77777777" w:rsidTr="00AC70FE">
        <w:tblPrEx>
          <w:tblBorders>
            <w:top w:val="single" w:sz="4" w:space="0" w:color="auto"/>
            <w:left w:val="single" w:sz="4" w:space="0" w:color="auto"/>
            <w:bottom w:val="single" w:sz="4" w:space="0" w:color="auto"/>
            <w:right w:val="single" w:sz="4" w:space="0" w:color="auto"/>
          </w:tblBorders>
        </w:tblPrEx>
        <w:trPr>
          <w:jc w:val="center"/>
        </w:trPr>
        <w:tc>
          <w:tcPr>
            <w:tcW w:w="9648" w:type="dxa"/>
            <w:gridSpan w:val="2"/>
            <w:tcBorders>
              <w:top w:val="single" w:sz="12" w:space="0" w:color="auto"/>
              <w:left w:val="single" w:sz="12" w:space="0" w:color="auto"/>
              <w:bottom w:val="single" w:sz="4" w:space="0" w:color="auto"/>
              <w:right w:val="single" w:sz="12" w:space="0" w:color="auto"/>
            </w:tcBorders>
            <w:shd w:val="clear" w:color="auto" w:fill="99CCFF"/>
            <w:vAlign w:val="center"/>
          </w:tcPr>
          <w:p w14:paraId="55AE8DFF" w14:textId="77777777" w:rsidR="0016130F" w:rsidRPr="00915C2F" w:rsidRDefault="0016130F" w:rsidP="00AC70FE">
            <w:pPr>
              <w:tabs>
                <w:tab w:val="left" w:pos="1037"/>
              </w:tabs>
              <w:spacing w:before="0" w:after="0"/>
              <w:rPr>
                <w:bCs/>
              </w:rPr>
            </w:pPr>
            <w:r w:rsidRPr="00915C2F">
              <w:rPr>
                <w:bCs/>
              </w:rPr>
              <w:t xml:space="preserve">3.8 Dopady na životní prostředí: </w:t>
            </w:r>
            <w:r>
              <w:rPr>
                <w:bCs/>
              </w:rPr>
              <w:t>Ne</w:t>
            </w:r>
            <w:r w:rsidRPr="00915C2F">
              <w:rPr>
                <w:bCs/>
              </w:rPr>
              <w:t xml:space="preserve"> </w:t>
            </w:r>
          </w:p>
        </w:tc>
      </w:tr>
      <w:tr w:rsidR="0016130F" w:rsidRPr="00915C2F" w14:paraId="2CB7ADD9" w14:textId="77777777" w:rsidTr="00AC70FE">
        <w:tblPrEx>
          <w:tblBorders>
            <w:top w:val="single" w:sz="4" w:space="0" w:color="auto"/>
            <w:left w:val="single" w:sz="4" w:space="0" w:color="auto"/>
            <w:bottom w:val="single" w:sz="4" w:space="0" w:color="auto"/>
            <w:right w:val="single" w:sz="4" w:space="0" w:color="auto"/>
          </w:tblBorders>
        </w:tblPrEx>
        <w:trPr>
          <w:jc w:val="center"/>
        </w:trPr>
        <w:tc>
          <w:tcPr>
            <w:tcW w:w="9648" w:type="dxa"/>
            <w:gridSpan w:val="2"/>
            <w:tcBorders>
              <w:top w:val="single" w:sz="4" w:space="0" w:color="auto"/>
              <w:left w:val="single" w:sz="12" w:space="0" w:color="auto"/>
              <w:bottom w:val="single" w:sz="12" w:space="0" w:color="auto"/>
              <w:right w:val="single" w:sz="12" w:space="0" w:color="auto"/>
            </w:tcBorders>
            <w:shd w:val="clear" w:color="auto" w:fill="auto"/>
            <w:vAlign w:val="center"/>
          </w:tcPr>
          <w:p w14:paraId="6B76195B" w14:textId="77777777" w:rsidR="0016130F" w:rsidRPr="007D132D" w:rsidRDefault="0016130F" w:rsidP="00AC70FE">
            <w:pPr>
              <w:tabs>
                <w:tab w:val="left" w:pos="1037"/>
              </w:tabs>
              <w:spacing w:before="0" w:after="0"/>
              <w:rPr>
                <w:bCs/>
              </w:rPr>
            </w:pPr>
          </w:p>
        </w:tc>
      </w:tr>
      <w:tr w:rsidR="0016130F" w:rsidRPr="00915C2F" w14:paraId="7DDF31AC" w14:textId="77777777" w:rsidTr="00AC70FE">
        <w:tblPrEx>
          <w:tblBorders>
            <w:top w:val="single" w:sz="4" w:space="0" w:color="auto"/>
            <w:left w:val="single" w:sz="4" w:space="0" w:color="auto"/>
            <w:bottom w:val="single" w:sz="4" w:space="0" w:color="auto"/>
            <w:right w:val="single" w:sz="4" w:space="0" w:color="auto"/>
          </w:tblBorders>
        </w:tblPrEx>
        <w:trPr>
          <w:trHeight w:val="411"/>
          <w:jc w:val="center"/>
        </w:trPr>
        <w:tc>
          <w:tcPr>
            <w:tcW w:w="9648" w:type="dxa"/>
            <w:gridSpan w:val="2"/>
            <w:tcBorders>
              <w:top w:val="single" w:sz="12" w:space="0" w:color="auto"/>
              <w:left w:val="single" w:sz="12" w:space="0" w:color="auto"/>
              <w:bottom w:val="single" w:sz="4" w:space="0" w:color="auto"/>
              <w:right w:val="single" w:sz="12" w:space="0" w:color="auto"/>
            </w:tcBorders>
            <w:shd w:val="clear" w:color="auto" w:fill="99CCFF"/>
            <w:vAlign w:val="center"/>
          </w:tcPr>
          <w:p w14:paraId="1D9525FE" w14:textId="77777777" w:rsidR="0016130F" w:rsidRPr="00915C2F" w:rsidRDefault="0016130F" w:rsidP="00AC70FE">
            <w:pPr>
              <w:tabs>
                <w:tab w:val="left" w:pos="1037"/>
              </w:tabs>
              <w:spacing w:before="0" w:after="0"/>
              <w:jc w:val="left"/>
              <w:rPr>
                <w:bCs/>
              </w:rPr>
            </w:pPr>
            <w:r w:rsidRPr="00915C2F">
              <w:t>3.9 Dopady ve vztahu k zákazu diskriminace a ve vztahu k rovnosti žen a mužů</w:t>
            </w:r>
            <w:r w:rsidRPr="00915C2F">
              <w:rPr>
                <w:bCs/>
              </w:rPr>
              <w:t xml:space="preserve">: </w:t>
            </w:r>
            <w:r>
              <w:rPr>
                <w:bCs/>
              </w:rPr>
              <w:t>Ne</w:t>
            </w:r>
          </w:p>
        </w:tc>
      </w:tr>
      <w:tr w:rsidR="0016130F" w:rsidRPr="00915C2F" w14:paraId="65FFC22E" w14:textId="77777777" w:rsidTr="00AC70FE">
        <w:tblPrEx>
          <w:tblBorders>
            <w:top w:val="single" w:sz="4" w:space="0" w:color="auto"/>
            <w:left w:val="single" w:sz="4" w:space="0" w:color="auto"/>
            <w:bottom w:val="single" w:sz="4" w:space="0" w:color="auto"/>
            <w:right w:val="single" w:sz="4" w:space="0" w:color="auto"/>
          </w:tblBorders>
        </w:tblPrEx>
        <w:trPr>
          <w:jc w:val="center"/>
        </w:trPr>
        <w:tc>
          <w:tcPr>
            <w:tcW w:w="9648" w:type="dxa"/>
            <w:gridSpan w:val="2"/>
            <w:tcBorders>
              <w:top w:val="single" w:sz="4" w:space="0" w:color="auto"/>
              <w:left w:val="single" w:sz="12" w:space="0" w:color="auto"/>
              <w:bottom w:val="single" w:sz="12" w:space="0" w:color="auto"/>
              <w:right w:val="single" w:sz="12" w:space="0" w:color="auto"/>
            </w:tcBorders>
            <w:shd w:val="clear" w:color="auto" w:fill="auto"/>
            <w:vAlign w:val="center"/>
          </w:tcPr>
          <w:p w14:paraId="7681A0B9" w14:textId="77777777" w:rsidR="0016130F" w:rsidRPr="007D132D" w:rsidRDefault="0016130F" w:rsidP="00AC70FE">
            <w:pPr>
              <w:tabs>
                <w:tab w:val="left" w:pos="1037"/>
              </w:tabs>
              <w:spacing w:before="0" w:after="0"/>
              <w:rPr>
                <w:bCs/>
              </w:rPr>
            </w:pPr>
          </w:p>
        </w:tc>
      </w:tr>
      <w:tr w:rsidR="0016130F" w:rsidRPr="00915C2F" w14:paraId="084E6B16" w14:textId="77777777" w:rsidTr="00AC70FE">
        <w:tblPrEx>
          <w:tblBorders>
            <w:top w:val="single" w:sz="4" w:space="0" w:color="auto"/>
            <w:left w:val="single" w:sz="4" w:space="0" w:color="auto"/>
            <w:bottom w:val="single" w:sz="4" w:space="0" w:color="auto"/>
            <w:right w:val="single" w:sz="4" w:space="0" w:color="auto"/>
          </w:tblBorders>
        </w:tblPrEx>
        <w:trPr>
          <w:trHeight w:val="411"/>
          <w:jc w:val="center"/>
        </w:trPr>
        <w:tc>
          <w:tcPr>
            <w:tcW w:w="9648" w:type="dxa"/>
            <w:gridSpan w:val="2"/>
            <w:tcBorders>
              <w:top w:val="single" w:sz="12" w:space="0" w:color="auto"/>
              <w:left w:val="single" w:sz="12" w:space="0" w:color="auto"/>
              <w:bottom w:val="single" w:sz="4" w:space="0" w:color="auto"/>
              <w:right w:val="single" w:sz="12" w:space="0" w:color="auto"/>
            </w:tcBorders>
            <w:shd w:val="clear" w:color="auto" w:fill="99CCFF"/>
            <w:vAlign w:val="center"/>
          </w:tcPr>
          <w:p w14:paraId="1FC94AFC" w14:textId="77777777" w:rsidR="0016130F" w:rsidRPr="00915C2F" w:rsidRDefault="0016130F" w:rsidP="00AC70FE">
            <w:pPr>
              <w:tabs>
                <w:tab w:val="left" w:pos="1037"/>
              </w:tabs>
              <w:spacing w:before="0" w:after="0"/>
              <w:jc w:val="left"/>
              <w:rPr>
                <w:bCs/>
              </w:rPr>
            </w:pPr>
            <w:r w:rsidRPr="00915C2F">
              <w:rPr>
                <w:bCs/>
              </w:rPr>
              <w:t xml:space="preserve">3.10 Dopady na výkon státní statistické služby: </w:t>
            </w:r>
            <w:r>
              <w:rPr>
                <w:bCs/>
              </w:rPr>
              <w:t>Ne</w:t>
            </w:r>
          </w:p>
        </w:tc>
      </w:tr>
      <w:tr w:rsidR="0016130F" w:rsidRPr="00915C2F" w14:paraId="0CD5903D" w14:textId="77777777" w:rsidTr="00AC70FE">
        <w:tblPrEx>
          <w:tblBorders>
            <w:top w:val="single" w:sz="4" w:space="0" w:color="auto"/>
            <w:left w:val="single" w:sz="4" w:space="0" w:color="auto"/>
            <w:bottom w:val="single" w:sz="4" w:space="0" w:color="auto"/>
            <w:right w:val="single" w:sz="4" w:space="0" w:color="auto"/>
          </w:tblBorders>
        </w:tblPrEx>
        <w:trPr>
          <w:jc w:val="center"/>
        </w:trPr>
        <w:tc>
          <w:tcPr>
            <w:tcW w:w="9648" w:type="dxa"/>
            <w:gridSpan w:val="2"/>
            <w:tcBorders>
              <w:top w:val="single" w:sz="4" w:space="0" w:color="auto"/>
              <w:left w:val="single" w:sz="12" w:space="0" w:color="auto"/>
              <w:bottom w:val="single" w:sz="12" w:space="0" w:color="auto"/>
              <w:right w:val="single" w:sz="12" w:space="0" w:color="auto"/>
            </w:tcBorders>
            <w:shd w:val="clear" w:color="auto" w:fill="auto"/>
            <w:vAlign w:val="center"/>
          </w:tcPr>
          <w:p w14:paraId="436ECDAF" w14:textId="77777777" w:rsidR="0016130F" w:rsidRPr="007D132D" w:rsidRDefault="0016130F" w:rsidP="00AC70FE">
            <w:pPr>
              <w:tabs>
                <w:tab w:val="left" w:pos="1037"/>
              </w:tabs>
              <w:spacing w:before="0" w:after="0"/>
              <w:rPr>
                <w:bCs/>
              </w:rPr>
            </w:pPr>
          </w:p>
        </w:tc>
      </w:tr>
      <w:tr w:rsidR="0016130F" w:rsidRPr="00915C2F" w14:paraId="5F472686" w14:textId="77777777" w:rsidTr="00AC70FE">
        <w:tblPrEx>
          <w:tblBorders>
            <w:top w:val="single" w:sz="4" w:space="0" w:color="auto"/>
            <w:left w:val="single" w:sz="4" w:space="0" w:color="auto"/>
            <w:bottom w:val="single" w:sz="4" w:space="0" w:color="auto"/>
            <w:right w:val="single" w:sz="4" w:space="0" w:color="auto"/>
          </w:tblBorders>
        </w:tblPrEx>
        <w:trPr>
          <w:trHeight w:val="411"/>
          <w:jc w:val="center"/>
        </w:trPr>
        <w:tc>
          <w:tcPr>
            <w:tcW w:w="9648" w:type="dxa"/>
            <w:gridSpan w:val="2"/>
            <w:tcBorders>
              <w:top w:val="single" w:sz="12" w:space="0" w:color="auto"/>
              <w:left w:val="single" w:sz="12" w:space="0" w:color="auto"/>
              <w:bottom w:val="single" w:sz="4" w:space="0" w:color="auto"/>
              <w:right w:val="single" w:sz="12" w:space="0" w:color="auto"/>
            </w:tcBorders>
            <w:shd w:val="clear" w:color="auto" w:fill="99CCFF"/>
            <w:vAlign w:val="center"/>
          </w:tcPr>
          <w:p w14:paraId="780B2995" w14:textId="77777777" w:rsidR="0016130F" w:rsidRPr="00915C2F" w:rsidRDefault="0016130F" w:rsidP="00AC70FE">
            <w:pPr>
              <w:tabs>
                <w:tab w:val="left" w:pos="1037"/>
              </w:tabs>
              <w:spacing w:before="0" w:after="0"/>
              <w:jc w:val="left"/>
              <w:rPr>
                <w:bCs/>
              </w:rPr>
            </w:pPr>
            <w:r w:rsidRPr="00915C2F">
              <w:rPr>
                <w:bCs/>
              </w:rPr>
              <w:t xml:space="preserve">3.11 Korupční rizika: </w:t>
            </w:r>
            <w:r>
              <w:rPr>
                <w:bCs/>
              </w:rPr>
              <w:t>Ne</w:t>
            </w:r>
          </w:p>
        </w:tc>
      </w:tr>
      <w:tr w:rsidR="0016130F" w:rsidRPr="00915C2F" w14:paraId="0A757F0F" w14:textId="77777777" w:rsidTr="00AC70FE">
        <w:tblPrEx>
          <w:tblBorders>
            <w:top w:val="single" w:sz="4" w:space="0" w:color="auto"/>
            <w:left w:val="single" w:sz="4" w:space="0" w:color="auto"/>
            <w:bottom w:val="single" w:sz="4" w:space="0" w:color="auto"/>
            <w:right w:val="single" w:sz="4" w:space="0" w:color="auto"/>
          </w:tblBorders>
        </w:tblPrEx>
        <w:trPr>
          <w:jc w:val="center"/>
        </w:trPr>
        <w:tc>
          <w:tcPr>
            <w:tcW w:w="9648" w:type="dxa"/>
            <w:gridSpan w:val="2"/>
            <w:tcBorders>
              <w:top w:val="single" w:sz="4" w:space="0" w:color="auto"/>
              <w:left w:val="single" w:sz="12" w:space="0" w:color="auto"/>
              <w:bottom w:val="single" w:sz="12" w:space="0" w:color="auto"/>
              <w:right w:val="single" w:sz="12" w:space="0" w:color="auto"/>
            </w:tcBorders>
            <w:shd w:val="clear" w:color="auto" w:fill="auto"/>
            <w:vAlign w:val="center"/>
          </w:tcPr>
          <w:p w14:paraId="479DC403" w14:textId="77777777" w:rsidR="0016130F" w:rsidRPr="007D132D" w:rsidRDefault="0016130F" w:rsidP="00AC70FE">
            <w:pPr>
              <w:tabs>
                <w:tab w:val="left" w:pos="1037"/>
              </w:tabs>
              <w:spacing w:before="0" w:after="0"/>
              <w:rPr>
                <w:bCs/>
              </w:rPr>
            </w:pPr>
            <w:bookmarkStart w:id="0" w:name="_Hlk164257196"/>
          </w:p>
        </w:tc>
      </w:tr>
      <w:bookmarkEnd w:id="0"/>
      <w:tr w:rsidR="0016130F" w:rsidRPr="00915C2F" w14:paraId="5EF82679" w14:textId="77777777" w:rsidTr="00AC70FE">
        <w:tblPrEx>
          <w:tblBorders>
            <w:top w:val="single" w:sz="4" w:space="0" w:color="auto"/>
            <w:left w:val="single" w:sz="4" w:space="0" w:color="auto"/>
            <w:bottom w:val="single" w:sz="4" w:space="0" w:color="auto"/>
            <w:right w:val="single" w:sz="4" w:space="0" w:color="auto"/>
          </w:tblBorders>
        </w:tblPrEx>
        <w:trPr>
          <w:trHeight w:val="411"/>
          <w:jc w:val="center"/>
        </w:trPr>
        <w:tc>
          <w:tcPr>
            <w:tcW w:w="9648" w:type="dxa"/>
            <w:gridSpan w:val="2"/>
            <w:tcBorders>
              <w:top w:val="single" w:sz="12" w:space="0" w:color="auto"/>
              <w:left w:val="single" w:sz="12" w:space="0" w:color="auto"/>
              <w:bottom w:val="single" w:sz="4" w:space="0" w:color="auto"/>
              <w:right w:val="single" w:sz="12" w:space="0" w:color="auto"/>
            </w:tcBorders>
            <w:shd w:val="clear" w:color="auto" w:fill="99CCFF"/>
            <w:vAlign w:val="center"/>
          </w:tcPr>
          <w:p w14:paraId="58981F5D" w14:textId="77777777" w:rsidR="0016130F" w:rsidRPr="00915C2F" w:rsidRDefault="0016130F" w:rsidP="00AC70FE">
            <w:pPr>
              <w:tabs>
                <w:tab w:val="left" w:pos="1037"/>
              </w:tabs>
              <w:spacing w:before="0" w:after="0"/>
              <w:jc w:val="left"/>
              <w:rPr>
                <w:bCs/>
              </w:rPr>
            </w:pPr>
            <w:r w:rsidRPr="00915C2F">
              <w:rPr>
                <w:bCs/>
              </w:rPr>
              <w:t xml:space="preserve">3.12 Dopady na bezpečnost nebo obranu státu: </w:t>
            </w:r>
            <w:r>
              <w:rPr>
                <w:bCs/>
              </w:rPr>
              <w:t>Ano</w:t>
            </w:r>
          </w:p>
        </w:tc>
      </w:tr>
      <w:tr w:rsidR="0016130F" w:rsidRPr="00915C2F" w14:paraId="302D4AC7" w14:textId="77777777" w:rsidTr="00AC70FE">
        <w:tblPrEx>
          <w:tblBorders>
            <w:top w:val="single" w:sz="4" w:space="0" w:color="auto"/>
            <w:left w:val="single" w:sz="4" w:space="0" w:color="auto"/>
            <w:bottom w:val="single" w:sz="4" w:space="0" w:color="auto"/>
            <w:right w:val="single" w:sz="4" w:space="0" w:color="auto"/>
          </w:tblBorders>
        </w:tblPrEx>
        <w:trPr>
          <w:trHeight w:val="411"/>
          <w:jc w:val="center"/>
        </w:trPr>
        <w:tc>
          <w:tcPr>
            <w:tcW w:w="9648" w:type="dxa"/>
            <w:gridSpan w:val="2"/>
            <w:tcBorders>
              <w:top w:val="single" w:sz="4" w:space="0" w:color="auto"/>
              <w:left w:val="single" w:sz="12" w:space="0" w:color="auto"/>
              <w:bottom w:val="single" w:sz="12" w:space="0" w:color="000000"/>
              <w:right w:val="single" w:sz="12" w:space="0" w:color="auto"/>
            </w:tcBorders>
            <w:shd w:val="clear" w:color="auto" w:fill="auto"/>
            <w:vAlign w:val="center"/>
          </w:tcPr>
          <w:p w14:paraId="70E8DB2D" w14:textId="5DEDE4DE" w:rsidR="0016130F" w:rsidRPr="00915C2F" w:rsidRDefault="0016130F" w:rsidP="00937333">
            <w:pPr>
              <w:tabs>
                <w:tab w:val="left" w:pos="1037"/>
              </w:tabs>
              <w:spacing w:before="0" w:after="0"/>
              <w:rPr>
                <w:bCs/>
              </w:rPr>
            </w:pPr>
            <w:r w:rsidRPr="00F62CA3">
              <w:rPr>
                <w:bCs/>
              </w:rPr>
              <w:t>Návrhem je kladen důraz na bezpečnost státu tím, že je rozšířeno oprávnění celníka zadržet věc v</w:t>
            </w:r>
            <w:r w:rsidR="00B50C31">
              <w:rPr>
                <w:bCs/>
              </w:rPr>
              <w:t> </w:t>
            </w:r>
            <w:r w:rsidRPr="00F62CA3">
              <w:rPr>
                <w:bCs/>
              </w:rPr>
              <w:t>případě zjištění skutečnosti nasvědčující tomu, že věc je předmětem porušení povinnosti podle</w:t>
            </w:r>
            <w:r w:rsidR="00B50C31">
              <w:rPr>
                <w:bCs/>
              </w:rPr>
              <w:t xml:space="preserve"> </w:t>
            </w:r>
            <w:r w:rsidRPr="00F62CA3">
              <w:rPr>
                <w:bCs/>
              </w:rPr>
              <w:t xml:space="preserve">jiného zákona </w:t>
            </w:r>
            <w:r w:rsidR="00937333">
              <w:rPr>
                <w:bCs/>
              </w:rPr>
              <w:t xml:space="preserve">– </w:t>
            </w:r>
            <w:r w:rsidRPr="00F62CA3">
              <w:rPr>
                <w:bCs/>
              </w:rPr>
              <w:t>viz nově navržené ust</w:t>
            </w:r>
            <w:r w:rsidR="00B50C31">
              <w:rPr>
                <w:bCs/>
              </w:rPr>
              <w:t>anovení</w:t>
            </w:r>
            <w:r w:rsidRPr="00F62CA3">
              <w:rPr>
                <w:bCs/>
              </w:rPr>
              <w:t xml:space="preserve"> § 11</w:t>
            </w:r>
            <w:r w:rsidR="00937333">
              <w:rPr>
                <w:bCs/>
              </w:rPr>
              <w:t>k</w:t>
            </w:r>
            <w:r w:rsidRPr="00F62CA3">
              <w:rPr>
                <w:bCs/>
              </w:rPr>
              <w:t xml:space="preserve"> zákona</w:t>
            </w:r>
            <w:r w:rsidR="00937333">
              <w:rPr>
                <w:bCs/>
              </w:rPr>
              <w:t xml:space="preserve"> č. 17/2012 Sb.,</w:t>
            </w:r>
            <w:r w:rsidRPr="00F62CA3">
              <w:rPr>
                <w:bCs/>
              </w:rPr>
              <w:t xml:space="preserve"> o Celní správě České republiky</w:t>
            </w:r>
            <w:r w:rsidR="00937333">
              <w:rPr>
                <w:bCs/>
              </w:rPr>
              <w:t>, ve znění pozdějších předpisů (dále jen „zákon o Celní správě ČR“)</w:t>
            </w:r>
            <w:r w:rsidRPr="00F62CA3">
              <w:rPr>
                <w:bCs/>
              </w:rPr>
              <w:t xml:space="preserve">. Dále lze poukázat </w:t>
            </w:r>
            <w:r w:rsidRPr="00F62CA3">
              <w:rPr>
                <w:bCs/>
              </w:rPr>
              <w:lastRenderedPageBreak/>
              <w:t>na oblast získávání poznatků o trestné činnosti a poznatků ze zájmového prostředí (nově navržené ust</w:t>
            </w:r>
            <w:r w:rsidR="00937333">
              <w:rPr>
                <w:bCs/>
              </w:rPr>
              <w:t>anovení</w:t>
            </w:r>
            <w:r w:rsidRPr="00F62CA3">
              <w:rPr>
                <w:bCs/>
              </w:rPr>
              <w:t xml:space="preserve"> § 37</w:t>
            </w:r>
            <w:r w:rsidR="00937333">
              <w:rPr>
                <w:bCs/>
              </w:rPr>
              <w:t>a a 37b zákona o Celní správě ČR)</w:t>
            </w:r>
            <w:r w:rsidRPr="00F62CA3">
              <w:rPr>
                <w:bCs/>
              </w:rPr>
              <w:t>.</w:t>
            </w:r>
          </w:p>
        </w:tc>
      </w:tr>
    </w:tbl>
    <w:p w14:paraId="27AF8825" w14:textId="1406C0C5" w:rsidR="00913F17" w:rsidRDefault="00913F17" w:rsidP="00AB680C">
      <w:pPr>
        <w:tabs>
          <w:tab w:val="left" w:pos="6660"/>
        </w:tabs>
        <w:jc w:val="center"/>
        <w:rPr>
          <w:rFonts w:eastAsia="MS Mincho" w:cs="Times New Roman"/>
          <w:b/>
          <w:bCs/>
          <w:sz w:val="28"/>
          <w:szCs w:val="28"/>
        </w:rPr>
      </w:pPr>
    </w:p>
    <w:p w14:paraId="0EB4FA1F" w14:textId="77777777" w:rsidR="00F871D9" w:rsidRDefault="00F871D9" w:rsidP="00AB680C">
      <w:pPr>
        <w:spacing w:before="0" w:after="160" w:line="259" w:lineRule="auto"/>
        <w:jc w:val="left"/>
        <w:rPr>
          <w:b/>
          <w:bCs/>
        </w:rPr>
      </w:pPr>
      <w:bookmarkStart w:id="1" w:name="_Toc25666031"/>
      <w:bookmarkStart w:id="2" w:name="_Toc427045868"/>
    </w:p>
    <w:p w14:paraId="14E0539B" w14:textId="0B992F37" w:rsidR="00F871D9" w:rsidRDefault="00F871D9" w:rsidP="00AB680C">
      <w:pPr>
        <w:spacing w:before="0" w:after="160" w:line="259" w:lineRule="auto"/>
        <w:jc w:val="left"/>
      </w:pPr>
      <w:r>
        <w:rPr>
          <w:b/>
          <w:bCs/>
        </w:rPr>
        <w:br w:type="page"/>
      </w:r>
    </w:p>
    <w:sdt>
      <w:sdtPr>
        <w:rPr>
          <w:rFonts w:eastAsiaTheme="minorEastAsia" w:cstheme="minorBidi"/>
          <w:b w:val="0"/>
          <w:bCs w:val="0"/>
          <w:color w:val="auto"/>
          <w:sz w:val="24"/>
          <w:szCs w:val="22"/>
          <w:lang w:bidi="ar-SA"/>
        </w:rPr>
        <w:id w:val="688645031"/>
        <w:docPartObj>
          <w:docPartGallery w:val="Table of Contents"/>
          <w:docPartUnique/>
        </w:docPartObj>
      </w:sdtPr>
      <w:sdtEndPr/>
      <w:sdtContent>
        <w:p w14:paraId="03EAC595" w14:textId="7DE46CB5" w:rsidR="00894296" w:rsidRPr="00D301D7" w:rsidRDefault="00894296" w:rsidP="00AB680C">
          <w:pPr>
            <w:pStyle w:val="Nadpisobsahu"/>
            <w:keepNext w:val="0"/>
            <w:numPr>
              <w:ilvl w:val="0"/>
              <w:numId w:val="0"/>
            </w:numPr>
            <w:rPr>
              <w:rFonts w:eastAsiaTheme="minorEastAsia" w:cstheme="minorBidi"/>
              <w:b w:val="0"/>
              <w:bCs w:val="0"/>
              <w:color w:val="auto"/>
              <w:sz w:val="24"/>
              <w:szCs w:val="22"/>
              <w:lang w:bidi="ar-SA"/>
            </w:rPr>
          </w:pPr>
          <w:r>
            <w:t>Obsah</w:t>
          </w:r>
        </w:p>
        <w:p w14:paraId="1879BD5C" w14:textId="1A2245B5" w:rsidR="0031632C" w:rsidRDefault="00894296">
          <w:pPr>
            <w:pStyle w:val="Obsah1"/>
            <w:rPr>
              <w:rFonts w:asciiTheme="minorHAnsi" w:hAnsiTheme="minorHAnsi"/>
              <w:noProof/>
              <w:sz w:val="22"/>
              <w:lang w:eastAsia="cs-CZ"/>
            </w:rPr>
          </w:pPr>
          <w:r>
            <w:fldChar w:fldCharType="begin"/>
          </w:r>
          <w:r>
            <w:instrText xml:space="preserve"> TOC \o "1-3" \h \z \u </w:instrText>
          </w:r>
          <w:r>
            <w:fldChar w:fldCharType="separate"/>
          </w:r>
          <w:hyperlink w:anchor="_Toc164761250" w:history="1">
            <w:r w:rsidR="0031632C" w:rsidRPr="00B837D2">
              <w:rPr>
                <w:rStyle w:val="Hypertextovodkaz"/>
                <w:noProof/>
              </w:rPr>
              <w:t>1</w:t>
            </w:r>
            <w:r w:rsidR="0031632C">
              <w:rPr>
                <w:rFonts w:asciiTheme="minorHAnsi" w:hAnsiTheme="minorHAnsi"/>
                <w:noProof/>
                <w:sz w:val="22"/>
                <w:lang w:eastAsia="cs-CZ"/>
              </w:rPr>
              <w:tab/>
            </w:r>
            <w:r w:rsidR="0031632C" w:rsidRPr="00B837D2">
              <w:rPr>
                <w:rStyle w:val="Hypertextovodkaz"/>
                <w:noProof/>
              </w:rPr>
              <w:t>Změny v oblasti správy daní a působnosti orgánů celní správy</w:t>
            </w:r>
            <w:r w:rsidR="0031632C">
              <w:rPr>
                <w:noProof/>
                <w:webHidden/>
              </w:rPr>
              <w:tab/>
            </w:r>
            <w:r w:rsidR="0031632C">
              <w:rPr>
                <w:noProof/>
                <w:webHidden/>
              </w:rPr>
              <w:fldChar w:fldCharType="begin"/>
            </w:r>
            <w:r w:rsidR="0031632C">
              <w:rPr>
                <w:noProof/>
                <w:webHidden/>
              </w:rPr>
              <w:instrText xml:space="preserve"> PAGEREF _Toc164761250 \h </w:instrText>
            </w:r>
            <w:r w:rsidR="0031632C">
              <w:rPr>
                <w:noProof/>
                <w:webHidden/>
              </w:rPr>
            </w:r>
            <w:r w:rsidR="0031632C">
              <w:rPr>
                <w:noProof/>
                <w:webHidden/>
              </w:rPr>
              <w:fldChar w:fldCharType="separate"/>
            </w:r>
            <w:r w:rsidR="0031632C">
              <w:rPr>
                <w:noProof/>
                <w:webHidden/>
              </w:rPr>
              <w:t>7</w:t>
            </w:r>
            <w:r w:rsidR="0031632C">
              <w:rPr>
                <w:noProof/>
                <w:webHidden/>
              </w:rPr>
              <w:fldChar w:fldCharType="end"/>
            </w:r>
          </w:hyperlink>
        </w:p>
        <w:p w14:paraId="116224DA" w14:textId="0B27D5C6" w:rsidR="0031632C" w:rsidRDefault="00C01993">
          <w:pPr>
            <w:pStyle w:val="Obsah2"/>
            <w:tabs>
              <w:tab w:val="left" w:pos="880"/>
              <w:tab w:val="right" w:leader="dot" w:pos="9060"/>
            </w:tabs>
            <w:rPr>
              <w:rFonts w:asciiTheme="minorHAnsi" w:hAnsiTheme="minorHAnsi"/>
              <w:noProof/>
              <w:sz w:val="22"/>
              <w:lang w:eastAsia="cs-CZ"/>
            </w:rPr>
          </w:pPr>
          <w:hyperlink w:anchor="_Toc164761251" w:history="1">
            <w:r w:rsidR="0031632C" w:rsidRPr="00B837D2">
              <w:rPr>
                <w:rStyle w:val="Hypertextovodkaz"/>
                <w:noProof/>
              </w:rPr>
              <w:t>1.1</w:t>
            </w:r>
            <w:r w:rsidR="0031632C">
              <w:rPr>
                <w:rFonts w:asciiTheme="minorHAnsi" w:hAnsiTheme="minorHAnsi"/>
                <w:noProof/>
                <w:sz w:val="22"/>
                <w:lang w:eastAsia="cs-CZ"/>
              </w:rPr>
              <w:tab/>
            </w:r>
            <w:r w:rsidR="0031632C" w:rsidRPr="00B837D2">
              <w:rPr>
                <w:rStyle w:val="Hypertextovodkaz"/>
                <w:noProof/>
              </w:rPr>
              <w:t>Důvod předložení a cíle</w:t>
            </w:r>
            <w:r w:rsidR="0031632C">
              <w:rPr>
                <w:noProof/>
                <w:webHidden/>
              </w:rPr>
              <w:tab/>
            </w:r>
            <w:r w:rsidR="0031632C">
              <w:rPr>
                <w:noProof/>
                <w:webHidden/>
              </w:rPr>
              <w:fldChar w:fldCharType="begin"/>
            </w:r>
            <w:r w:rsidR="0031632C">
              <w:rPr>
                <w:noProof/>
                <w:webHidden/>
              </w:rPr>
              <w:instrText xml:space="preserve"> PAGEREF _Toc164761251 \h </w:instrText>
            </w:r>
            <w:r w:rsidR="0031632C">
              <w:rPr>
                <w:noProof/>
                <w:webHidden/>
              </w:rPr>
            </w:r>
            <w:r w:rsidR="0031632C">
              <w:rPr>
                <w:noProof/>
                <w:webHidden/>
              </w:rPr>
              <w:fldChar w:fldCharType="separate"/>
            </w:r>
            <w:r w:rsidR="0031632C">
              <w:rPr>
                <w:noProof/>
                <w:webHidden/>
              </w:rPr>
              <w:t>7</w:t>
            </w:r>
            <w:r w:rsidR="0031632C">
              <w:rPr>
                <w:noProof/>
                <w:webHidden/>
              </w:rPr>
              <w:fldChar w:fldCharType="end"/>
            </w:r>
          </w:hyperlink>
        </w:p>
        <w:p w14:paraId="7D2C7C09" w14:textId="2E0E952B" w:rsidR="0031632C" w:rsidRDefault="00C01993">
          <w:pPr>
            <w:pStyle w:val="Obsah3"/>
            <w:rPr>
              <w:rFonts w:asciiTheme="minorHAnsi" w:hAnsiTheme="minorHAnsi"/>
              <w:sz w:val="22"/>
              <w:lang w:eastAsia="cs-CZ"/>
            </w:rPr>
          </w:pPr>
          <w:hyperlink w:anchor="_Toc164761252" w:history="1">
            <w:r w:rsidR="0031632C" w:rsidRPr="00B837D2">
              <w:rPr>
                <w:rStyle w:val="Hypertextovodkaz"/>
              </w:rPr>
              <w:t>1.1.1</w:t>
            </w:r>
            <w:r w:rsidR="0031632C">
              <w:rPr>
                <w:rFonts w:asciiTheme="minorHAnsi" w:hAnsiTheme="minorHAnsi"/>
                <w:sz w:val="22"/>
                <w:lang w:eastAsia="cs-CZ"/>
              </w:rPr>
              <w:tab/>
            </w:r>
            <w:r w:rsidR="0031632C" w:rsidRPr="00B837D2">
              <w:rPr>
                <w:rStyle w:val="Hypertextovodkaz"/>
              </w:rPr>
              <w:t>Definice problému</w:t>
            </w:r>
            <w:r w:rsidR="0031632C">
              <w:rPr>
                <w:webHidden/>
              </w:rPr>
              <w:tab/>
            </w:r>
            <w:r w:rsidR="0031632C">
              <w:rPr>
                <w:webHidden/>
              </w:rPr>
              <w:fldChar w:fldCharType="begin"/>
            </w:r>
            <w:r w:rsidR="0031632C">
              <w:rPr>
                <w:webHidden/>
              </w:rPr>
              <w:instrText xml:space="preserve"> PAGEREF _Toc164761252 \h </w:instrText>
            </w:r>
            <w:r w:rsidR="0031632C">
              <w:rPr>
                <w:webHidden/>
              </w:rPr>
            </w:r>
            <w:r w:rsidR="0031632C">
              <w:rPr>
                <w:webHidden/>
              </w:rPr>
              <w:fldChar w:fldCharType="separate"/>
            </w:r>
            <w:r w:rsidR="0031632C">
              <w:rPr>
                <w:webHidden/>
              </w:rPr>
              <w:t>7</w:t>
            </w:r>
            <w:r w:rsidR="0031632C">
              <w:rPr>
                <w:webHidden/>
              </w:rPr>
              <w:fldChar w:fldCharType="end"/>
            </w:r>
          </w:hyperlink>
        </w:p>
        <w:p w14:paraId="2E9F51FE" w14:textId="474F7583" w:rsidR="0031632C" w:rsidRDefault="00C01993">
          <w:pPr>
            <w:pStyle w:val="Obsah3"/>
            <w:rPr>
              <w:rFonts w:asciiTheme="minorHAnsi" w:hAnsiTheme="minorHAnsi"/>
              <w:sz w:val="22"/>
              <w:lang w:eastAsia="cs-CZ"/>
            </w:rPr>
          </w:pPr>
          <w:hyperlink w:anchor="_Toc164761253" w:history="1">
            <w:r w:rsidR="0031632C" w:rsidRPr="00B837D2">
              <w:rPr>
                <w:rStyle w:val="Hypertextovodkaz"/>
              </w:rPr>
              <w:t>1.1.2</w:t>
            </w:r>
            <w:r w:rsidR="0031632C">
              <w:rPr>
                <w:rFonts w:asciiTheme="minorHAnsi" w:hAnsiTheme="minorHAnsi"/>
                <w:sz w:val="22"/>
                <w:lang w:eastAsia="cs-CZ"/>
              </w:rPr>
              <w:tab/>
            </w:r>
            <w:r w:rsidR="0031632C" w:rsidRPr="00B837D2">
              <w:rPr>
                <w:rStyle w:val="Hypertextovodkaz"/>
              </w:rPr>
              <w:t>Popis existujícího právního stavu v dané oblasti</w:t>
            </w:r>
            <w:r w:rsidR="0031632C">
              <w:rPr>
                <w:webHidden/>
              </w:rPr>
              <w:tab/>
            </w:r>
            <w:r w:rsidR="0031632C">
              <w:rPr>
                <w:webHidden/>
              </w:rPr>
              <w:fldChar w:fldCharType="begin"/>
            </w:r>
            <w:r w:rsidR="0031632C">
              <w:rPr>
                <w:webHidden/>
              </w:rPr>
              <w:instrText xml:space="preserve"> PAGEREF _Toc164761253 \h </w:instrText>
            </w:r>
            <w:r w:rsidR="0031632C">
              <w:rPr>
                <w:webHidden/>
              </w:rPr>
            </w:r>
            <w:r w:rsidR="0031632C">
              <w:rPr>
                <w:webHidden/>
              </w:rPr>
              <w:fldChar w:fldCharType="separate"/>
            </w:r>
            <w:r w:rsidR="0031632C">
              <w:rPr>
                <w:webHidden/>
              </w:rPr>
              <w:t>7</w:t>
            </w:r>
            <w:r w:rsidR="0031632C">
              <w:rPr>
                <w:webHidden/>
              </w:rPr>
              <w:fldChar w:fldCharType="end"/>
            </w:r>
          </w:hyperlink>
        </w:p>
        <w:p w14:paraId="31194654" w14:textId="7D562422" w:rsidR="0031632C" w:rsidRDefault="00C01993">
          <w:pPr>
            <w:pStyle w:val="Obsah3"/>
            <w:rPr>
              <w:rFonts w:asciiTheme="minorHAnsi" w:hAnsiTheme="minorHAnsi"/>
              <w:sz w:val="22"/>
              <w:lang w:eastAsia="cs-CZ"/>
            </w:rPr>
          </w:pPr>
          <w:hyperlink w:anchor="_Toc164761254" w:history="1">
            <w:r w:rsidR="0031632C" w:rsidRPr="00B837D2">
              <w:rPr>
                <w:rStyle w:val="Hypertextovodkaz"/>
              </w:rPr>
              <w:t>1.1.3</w:t>
            </w:r>
            <w:r w:rsidR="0031632C">
              <w:rPr>
                <w:rFonts w:asciiTheme="minorHAnsi" w:hAnsiTheme="minorHAnsi"/>
                <w:sz w:val="22"/>
                <w:lang w:eastAsia="cs-CZ"/>
              </w:rPr>
              <w:tab/>
            </w:r>
            <w:r w:rsidR="0031632C" w:rsidRPr="00B837D2">
              <w:rPr>
                <w:rStyle w:val="Hypertextovodkaz"/>
              </w:rPr>
              <w:t>Identifikace dotčených subjektů</w:t>
            </w:r>
            <w:r w:rsidR="0031632C">
              <w:rPr>
                <w:webHidden/>
              </w:rPr>
              <w:tab/>
            </w:r>
            <w:r w:rsidR="0031632C">
              <w:rPr>
                <w:webHidden/>
              </w:rPr>
              <w:fldChar w:fldCharType="begin"/>
            </w:r>
            <w:r w:rsidR="0031632C">
              <w:rPr>
                <w:webHidden/>
              </w:rPr>
              <w:instrText xml:space="preserve"> PAGEREF _Toc164761254 \h </w:instrText>
            </w:r>
            <w:r w:rsidR="0031632C">
              <w:rPr>
                <w:webHidden/>
              </w:rPr>
            </w:r>
            <w:r w:rsidR="0031632C">
              <w:rPr>
                <w:webHidden/>
              </w:rPr>
              <w:fldChar w:fldCharType="separate"/>
            </w:r>
            <w:r w:rsidR="0031632C">
              <w:rPr>
                <w:webHidden/>
              </w:rPr>
              <w:t>9</w:t>
            </w:r>
            <w:r w:rsidR="0031632C">
              <w:rPr>
                <w:webHidden/>
              </w:rPr>
              <w:fldChar w:fldCharType="end"/>
            </w:r>
          </w:hyperlink>
        </w:p>
        <w:p w14:paraId="31ABE22D" w14:textId="41BE9BF1" w:rsidR="0031632C" w:rsidRDefault="00C01993">
          <w:pPr>
            <w:pStyle w:val="Obsah3"/>
            <w:rPr>
              <w:rFonts w:asciiTheme="minorHAnsi" w:hAnsiTheme="minorHAnsi"/>
              <w:sz w:val="22"/>
              <w:lang w:eastAsia="cs-CZ"/>
            </w:rPr>
          </w:pPr>
          <w:hyperlink w:anchor="_Toc164761255" w:history="1">
            <w:r w:rsidR="0031632C" w:rsidRPr="00B837D2">
              <w:rPr>
                <w:rStyle w:val="Hypertextovodkaz"/>
              </w:rPr>
              <w:t>1.1.4</w:t>
            </w:r>
            <w:r w:rsidR="0031632C">
              <w:rPr>
                <w:rFonts w:asciiTheme="minorHAnsi" w:hAnsiTheme="minorHAnsi"/>
                <w:sz w:val="22"/>
                <w:lang w:eastAsia="cs-CZ"/>
              </w:rPr>
              <w:tab/>
            </w:r>
            <w:r w:rsidR="0031632C" w:rsidRPr="00B837D2">
              <w:rPr>
                <w:rStyle w:val="Hypertextovodkaz"/>
              </w:rPr>
              <w:t>Popis cílového stavu</w:t>
            </w:r>
            <w:r w:rsidR="0031632C">
              <w:rPr>
                <w:webHidden/>
              </w:rPr>
              <w:tab/>
            </w:r>
            <w:r w:rsidR="0031632C">
              <w:rPr>
                <w:webHidden/>
              </w:rPr>
              <w:fldChar w:fldCharType="begin"/>
            </w:r>
            <w:r w:rsidR="0031632C">
              <w:rPr>
                <w:webHidden/>
              </w:rPr>
              <w:instrText xml:space="preserve"> PAGEREF _Toc164761255 \h </w:instrText>
            </w:r>
            <w:r w:rsidR="0031632C">
              <w:rPr>
                <w:webHidden/>
              </w:rPr>
            </w:r>
            <w:r w:rsidR="0031632C">
              <w:rPr>
                <w:webHidden/>
              </w:rPr>
              <w:fldChar w:fldCharType="separate"/>
            </w:r>
            <w:r w:rsidR="0031632C">
              <w:rPr>
                <w:webHidden/>
              </w:rPr>
              <w:t>9</w:t>
            </w:r>
            <w:r w:rsidR="0031632C">
              <w:rPr>
                <w:webHidden/>
              </w:rPr>
              <w:fldChar w:fldCharType="end"/>
            </w:r>
          </w:hyperlink>
        </w:p>
        <w:p w14:paraId="2A10B423" w14:textId="28EE8833" w:rsidR="0031632C" w:rsidRDefault="00C01993">
          <w:pPr>
            <w:pStyle w:val="Obsah3"/>
            <w:rPr>
              <w:rFonts w:asciiTheme="minorHAnsi" w:hAnsiTheme="minorHAnsi"/>
              <w:sz w:val="22"/>
              <w:lang w:eastAsia="cs-CZ"/>
            </w:rPr>
          </w:pPr>
          <w:hyperlink w:anchor="_Toc164761256" w:history="1">
            <w:r w:rsidR="0031632C" w:rsidRPr="00B837D2">
              <w:rPr>
                <w:rStyle w:val="Hypertextovodkaz"/>
              </w:rPr>
              <w:t>1.1.5</w:t>
            </w:r>
            <w:r w:rsidR="0031632C">
              <w:rPr>
                <w:rFonts w:asciiTheme="minorHAnsi" w:hAnsiTheme="minorHAnsi"/>
                <w:sz w:val="22"/>
                <w:lang w:eastAsia="cs-CZ"/>
              </w:rPr>
              <w:tab/>
            </w:r>
            <w:r w:rsidR="0031632C" w:rsidRPr="00B837D2">
              <w:rPr>
                <w:rStyle w:val="Hypertextovodkaz"/>
              </w:rPr>
              <w:t>Zhodnocení rizika</w:t>
            </w:r>
            <w:r w:rsidR="0031632C">
              <w:rPr>
                <w:webHidden/>
              </w:rPr>
              <w:tab/>
            </w:r>
            <w:r w:rsidR="0031632C">
              <w:rPr>
                <w:webHidden/>
              </w:rPr>
              <w:fldChar w:fldCharType="begin"/>
            </w:r>
            <w:r w:rsidR="0031632C">
              <w:rPr>
                <w:webHidden/>
              </w:rPr>
              <w:instrText xml:space="preserve"> PAGEREF _Toc164761256 \h </w:instrText>
            </w:r>
            <w:r w:rsidR="0031632C">
              <w:rPr>
                <w:webHidden/>
              </w:rPr>
            </w:r>
            <w:r w:rsidR="0031632C">
              <w:rPr>
                <w:webHidden/>
              </w:rPr>
              <w:fldChar w:fldCharType="separate"/>
            </w:r>
            <w:r w:rsidR="0031632C">
              <w:rPr>
                <w:webHidden/>
              </w:rPr>
              <w:t>10</w:t>
            </w:r>
            <w:r w:rsidR="0031632C">
              <w:rPr>
                <w:webHidden/>
              </w:rPr>
              <w:fldChar w:fldCharType="end"/>
            </w:r>
          </w:hyperlink>
        </w:p>
        <w:p w14:paraId="5DDB69BF" w14:textId="7D0126FA" w:rsidR="0031632C" w:rsidRDefault="00C01993">
          <w:pPr>
            <w:pStyle w:val="Obsah2"/>
            <w:tabs>
              <w:tab w:val="left" w:pos="880"/>
              <w:tab w:val="right" w:leader="dot" w:pos="9060"/>
            </w:tabs>
            <w:rPr>
              <w:rFonts w:asciiTheme="minorHAnsi" w:hAnsiTheme="minorHAnsi"/>
              <w:noProof/>
              <w:sz w:val="22"/>
              <w:lang w:eastAsia="cs-CZ"/>
            </w:rPr>
          </w:pPr>
          <w:hyperlink w:anchor="_Toc164761257" w:history="1">
            <w:r w:rsidR="0031632C" w:rsidRPr="00B837D2">
              <w:rPr>
                <w:rStyle w:val="Hypertextovodkaz"/>
                <w:noProof/>
              </w:rPr>
              <w:t>1.2</w:t>
            </w:r>
            <w:r w:rsidR="0031632C">
              <w:rPr>
                <w:rFonts w:asciiTheme="minorHAnsi" w:hAnsiTheme="minorHAnsi"/>
                <w:noProof/>
                <w:sz w:val="22"/>
                <w:lang w:eastAsia="cs-CZ"/>
              </w:rPr>
              <w:tab/>
            </w:r>
            <w:r w:rsidR="0031632C" w:rsidRPr="00B837D2">
              <w:rPr>
                <w:rStyle w:val="Hypertextovodkaz"/>
                <w:noProof/>
              </w:rPr>
              <w:t>Návrh variant řešení</w:t>
            </w:r>
            <w:r w:rsidR="0031632C">
              <w:rPr>
                <w:noProof/>
                <w:webHidden/>
              </w:rPr>
              <w:tab/>
            </w:r>
            <w:r w:rsidR="0031632C">
              <w:rPr>
                <w:noProof/>
                <w:webHidden/>
              </w:rPr>
              <w:fldChar w:fldCharType="begin"/>
            </w:r>
            <w:r w:rsidR="0031632C">
              <w:rPr>
                <w:noProof/>
                <w:webHidden/>
              </w:rPr>
              <w:instrText xml:space="preserve"> PAGEREF _Toc164761257 \h </w:instrText>
            </w:r>
            <w:r w:rsidR="0031632C">
              <w:rPr>
                <w:noProof/>
                <w:webHidden/>
              </w:rPr>
            </w:r>
            <w:r w:rsidR="0031632C">
              <w:rPr>
                <w:noProof/>
                <w:webHidden/>
              </w:rPr>
              <w:fldChar w:fldCharType="separate"/>
            </w:r>
            <w:r w:rsidR="0031632C">
              <w:rPr>
                <w:noProof/>
                <w:webHidden/>
              </w:rPr>
              <w:t>10</w:t>
            </w:r>
            <w:r w:rsidR="0031632C">
              <w:rPr>
                <w:noProof/>
                <w:webHidden/>
              </w:rPr>
              <w:fldChar w:fldCharType="end"/>
            </w:r>
          </w:hyperlink>
        </w:p>
        <w:p w14:paraId="4574A5B8" w14:textId="0FEF82B7" w:rsidR="0031632C" w:rsidRDefault="00C01993">
          <w:pPr>
            <w:pStyle w:val="Obsah2"/>
            <w:tabs>
              <w:tab w:val="left" w:pos="880"/>
              <w:tab w:val="right" w:leader="dot" w:pos="9060"/>
            </w:tabs>
            <w:rPr>
              <w:rFonts w:asciiTheme="minorHAnsi" w:hAnsiTheme="minorHAnsi"/>
              <w:noProof/>
              <w:sz w:val="22"/>
              <w:lang w:eastAsia="cs-CZ"/>
            </w:rPr>
          </w:pPr>
          <w:hyperlink w:anchor="_Toc164761258" w:history="1">
            <w:r w:rsidR="0031632C" w:rsidRPr="00B837D2">
              <w:rPr>
                <w:rStyle w:val="Hypertextovodkaz"/>
                <w:noProof/>
              </w:rPr>
              <w:t>1.3</w:t>
            </w:r>
            <w:r w:rsidR="0031632C">
              <w:rPr>
                <w:rFonts w:asciiTheme="minorHAnsi" w:hAnsiTheme="minorHAnsi"/>
                <w:noProof/>
                <w:sz w:val="22"/>
                <w:lang w:eastAsia="cs-CZ"/>
              </w:rPr>
              <w:tab/>
            </w:r>
            <w:r w:rsidR="0031632C" w:rsidRPr="00B837D2">
              <w:rPr>
                <w:rStyle w:val="Hypertextovodkaz"/>
                <w:noProof/>
              </w:rPr>
              <w:t>Vyhodnocení nákladů a přínosů</w:t>
            </w:r>
            <w:r w:rsidR="0031632C">
              <w:rPr>
                <w:noProof/>
                <w:webHidden/>
              </w:rPr>
              <w:tab/>
            </w:r>
            <w:r w:rsidR="0031632C">
              <w:rPr>
                <w:noProof/>
                <w:webHidden/>
              </w:rPr>
              <w:fldChar w:fldCharType="begin"/>
            </w:r>
            <w:r w:rsidR="0031632C">
              <w:rPr>
                <w:noProof/>
                <w:webHidden/>
              </w:rPr>
              <w:instrText xml:space="preserve"> PAGEREF _Toc164761258 \h </w:instrText>
            </w:r>
            <w:r w:rsidR="0031632C">
              <w:rPr>
                <w:noProof/>
                <w:webHidden/>
              </w:rPr>
            </w:r>
            <w:r w:rsidR="0031632C">
              <w:rPr>
                <w:noProof/>
                <w:webHidden/>
              </w:rPr>
              <w:fldChar w:fldCharType="separate"/>
            </w:r>
            <w:r w:rsidR="0031632C">
              <w:rPr>
                <w:noProof/>
                <w:webHidden/>
              </w:rPr>
              <w:t>10</w:t>
            </w:r>
            <w:r w:rsidR="0031632C">
              <w:rPr>
                <w:noProof/>
                <w:webHidden/>
              </w:rPr>
              <w:fldChar w:fldCharType="end"/>
            </w:r>
          </w:hyperlink>
        </w:p>
        <w:p w14:paraId="27065BD0" w14:textId="3B22E9EC" w:rsidR="0031632C" w:rsidRDefault="00C01993">
          <w:pPr>
            <w:pStyle w:val="Obsah3"/>
            <w:rPr>
              <w:rFonts w:asciiTheme="minorHAnsi" w:hAnsiTheme="minorHAnsi"/>
              <w:sz w:val="22"/>
              <w:lang w:eastAsia="cs-CZ"/>
            </w:rPr>
          </w:pPr>
          <w:hyperlink w:anchor="_Toc164761259" w:history="1">
            <w:r w:rsidR="0031632C" w:rsidRPr="00B837D2">
              <w:rPr>
                <w:rStyle w:val="Hypertextovodkaz"/>
              </w:rPr>
              <w:t>1.3.1</w:t>
            </w:r>
            <w:r w:rsidR="0031632C">
              <w:rPr>
                <w:rFonts w:asciiTheme="minorHAnsi" w:hAnsiTheme="minorHAnsi"/>
                <w:sz w:val="22"/>
                <w:lang w:eastAsia="cs-CZ"/>
              </w:rPr>
              <w:tab/>
            </w:r>
            <w:r w:rsidR="0031632C" w:rsidRPr="00B837D2">
              <w:rPr>
                <w:rStyle w:val="Hypertextovodkaz"/>
              </w:rPr>
              <w:t>Identifikace nákladů a přínosů</w:t>
            </w:r>
            <w:r w:rsidR="0031632C">
              <w:rPr>
                <w:webHidden/>
              </w:rPr>
              <w:tab/>
            </w:r>
            <w:r w:rsidR="0031632C">
              <w:rPr>
                <w:webHidden/>
              </w:rPr>
              <w:fldChar w:fldCharType="begin"/>
            </w:r>
            <w:r w:rsidR="0031632C">
              <w:rPr>
                <w:webHidden/>
              </w:rPr>
              <w:instrText xml:space="preserve"> PAGEREF _Toc164761259 \h </w:instrText>
            </w:r>
            <w:r w:rsidR="0031632C">
              <w:rPr>
                <w:webHidden/>
              </w:rPr>
            </w:r>
            <w:r w:rsidR="0031632C">
              <w:rPr>
                <w:webHidden/>
              </w:rPr>
              <w:fldChar w:fldCharType="separate"/>
            </w:r>
            <w:r w:rsidR="0031632C">
              <w:rPr>
                <w:webHidden/>
              </w:rPr>
              <w:t>10</w:t>
            </w:r>
            <w:r w:rsidR="0031632C">
              <w:rPr>
                <w:webHidden/>
              </w:rPr>
              <w:fldChar w:fldCharType="end"/>
            </w:r>
          </w:hyperlink>
        </w:p>
        <w:p w14:paraId="39FCF77B" w14:textId="4224C0CA" w:rsidR="0031632C" w:rsidRDefault="00C01993">
          <w:pPr>
            <w:pStyle w:val="Obsah3"/>
            <w:rPr>
              <w:rFonts w:asciiTheme="minorHAnsi" w:hAnsiTheme="minorHAnsi"/>
              <w:sz w:val="22"/>
              <w:lang w:eastAsia="cs-CZ"/>
            </w:rPr>
          </w:pPr>
          <w:hyperlink w:anchor="_Toc164761260" w:history="1">
            <w:r w:rsidR="0031632C" w:rsidRPr="00B837D2">
              <w:rPr>
                <w:rStyle w:val="Hypertextovodkaz"/>
              </w:rPr>
              <w:t>1.3.2</w:t>
            </w:r>
            <w:r w:rsidR="0031632C">
              <w:rPr>
                <w:rFonts w:asciiTheme="minorHAnsi" w:hAnsiTheme="minorHAnsi"/>
                <w:sz w:val="22"/>
                <w:lang w:eastAsia="cs-CZ"/>
              </w:rPr>
              <w:tab/>
            </w:r>
            <w:r w:rsidR="0031632C" w:rsidRPr="00B837D2">
              <w:rPr>
                <w:rStyle w:val="Hypertextovodkaz"/>
              </w:rPr>
              <w:t>Náklady</w:t>
            </w:r>
            <w:r w:rsidR="0031632C">
              <w:rPr>
                <w:webHidden/>
              </w:rPr>
              <w:tab/>
            </w:r>
            <w:r w:rsidR="0031632C">
              <w:rPr>
                <w:webHidden/>
              </w:rPr>
              <w:fldChar w:fldCharType="begin"/>
            </w:r>
            <w:r w:rsidR="0031632C">
              <w:rPr>
                <w:webHidden/>
              </w:rPr>
              <w:instrText xml:space="preserve"> PAGEREF _Toc164761260 \h </w:instrText>
            </w:r>
            <w:r w:rsidR="0031632C">
              <w:rPr>
                <w:webHidden/>
              </w:rPr>
            </w:r>
            <w:r w:rsidR="0031632C">
              <w:rPr>
                <w:webHidden/>
              </w:rPr>
              <w:fldChar w:fldCharType="separate"/>
            </w:r>
            <w:r w:rsidR="0031632C">
              <w:rPr>
                <w:webHidden/>
              </w:rPr>
              <w:t>11</w:t>
            </w:r>
            <w:r w:rsidR="0031632C">
              <w:rPr>
                <w:webHidden/>
              </w:rPr>
              <w:fldChar w:fldCharType="end"/>
            </w:r>
          </w:hyperlink>
        </w:p>
        <w:p w14:paraId="38AEF703" w14:textId="7BC873BF" w:rsidR="0031632C" w:rsidRDefault="00C01993">
          <w:pPr>
            <w:pStyle w:val="Obsah3"/>
            <w:rPr>
              <w:rFonts w:asciiTheme="minorHAnsi" w:hAnsiTheme="minorHAnsi"/>
              <w:sz w:val="22"/>
              <w:lang w:eastAsia="cs-CZ"/>
            </w:rPr>
          </w:pPr>
          <w:hyperlink w:anchor="_Toc164761261" w:history="1">
            <w:r w:rsidR="0031632C" w:rsidRPr="00B837D2">
              <w:rPr>
                <w:rStyle w:val="Hypertextovodkaz"/>
              </w:rPr>
              <w:t>1.3.3</w:t>
            </w:r>
            <w:r w:rsidR="0031632C">
              <w:rPr>
                <w:rFonts w:asciiTheme="minorHAnsi" w:hAnsiTheme="minorHAnsi"/>
                <w:sz w:val="22"/>
                <w:lang w:eastAsia="cs-CZ"/>
              </w:rPr>
              <w:tab/>
            </w:r>
            <w:r w:rsidR="0031632C" w:rsidRPr="00B837D2">
              <w:rPr>
                <w:rStyle w:val="Hypertextovodkaz"/>
              </w:rPr>
              <w:t>Přínosy</w:t>
            </w:r>
            <w:r w:rsidR="0031632C">
              <w:rPr>
                <w:webHidden/>
              </w:rPr>
              <w:tab/>
            </w:r>
            <w:r w:rsidR="0031632C">
              <w:rPr>
                <w:webHidden/>
              </w:rPr>
              <w:fldChar w:fldCharType="begin"/>
            </w:r>
            <w:r w:rsidR="0031632C">
              <w:rPr>
                <w:webHidden/>
              </w:rPr>
              <w:instrText xml:space="preserve"> PAGEREF _Toc164761261 \h </w:instrText>
            </w:r>
            <w:r w:rsidR="0031632C">
              <w:rPr>
                <w:webHidden/>
              </w:rPr>
            </w:r>
            <w:r w:rsidR="0031632C">
              <w:rPr>
                <w:webHidden/>
              </w:rPr>
              <w:fldChar w:fldCharType="separate"/>
            </w:r>
            <w:r w:rsidR="0031632C">
              <w:rPr>
                <w:webHidden/>
              </w:rPr>
              <w:t>11</w:t>
            </w:r>
            <w:r w:rsidR="0031632C">
              <w:rPr>
                <w:webHidden/>
              </w:rPr>
              <w:fldChar w:fldCharType="end"/>
            </w:r>
          </w:hyperlink>
        </w:p>
        <w:p w14:paraId="2B46F2F3" w14:textId="02A3C9E2" w:rsidR="0031632C" w:rsidRDefault="00C01993">
          <w:pPr>
            <w:pStyle w:val="Obsah3"/>
            <w:rPr>
              <w:rFonts w:asciiTheme="minorHAnsi" w:hAnsiTheme="minorHAnsi"/>
              <w:sz w:val="22"/>
              <w:lang w:eastAsia="cs-CZ"/>
            </w:rPr>
          </w:pPr>
          <w:hyperlink w:anchor="_Toc164761262" w:history="1">
            <w:r w:rsidR="0031632C" w:rsidRPr="00B837D2">
              <w:rPr>
                <w:rStyle w:val="Hypertextovodkaz"/>
              </w:rPr>
              <w:t>1.3.4</w:t>
            </w:r>
            <w:r w:rsidR="0031632C">
              <w:rPr>
                <w:rFonts w:asciiTheme="minorHAnsi" w:hAnsiTheme="minorHAnsi"/>
                <w:sz w:val="22"/>
                <w:lang w:eastAsia="cs-CZ"/>
              </w:rPr>
              <w:tab/>
            </w:r>
            <w:r w:rsidR="0031632C" w:rsidRPr="00B837D2">
              <w:rPr>
                <w:rStyle w:val="Hypertextovodkaz"/>
              </w:rPr>
              <w:t>Vyhodnocení nákladů a přínosů variant</w:t>
            </w:r>
            <w:r w:rsidR="0031632C">
              <w:rPr>
                <w:webHidden/>
              </w:rPr>
              <w:tab/>
            </w:r>
            <w:r w:rsidR="0031632C">
              <w:rPr>
                <w:webHidden/>
              </w:rPr>
              <w:fldChar w:fldCharType="begin"/>
            </w:r>
            <w:r w:rsidR="0031632C">
              <w:rPr>
                <w:webHidden/>
              </w:rPr>
              <w:instrText xml:space="preserve"> PAGEREF _Toc164761262 \h </w:instrText>
            </w:r>
            <w:r w:rsidR="0031632C">
              <w:rPr>
                <w:webHidden/>
              </w:rPr>
            </w:r>
            <w:r w:rsidR="0031632C">
              <w:rPr>
                <w:webHidden/>
              </w:rPr>
              <w:fldChar w:fldCharType="separate"/>
            </w:r>
            <w:r w:rsidR="0031632C">
              <w:rPr>
                <w:webHidden/>
              </w:rPr>
              <w:t>12</w:t>
            </w:r>
            <w:r w:rsidR="0031632C">
              <w:rPr>
                <w:webHidden/>
              </w:rPr>
              <w:fldChar w:fldCharType="end"/>
            </w:r>
          </w:hyperlink>
        </w:p>
        <w:p w14:paraId="5BE32B58" w14:textId="01DCF392" w:rsidR="0031632C" w:rsidRDefault="00C01993">
          <w:pPr>
            <w:pStyle w:val="Obsah2"/>
            <w:tabs>
              <w:tab w:val="left" w:pos="880"/>
              <w:tab w:val="right" w:leader="dot" w:pos="9060"/>
            </w:tabs>
            <w:rPr>
              <w:rFonts w:asciiTheme="minorHAnsi" w:hAnsiTheme="minorHAnsi"/>
              <w:noProof/>
              <w:sz w:val="22"/>
              <w:lang w:eastAsia="cs-CZ"/>
            </w:rPr>
          </w:pPr>
          <w:hyperlink w:anchor="_Toc164761263" w:history="1">
            <w:r w:rsidR="0031632C" w:rsidRPr="00B837D2">
              <w:rPr>
                <w:rStyle w:val="Hypertextovodkaz"/>
                <w:noProof/>
              </w:rPr>
              <w:t>1.4</w:t>
            </w:r>
            <w:r w:rsidR="0031632C">
              <w:rPr>
                <w:rFonts w:asciiTheme="minorHAnsi" w:hAnsiTheme="minorHAnsi"/>
                <w:noProof/>
                <w:sz w:val="22"/>
                <w:lang w:eastAsia="cs-CZ"/>
              </w:rPr>
              <w:tab/>
            </w:r>
            <w:r w:rsidR="0031632C" w:rsidRPr="00B837D2">
              <w:rPr>
                <w:rStyle w:val="Hypertextovodkaz"/>
                <w:noProof/>
              </w:rPr>
              <w:t>Stanovení pořadí variant a výběr nejvhodnějšího řešení</w:t>
            </w:r>
            <w:r w:rsidR="0031632C">
              <w:rPr>
                <w:noProof/>
                <w:webHidden/>
              </w:rPr>
              <w:tab/>
            </w:r>
            <w:r w:rsidR="0031632C">
              <w:rPr>
                <w:noProof/>
                <w:webHidden/>
              </w:rPr>
              <w:fldChar w:fldCharType="begin"/>
            </w:r>
            <w:r w:rsidR="0031632C">
              <w:rPr>
                <w:noProof/>
                <w:webHidden/>
              </w:rPr>
              <w:instrText xml:space="preserve"> PAGEREF _Toc164761263 \h </w:instrText>
            </w:r>
            <w:r w:rsidR="0031632C">
              <w:rPr>
                <w:noProof/>
                <w:webHidden/>
              </w:rPr>
            </w:r>
            <w:r w:rsidR="0031632C">
              <w:rPr>
                <w:noProof/>
                <w:webHidden/>
              </w:rPr>
              <w:fldChar w:fldCharType="separate"/>
            </w:r>
            <w:r w:rsidR="0031632C">
              <w:rPr>
                <w:noProof/>
                <w:webHidden/>
              </w:rPr>
              <w:t>13</w:t>
            </w:r>
            <w:r w:rsidR="0031632C">
              <w:rPr>
                <w:noProof/>
                <w:webHidden/>
              </w:rPr>
              <w:fldChar w:fldCharType="end"/>
            </w:r>
          </w:hyperlink>
        </w:p>
        <w:p w14:paraId="3502AB5B" w14:textId="251424CE" w:rsidR="0031632C" w:rsidRDefault="00C01993">
          <w:pPr>
            <w:pStyle w:val="Obsah2"/>
            <w:tabs>
              <w:tab w:val="left" w:pos="880"/>
              <w:tab w:val="right" w:leader="dot" w:pos="9060"/>
            </w:tabs>
            <w:rPr>
              <w:rFonts w:asciiTheme="minorHAnsi" w:hAnsiTheme="minorHAnsi"/>
              <w:noProof/>
              <w:sz w:val="22"/>
              <w:lang w:eastAsia="cs-CZ"/>
            </w:rPr>
          </w:pPr>
          <w:hyperlink w:anchor="_Toc164761264" w:history="1">
            <w:r w:rsidR="0031632C" w:rsidRPr="00B837D2">
              <w:rPr>
                <w:rStyle w:val="Hypertextovodkaz"/>
                <w:noProof/>
              </w:rPr>
              <w:t>1.5</w:t>
            </w:r>
            <w:r w:rsidR="0031632C">
              <w:rPr>
                <w:rFonts w:asciiTheme="minorHAnsi" w:hAnsiTheme="minorHAnsi"/>
                <w:noProof/>
                <w:sz w:val="22"/>
                <w:lang w:eastAsia="cs-CZ"/>
              </w:rPr>
              <w:tab/>
            </w:r>
            <w:r w:rsidR="0031632C" w:rsidRPr="00B837D2">
              <w:rPr>
                <w:rStyle w:val="Hypertextovodkaz"/>
                <w:noProof/>
              </w:rPr>
              <w:t>Implementace doporučené varianty a vynucování</w:t>
            </w:r>
            <w:r w:rsidR="0031632C">
              <w:rPr>
                <w:noProof/>
                <w:webHidden/>
              </w:rPr>
              <w:tab/>
            </w:r>
            <w:r w:rsidR="0031632C">
              <w:rPr>
                <w:noProof/>
                <w:webHidden/>
              </w:rPr>
              <w:fldChar w:fldCharType="begin"/>
            </w:r>
            <w:r w:rsidR="0031632C">
              <w:rPr>
                <w:noProof/>
                <w:webHidden/>
              </w:rPr>
              <w:instrText xml:space="preserve"> PAGEREF _Toc164761264 \h </w:instrText>
            </w:r>
            <w:r w:rsidR="0031632C">
              <w:rPr>
                <w:noProof/>
                <w:webHidden/>
              </w:rPr>
            </w:r>
            <w:r w:rsidR="0031632C">
              <w:rPr>
                <w:noProof/>
                <w:webHidden/>
              </w:rPr>
              <w:fldChar w:fldCharType="separate"/>
            </w:r>
            <w:r w:rsidR="0031632C">
              <w:rPr>
                <w:noProof/>
                <w:webHidden/>
              </w:rPr>
              <w:t>13</w:t>
            </w:r>
            <w:r w:rsidR="0031632C">
              <w:rPr>
                <w:noProof/>
                <w:webHidden/>
              </w:rPr>
              <w:fldChar w:fldCharType="end"/>
            </w:r>
          </w:hyperlink>
        </w:p>
        <w:p w14:paraId="42749A79" w14:textId="6260A139" w:rsidR="0031632C" w:rsidRDefault="00C01993">
          <w:pPr>
            <w:pStyle w:val="Obsah2"/>
            <w:tabs>
              <w:tab w:val="left" w:pos="880"/>
              <w:tab w:val="right" w:leader="dot" w:pos="9060"/>
            </w:tabs>
            <w:rPr>
              <w:rFonts w:asciiTheme="minorHAnsi" w:hAnsiTheme="minorHAnsi"/>
              <w:noProof/>
              <w:sz w:val="22"/>
              <w:lang w:eastAsia="cs-CZ"/>
            </w:rPr>
          </w:pPr>
          <w:hyperlink w:anchor="_Toc164761265" w:history="1">
            <w:r w:rsidR="0031632C" w:rsidRPr="00B837D2">
              <w:rPr>
                <w:rStyle w:val="Hypertextovodkaz"/>
                <w:noProof/>
              </w:rPr>
              <w:t>1.6</w:t>
            </w:r>
            <w:r w:rsidR="0031632C">
              <w:rPr>
                <w:rFonts w:asciiTheme="minorHAnsi" w:hAnsiTheme="minorHAnsi"/>
                <w:noProof/>
                <w:sz w:val="22"/>
                <w:lang w:eastAsia="cs-CZ"/>
              </w:rPr>
              <w:tab/>
            </w:r>
            <w:r w:rsidR="0031632C" w:rsidRPr="00B837D2">
              <w:rPr>
                <w:rStyle w:val="Hypertextovodkaz"/>
                <w:noProof/>
              </w:rPr>
              <w:t>Přezkum účinnosti regulace</w:t>
            </w:r>
            <w:r w:rsidR="0031632C">
              <w:rPr>
                <w:noProof/>
                <w:webHidden/>
              </w:rPr>
              <w:tab/>
            </w:r>
            <w:r w:rsidR="0031632C">
              <w:rPr>
                <w:noProof/>
                <w:webHidden/>
              </w:rPr>
              <w:fldChar w:fldCharType="begin"/>
            </w:r>
            <w:r w:rsidR="0031632C">
              <w:rPr>
                <w:noProof/>
                <w:webHidden/>
              </w:rPr>
              <w:instrText xml:space="preserve"> PAGEREF _Toc164761265 \h </w:instrText>
            </w:r>
            <w:r w:rsidR="0031632C">
              <w:rPr>
                <w:noProof/>
                <w:webHidden/>
              </w:rPr>
            </w:r>
            <w:r w:rsidR="0031632C">
              <w:rPr>
                <w:noProof/>
                <w:webHidden/>
              </w:rPr>
              <w:fldChar w:fldCharType="separate"/>
            </w:r>
            <w:r w:rsidR="0031632C">
              <w:rPr>
                <w:noProof/>
                <w:webHidden/>
              </w:rPr>
              <w:t>13</w:t>
            </w:r>
            <w:r w:rsidR="0031632C">
              <w:rPr>
                <w:noProof/>
                <w:webHidden/>
              </w:rPr>
              <w:fldChar w:fldCharType="end"/>
            </w:r>
          </w:hyperlink>
        </w:p>
        <w:p w14:paraId="0E56FAB0" w14:textId="5885A654" w:rsidR="0031632C" w:rsidRDefault="00C01993">
          <w:pPr>
            <w:pStyle w:val="Obsah2"/>
            <w:tabs>
              <w:tab w:val="left" w:pos="880"/>
              <w:tab w:val="right" w:leader="dot" w:pos="9060"/>
            </w:tabs>
            <w:rPr>
              <w:rFonts w:asciiTheme="minorHAnsi" w:hAnsiTheme="minorHAnsi"/>
              <w:noProof/>
              <w:sz w:val="22"/>
              <w:lang w:eastAsia="cs-CZ"/>
            </w:rPr>
          </w:pPr>
          <w:hyperlink w:anchor="_Toc164761266" w:history="1">
            <w:r w:rsidR="0031632C" w:rsidRPr="00B837D2">
              <w:rPr>
                <w:rStyle w:val="Hypertextovodkaz"/>
                <w:noProof/>
              </w:rPr>
              <w:t>1.7</w:t>
            </w:r>
            <w:r w:rsidR="0031632C">
              <w:rPr>
                <w:rFonts w:asciiTheme="minorHAnsi" w:hAnsiTheme="minorHAnsi"/>
                <w:noProof/>
                <w:sz w:val="22"/>
                <w:lang w:eastAsia="cs-CZ"/>
              </w:rPr>
              <w:tab/>
            </w:r>
            <w:r w:rsidR="0031632C" w:rsidRPr="00B837D2">
              <w:rPr>
                <w:rStyle w:val="Hypertextovodkaz"/>
                <w:noProof/>
              </w:rPr>
              <w:t>Konzultace a zdroje dat</w:t>
            </w:r>
            <w:r w:rsidR="0031632C">
              <w:rPr>
                <w:noProof/>
                <w:webHidden/>
              </w:rPr>
              <w:tab/>
            </w:r>
            <w:r w:rsidR="0031632C">
              <w:rPr>
                <w:noProof/>
                <w:webHidden/>
              </w:rPr>
              <w:fldChar w:fldCharType="begin"/>
            </w:r>
            <w:r w:rsidR="0031632C">
              <w:rPr>
                <w:noProof/>
                <w:webHidden/>
              </w:rPr>
              <w:instrText xml:space="preserve"> PAGEREF _Toc164761266 \h </w:instrText>
            </w:r>
            <w:r w:rsidR="0031632C">
              <w:rPr>
                <w:noProof/>
                <w:webHidden/>
              </w:rPr>
            </w:r>
            <w:r w:rsidR="0031632C">
              <w:rPr>
                <w:noProof/>
                <w:webHidden/>
              </w:rPr>
              <w:fldChar w:fldCharType="separate"/>
            </w:r>
            <w:r w:rsidR="0031632C">
              <w:rPr>
                <w:noProof/>
                <w:webHidden/>
              </w:rPr>
              <w:t>13</w:t>
            </w:r>
            <w:r w:rsidR="0031632C">
              <w:rPr>
                <w:noProof/>
                <w:webHidden/>
              </w:rPr>
              <w:fldChar w:fldCharType="end"/>
            </w:r>
          </w:hyperlink>
        </w:p>
        <w:p w14:paraId="39DBE68A" w14:textId="4A555040" w:rsidR="0031632C" w:rsidRDefault="00C01993">
          <w:pPr>
            <w:pStyle w:val="Obsah1"/>
            <w:rPr>
              <w:rFonts w:asciiTheme="minorHAnsi" w:hAnsiTheme="minorHAnsi"/>
              <w:noProof/>
              <w:sz w:val="22"/>
              <w:lang w:eastAsia="cs-CZ"/>
            </w:rPr>
          </w:pPr>
          <w:hyperlink w:anchor="_Toc164761267" w:history="1">
            <w:r w:rsidR="0031632C" w:rsidRPr="00B837D2">
              <w:rPr>
                <w:rStyle w:val="Hypertextovodkaz"/>
                <w:noProof/>
              </w:rPr>
              <w:t>2</w:t>
            </w:r>
            <w:r w:rsidR="0031632C">
              <w:rPr>
                <w:rFonts w:asciiTheme="minorHAnsi" w:hAnsiTheme="minorHAnsi"/>
                <w:noProof/>
                <w:sz w:val="22"/>
                <w:lang w:eastAsia="cs-CZ"/>
              </w:rPr>
              <w:tab/>
            </w:r>
            <w:r w:rsidR="0031632C" w:rsidRPr="00B837D2">
              <w:rPr>
                <w:rStyle w:val="Hypertextovodkaz"/>
                <w:noProof/>
              </w:rPr>
              <w:t>Výběr a vymáhání pokut za přestupky a dalších peněžitých plnění orgány celní správy</w:t>
            </w:r>
            <w:r w:rsidR="0031632C">
              <w:rPr>
                <w:noProof/>
                <w:webHidden/>
              </w:rPr>
              <w:tab/>
            </w:r>
            <w:r w:rsidR="0031632C">
              <w:rPr>
                <w:noProof/>
                <w:webHidden/>
              </w:rPr>
              <w:fldChar w:fldCharType="begin"/>
            </w:r>
            <w:r w:rsidR="0031632C">
              <w:rPr>
                <w:noProof/>
                <w:webHidden/>
              </w:rPr>
              <w:instrText xml:space="preserve"> PAGEREF _Toc164761267 \h </w:instrText>
            </w:r>
            <w:r w:rsidR="0031632C">
              <w:rPr>
                <w:noProof/>
                <w:webHidden/>
              </w:rPr>
            </w:r>
            <w:r w:rsidR="0031632C">
              <w:rPr>
                <w:noProof/>
                <w:webHidden/>
              </w:rPr>
              <w:fldChar w:fldCharType="separate"/>
            </w:r>
            <w:r w:rsidR="0031632C">
              <w:rPr>
                <w:noProof/>
                <w:webHidden/>
              </w:rPr>
              <w:t>14</w:t>
            </w:r>
            <w:r w:rsidR="0031632C">
              <w:rPr>
                <w:noProof/>
                <w:webHidden/>
              </w:rPr>
              <w:fldChar w:fldCharType="end"/>
            </w:r>
          </w:hyperlink>
        </w:p>
        <w:p w14:paraId="4428033D" w14:textId="1DD4A577" w:rsidR="0031632C" w:rsidRDefault="00C01993">
          <w:pPr>
            <w:pStyle w:val="Obsah2"/>
            <w:tabs>
              <w:tab w:val="left" w:pos="880"/>
              <w:tab w:val="right" w:leader="dot" w:pos="9060"/>
            </w:tabs>
            <w:rPr>
              <w:rFonts w:asciiTheme="minorHAnsi" w:hAnsiTheme="minorHAnsi"/>
              <w:noProof/>
              <w:sz w:val="22"/>
              <w:lang w:eastAsia="cs-CZ"/>
            </w:rPr>
          </w:pPr>
          <w:hyperlink w:anchor="_Toc164761268" w:history="1">
            <w:r w:rsidR="0031632C" w:rsidRPr="00B837D2">
              <w:rPr>
                <w:rStyle w:val="Hypertextovodkaz"/>
                <w:noProof/>
              </w:rPr>
              <w:t>2.1</w:t>
            </w:r>
            <w:r w:rsidR="0031632C">
              <w:rPr>
                <w:rFonts w:asciiTheme="minorHAnsi" w:hAnsiTheme="minorHAnsi"/>
                <w:noProof/>
                <w:sz w:val="22"/>
                <w:lang w:eastAsia="cs-CZ"/>
              </w:rPr>
              <w:tab/>
            </w:r>
            <w:r w:rsidR="0031632C" w:rsidRPr="00B837D2">
              <w:rPr>
                <w:rStyle w:val="Hypertextovodkaz"/>
                <w:noProof/>
              </w:rPr>
              <w:t>Důvod předložení a cíle</w:t>
            </w:r>
            <w:r w:rsidR="0031632C">
              <w:rPr>
                <w:noProof/>
                <w:webHidden/>
              </w:rPr>
              <w:tab/>
            </w:r>
            <w:r w:rsidR="0031632C">
              <w:rPr>
                <w:noProof/>
                <w:webHidden/>
              </w:rPr>
              <w:fldChar w:fldCharType="begin"/>
            </w:r>
            <w:r w:rsidR="0031632C">
              <w:rPr>
                <w:noProof/>
                <w:webHidden/>
              </w:rPr>
              <w:instrText xml:space="preserve"> PAGEREF _Toc164761268 \h </w:instrText>
            </w:r>
            <w:r w:rsidR="0031632C">
              <w:rPr>
                <w:noProof/>
                <w:webHidden/>
              </w:rPr>
            </w:r>
            <w:r w:rsidR="0031632C">
              <w:rPr>
                <w:noProof/>
                <w:webHidden/>
              </w:rPr>
              <w:fldChar w:fldCharType="separate"/>
            </w:r>
            <w:r w:rsidR="0031632C">
              <w:rPr>
                <w:noProof/>
                <w:webHidden/>
              </w:rPr>
              <w:t>14</w:t>
            </w:r>
            <w:r w:rsidR="0031632C">
              <w:rPr>
                <w:noProof/>
                <w:webHidden/>
              </w:rPr>
              <w:fldChar w:fldCharType="end"/>
            </w:r>
          </w:hyperlink>
        </w:p>
        <w:p w14:paraId="4E112376" w14:textId="27F79742" w:rsidR="0031632C" w:rsidRDefault="00C01993">
          <w:pPr>
            <w:pStyle w:val="Obsah3"/>
            <w:rPr>
              <w:rFonts w:asciiTheme="minorHAnsi" w:hAnsiTheme="minorHAnsi"/>
              <w:sz w:val="22"/>
              <w:lang w:eastAsia="cs-CZ"/>
            </w:rPr>
          </w:pPr>
          <w:hyperlink w:anchor="_Toc164761269" w:history="1">
            <w:r w:rsidR="0031632C" w:rsidRPr="00B837D2">
              <w:rPr>
                <w:rStyle w:val="Hypertextovodkaz"/>
              </w:rPr>
              <w:t>2.1.1</w:t>
            </w:r>
            <w:r w:rsidR="0031632C">
              <w:rPr>
                <w:rFonts w:asciiTheme="minorHAnsi" w:hAnsiTheme="minorHAnsi"/>
                <w:sz w:val="22"/>
                <w:lang w:eastAsia="cs-CZ"/>
              </w:rPr>
              <w:tab/>
            </w:r>
            <w:r w:rsidR="0031632C" w:rsidRPr="00B837D2">
              <w:rPr>
                <w:rStyle w:val="Hypertextovodkaz"/>
              </w:rPr>
              <w:t>Definice problému</w:t>
            </w:r>
            <w:r w:rsidR="0031632C">
              <w:rPr>
                <w:webHidden/>
              </w:rPr>
              <w:tab/>
            </w:r>
            <w:r w:rsidR="0031632C">
              <w:rPr>
                <w:webHidden/>
              </w:rPr>
              <w:fldChar w:fldCharType="begin"/>
            </w:r>
            <w:r w:rsidR="0031632C">
              <w:rPr>
                <w:webHidden/>
              </w:rPr>
              <w:instrText xml:space="preserve"> PAGEREF _Toc164761269 \h </w:instrText>
            </w:r>
            <w:r w:rsidR="0031632C">
              <w:rPr>
                <w:webHidden/>
              </w:rPr>
            </w:r>
            <w:r w:rsidR="0031632C">
              <w:rPr>
                <w:webHidden/>
              </w:rPr>
              <w:fldChar w:fldCharType="separate"/>
            </w:r>
            <w:r w:rsidR="0031632C">
              <w:rPr>
                <w:webHidden/>
              </w:rPr>
              <w:t>14</w:t>
            </w:r>
            <w:r w:rsidR="0031632C">
              <w:rPr>
                <w:webHidden/>
              </w:rPr>
              <w:fldChar w:fldCharType="end"/>
            </w:r>
          </w:hyperlink>
        </w:p>
        <w:p w14:paraId="028A39B7" w14:textId="6D68894C" w:rsidR="0031632C" w:rsidRDefault="00C01993">
          <w:pPr>
            <w:pStyle w:val="Obsah3"/>
            <w:rPr>
              <w:rFonts w:asciiTheme="minorHAnsi" w:hAnsiTheme="minorHAnsi"/>
              <w:sz w:val="22"/>
              <w:lang w:eastAsia="cs-CZ"/>
            </w:rPr>
          </w:pPr>
          <w:hyperlink w:anchor="_Toc164761270" w:history="1">
            <w:r w:rsidR="0031632C" w:rsidRPr="00B837D2">
              <w:rPr>
                <w:rStyle w:val="Hypertextovodkaz"/>
              </w:rPr>
              <w:t>2.1.2</w:t>
            </w:r>
            <w:r w:rsidR="0031632C">
              <w:rPr>
                <w:rFonts w:asciiTheme="minorHAnsi" w:hAnsiTheme="minorHAnsi"/>
                <w:sz w:val="22"/>
                <w:lang w:eastAsia="cs-CZ"/>
              </w:rPr>
              <w:tab/>
            </w:r>
            <w:r w:rsidR="0031632C" w:rsidRPr="00B837D2">
              <w:rPr>
                <w:rStyle w:val="Hypertextovodkaz"/>
              </w:rPr>
              <w:t>Popis existujícího právního stavu v dané oblasti</w:t>
            </w:r>
            <w:r w:rsidR="0031632C">
              <w:rPr>
                <w:webHidden/>
              </w:rPr>
              <w:tab/>
            </w:r>
            <w:r w:rsidR="0031632C">
              <w:rPr>
                <w:webHidden/>
              </w:rPr>
              <w:fldChar w:fldCharType="begin"/>
            </w:r>
            <w:r w:rsidR="0031632C">
              <w:rPr>
                <w:webHidden/>
              </w:rPr>
              <w:instrText xml:space="preserve"> PAGEREF _Toc164761270 \h </w:instrText>
            </w:r>
            <w:r w:rsidR="0031632C">
              <w:rPr>
                <w:webHidden/>
              </w:rPr>
            </w:r>
            <w:r w:rsidR="0031632C">
              <w:rPr>
                <w:webHidden/>
              </w:rPr>
              <w:fldChar w:fldCharType="separate"/>
            </w:r>
            <w:r w:rsidR="0031632C">
              <w:rPr>
                <w:webHidden/>
              </w:rPr>
              <w:t>14</w:t>
            </w:r>
            <w:r w:rsidR="0031632C">
              <w:rPr>
                <w:webHidden/>
              </w:rPr>
              <w:fldChar w:fldCharType="end"/>
            </w:r>
          </w:hyperlink>
        </w:p>
        <w:p w14:paraId="0BD4DEC6" w14:textId="4AC6BBE5" w:rsidR="0031632C" w:rsidRDefault="00C01993">
          <w:pPr>
            <w:pStyle w:val="Obsah3"/>
            <w:rPr>
              <w:rFonts w:asciiTheme="minorHAnsi" w:hAnsiTheme="minorHAnsi"/>
              <w:sz w:val="22"/>
              <w:lang w:eastAsia="cs-CZ"/>
            </w:rPr>
          </w:pPr>
          <w:hyperlink w:anchor="_Toc164761271" w:history="1">
            <w:r w:rsidR="0031632C" w:rsidRPr="00B837D2">
              <w:rPr>
                <w:rStyle w:val="Hypertextovodkaz"/>
              </w:rPr>
              <w:t>2.1.3</w:t>
            </w:r>
            <w:r w:rsidR="0031632C">
              <w:rPr>
                <w:rFonts w:asciiTheme="minorHAnsi" w:hAnsiTheme="minorHAnsi"/>
                <w:sz w:val="22"/>
                <w:lang w:eastAsia="cs-CZ"/>
              </w:rPr>
              <w:tab/>
            </w:r>
            <w:r w:rsidR="0031632C" w:rsidRPr="00B837D2">
              <w:rPr>
                <w:rStyle w:val="Hypertextovodkaz"/>
              </w:rPr>
              <w:t>Identifikace dotčených subjektů</w:t>
            </w:r>
            <w:r w:rsidR="0031632C">
              <w:rPr>
                <w:webHidden/>
              </w:rPr>
              <w:tab/>
            </w:r>
            <w:r w:rsidR="0031632C">
              <w:rPr>
                <w:webHidden/>
              </w:rPr>
              <w:fldChar w:fldCharType="begin"/>
            </w:r>
            <w:r w:rsidR="0031632C">
              <w:rPr>
                <w:webHidden/>
              </w:rPr>
              <w:instrText xml:space="preserve"> PAGEREF _Toc164761271 \h </w:instrText>
            </w:r>
            <w:r w:rsidR="0031632C">
              <w:rPr>
                <w:webHidden/>
              </w:rPr>
            </w:r>
            <w:r w:rsidR="0031632C">
              <w:rPr>
                <w:webHidden/>
              </w:rPr>
              <w:fldChar w:fldCharType="separate"/>
            </w:r>
            <w:r w:rsidR="0031632C">
              <w:rPr>
                <w:webHidden/>
              </w:rPr>
              <w:t>16</w:t>
            </w:r>
            <w:r w:rsidR="0031632C">
              <w:rPr>
                <w:webHidden/>
              </w:rPr>
              <w:fldChar w:fldCharType="end"/>
            </w:r>
          </w:hyperlink>
        </w:p>
        <w:p w14:paraId="00731BBE" w14:textId="4A0E56D3" w:rsidR="0031632C" w:rsidRDefault="00C01993">
          <w:pPr>
            <w:pStyle w:val="Obsah3"/>
            <w:rPr>
              <w:rFonts w:asciiTheme="minorHAnsi" w:hAnsiTheme="minorHAnsi"/>
              <w:sz w:val="22"/>
              <w:lang w:eastAsia="cs-CZ"/>
            </w:rPr>
          </w:pPr>
          <w:hyperlink w:anchor="_Toc164761272" w:history="1">
            <w:r w:rsidR="0031632C" w:rsidRPr="00B837D2">
              <w:rPr>
                <w:rStyle w:val="Hypertextovodkaz"/>
              </w:rPr>
              <w:t>2.1.4</w:t>
            </w:r>
            <w:r w:rsidR="0031632C">
              <w:rPr>
                <w:rFonts w:asciiTheme="minorHAnsi" w:hAnsiTheme="minorHAnsi"/>
                <w:sz w:val="22"/>
                <w:lang w:eastAsia="cs-CZ"/>
              </w:rPr>
              <w:tab/>
            </w:r>
            <w:r w:rsidR="0031632C" w:rsidRPr="00B837D2">
              <w:rPr>
                <w:rStyle w:val="Hypertextovodkaz"/>
              </w:rPr>
              <w:t>Popis cílového stavu</w:t>
            </w:r>
            <w:r w:rsidR="0031632C">
              <w:rPr>
                <w:webHidden/>
              </w:rPr>
              <w:tab/>
            </w:r>
            <w:r w:rsidR="0031632C">
              <w:rPr>
                <w:webHidden/>
              </w:rPr>
              <w:fldChar w:fldCharType="begin"/>
            </w:r>
            <w:r w:rsidR="0031632C">
              <w:rPr>
                <w:webHidden/>
              </w:rPr>
              <w:instrText xml:space="preserve"> PAGEREF _Toc164761272 \h </w:instrText>
            </w:r>
            <w:r w:rsidR="0031632C">
              <w:rPr>
                <w:webHidden/>
              </w:rPr>
            </w:r>
            <w:r w:rsidR="0031632C">
              <w:rPr>
                <w:webHidden/>
              </w:rPr>
              <w:fldChar w:fldCharType="separate"/>
            </w:r>
            <w:r w:rsidR="0031632C">
              <w:rPr>
                <w:webHidden/>
              </w:rPr>
              <w:t>17</w:t>
            </w:r>
            <w:r w:rsidR="0031632C">
              <w:rPr>
                <w:webHidden/>
              </w:rPr>
              <w:fldChar w:fldCharType="end"/>
            </w:r>
          </w:hyperlink>
        </w:p>
        <w:p w14:paraId="5AFBE8E8" w14:textId="433B4B5D" w:rsidR="0031632C" w:rsidRDefault="00C01993">
          <w:pPr>
            <w:pStyle w:val="Obsah3"/>
            <w:rPr>
              <w:rFonts w:asciiTheme="minorHAnsi" w:hAnsiTheme="minorHAnsi"/>
              <w:sz w:val="22"/>
              <w:lang w:eastAsia="cs-CZ"/>
            </w:rPr>
          </w:pPr>
          <w:hyperlink w:anchor="_Toc164761273" w:history="1">
            <w:r w:rsidR="0031632C" w:rsidRPr="00B837D2">
              <w:rPr>
                <w:rStyle w:val="Hypertextovodkaz"/>
              </w:rPr>
              <w:t>2.1.5</w:t>
            </w:r>
            <w:r w:rsidR="0031632C">
              <w:rPr>
                <w:rFonts w:asciiTheme="minorHAnsi" w:hAnsiTheme="minorHAnsi"/>
                <w:sz w:val="22"/>
                <w:lang w:eastAsia="cs-CZ"/>
              </w:rPr>
              <w:tab/>
            </w:r>
            <w:r w:rsidR="0031632C" w:rsidRPr="00B837D2">
              <w:rPr>
                <w:rStyle w:val="Hypertextovodkaz"/>
              </w:rPr>
              <w:t>Zhodnocení rizika</w:t>
            </w:r>
            <w:r w:rsidR="0031632C">
              <w:rPr>
                <w:webHidden/>
              </w:rPr>
              <w:tab/>
            </w:r>
            <w:r w:rsidR="0031632C">
              <w:rPr>
                <w:webHidden/>
              </w:rPr>
              <w:fldChar w:fldCharType="begin"/>
            </w:r>
            <w:r w:rsidR="0031632C">
              <w:rPr>
                <w:webHidden/>
              </w:rPr>
              <w:instrText xml:space="preserve"> PAGEREF _Toc164761273 \h </w:instrText>
            </w:r>
            <w:r w:rsidR="0031632C">
              <w:rPr>
                <w:webHidden/>
              </w:rPr>
            </w:r>
            <w:r w:rsidR="0031632C">
              <w:rPr>
                <w:webHidden/>
              </w:rPr>
              <w:fldChar w:fldCharType="separate"/>
            </w:r>
            <w:r w:rsidR="0031632C">
              <w:rPr>
                <w:webHidden/>
              </w:rPr>
              <w:t>17</w:t>
            </w:r>
            <w:r w:rsidR="0031632C">
              <w:rPr>
                <w:webHidden/>
              </w:rPr>
              <w:fldChar w:fldCharType="end"/>
            </w:r>
          </w:hyperlink>
        </w:p>
        <w:p w14:paraId="0D22F344" w14:textId="03DB110E" w:rsidR="0031632C" w:rsidRDefault="00C01993">
          <w:pPr>
            <w:pStyle w:val="Obsah2"/>
            <w:tabs>
              <w:tab w:val="left" w:pos="880"/>
              <w:tab w:val="right" w:leader="dot" w:pos="9060"/>
            </w:tabs>
            <w:rPr>
              <w:rFonts w:asciiTheme="minorHAnsi" w:hAnsiTheme="minorHAnsi"/>
              <w:noProof/>
              <w:sz w:val="22"/>
              <w:lang w:eastAsia="cs-CZ"/>
            </w:rPr>
          </w:pPr>
          <w:hyperlink w:anchor="_Toc164761274" w:history="1">
            <w:r w:rsidR="0031632C" w:rsidRPr="00B837D2">
              <w:rPr>
                <w:rStyle w:val="Hypertextovodkaz"/>
                <w:noProof/>
              </w:rPr>
              <w:t>2.2</w:t>
            </w:r>
            <w:r w:rsidR="0031632C">
              <w:rPr>
                <w:rFonts w:asciiTheme="minorHAnsi" w:hAnsiTheme="minorHAnsi"/>
                <w:noProof/>
                <w:sz w:val="22"/>
                <w:lang w:eastAsia="cs-CZ"/>
              </w:rPr>
              <w:tab/>
            </w:r>
            <w:r w:rsidR="0031632C" w:rsidRPr="00B837D2">
              <w:rPr>
                <w:rStyle w:val="Hypertextovodkaz"/>
                <w:noProof/>
              </w:rPr>
              <w:t>Návrh variant řešení</w:t>
            </w:r>
            <w:r w:rsidR="0031632C">
              <w:rPr>
                <w:noProof/>
                <w:webHidden/>
              </w:rPr>
              <w:tab/>
            </w:r>
            <w:r w:rsidR="0031632C">
              <w:rPr>
                <w:noProof/>
                <w:webHidden/>
              </w:rPr>
              <w:fldChar w:fldCharType="begin"/>
            </w:r>
            <w:r w:rsidR="0031632C">
              <w:rPr>
                <w:noProof/>
                <w:webHidden/>
              </w:rPr>
              <w:instrText xml:space="preserve"> PAGEREF _Toc164761274 \h </w:instrText>
            </w:r>
            <w:r w:rsidR="0031632C">
              <w:rPr>
                <w:noProof/>
                <w:webHidden/>
              </w:rPr>
            </w:r>
            <w:r w:rsidR="0031632C">
              <w:rPr>
                <w:noProof/>
                <w:webHidden/>
              </w:rPr>
              <w:fldChar w:fldCharType="separate"/>
            </w:r>
            <w:r w:rsidR="0031632C">
              <w:rPr>
                <w:noProof/>
                <w:webHidden/>
              </w:rPr>
              <w:t>17</w:t>
            </w:r>
            <w:r w:rsidR="0031632C">
              <w:rPr>
                <w:noProof/>
                <w:webHidden/>
              </w:rPr>
              <w:fldChar w:fldCharType="end"/>
            </w:r>
          </w:hyperlink>
        </w:p>
        <w:p w14:paraId="10DB2DBB" w14:textId="610A96D1" w:rsidR="0031632C" w:rsidRDefault="00C01993">
          <w:pPr>
            <w:pStyle w:val="Obsah2"/>
            <w:tabs>
              <w:tab w:val="left" w:pos="880"/>
              <w:tab w:val="right" w:leader="dot" w:pos="9060"/>
            </w:tabs>
            <w:rPr>
              <w:rFonts w:asciiTheme="minorHAnsi" w:hAnsiTheme="minorHAnsi"/>
              <w:noProof/>
              <w:sz w:val="22"/>
              <w:lang w:eastAsia="cs-CZ"/>
            </w:rPr>
          </w:pPr>
          <w:hyperlink w:anchor="_Toc164761275" w:history="1">
            <w:r w:rsidR="0031632C" w:rsidRPr="00B837D2">
              <w:rPr>
                <w:rStyle w:val="Hypertextovodkaz"/>
                <w:noProof/>
              </w:rPr>
              <w:t>2.3</w:t>
            </w:r>
            <w:r w:rsidR="0031632C">
              <w:rPr>
                <w:rFonts w:asciiTheme="minorHAnsi" w:hAnsiTheme="minorHAnsi"/>
                <w:noProof/>
                <w:sz w:val="22"/>
                <w:lang w:eastAsia="cs-CZ"/>
              </w:rPr>
              <w:tab/>
            </w:r>
            <w:r w:rsidR="0031632C" w:rsidRPr="00B837D2">
              <w:rPr>
                <w:rStyle w:val="Hypertextovodkaz"/>
                <w:noProof/>
              </w:rPr>
              <w:t>Vyhodnocení nákladů a přínosů</w:t>
            </w:r>
            <w:r w:rsidR="0031632C">
              <w:rPr>
                <w:noProof/>
                <w:webHidden/>
              </w:rPr>
              <w:tab/>
            </w:r>
            <w:r w:rsidR="0031632C">
              <w:rPr>
                <w:noProof/>
                <w:webHidden/>
              </w:rPr>
              <w:fldChar w:fldCharType="begin"/>
            </w:r>
            <w:r w:rsidR="0031632C">
              <w:rPr>
                <w:noProof/>
                <w:webHidden/>
              </w:rPr>
              <w:instrText xml:space="preserve"> PAGEREF _Toc164761275 \h </w:instrText>
            </w:r>
            <w:r w:rsidR="0031632C">
              <w:rPr>
                <w:noProof/>
                <w:webHidden/>
              </w:rPr>
            </w:r>
            <w:r w:rsidR="0031632C">
              <w:rPr>
                <w:noProof/>
                <w:webHidden/>
              </w:rPr>
              <w:fldChar w:fldCharType="separate"/>
            </w:r>
            <w:r w:rsidR="0031632C">
              <w:rPr>
                <w:noProof/>
                <w:webHidden/>
              </w:rPr>
              <w:t>18</w:t>
            </w:r>
            <w:r w:rsidR="0031632C">
              <w:rPr>
                <w:noProof/>
                <w:webHidden/>
              </w:rPr>
              <w:fldChar w:fldCharType="end"/>
            </w:r>
          </w:hyperlink>
        </w:p>
        <w:p w14:paraId="437610FC" w14:textId="7717DA1B" w:rsidR="0031632C" w:rsidRDefault="00C01993">
          <w:pPr>
            <w:pStyle w:val="Obsah3"/>
            <w:rPr>
              <w:rFonts w:asciiTheme="minorHAnsi" w:hAnsiTheme="minorHAnsi"/>
              <w:sz w:val="22"/>
              <w:lang w:eastAsia="cs-CZ"/>
            </w:rPr>
          </w:pPr>
          <w:hyperlink w:anchor="_Toc164761276" w:history="1">
            <w:r w:rsidR="0031632C" w:rsidRPr="00B837D2">
              <w:rPr>
                <w:rStyle w:val="Hypertextovodkaz"/>
              </w:rPr>
              <w:t>2.3.1</w:t>
            </w:r>
            <w:r w:rsidR="0031632C">
              <w:rPr>
                <w:rFonts w:asciiTheme="minorHAnsi" w:hAnsiTheme="minorHAnsi"/>
                <w:sz w:val="22"/>
                <w:lang w:eastAsia="cs-CZ"/>
              </w:rPr>
              <w:tab/>
            </w:r>
            <w:r w:rsidR="0031632C" w:rsidRPr="00B837D2">
              <w:rPr>
                <w:rStyle w:val="Hypertextovodkaz"/>
              </w:rPr>
              <w:t>Identifikace nákladů a přínosů</w:t>
            </w:r>
            <w:r w:rsidR="0031632C">
              <w:rPr>
                <w:webHidden/>
              </w:rPr>
              <w:tab/>
            </w:r>
            <w:r w:rsidR="0031632C">
              <w:rPr>
                <w:webHidden/>
              </w:rPr>
              <w:fldChar w:fldCharType="begin"/>
            </w:r>
            <w:r w:rsidR="0031632C">
              <w:rPr>
                <w:webHidden/>
              </w:rPr>
              <w:instrText xml:space="preserve"> PAGEREF _Toc164761276 \h </w:instrText>
            </w:r>
            <w:r w:rsidR="0031632C">
              <w:rPr>
                <w:webHidden/>
              </w:rPr>
            </w:r>
            <w:r w:rsidR="0031632C">
              <w:rPr>
                <w:webHidden/>
              </w:rPr>
              <w:fldChar w:fldCharType="separate"/>
            </w:r>
            <w:r w:rsidR="0031632C">
              <w:rPr>
                <w:webHidden/>
              </w:rPr>
              <w:t>18</w:t>
            </w:r>
            <w:r w:rsidR="0031632C">
              <w:rPr>
                <w:webHidden/>
              </w:rPr>
              <w:fldChar w:fldCharType="end"/>
            </w:r>
          </w:hyperlink>
        </w:p>
        <w:p w14:paraId="23767A47" w14:textId="778343FC" w:rsidR="0031632C" w:rsidRDefault="00C01993">
          <w:pPr>
            <w:pStyle w:val="Obsah3"/>
            <w:rPr>
              <w:rFonts w:asciiTheme="minorHAnsi" w:hAnsiTheme="minorHAnsi"/>
              <w:sz w:val="22"/>
              <w:lang w:eastAsia="cs-CZ"/>
            </w:rPr>
          </w:pPr>
          <w:hyperlink w:anchor="_Toc164761277" w:history="1">
            <w:r w:rsidR="0031632C" w:rsidRPr="00B837D2">
              <w:rPr>
                <w:rStyle w:val="Hypertextovodkaz"/>
              </w:rPr>
              <w:t>2.3.2</w:t>
            </w:r>
            <w:r w:rsidR="0031632C">
              <w:rPr>
                <w:rFonts w:asciiTheme="minorHAnsi" w:hAnsiTheme="minorHAnsi"/>
                <w:sz w:val="22"/>
                <w:lang w:eastAsia="cs-CZ"/>
              </w:rPr>
              <w:tab/>
            </w:r>
            <w:r w:rsidR="0031632C" w:rsidRPr="00B837D2">
              <w:rPr>
                <w:rStyle w:val="Hypertextovodkaz"/>
              </w:rPr>
              <w:t>Náklady</w:t>
            </w:r>
            <w:r w:rsidR="0031632C">
              <w:rPr>
                <w:webHidden/>
              </w:rPr>
              <w:tab/>
            </w:r>
            <w:r w:rsidR="0031632C">
              <w:rPr>
                <w:webHidden/>
              </w:rPr>
              <w:fldChar w:fldCharType="begin"/>
            </w:r>
            <w:r w:rsidR="0031632C">
              <w:rPr>
                <w:webHidden/>
              </w:rPr>
              <w:instrText xml:space="preserve"> PAGEREF _Toc164761277 \h </w:instrText>
            </w:r>
            <w:r w:rsidR="0031632C">
              <w:rPr>
                <w:webHidden/>
              </w:rPr>
            </w:r>
            <w:r w:rsidR="0031632C">
              <w:rPr>
                <w:webHidden/>
              </w:rPr>
              <w:fldChar w:fldCharType="separate"/>
            </w:r>
            <w:r w:rsidR="0031632C">
              <w:rPr>
                <w:webHidden/>
              </w:rPr>
              <w:t>18</w:t>
            </w:r>
            <w:r w:rsidR="0031632C">
              <w:rPr>
                <w:webHidden/>
              </w:rPr>
              <w:fldChar w:fldCharType="end"/>
            </w:r>
          </w:hyperlink>
        </w:p>
        <w:p w14:paraId="133DAA65" w14:textId="0B598AEF" w:rsidR="0031632C" w:rsidRDefault="00C01993">
          <w:pPr>
            <w:pStyle w:val="Obsah3"/>
            <w:rPr>
              <w:rFonts w:asciiTheme="minorHAnsi" w:hAnsiTheme="minorHAnsi"/>
              <w:sz w:val="22"/>
              <w:lang w:eastAsia="cs-CZ"/>
            </w:rPr>
          </w:pPr>
          <w:hyperlink w:anchor="_Toc164761278" w:history="1">
            <w:r w:rsidR="0031632C" w:rsidRPr="00B837D2">
              <w:rPr>
                <w:rStyle w:val="Hypertextovodkaz"/>
              </w:rPr>
              <w:t>2.3.3</w:t>
            </w:r>
            <w:r w:rsidR="0031632C">
              <w:rPr>
                <w:rFonts w:asciiTheme="minorHAnsi" w:hAnsiTheme="minorHAnsi"/>
                <w:sz w:val="22"/>
                <w:lang w:eastAsia="cs-CZ"/>
              </w:rPr>
              <w:tab/>
            </w:r>
            <w:r w:rsidR="0031632C" w:rsidRPr="00B837D2">
              <w:rPr>
                <w:rStyle w:val="Hypertextovodkaz"/>
              </w:rPr>
              <w:t>Přínosy</w:t>
            </w:r>
            <w:r w:rsidR="0031632C">
              <w:rPr>
                <w:webHidden/>
              </w:rPr>
              <w:tab/>
            </w:r>
            <w:r w:rsidR="0031632C">
              <w:rPr>
                <w:webHidden/>
              </w:rPr>
              <w:fldChar w:fldCharType="begin"/>
            </w:r>
            <w:r w:rsidR="0031632C">
              <w:rPr>
                <w:webHidden/>
              </w:rPr>
              <w:instrText xml:space="preserve"> PAGEREF _Toc164761278 \h </w:instrText>
            </w:r>
            <w:r w:rsidR="0031632C">
              <w:rPr>
                <w:webHidden/>
              </w:rPr>
            </w:r>
            <w:r w:rsidR="0031632C">
              <w:rPr>
                <w:webHidden/>
              </w:rPr>
              <w:fldChar w:fldCharType="separate"/>
            </w:r>
            <w:r w:rsidR="0031632C">
              <w:rPr>
                <w:webHidden/>
              </w:rPr>
              <w:t>18</w:t>
            </w:r>
            <w:r w:rsidR="0031632C">
              <w:rPr>
                <w:webHidden/>
              </w:rPr>
              <w:fldChar w:fldCharType="end"/>
            </w:r>
          </w:hyperlink>
        </w:p>
        <w:p w14:paraId="3FBEABCC" w14:textId="1AF21F03" w:rsidR="0031632C" w:rsidRDefault="00C01993">
          <w:pPr>
            <w:pStyle w:val="Obsah3"/>
            <w:rPr>
              <w:rFonts w:asciiTheme="minorHAnsi" w:hAnsiTheme="minorHAnsi"/>
              <w:sz w:val="22"/>
              <w:lang w:eastAsia="cs-CZ"/>
            </w:rPr>
          </w:pPr>
          <w:hyperlink w:anchor="_Toc164761279" w:history="1">
            <w:r w:rsidR="0031632C" w:rsidRPr="00B837D2">
              <w:rPr>
                <w:rStyle w:val="Hypertextovodkaz"/>
              </w:rPr>
              <w:t>2.3.4</w:t>
            </w:r>
            <w:r w:rsidR="0031632C">
              <w:rPr>
                <w:rFonts w:asciiTheme="minorHAnsi" w:hAnsiTheme="minorHAnsi"/>
                <w:sz w:val="22"/>
                <w:lang w:eastAsia="cs-CZ"/>
              </w:rPr>
              <w:tab/>
            </w:r>
            <w:r w:rsidR="0031632C" w:rsidRPr="00B837D2">
              <w:rPr>
                <w:rStyle w:val="Hypertextovodkaz"/>
              </w:rPr>
              <w:t>Vyhodnocení nákladů a přínosů variant</w:t>
            </w:r>
            <w:r w:rsidR="0031632C">
              <w:rPr>
                <w:webHidden/>
              </w:rPr>
              <w:tab/>
            </w:r>
            <w:r w:rsidR="0031632C">
              <w:rPr>
                <w:webHidden/>
              </w:rPr>
              <w:fldChar w:fldCharType="begin"/>
            </w:r>
            <w:r w:rsidR="0031632C">
              <w:rPr>
                <w:webHidden/>
              </w:rPr>
              <w:instrText xml:space="preserve"> PAGEREF _Toc164761279 \h </w:instrText>
            </w:r>
            <w:r w:rsidR="0031632C">
              <w:rPr>
                <w:webHidden/>
              </w:rPr>
            </w:r>
            <w:r w:rsidR="0031632C">
              <w:rPr>
                <w:webHidden/>
              </w:rPr>
              <w:fldChar w:fldCharType="separate"/>
            </w:r>
            <w:r w:rsidR="0031632C">
              <w:rPr>
                <w:webHidden/>
              </w:rPr>
              <w:t>19</w:t>
            </w:r>
            <w:r w:rsidR="0031632C">
              <w:rPr>
                <w:webHidden/>
              </w:rPr>
              <w:fldChar w:fldCharType="end"/>
            </w:r>
          </w:hyperlink>
        </w:p>
        <w:p w14:paraId="10D1996A" w14:textId="6816EFC9" w:rsidR="0031632C" w:rsidRDefault="00C01993">
          <w:pPr>
            <w:pStyle w:val="Obsah2"/>
            <w:tabs>
              <w:tab w:val="left" w:pos="880"/>
              <w:tab w:val="right" w:leader="dot" w:pos="9060"/>
            </w:tabs>
            <w:rPr>
              <w:rFonts w:asciiTheme="minorHAnsi" w:hAnsiTheme="minorHAnsi"/>
              <w:noProof/>
              <w:sz w:val="22"/>
              <w:lang w:eastAsia="cs-CZ"/>
            </w:rPr>
          </w:pPr>
          <w:hyperlink w:anchor="_Toc164761280" w:history="1">
            <w:r w:rsidR="0031632C" w:rsidRPr="00B837D2">
              <w:rPr>
                <w:rStyle w:val="Hypertextovodkaz"/>
                <w:noProof/>
              </w:rPr>
              <w:t>2.4</w:t>
            </w:r>
            <w:r w:rsidR="0031632C">
              <w:rPr>
                <w:rFonts w:asciiTheme="minorHAnsi" w:hAnsiTheme="minorHAnsi"/>
                <w:noProof/>
                <w:sz w:val="22"/>
                <w:lang w:eastAsia="cs-CZ"/>
              </w:rPr>
              <w:tab/>
            </w:r>
            <w:r w:rsidR="0031632C" w:rsidRPr="00B837D2">
              <w:rPr>
                <w:rStyle w:val="Hypertextovodkaz"/>
                <w:noProof/>
              </w:rPr>
              <w:t>Stanovení pořadí variant a výběr nejvhodnějšího řešení</w:t>
            </w:r>
            <w:r w:rsidR="0031632C">
              <w:rPr>
                <w:noProof/>
                <w:webHidden/>
              </w:rPr>
              <w:tab/>
            </w:r>
            <w:r w:rsidR="0031632C">
              <w:rPr>
                <w:noProof/>
                <w:webHidden/>
              </w:rPr>
              <w:fldChar w:fldCharType="begin"/>
            </w:r>
            <w:r w:rsidR="0031632C">
              <w:rPr>
                <w:noProof/>
                <w:webHidden/>
              </w:rPr>
              <w:instrText xml:space="preserve"> PAGEREF _Toc164761280 \h </w:instrText>
            </w:r>
            <w:r w:rsidR="0031632C">
              <w:rPr>
                <w:noProof/>
                <w:webHidden/>
              </w:rPr>
            </w:r>
            <w:r w:rsidR="0031632C">
              <w:rPr>
                <w:noProof/>
                <w:webHidden/>
              </w:rPr>
              <w:fldChar w:fldCharType="separate"/>
            </w:r>
            <w:r w:rsidR="0031632C">
              <w:rPr>
                <w:noProof/>
                <w:webHidden/>
              </w:rPr>
              <w:t>20</w:t>
            </w:r>
            <w:r w:rsidR="0031632C">
              <w:rPr>
                <w:noProof/>
                <w:webHidden/>
              </w:rPr>
              <w:fldChar w:fldCharType="end"/>
            </w:r>
          </w:hyperlink>
        </w:p>
        <w:p w14:paraId="53F724FD" w14:textId="7A9BC36C" w:rsidR="0031632C" w:rsidRDefault="00C01993">
          <w:pPr>
            <w:pStyle w:val="Obsah2"/>
            <w:tabs>
              <w:tab w:val="left" w:pos="880"/>
              <w:tab w:val="right" w:leader="dot" w:pos="9060"/>
            </w:tabs>
            <w:rPr>
              <w:rFonts w:asciiTheme="minorHAnsi" w:hAnsiTheme="minorHAnsi"/>
              <w:noProof/>
              <w:sz w:val="22"/>
              <w:lang w:eastAsia="cs-CZ"/>
            </w:rPr>
          </w:pPr>
          <w:hyperlink w:anchor="_Toc164761281" w:history="1">
            <w:r w:rsidR="0031632C" w:rsidRPr="00B837D2">
              <w:rPr>
                <w:rStyle w:val="Hypertextovodkaz"/>
                <w:noProof/>
              </w:rPr>
              <w:t>2.5</w:t>
            </w:r>
            <w:r w:rsidR="0031632C">
              <w:rPr>
                <w:rFonts w:asciiTheme="minorHAnsi" w:hAnsiTheme="minorHAnsi"/>
                <w:noProof/>
                <w:sz w:val="22"/>
                <w:lang w:eastAsia="cs-CZ"/>
              </w:rPr>
              <w:tab/>
            </w:r>
            <w:r w:rsidR="0031632C" w:rsidRPr="00B837D2">
              <w:rPr>
                <w:rStyle w:val="Hypertextovodkaz"/>
                <w:noProof/>
              </w:rPr>
              <w:t>Implementace doporučené varianty a vynucování</w:t>
            </w:r>
            <w:r w:rsidR="0031632C">
              <w:rPr>
                <w:noProof/>
                <w:webHidden/>
              </w:rPr>
              <w:tab/>
            </w:r>
            <w:r w:rsidR="0031632C">
              <w:rPr>
                <w:noProof/>
                <w:webHidden/>
              </w:rPr>
              <w:fldChar w:fldCharType="begin"/>
            </w:r>
            <w:r w:rsidR="0031632C">
              <w:rPr>
                <w:noProof/>
                <w:webHidden/>
              </w:rPr>
              <w:instrText xml:space="preserve"> PAGEREF _Toc164761281 \h </w:instrText>
            </w:r>
            <w:r w:rsidR="0031632C">
              <w:rPr>
                <w:noProof/>
                <w:webHidden/>
              </w:rPr>
            </w:r>
            <w:r w:rsidR="0031632C">
              <w:rPr>
                <w:noProof/>
                <w:webHidden/>
              </w:rPr>
              <w:fldChar w:fldCharType="separate"/>
            </w:r>
            <w:r w:rsidR="0031632C">
              <w:rPr>
                <w:noProof/>
                <w:webHidden/>
              </w:rPr>
              <w:t>20</w:t>
            </w:r>
            <w:r w:rsidR="0031632C">
              <w:rPr>
                <w:noProof/>
                <w:webHidden/>
              </w:rPr>
              <w:fldChar w:fldCharType="end"/>
            </w:r>
          </w:hyperlink>
        </w:p>
        <w:p w14:paraId="4B52E190" w14:textId="3B79118F" w:rsidR="0031632C" w:rsidRDefault="00C01993">
          <w:pPr>
            <w:pStyle w:val="Obsah2"/>
            <w:tabs>
              <w:tab w:val="left" w:pos="880"/>
              <w:tab w:val="right" w:leader="dot" w:pos="9060"/>
            </w:tabs>
            <w:rPr>
              <w:rFonts w:asciiTheme="minorHAnsi" w:hAnsiTheme="minorHAnsi"/>
              <w:noProof/>
              <w:sz w:val="22"/>
              <w:lang w:eastAsia="cs-CZ"/>
            </w:rPr>
          </w:pPr>
          <w:hyperlink w:anchor="_Toc164761282" w:history="1">
            <w:r w:rsidR="0031632C" w:rsidRPr="00B837D2">
              <w:rPr>
                <w:rStyle w:val="Hypertextovodkaz"/>
                <w:noProof/>
              </w:rPr>
              <w:t>2.6</w:t>
            </w:r>
            <w:r w:rsidR="0031632C">
              <w:rPr>
                <w:rFonts w:asciiTheme="minorHAnsi" w:hAnsiTheme="minorHAnsi"/>
                <w:noProof/>
                <w:sz w:val="22"/>
                <w:lang w:eastAsia="cs-CZ"/>
              </w:rPr>
              <w:tab/>
            </w:r>
            <w:r w:rsidR="0031632C" w:rsidRPr="00B837D2">
              <w:rPr>
                <w:rStyle w:val="Hypertextovodkaz"/>
                <w:noProof/>
              </w:rPr>
              <w:t>Přezkum účinnosti regulace</w:t>
            </w:r>
            <w:r w:rsidR="0031632C">
              <w:rPr>
                <w:noProof/>
                <w:webHidden/>
              </w:rPr>
              <w:tab/>
            </w:r>
            <w:r w:rsidR="0031632C">
              <w:rPr>
                <w:noProof/>
                <w:webHidden/>
              </w:rPr>
              <w:fldChar w:fldCharType="begin"/>
            </w:r>
            <w:r w:rsidR="0031632C">
              <w:rPr>
                <w:noProof/>
                <w:webHidden/>
              </w:rPr>
              <w:instrText xml:space="preserve"> PAGEREF _Toc164761282 \h </w:instrText>
            </w:r>
            <w:r w:rsidR="0031632C">
              <w:rPr>
                <w:noProof/>
                <w:webHidden/>
              </w:rPr>
            </w:r>
            <w:r w:rsidR="0031632C">
              <w:rPr>
                <w:noProof/>
                <w:webHidden/>
              </w:rPr>
              <w:fldChar w:fldCharType="separate"/>
            </w:r>
            <w:r w:rsidR="0031632C">
              <w:rPr>
                <w:noProof/>
                <w:webHidden/>
              </w:rPr>
              <w:t>20</w:t>
            </w:r>
            <w:r w:rsidR="0031632C">
              <w:rPr>
                <w:noProof/>
                <w:webHidden/>
              </w:rPr>
              <w:fldChar w:fldCharType="end"/>
            </w:r>
          </w:hyperlink>
        </w:p>
        <w:p w14:paraId="45A4417B" w14:textId="7A334A19" w:rsidR="0031632C" w:rsidRDefault="00C01993">
          <w:pPr>
            <w:pStyle w:val="Obsah2"/>
            <w:tabs>
              <w:tab w:val="left" w:pos="880"/>
              <w:tab w:val="right" w:leader="dot" w:pos="9060"/>
            </w:tabs>
            <w:rPr>
              <w:rFonts w:asciiTheme="minorHAnsi" w:hAnsiTheme="minorHAnsi"/>
              <w:noProof/>
              <w:sz w:val="22"/>
              <w:lang w:eastAsia="cs-CZ"/>
            </w:rPr>
          </w:pPr>
          <w:hyperlink w:anchor="_Toc164761283" w:history="1">
            <w:r w:rsidR="0031632C" w:rsidRPr="00B837D2">
              <w:rPr>
                <w:rStyle w:val="Hypertextovodkaz"/>
                <w:noProof/>
              </w:rPr>
              <w:t>2.7</w:t>
            </w:r>
            <w:r w:rsidR="0031632C">
              <w:rPr>
                <w:rFonts w:asciiTheme="minorHAnsi" w:hAnsiTheme="minorHAnsi"/>
                <w:noProof/>
                <w:sz w:val="22"/>
                <w:lang w:eastAsia="cs-CZ"/>
              </w:rPr>
              <w:tab/>
            </w:r>
            <w:r w:rsidR="0031632C" w:rsidRPr="00B837D2">
              <w:rPr>
                <w:rStyle w:val="Hypertextovodkaz"/>
                <w:noProof/>
              </w:rPr>
              <w:t>Konzultace a zdroje dat</w:t>
            </w:r>
            <w:r w:rsidR="0031632C">
              <w:rPr>
                <w:noProof/>
                <w:webHidden/>
              </w:rPr>
              <w:tab/>
            </w:r>
            <w:r w:rsidR="0031632C">
              <w:rPr>
                <w:noProof/>
                <w:webHidden/>
              </w:rPr>
              <w:fldChar w:fldCharType="begin"/>
            </w:r>
            <w:r w:rsidR="0031632C">
              <w:rPr>
                <w:noProof/>
                <w:webHidden/>
              </w:rPr>
              <w:instrText xml:space="preserve"> PAGEREF _Toc164761283 \h </w:instrText>
            </w:r>
            <w:r w:rsidR="0031632C">
              <w:rPr>
                <w:noProof/>
                <w:webHidden/>
              </w:rPr>
            </w:r>
            <w:r w:rsidR="0031632C">
              <w:rPr>
                <w:noProof/>
                <w:webHidden/>
              </w:rPr>
              <w:fldChar w:fldCharType="separate"/>
            </w:r>
            <w:r w:rsidR="0031632C">
              <w:rPr>
                <w:noProof/>
                <w:webHidden/>
              </w:rPr>
              <w:t>20</w:t>
            </w:r>
            <w:r w:rsidR="0031632C">
              <w:rPr>
                <w:noProof/>
                <w:webHidden/>
              </w:rPr>
              <w:fldChar w:fldCharType="end"/>
            </w:r>
          </w:hyperlink>
        </w:p>
        <w:p w14:paraId="4970E24D" w14:textId="64791CB8" w:rsidR="0031632C" w:rsidRDefault="00C01993">
          <w:pPr>
            <w:pStyle w:val="Obsah1"/>
            <w:rPr>
              <w:rFonts w:asciiTheme="minorHAnsi" w:hAnsiTheme="minorHAnsi"/>
              <w:noProof/>
              <w:sz w:val="22"/>
              <w:lang w:eastAsia="cs-CZ"/>
            </w:rPr>
          </w:pPr>
          <w:hyperlink w:anchor="_Toc164761284" w:history="1">
            <w:r w:rsidR="0031632C" w:rsidRPr="00B837D2">
              <w:rPr>
                <w:rStyle w:val="Hypertextovodkaz"/>
                <w:noProof/>
              </w:rPr>
              <w:t>3</w:t>
            </w:r>
            <w:r w:rsidR="0031632C">
              <w:rPr>
                <w:rFonts w:asciiTheme="minorHAnsi" w:hAnsiTheme="minorHAnsi"/>
                <w:noProof/>
                <w:sz w:val="22"/>
                <w:lang w:eastAsia="cs-CZ"/>
              </w:rPr>
              <w:tab/>
            </w:r>
            <w:r w:rsidR="0031632C" w:rsidRPr="00B837D2">
              <w:rPr>
                <w:rStyle w:val="Hypertextovodkaz"/>
                <w:noProof/>
              </w:rPr>
              <w:t>Zadržení věci orgány celní správy</w:t>
            </w:r>
            <w:r w:rsidR="0031632C">
              <w:rPr>
                <w:noProof/>
                <w:webHidden/>
              </w:rPr>
              <w:tab/>
            </w:r>
            <w:r w:rsidR="0031632C">
              <w:rPr>
                <w:noProof/>
                <w:webHidden/>
              </w:rPr>
              <w:fldChar w:fldCharType="begin"/>
            </w:r>
            <w:r w:rsidR="0031632C">
              <w:rPr>
                <w:noProof/>
                <w:webHidden/>
              </w:rPr>
              <w:instrText xml:space="preserve"> PAGEREF _Toc164761284 \h </w:instrText>
            </w:r>
            <w:r w:rsidR="0031632C">
              <w:rPr>
                <w:noProof/>
                <w:webHidden/>
              </w:rPr>
            </w:r>
            <w:r w:rsidR="0031632C">
              <w:rPr>
                <w:noProof/>
                <w:webHidden/>
              </w:rPr>
              <w:fldChar w:fldCharType="separate"/>
            </w:r>
            <w:r w:rsidR="0031632C">
              <w:rPr>
                <w:noProof/>
                <w:webHidden/>
              </w:rPr>
              <w:t>21</w:t>
            </w:r>
            <w:r w:rsidR="0031632C">
              <w:rPr>
                <w:noProof/>
                <w:webHidden/>
              </w:rPr>
              <w:fldChar w:fldCharType="end"/>
            </w:r>
          </w:hyperlink>
        </w:p>
        <w:p w14:paraId="0AA67CEB" w14:textId="5EDFED65" w:rsidR="0031632C" w:rsidRDefault="00C01993">
          <w:pPr>
            <w:pStyle w:val="Obsah2"/>
            <w:tabs>
              <w:tab w:val="left" w:pos="880"/>
              <w:tab w:val="right" w:leader="dot" w:pos="9060"/>
            </w:tabs>
            <w:rPr>
              <w:rFonts w:asciiTheme="minorHAnsi" w:hAnsiTheme="minorHAnsi"/>
              <w:noProof/>
              <w:sz w:val="22"/>
              <w:lang w:eastAsia="cs-CZ"/>
            </w:rPr>
          </w:pPr>
          <w:hyperlink w:anchor="_Toc164761285" w:history="1">
            <w:r w:rsidR="0031632C" w:rsidRPr="00B837D2">
              <w:rPr>
                <w:rStyle w:val="Hypertextovodkaz"/>
                <w:noProof/>
              </w:rPr>
              <w:t>3.1</w:t>
            </w:r>
            <w:r w:rsidR="0031632C">
              <w:rPr>
                <w:rFonts w:asciiTheme="minorHAnsi" w:hAnsiTheme="minorHAnsi"/>
                <w:noProof/>
                <w:sz w:val="22"/>
                <w:lang w:eastAsia="cs-CZ"/>
              </w:rPr>
              <w:tab/>
            </w:r>
            <w:r w:rsidR="0031632C" w:rsidRPr="00B837D2">
              <w:rPr>
                <w:rStyle w:val="Hypertextovodkaz"/>
                <w:noProof/>
              </w:rPr>
              <w:t>Důvod předložení a cíle</w:t>
            </w:r>
            <w:r w:rsidR="0031632C">
              <w:rPr>
                <w:noProof/>
                <w:webHidden/>
              </w:rPr>
              <w:tab/>
            </w:r>
            <w:r w:rsidR="0031632C">
              <w:rPr>
                <w:noProof/>
                <w:webHidden/>
              </w:rPr>
              <w:fldChar w:fldCharType="begin"/>
            </w:r>
            <w:r w:rsidR="0031632C">
              <w:rPr>
                <w:noProof/>
                <w:webHidden/>
              </w:rPr>
              <w:instrText xml:space="preserve"> PAGEREF _Toc164761285 \h </w:instrText>
            </w:r>
            <w:r w:rsidR="0031632C">
              <w:rPr>
                <w:noProof/>
                <w:webHidden/>
              </w:rPr>
            </w:r>
            <w:r w:rsidR="0031632C">
              <w:rPr>
                <w:noProof/>
                <w:webHidden/>
              </w:rPr>
              <w:fldChar w:fldCharType="separate"/>
            </w:r>
            <w:r w:rsidR="0031632C">
              <w:rPr>
                <w:noProof/>
                <w:webHidden/>
              </w:rPr>
              <w:t>21</w:t>
            </w:r>
            <w:r w:rsidR="0031632C">
              <w:rPr>
                <w:noProof/>
                <w:webHidden/>
              </w:rPr>
              <w:fldChar w:fldCharType="end"/>
            </w:r>
          </w:hyperlink>
        </w:p>
        <w:p w14:paraId="3012E7CA" w14:textId="78043188" w:rsidR="0031632C" w:rsidRDefault="00C01993">
          <w:pPr>
            <w:pStyle w:val="Obsah3"/>
            <w:rPr>
              <w:rFonts w:asciiTheme="minorHAnsi" w:hAnsiTheme="minorHAnsi"/>
              <w:sz w:val="22"/>
              <w:lang w:eastAsia="cs-CZ"/>
            </w:rPr>
          </w:pPr>
          <w:hyperlink w:anchor="_Toc164761286" w:history="1">
            <w:r w:rsidR="0031632C" w:rsidRPr="00B837D2">
              <w:rPr>
                <w:rStyle w:val="Hypertextovodkaz"/>
              </w:rPr>
              <w:t>3.1.1</w:t>
            </w:r>
            <w:r w:rsidR="0031632C">
              <w:rPr>
                <w:rFonts w:asciiTheme="minorHAnsi" w:hAnsiTheme="minorHAnsi"/>
                <w:sz w:val="22"/>
                <w:lang w:eastAsia="cs-CZ"/>
              </w:rPr>
              <w:tab/>
            </w:r>
            <w:r w:rsidR="0031632C" w:rsidRPr="00B837D2">
              <w:rPr>
                <w:rStyle w:val="Hypertextovodkaz"/>
              </w:rPr>
              <w:t>Definice problému</w:t>
            </w:r>
            <w:r w:rsidR="0031632C">
              <w:rPr>
                <w:webHidden/>
              </w:rPr>
              <w:tab/>
            </w:r>
            <w:r w:rsidR="0031632C">
              <w:rPr>
                <w:webHidden/>
              </w:rPr>
              <w:fldChar w:fldCharType="begin"/>
            </w:r>
            <w:r w:rsidR="0031632C">
              <w:rPr>
                <w:webHidden/>
              </w:rPr>
              <w:instrText xml:space="preserve"> PAGEREF _Toc164761286 \h </w:instrText>
            </w:r>
            <w:r w:rsidR="0031632C">
              <w:rPr>
                <w:webHidden/>
              </w:rPr>
            </w:r>
            <w:r w:rsidR="0031632C">
              <w:rPr>
                <w:webHidden/>
              </w:rPr>
              <w:fldChar w:fldCharType="separate"/>
            </w:r>
            <w:r w:rsidR="0031632C">
              <w:rPr>
                <w:webHidden/>
              </w:rPr>
              <w:t>21</w:t>
            </w:r>
            <w:r w:rsidR="0031632C">
              <w:rPr>
                <w:webHidden/>
              </w:rPr>
              <w:fldChar w:fldCharType="end"/>
            </w:r>
          </w:hyperlink>
        </w:p>
        <w:p w14:paraId="6052EE7F" w14:textId="09E666CE" w:rsidR="0031632C" w:rsidRDefault="00C01993">
          <w:pPr>
            <w:pStyle w:val="Obsah3"/>
            <w:rPr>
              <w:rFonts w:asciiTheme="minorHAnsi" w:hAnsiTheme="minorHAnsi"/>
              <w:sz w:val="22"/>
              <w:lang w:eastAsia="cs-CZ"/>
            </w:rPr>
          </w:pPr>
          <w:hyperlink w:anchor="_Toc164761287" w:history="1">
            <w:r w:rsidR="0031632C" w:rsidRPr="00B837D2">
              <w:rPr>
                <w:rStyle w:val="Hypertextovodkaz"/>
              </w:rPr>
              <w:t>3.1.2</w:t>
            </w:r>
            <w:r w:rsidR="0031632C">
              <w:rPr>
                <w:rFonts w:asciiTheme="minorHAnsi" w:hAnsiTheme="minorHAnsi"/>
                <w:sz w:val="22"/>
                <w:lang w:eastAsia="cs-CZ"/>
              </w:rPr>
              <w:tab/>
            </w:r>
            <w:r w:rsidR="0031632C" w:rsidRPr="00B837D2">
              <w:rPr>
                <w:rStyle w:val="Hypertextovodkaz"/>
              </w:rPr>
              <w:t>Popis existujícího právního stavu v dané oblasti</w:t>
            </w:r>
            <w:r w:rsidR="0031632C">
              <w:rPr>
                <w:webHidden/>
              </w:rPr>
              <w:tab/>
            </w:r>
            <w:r w:rsidR="0031632C">
              <w:rPr>
                <w:webHidden/>
              </w:rPr>
              <w:fldChar w:fldCharType="begin"/>
            </w:r>
            <w:r w:rsidR="0031632C">
              <w:rPr>
                <w:webHidden/>
              </w:rPr>
              <w:instrText xml:space="preserve"> PAGEREF _Toc164761287 \h </w:instrText>
            </w:r>
            <w:r w:rsidR="0031632C">
              <w:rPr>
                <w:webHidden/>
              </w:rPr>
            </w:r>
            <w:r w:rsidR="0031632C">
              <w:rPr>
                <w:webHidden/>
              </w:rPr>
              <w:fldChar w:fldCharType="separate"/>
            </w:r>
            <w:r w:rsidR="0031632C">
              <w:rPr>
                <w:webHidden/>
              </w:rPr>
              <w:t>22</w:t>
            </w:r>
            <w:r w:rsidR="0031632C">
              <w:rPr>
                <w:webHidden/>
              </w:rPr>
              <w:fldChar w:fldCharType="end"/>
            </w:r>
          </w:hyperlink>
        </w:p>
        <w:p w14:paraId="68946E3A" w14:textId="26C2EAE1" w:rsidR="0031632C" w:rsidRDefault="00C01993">
          <w:pPr>
            <w:pStyle w:val="Obsah3"/>
            <w:rPr>
              <w:rFonts w:asciiTheme="minorHAnsi" w:hAnsiTheme="minorHAnsi"/>
              <w:sz w:val="22"/>
              <w:lang w:eastAsia="cs-CZ"/>
            </w:rPr>
          </w:pPr>
          <w:hyperlink w:anchor="_Toc164761288" w:history="1">
            <w:r w:rsidR="0031632C" w:rsidRPr="00B837D2">
              <w:rPr>
                <w:rStyle w:val="Hypertextovodkaz"/>
              </w:rPr>
              <w:t>3.1.3</w:t>
            </w:r>
            <w:r w:rsidR="0031632C">
              <w:rPr>
                <w:rFonts w:asciiTheme="minorHAnsi" w:hAnsiTheme="minorHAnsi"/>
                <w:sz w:val="22"/>
                <w:lang w:eastAsia="cs-CZ"/>
              </w:rPr>
              <w:tab/>
            </w:r>
            <w:r w:rsidR="0031632C" w:rsidRPr="00B837D2">
              <w:rPr>
                <w:rStyle w:val="Hypertextovodkaz"/>
              </w:rPr>
              <w:t>Identifikace dotčených subjektů</w:t>
            </w:r>
            <w:r w:rsidR="0031632C">
              <w:rPr>
                <w:webHidden/>
              </w:rPr>
              <w:tab/>
            </w:r>
            <w:r w:rsidR="0031632C">
              <w:rPr>
                <w:webHidden/>
              </w:rPr>
              <w:fldChar w:fldCharType="begin"/>
            </w:r>
            <w:r w:rsidR="0031632C">
              <w:rPr>
                <w:webHidden/>
              </w:rPr>
              <w:instrText xml:space="preserve"> PAGEREF _Toc164761288 \h </w:instrText>
            </w:r>
            <w:r w:rsidR="0031632C">
              <w:rPr>
                <w:webHidden/>
              </w:rPr>
            </w:r>
            <w:r w:rsidR="0031632C">
              <w:rPr>
                <w:webHidden/>
              </w:rPr>
              <w:fldChar w:fldCharType="separate"/>
            </w:r>
            <w:r w:rsidR="0031632C">
              <w:rPr>
                <w:webHidden/>
              </w:rPr>
              <w:t>23</w:t>
            </w:r>
            <w:r w:rsidR="0031632C">
              <w:rPr>
                <w:webHidden/>
              </w:rPr>
              <w:fldChar w:fldCharType="end"/>
            </w:r>
          </w:hyperlink>
        </w:p>
        <w:p w14:paraId="21559D16" w14:textId="2B1C3A2F" w:rsidR="0031632C" w:rsidRDefault="00C01993">
          <w:pPr>
            <w:pStyle w:val="Obsah3"/>
            <w:rPr>
              <w:rFonts w:asciiTheme="minorHAnsi" w:hAnsiTheme="minorHAnsi"/>
              <w:sz w:val="22"/>
              <w:lang w:eastAsia="cs-CZ"/>
            </w:rPr>
          </w:pPr>
          <w:hyperlink w:anchor="_Toc164761289" w:history="1">
            <w:r w:rsidR="0031632C" w:rsidRPr="00B837D2">
              <w:rPr>
                <w:rStyle w:val="Hypertextovodkaz"/>
              </w:rPr>
              <w:t>3.1.4</w:t>
            </w:r>
            <w:r w:rsidR="0031632C">
              <w:rPr>
                <w:rFonts w:asciiTheme="minorHAnsi" w:hAnsiTheme="minorHAnsi"/>
                <w:sz w:val="22"/>
                <w:lang w:eastAsia="cs-CZ"/>
              </w:rPr>
              <w:tab/>
            </w:r>
            <w:r w:rsidR="0031632C" w:rsidRPr="00B837D2">
              <w:rPr>
                <w:rStyle w:val="Hypertextovodkaz"/>
              </w:rPr>
              <w:t>Popis cílového stavu</w:t>
            </w:r>
            <w:r w:rsidR="0031632C">
              <w:rPr>
                <w:webHidden/>
              </w:rPr>
              <w:tab/>
            </w:r>
            <w:r w:rsidR="0031632C">
              <w:rPr>
                <w:webHidden/>
              </w:rPr>
              <w:fldChar w:fldCharType="begin"/>
            </w:r>
            <w:r w:rsidR="0031632C">
              <w:rPr>
                <w:webHidden/>
              </w:rPr>
              <w:instrText xml:space="preserve"> PAGEREF _Toc164761289 \h </w:instrText>
            </w:r>
            <w:r w:rsidR="0031632C">
              <w:rPr>
                <w:webHidden/>
              </w:rPr>
            </w:r>
            <w:r w:rsidR="0031632C">
              <w:rPr>
                <w:webHidden/>
              </w:rPr>
              <w:fldChar w:fldCharType="separate"/>
            </w:r>
            <w:r w:rsidR="0031632C">
              <w:rPr>
                <w:webHidden/>
              </w:rPr>
              <w:t>23</w:t>
            </w:r>
            <w:r w:rsidR="0031632C">
              <w:rPr>
                <w:webHidden/>
              </w:rPr>
              <w:fldChar w:fldCharType="end"/>
            </w:r>
          </w:hyperlink>
        </w:p>
        <w:p w14:paraId="6C780BB0" w14:textId="0A668812" w:rsidR="0031632C" w:rsidRDefault="00C01993">
          <w:pPr>
            <w:pStyle w:val="Obsah3"/>
            <w:rPr>
              <w:rFonts w:asciiTheme="minorHAnsi" w:hAnsiTheme="minorHAnsi"/>
              <w:sz w:val="22"/>
              <w:lang w:eastAsia="cs-CZ"/>
            </w:rPr>
          </w:pPr>
          <w:hyperlink w:anchor="_Toc164761290" w:history="1">
            <w:r w:rsidR="0031632C" w:rsidRPr="00B837D2">
              <w:rPr>
                <w:rStyle w:val="Hypertextovodkaz"/>
              </w:rPr>
              <w:t>3.1.5</w:t>
            </w:r>
            <w:r w:rsidR="0031632C">
              <w:rPr>
                <w:rFonts w:asciiTheme="minorHAnsi" w:hAnsiTheme="minorHAnsi"/>
                <w:sz w:val="22"/>
                <w:lang w:eastAsia="cs-CZ"/>
              </w:rPr>
              <w:tab/>
            </w:r>
            <w:r w:rsidR="0031632C" w:rsidRPr="00B837D2">
              <w:rPr>
                <w:rStyle w:val="Hypertextovodkaz"/>
              </w:rPr>
              <w:t>Zhodnocení rizika</w:t>
            </w:r>
            <w:r w:rsidR="0031632C">
              <w:rPr>
                <w:webHidden/>
              </w:rPr>
              <w:tab/>
            </w:r>
            <w:r w:rsidR="0031632C">
              <w:rPr>
                <w:webHidden/>
              </w:rPr>
              <w:fldChar w:fldCharType="begin"/>
            </w:r>
            <w:r w:rsidR="0031632C">
              <w:rPr>
                <w:webHidden/>
              </w:rPr>
              <w:instrText xml:space="preserve"> PAGEREF _Toc164761290 \h </w:instrText>
            </w:r>
            <w:r w:rsidR="0031632C">
              <w:rPr>
                <w:webHidden/>
              </w:rPr>
            </w:r>
            <w:r w:rsidR="0031632C">
              <w:rPr>
                <w:webHidden/>
              </w:rPr>
              <w:fldChar w:fldCharType="separate"/>
            </w:r>
            <w:r w:rsidR="0031632C">
              <w:rPr>
                <w:webHidden/>
              </w:rPr>
              <w:t>24</w:t>
            </w:r>
            <w:r w:rsidR="0031632C">
              <w:rPr>
                <w:webHidden/>
              </w:rPr>
              <w:fldChar w:fldCharType="end"/>
            </w:r>
          </w:hyperlink>
        </w:p>
        <w:p w14:paraId="54654FB4" w14:textId="629D4498" w:rsidR="0031632C" w:rsidRDefault="00C01993">
          <w:pPr>
            <w:pStyle w:val="Obsah2"/>
            <w:tabs>
              <w:tab w:val="left" w:pos="880"/>
              <w:tab w:val="right" w:leader="dot" w:pos="9060"/>
            </w:tabs>
            <w:rPr>
              <w:rFonts w:asciiTheme="minorHAnsi" w:hAnsiTheme="minorHAnsi"/>
              <w:noProof/>
              <w:sz w:val="22"/>
              <w:lang w:eastAsia="cs-CZ"/>
            </w:rPr>
          </w:pPr>
          <w:hyperlink w:anchor="_Toc164761291" w:history="1">
            <w:r w:rsidR="0031632C" w:rsidRPr="00B837D2">
              <w:rPr>
                <w:rStyle w:val="Hypertextovodkaz"/>
                <w:noProof/>
              </w:rPr>
              <w:t>3.2</w:t>
            </w:r>
            <w:r w:rsidR="0031632C">
              <w:rPr>
                <w:rFonts w:asciiTheme="minorHAnsi" w:hAnsiTheme="minorHAnsi"/>
                <w:noProof/>
                <w:sz w:val="22"/>
                <w:lang w:eastAsia="cs-CZ"/>
              </w:rPr>
              <w:tab/>
            </w:r>
            <w:r w:rsidR="0031632C" w:rsidRPr="00B837D2">
              <w:rPr>
                <w:rStyle w:val="Hypertextovodkaz"/>
                <w:noProof/>
              </w:rPr>
              <w:t>Návrh variant řešení</w:t>
            </w:r>
            <w:r w:rsidR="0031632C">
              <w:rPr>
                <w:noProof/>
                <w:webHidden/>
              </w:rPr>
              <w:tab/>
            </w:r>
            <w:r w:rsidR="0031632C">
              <w:rPr>
                <w:noProof/>
                <w:webHidden/>
              </w:rPr>
              <w:fldChar w:fldCharType="begin"/>
            </w:r>
            <w:r w:rsidR="0031632C">
              <w:rPr>
                <w:noProof/>
                <w:webHidden/>
              </w:rPr>
              <w:instrText xml:space="preserve"> PAGEREF _Toc164761291 \h </w:instrText>
            </w:r>
            <w:r w:rsidR="0031632C">
              <w:rPr>
                <w:noProof/>
                <w:webHidden/>
              </w:rPr>
            </w:r>
            <w:r w:rsidR="0031632C">
              <w:rPr>
                <w:noProof/>
                <w:webHidden/>
              </w:rPr>
              <w:fldChar w:fldCharType="separate"/>
            </w:r>
            <w:r w:rsidR="0031632C">
              <w:rPr>
                <w:noProof/>
                <w:webHidden/>
              </w:rPr>
              <w:t>24</w:t>
            </w:r>
            <w:r w:rsidR="0031632C">
              <w:rPr>
                <w:noProof/>
                <w:webHidden/>
              </w:rPr>
              <w:fldChar w:fldCharType="end"/>
            </w:r>
          </w:hyperlink>
        </w:p>
        <w:p w14:paraId="4DAF9477" w14:textId="05AB8029" w:rsidR="0031632C" w:rsidRDefault="00C01993">
          <w:pPr>
            <w:pStyle w:val="Obsah2"/>
            <w:tabs>
              <w:tab w:val="left" w:pos="880"/>
              <w:tab w:val="right" w:leader="dot" w:pos="9060"/>
            </w:tabs>
            <w:rPr>
              <w:rFonts w:asciiTheme="minorHAnsi" w:hAnsiTheme="minorHAnsi"/>
              <w:noProof/>
              <w:sz w:val="22"/>
              <w:lang w:eastAsia="cs-CZ"/>
            </w:rPr>
          </w:pPr>
          <w:hyperlink w:anchor="_Toc164761292" w:history="1">
            <w:r w:rsidR="0031632C" w:rsidRPr="00B837D2">
              <w:rPr>
                <w:rStyle w:val="Hypertextovodkaz"/>
                <w:noProof/>
              </w:rPr>
              <w:t>3.3</w:t>
            </w:r>
            <w:r w:rsidR="0031632C">
              <w:rPr>
                <w:rFonts w:asciiTheme="minorHAnsi" w:hAnsiTheme="minorHAnsi"/>
                <w:noProof/>
                <w:sz w:val="22"/>
                <w:lang w:eastAsia="cs-CZ"/>
              </w:rPr>
              <w:tab/>
            </w:r>
            <w:r w:rsidR="0031632C" w:rsidRPr="00B837D2">
              <w:rPr>
                <w:rStyle w:val="Hypertextovodkaz"/>
                <w:noProof/>
              </w:rPr>
              <w:t>Vyhodnocení nákladů a přínosů</w:t>
            </w:r>
            <w:r w:rsidR="0031632C">
              <w:rPr>
                <w:noProof/>
                <w:webHidden/>
              </w:rPr>
              <w:tab/>
            </w:r>
            <w:r w:rsidR="0031632C">
              <w:rPr>
                <w:noProof/>
                <w:webHidden/>
              </w:rPr>
              <w:fldChar w:fldCharType="begin"/>
            </w:r>
            <w:r w:rsidR="0031632C">
              <w:rPr>
                <w:noProof/>
                <w:webHidden/>
              </w:rPr>
              <w:instrText xml:space="preserve"> PAGEREF _Toc164761292 \h </w:instrText>
            </w:r>
            <w:r w:rsidR="0031632C">
              <w:rPr>
                <w:noProof/>
                <w:webHidden/>
              </w:rPr>
            </w:r>
            <w:r w:rsidR="0031632C">
              <w:rPr>
                <w:noProof/>
                <w:webHidden/>
              </w:rPr>
              <w:fldChar w:fldCharType="separate"/>
            </w:r>
            <w:r w:rsidR="0031632C">
              <w:rPr>
                <w:noProof/>
                <w:webHidden/>
              </w:rPr>
              <w:t>24</w:t>
            </w:r>
            <w:r w:rsidR="0031632C">
              <w:rPr>
                <w:noProof/>
                <w:webHidden/>
              </w:rPr>
              <w:fldChar w:fldCharType="end"/>
            </w:r>
          </w:hyperlink>
        </w:p>
        <w:p w14:paraId="63DF7E88" w14:textId="4C3EEE11" w:rsidR="0031632C" w:rsidRDefault="00C01993">
          <w:pPr>
            <w:pStyle w:val="Obsah3"/>
            <w:rPr>
              <w:rFonts w:asciiTheme="minorHAnsi" w:hAnsiTheme="minorHAnsi"/>
              <w:sz w:val="22"/>
              <w:lang w:eastAsia="cs-CZ"/>
            </w:rPr>
          </w:pPr>
          <w:hyperlink w:anchor="_Toc164761293" w:history="1">
            <w:r w:rsidR="0031632C" w:rsidRPr="00B837D2">
              <w:rPr>
                <w:rStyle w:val="Hypertextovodkaz"/>
              </w:rPr>
              <w:t>3.3.1</w:t>
            </w:r>
            <w:r w:rsidR="0031632C">
              <w:rPr>
                <w:rFonts w:asciiTheme="minorHAnsi" w:hAnsiTheme="minorHAnsi"/>
                <w:sz w:val="22"/>
                <w:lang w:eastAsia="cs-CZ"/>
              </w:rPr>
              <w:tab/>
            </w:r>
            <w:r w:rsidR="0031632C" w:rsidRPr="00B837D2">
              <w:rPr>
                <w:rStyle w:val="Hypertextovodkaz"/>
              </w:rPr>
              <w:t>Identifikace nákladů a přínosů</w:t>
            </w:r>
            <w:r w:rsidR="0031632C">
              <w:rPr>
                <w:webHidden/>
              </w:rPr>
              <w:tab/>
            </w:r>
            <w:r w:rsidR="0031632C">
              <w:rPr>
                <w:webHidden/>
              </w:rPr>
              <w:fldChar w:fldCharType="begin"/>
            </w:r>
            <w:r w:rsidR="0031632C">
              <w:rPr>
                <w:webHidden/>
              </w:rPr>
              <w:instrText xml:space="preserve"> PAGEREF _Toc164761293 \h </w:instrText>
            </w:r>
            <w:r w:rsidR="0031632C">
              <w:rPr>
                <w:webHidden/>
              </w:rPr>
            </w:r>
            <w:r w:rsidR="0031632C">
              <w:rPr>
                <w:webHidden/>
              </w:rPr>
              <w:fldChar w:fldCharType="separate"/>
            </w:r>
            <w:r w:rsidR="0031632C">
              <w:rPr>
                <w:webHidden/>
              </w:rPr>
              <w:t>24</w:t>
            </w:r>
            <w:r w:rsidR="0031632C">
              <w:rPr>
                <w:webHidden/>
              </w:rPr>
              <w:fldChar w:fldCharType="end"/>
            </w:r>
          </w:hyperlink>
        </w:p>
        <w:p w14:paraId="1006176D" w14:textId="26515A58" w:rsidR="0031632C" w:rsidRDefault="00C01993">
          <w:pPr>
            <w:pStyle w:val="Obsah3"/>
            <w:rPr>
              <w:rFonts w:asciiTheme="minorHAnsi" w:hAnsiTheme="minorHAnsi"/>
              <w:sz w:val="22"/>
              <w:lang w:eastAsia="cs-CZ"/>
            </w:rPr>
          </w:pPr>
          <w:hyperlink w:anchor="_Toc164761294" w:history="1">
            <w:r w:rsidR="0031632C" w:rsidRPr="00B837D2">
              <w:rPr>
                <w:rStyle w:val="Hypertextovodkaz"/>
              </w:rPr>
              <w:t>3.3.2</w:t>
            </w:r>
            <w:r w:rsidR="0031632C">
              <w:rPr>
                <w:rFonts w:asciiTheme="minorHAnsi" w:hAnsiTheme="minorHAnsi"/>
                <w:sz w:val="22"/>
                <w:lang w:eastAsia="cs-CZ"/>
              </w:rPr>
              <w:tab/>
            </w:r>
            <w:r w:rsidR="0031632C" w:rsidRPr="00B837D2">
              <w:rPr>
                <w:rStyle w:val="Hypertextovodkaz"/>
              </w:rPr>
              <w:t>Náklady</w:t>
            </w:r>
            <w:r w:rsidR="0031632C">
              <w:rPr>
                <w:webHidden/>
              </w:rPr>
              <w:tab/>
            </w:r>
            <w:r w:rsidR="0031632C">
              <w:rPr>
                <w:webHidden/>
              </w:rPr>
              <w:fldChar w:fldCharType="begin"/>
            </w:r>
            <w:r w:rsidR="0031632C">
              <w:rPr>
                <w:webHidden/>
              </w:rPr>
              <w:instrText xml:space="preserve"> PAGEREF _Toc164761294 \h </w:instrText>
            </w:r>
            <w:r w:rsidR="0031632C">
              <w:rPr>
                <w:webHidden/>
              </w:rPr>
            </w:r>
            <w:r w:rsidR="0031632C">
              <w:rPr>
                <w:webHidden/>
              </w:rPr>
              <w:fldChar w:fldCharType="separate"/>
            </w:r>
            <w:r w:rsidR="0031632C">
              <w:rPr>
                <w:webHidden/>
              </w:rPr>
              <w:t>25</w:t>
            </w:r>
            <w:r w:rsidR="0031632C">
              <w:rPr>
                <w:webHidden/>
              </w:rPr>
              <w:fldChar w:fldCharType="end"/>
            </w:r>
          </w:hyperlink>
        </w:p>
        <w:p w14:paraId="54BD7947" w14:textId="66F490F9" w:rsidR="0031632C" w:rsidRDefault="00C01993">
          <w:pPr>
            <w:pStyle w:val="Obsah3"/>
            <w:rPr>
              <w:rFonts w:asciiTheme="minorHAnsi" w:hAnsiTheme="minorHAnsi"/>
              <w:sz w:val="22"/>
              <w:lang w:eastAsia="cs-CZ"/>
            </w:rPr>
          </w:pPr>
          <w:hyperlink w:anchor="_Toc164761295" w:history="1">
            <w:r w:rsidR="0031632C" w:rsidRPr="00B837D2">
              <w:rPr>
                <w:rStyle w:val="Hypertextovodkaz"/>
              </w:rPr>
              <w:t>3.3.3</w:t>
            </w:r>
            <w:r w:rsidR="0031632C">
              <w:rPr>
                <w:rFonts w:asciiTheme="minorHAnsi" w:hAnsiTheme="minorHAnsi"/>
                <w:sz w:val="22"/>
                <w:lang w:eastAsia="cs-CZ"/>
              </w:rPr>
              <w:tab/>
            </w:r>
            <w:r w:rsidR="0031632C" w:rsidRPr="00B837D2">
              <w:rPr>
                <w:rStyle w:val="Hypertextovodkaz"/>
              </w:rPr>
              <w:t>Přínosy</w:t>
            </w:r>
            <w:r w:rsidR="0031632C">
              <w:rPr>
                <w:webHidden/>
              </w:rPr>
              <w:tab/>
            </w:r>
            <w:r w:rsidR="0031632C">
              <w:rPr>
                <w:webHidden/>
              </w:rPr>
              <w:fldChar w:fldCharType="begin"/>
            </w:r>
            <w:r w:rsidR="0031632C">
              <w:rPr>
                <w:webHidden/>
              </w:rPr>
              <w:instrText xml:space="preserve"> PAGEREF _Toc164761295 \h </w:instrText>
            </w:r>
            <w:r w:rsidR="0031632C">
              <w:rPr>
                <w:webHidden/>
              </w:rPr>
            </w:r>
            <w:r w:rsidR="0031632C">
              <w:rPr>
                <w:webHidden/>
              </w:rPr>
              <w:fldChar w:fldCharType="separate"/>
            </w:r>
            <w:r w:rsidR="0031632C">
              <w:rPr>
                <w:webHidden/>
              </w:rPr>
              <w:t>25</w:t>
            </w:r>
            <w:r w:rsidR="0031632C">
              <w:rPr>
                <w:webHidden/>
              </w:rPr>
              <w:fldChar w:fldCharType="end"/>
            </w:r>
          </w:hyperlink>
        </w:p>
        <w:p w14:paraId="03E279FB" w14:textId="4564F810" w:rsidR="0031632C" w:rsidRDefault="00C01993">
          <w:pPr>
            <w:pStyle w:val="Obsah3"/>
            <w:rPr>
              <w:rFonts w:asciiTheme="minorHAnsi" w:hAnsiTheme="minorHAnsi"/>
              <w:sz w:val="22"/>
              <w:lang w:eastAsia="cs-CZ"/>
            </w:rPr>
          </w:pPr>
          <w:hyperlink w:anchor="_Toc164761296" w:history="1">
            <w:r w:rsidR="0031632C" w:rsidRPr="00B837D2">
              <w:rPr>
                <w:rStyle w:val="Hypertextovodkaz"/>
              </w:rPr>
              <w:t>3.3.4</w:t>
            </w:r>
            <w:r w:rsidR="0031632C">
              <w:rPr>
                <w:rFonts w:asciiTheme="minorHAnsi" w:hAnsiTheme="minorHAnsi"/>
                <w:sz w:val="22"/>
                <w:lang w:eastAsia="cs-CZ"/>
              </w:rPr>
              <w:tab/>
            </w:r>
            <w:r w:rsidR="0031632C" w:rsidRPr="00B837D2">
              <w:rPr>
                <w:rStyle w:val="Hypertextovodkaz"/>
              </w:rPr>
              <w:t>Vyhodnocení nákladů a přínosů variant</w:t>
            </w:r>
            <w:r w:rsidR="0031632C">
              <w:rPr>
                <w:webHidden/>
              </w:rPr>
              <w:tab/>
            </w:r>
            <w:r w:rsidR="0031632C">
              <w:rPr>
                <w:webHidden/>
              </w:rPr>
              <w:fldChar w:fldCharType="begin"/>
            </w:r>
            <w:r w:rsidR="0031632C">
              <w:rPr>
                <w:webHidden/>
              </w:rPr>
              <w:instrText xml:space="preserve"> PAGEREF _Toc164761296 \h </w:instrText>
            </w:r>
            <w:r w:rsidR="0031632C">
              <w:rPr>
                <w:webHidden/>
              </w:rPr>
            </w:r>
            <w:r w:rsidR="0031632C">
              <w:rPr>
                <w:webHidden/>
              </w:rPr>
              <w:fldChar w:fldCharType="separate"/>
            </w:r>
            <w:r w:rsidR="0031632C">
              <w:rPr>
                <w:webHidden/>
              </w:rPr>
              <w:t>25</w:t>
            </w:r>
            <w:r w:rsidR="0031632C">
              <w:rPr>
                <w:webHidden/>
              </w:rPr>
              <w:fldChar w:fldCharType="end"/>
            </w:r>
          </w:hyperlink>
        </w:p>
        <w:p w14:paraId="226E35DA" w14:textId="1AD67400" w:rsidR="0031632C" w:rsidRDefault="00C01993">
          <w:pPr>
            <w:pStyle w:val="Obsah2"/>
            <w:tabs>
              <w:tab w:val="left" w:pos="880"/>
              <w:tab w:val="right" w:leader="dot" w:pos="9060"/>
            </w:tabs>
            <w:rPr>
              <w:rFonts w:asciiTheme="minorHAnsi" w:hAnsiTheme="minorHAnsi"/>
              <w:noProof/>
              <w:sz w:val="22"/>
              <w:lang w:eastAsia="cs-CZ"/>
            </w:rPr>
          </w:pPr>
          <w:hyperlink w:anchor="_Toc164761297" w:history="1">
            <w:r w:rsidR="0031632C" w:rsidRPr="00B837D2">
              <w:rPr>
                <w:rStyle w:val="Hypertextovodkaz"/>
                <w:noProof/>
              </w:rPr>
              <w:t>3.4</w:t>
            </w:r>
            <w:r w:rsidR="0031632C">
              <w:rPr>
                <w:rFonts w:asciiTheme="minorHAnsi" w:hAnsiTheme="minorHAnsi"/>
                <w:noProof/>
                <w:sz w:val="22"/>
                <w:lang w:eastAsia="cs-CZ"/>
              </w:rPr>
              <w:tab/>
            </w:r>
            <w:r w:rsidR="0031632C" w:rsidRPr="00B837D2">
              <w:rPr>
                <w:rStyle w:val="Hypertextovodkaz"/>
                <w:noProof/>
              </w:rPr>
              <w:t>Stanovení pořadí variant a výběr nejvhodnějšího řešení</w:t>
            </w:r>
            <w:r w:rsidR="0031632C">
              <w:rPr>
                <w:noProof/>
                <w:webHidden/>
              </w:rPr>
              <w:tab/>
            </w:r>
            <w:r w:rsidR="0031632C">
              <w:rPr>
                <w:noProof/>
                <w:webHidden/>
              </w:rPr>
              <w:fldChar w:fldCharType="begin"/>
            </w:r>
            <w:r w:rsidR="0031632C">
              <w:rPr>
                <w:noProof/>
                <w:webHidden/>
              </w:rPr>
              <w:instrText xml:space="preserve"> PAGEREF _Toc164761297 \h </w:instrText>
            </w:r>
            <w:r w:rsidR="0031632C">
              <w:rPr>
                <w:noProof/>
                <w:webHidden/>
              </w:rPr>
            </w:r>
            <w:r w:rsidR="0031632C">
              <w:rPr>
                <w:noProof/>
                <w:webHidden/>
              </w:rPr>
              <w:fldChar w:fldCharType="separate"/>
            </w:r>
            <w:r w:rsidR="0031632C">
              <w:rPr>
                <w:noProof/>
                <w:webHidden/>
              </w:rPr>
              <w:t>26</w:t>
            </w:r>
            <w:r w:rsidR="0031632C">
              <w:rPr>
                <w:noProof/>
                <w:webHidden/>
              </w:rPr>
              <w:fldChar w:fldCharType="end"/>
            </w:r>
          </w:hyperlink>
        </w:p>
        <w:p w14:paraId="7914B15A" w14:textId="3F3A7D3A" w:rsidR="0031632C" w:rsidRDefault="00C01993">
          <w:pPr>
            <w:pStyle w:val="Obsah2"/>
            <w:tabs>
              <w:tab w:val="left" w:pos="880"/>
              <w:tab w:val="right" w:leader="dot" w:pos="9060"/>
            </w:tabs>
            <w:rPr>
              <w:rFonts w:asciiTheme="minorHAnsi" w:hAnsiTheme="minorHAnsi"/>
              <w:noProof/>
              <w:sz w:val="22"/>
              <w:lang w:eastAsia="cs-CZ"/>
            </w:rPr>
          </w:pPr>
          <w:hyperlink w:anchor="_Toc164761298" w:history="1">
            <w:r w:rsidR="0031632C" w:rsidRPr="00B837D2">
              <w:rPr>
                <w:rStyle w:val="Hypertextovodkaz"/>
                <w:noProof/>
              </w:rPr>
              <w:t>3.5</w:t>
            </w:r>
            <w:r w:rsidR="0031632C">
              <w:rPr>
                <w:rFonts w:asciiTheme="minorHAnsi" w:hAnsiTheme="minorHAnsi"/>
                <w:noProof/>
                <w:sz w:val="22"/>
                <w:lang w:eastAsia="cs-CZ"/>
              </w:rPr>
              <w:tab/>
            </w:r>
            <w:r w:rsidR="0031632C" w:rsidRPr="00B837D2">
              <w:rPr>
                <w:rStyle w:val="Hypertextovodkaz"/>
                <w:noProof/>
              </w:rPr>
              <w:t>Implementace doporučené varianty a vynucování</w:t>
            </w:r>
            <w:r w:rsidR="0031632C">
              <w:rPr>
                <w:noProof/>
                <w:webHidden/>
              </w:rPr>
              <w:tab/>
            </w:r>
            <w:r w:rsidR="0031632C">
              <w:rPr>
                <w:noProof/>
                <w:webHidden/>
              </w:rPr>
              <w:fldChar w:fldCharType="begin"/>
            </w:r>
            <w:r w:rsidR="0031632C">
              <w:rPr>
                <w:noProof/>
                <w:webHidden/>
              </w:rPr>
              <w:instrText xml:space="preserve"> PAGEREF _Toc164761298 \h </w:instrText>
            </w:r>
            <w:r w:rsidR="0031632C">
              <w:rPr>
                <w:noProof/>
                <w:webHidden/>
              </w:rPr>
            </w:r>
            <w:r w:rsidR="0031632C">
              <w:rPr>
                <w:noProof/>
                <w:webHidden/>
              </w:rPr>
              <w:fldChar w:fldCharType="separate"/>
            </w:r>
            <w:r w:rsidR="0031632C">
              <w:rPr>
                <w:noProof/>
                <w:webHidden/>
              </w:rPr>
              <w:t>26</w:t>
            </w:r>
            <w:r w:rsidR="0031632C">
              <w:rPr>
                <w:noProof/>
                <w:webHidden/>
              </w:rPr>
              <w:fldChar w:fldCharType="end"/>
            </w:r>
          </w:hyperlink>
        </w:p>
        <w:p w14:paraId="29E4BCA3" w14:textId="7D01B5C4" w:rsidR="0031632C" w:rsidRDefault="00C01993">
          <w:pPr>
            <w:pStyle w:val="Obsah2"/>
            <w:tabs>
              <w:tab w:val="left" w:pos="880"/>
              <w:tab w:val="right" w:leader="dot" w:pos="9060"/>
            </w:tabs>
            <w:rPr>
              <w:rFonts w:asciiTheme="minorHAnsi" w:hAnsiTheme="minorHAnsi"/>
              <w:noProof/>
              <w:sz w:val="22"/>
              <w:lang w:eastAsia="cs-CZ"/>
            </w:rPr>
          </w:pPr>
          <w:hyperlink w:anchor="_Toc164761299" w:history="1">
            <w:r w:rsidR="0031632C" w:rsidRPr="00B837D2">
              <w:rPr>
                <w:rStyle w:val="Hypertextovodkaz"/>
                <w:noProof/>
              </w:rPr>
              <w:t>3.6</w:t>
            </w:r>
            <w:r w:rsidR="0031632C">
              <w:rPr>
                <w:rFonts w:asciiTheme="minorHAnsi" w:hAnsiTheme="minorHAnsi"/>
                <w:noProof/>
                <w:sz w:val="22"/>
                <w:lang w:eastAsia="cs-CZ"/>
              </w:rPr>
              <w:tab/>
            </w:r>
            <w:r w:rsidR="0031632C" w:rsidRPr="00B837D2">
              <w:rPr>
                <w:rStyle w:val="Hypertextovodkaz"/>
                <w:noProof/>
              </w:rPr>
              <w:t>Přezkum účinnosti regulace</w:t>
            </w:r>
            <w:r w:rsidR="0031632C">
              <w:rPr>
                <w:noProof/>
                <w:webHidden/>
              </w:rPr>
              <w:tab/>
            </w:r>
            <w:r w:rsidR="0031632C">
              <w:rPr>
                <w:noProof/>
                <w:webHidden/>
              </w:rPr>
              <w:fldChar w:fldCharType="begin"/>
            </w:r>
            <w:r w:rsidR="0031632C">
              <w:rPr>
                <w:noProof/>
                <w:webHidden/>
              </w:rPr>
              <w:instrText xml:space="preserve"> PAGEREF _Toc164761299 \h </w:instrText>
            </w:r>
            <w:r w:rsidR="0031632C">
              <w:rPr>
                <w:noProof/>
                <w:webHidden/>
              </w:rPr>
            </w:r>
            <w:r w:rsidR="0031632C">
              <w:rPr>
                <w:noProof/>
                <w:webHidden/>
              </w:rPr>
              <w:fldChar w:fldCharType="separate"/>
            </w:r>
            <w:r w:rsidR="0031632C">
              <w:rPr>
                <w:noProof/>
                <w:webHidden/>
              </w:rPr>
              <w:t>26</w:t>
            </w:r>
            <w:r w:rsidR="0031632C">
              <w:rPr>
                <w:noProof/>
                <w:webHidden/>
              </w:rPr>
              <w:fldChar w:fldCharType="end"/>
            </w:r>
          </w:hyperlink>
        </w:p>
        <w:p w14:paraId="47258544" w14:textId="50F6C121" w:rsidR="0031632C" w:rsidRDefault="00C01993">
          <w:pPr>
            <w:pStyle w:val="Obsah2"/>
            <w:tabs>
              <w:tab w:val="left" w:pos="880"/>
              <w:tab w:val="right" w:leader="dot" w:pos="9060"/>
            </w:tabs>
            <w:rPr>
              <w:rFonts w:asciiTheme="minorHAnsi" w:hAnsiTheme="minorHAnsi"/>
              <w:noProof/>
              <w:sz w:val="22"/>
              <w:lang w:eastAsia="cs-CZ"/>
            </w:rPr>
          </w:pPr>
          <w:hyperlink w:anchor="_Toc164761300" w:history="1">
            <w:r w:rsidR="0031632C" w:rsidRPr="00B837D2">
              <w:rPr>
                <w:rStyle w:val="Hypertextovodkaz"/>
                <w:noProof/>
              </w:rPr>
              <w:t>3.7</w:t>
            </w:r>
            <w:r w:rsidR="0031632C">
              <w:rPr>
                <w:rFonts w:asciiTheme="minorHAnsi" w:hAnsiTheme="minorHAnsi"/>
                <w:noProof/>
                <w:sz w:val="22"/>
                <w:lang w:eastAsia="cs-CZ"/>
              </w:rPr>
              <w:tab/>
            </w:r>
            <w:r w:rsidR="0031632C" w:rsidRPr="00B837D2">
              <w:rPr>
                <w:rStyle w:val="Hypertextovodkaz"/>
                <w:noProof/>
              </w:rPr>
              <w:t>Konzultace a zdroje dat</w:t>
            </w:r>
            <w:r w:rsidR="0031632C">
              <w:rPr>
                <w:noProof/>
                <w:webHidden/>
              </w:rPr>
              <w:tab/>
            </w:r>
            <w:r w:rsidR="0031632C">
              <w:rPr>
                <w:noProof/>
                <w:webHidden/>
              </w:rPr>
              <w:fldChar w:fldCharType="begin"/>
            </w:r>
            <w:r w:rsidR="0031632C">
              <w:rPr>
                <w:noProof/>
                <w:webHidden/>
              </w:rPr>
              <w:instrText xml:space="preserve"> PAGEREF _Toc164761300 \h </w:instrText>
            </w:r>
            <w:r w:rsidR="0031632C">
              <w:rPr>
                <w:noProof/>
                <w:webHidden/>
              </w:rPr>
            </w:r>
            <w:r w:rsidR="0031632C">
              <w:rPr>
                <w:noProof/>
                <w:webHidden/>
              </w:rPr>
              <w:fldChar w:fldCharType="separate"/>
            </w:r>
            <w:r w:rsidR="0031632C">
              <w:rPr>
                <w:noProof/>
                <w:webHidden/>
              </w:rPr>
              <w:t>26</w:t>
            </w:r>
            <w:r w:rsidR="0031632C">
              <w:rPr>
                <w:noProof/>
                <w:webHidden/>
              </w:rPr>
              <w:fldChar w:fldCharType="end"/>
            </w:r>
          </w:hyperlink>
        </w:p>
        <w:p w14:paraId="0576698F" w14:textId="0EFABFC7" w:rsidR="0031632C" w:rsidRDefault="00C01993">
          <w:pPr>
            <w:pStyle w:val="Obsah1"/>
            <w:rPr>
              <w:rFonts w:asciiTheme="minorHAnsi" w:hAnsiTheme="minorHAnsi"/>
              <w:noProof/>
              <w:sz w:val="22"/>
              <w:lang w:eastAsia="cs-CZ"/>
            </w:rPr>
          </w:pPr>
          <w:hyperlink w:anchor="_Toc164761301" w:history="1">
            <w:r w:rsidR="0031632C" w:rsidRPr="00B837D2">
              <w:rPr>
                <w:rStyle w:val="Hypertextovodkaz"/>
                <w:noProof/>
              </w:rPr>
              <w:t>4</w:t>
            </w:r>
            <w:r w:rsidR="0031632C">
              <w:rPr>
                <w:rFonts w:asciiTheme="minorHAnsi" w:hAnsiTheme="minorHAnsi"/>
                <w:noProof/>
                <w:sz w:val="22"/>
                <w:lang w:eastAsia="cs-CZ"/>
              </w:rPr>
              <w:tab/>
            </w:r>
            <w:r w:rsidR="0031632C" w:rsidRPr="00B837D2">
              <w:rPr>
                <w:rStyle w:val="Hypertextovodkaz"/>
                <w:noProof/>
              </w:rPr>
              <w:t>Kontakty na zpracovatele RIA</w:t>
            </w:r>
            <w:r w:rsidR="0031632C">
              <w:rPr>
                <w:noProof/>
                <w:webHidden/>
              </w:rPr>
              <w:tab/>
            </w:r>
            <w:r w:rsidR="0031632C">
              <w:rPr>
                <w:noProof/>
                <w:webHidden/>
              </w:rPr>
              <w:fldChar w:fldCharType="begin"/>
            </w:r>
            <w:r w:rsidR="0031632C">
              <w:rPr>
                <w:noProof/>
                <w:webHidden/>
              </w:rPr>
              <w:instrText xml:space="preserve"> PAGEREF _Toc164761301 \h </w:instrText>
            </w:r>
            <w:r w:rsidR="0031632C">
              <w:rPr>
                <w:noProof/>
                <w:webHidden/>
              </w:rPr>
            </w:r>
            <w:r w:rsidR="0031632C">
              <w:rPr>
                <w:noProof/>
                <w:webHidden/>
              </w:rPr>
              <w:fldChar w:fldCharType="separate"/>
            </w:r>
            <w:r w:rsidR="0031632C">
              <w:rPr>
                <w:noProof/>
                <w:webHidden/>
              </w:rPr>
              <w:t>26</w:t>
            </w:r>
            <w:r w:rsidR="0031632C">
              <w:rPr>
                <w:noProof/>
                <w:webHidden/>
              </w:rPr>
              <w:fldChar w:fldCharType="end"/>
            </w:r>
          </w:hyperlink>
        </w:p>
        <w:p w14:paraId="2F74DA19" w14:textId="2ABC3CFC" w:rsidR="00894296" w:rsidRDefault="00894296" w:rsidP="00AB680C">
          <w:pPr>
            <w:pStyle w:val="Obsah1"/>
          </w:pPr>
          <w:r>
            <w:fldChar w:fldCharType="end"/>
          </w:r>
        </w:p>
      </w:sdtContent>
    </w:sdt>
    <w:bookmarkEnd w:id="1"/>
    <w:bookmarkEnd w:id="2"/>
    <w:p w14:paraId="71D42192" w14:textId="77777777" w:rsidR="00B1089B" w:rsidRDefault="00B1089B" w:rsidP="00AB680C">
      <w:pPr>
        <w:spacing w:before="0" w:after="160" w:line="259" w:lineRule="auto"/>
        <w:jc w:val="left"/>
        <w:rPr>
          <w:rFonts w:eastAsiaTheme="majorEastAsia" w:cstheme="majorBidi"/>
          <w:b/>
          <w:bCs/>
          <w:color w:val="140E96"/>
          <w:sz w:val="28"/>
          <w:szCs w:val="24"/>
        </w:rPr>
      </w:pPr>
      <w:r>
        <w:br w:type="page"/>
      </w:r>
    </w:p>
    <w:p w14:paraId="52F89399" w14:textId="66AEA78E" w:rsidR="00421AC8" w:rsidRPr="00A2506A" w:rsidRDefault="001D6778" w:rsidP="00AB680C">
      <w:pPr>
        <w:pStyle w:val="Nadpis1"/>
        <w:keepNext w:val="0"/>
      </w:pPr>
      <w:bookmarkStart w:id="3" w:name="_Toc164761250"/>
      <w:r w:rsidRPr="00A2506A">
        <w:lastRenderedPageBreak/>
        <w:t xml:space="preserve">Změny v oblasti správy daní a působnosti </w:t>
      </w:r>
      <w:r w:rsidR="00784598">
        <w:t>orgánů c</w:t>
      </w:r>
      <w:r w:rsidRPr="00A2506A">
        <w:t>elní správy</w:t>
      </w:r>
      <w:bookmarkEnd w:id="3"/>
    </w:p>
    <w:p w14:paraId="254327AE" w14:textId="77777777" w:rsidR="00421AC8" w:rsidRPr="00A2506A" w:rsidRDefault="00421AC8" w:rsidP="00AB680C">
      <w:pPr>
        <w:pStyle w:val="Nadpis2"/>
        <w:keepNext w:val="0"/>
        <w:ind w:left="709"/>
      </w:pPr>
      <w:bookmarkStart w:id="4" w:name="_Toc426709159"/>
      <w:bookmarkStart w:id="5" w:name="_Toc427045869"/>
      <w:bookmarkStart w:id="6" w:name="_Toc427045870"/>
      <w:bookmarkStart w:id="7" w:name="_Toc25666032"/>
      <w:bookmarkStart w:id="8" w:name="_Toc164761251"/>
      <w:bookmarkEnd w:id="4"/>
      <w:bookmarkEnd w:id="5"/>
      <w:r w:rsidRPr="00A2506A">
        <w:t>Důvod předložení a cíle</w:t>
      </w:r>
      <w:bookmarkEnd w:id="6"/>
      <w:bookmarkEnd w:id="7"/>
      <w:bookmarkEnd w:id="8"/>
    </w:p>
    <w:p w14:paraId="5D6B3667" w14:textId="120258FE" w:rsidR="00BC1C94" w:rsidRPr="00A2506A" w:rsidRDefault="00421AC8" w:rsidP="00AB680C">
      <w:pPr>
        <w:pStyle w:val="Nadpis3"/>
        <w:keepNext w:val="0"/>
      </w:pPr>
      <w:bookmarkStart w:id="9" w:name="_Toc427045872"/>
      <w:bookmarkStart w:id="10" w:name="_Toc25666034"/>
      <w:bookmarkStart w:id="11" w:name="_Toc164761252"/>
      <w:r w:rsidRPr="00A2506A">
        <w:t>Definice problému</w:t>
      </w:r>
      <w:bookmarkEnd w:id="9"/>
      <w:bookmarkEnd w:id="10"/>
      <w:bookmarkEnd w:id="11"/>
    </w:p>
    <w:p w14:paraId="149EAD5F" w14:textId="26B55F6B" w:rsidR="007F5A47" w:rsidRPr="00C64F52" w:rsidRDefault="007F5A47" w:rsidP="00AB680C">
      <w:pPr>
        <w:widowControl w:val="0"/>
        <w:spacing w:before="0"/>
        <w:rPr>
          <w:rFonts w:eastAsia="Calibri" w:cs="Times New Roman"/>
        </w:rPr>
      </w:pPr>
      <w:r w:rsidRPr="00784598">
        <w:rPr>
          <w:rFonts w:eastAsia="Calibri" w:cs="Times New Roman"/>
        </w:rPr>
        <w:t>Celní správa je soustavou</w:t>
      </w:r>
      <w:r w:rsidRPr="00C64F52">
        <w:rPr>
          <w:rFonts w:eastAsia="Calibri" w:cs="Times New Roman"/>
        </w:rPr>
        <w:t xml:space="preserve"> správních orgánů a</w:t>
      </w:r>
      <w:r w:rsidR="00916267" w:rsidRPr="00C64F52">
        <w:rPr>
          <w:rFonts w:eastAsia="Calibri" w:cs="Times New Roman"/>
        </w:rPr>
        <w:t> </w:t>
      </w:r>
      <w:r w:rsidRPr="00C64F52">
        <w:rPr>
          <w:rFonts w:eastAsia="Calibri" w:cs="Times New Roman"/>
        </w:rPr>
        <w:t>ozbrojeným bezpečnostním sborem, který vykonává rozmanité kompetence</w:t>
      </w:r>
      <w:r w:rsidR="00916267" w:rsidRPr="00C64F52">
        <w:rPr>
          <w:rFonts w:eastAsia="Calibri" w:cs="Times New Roman"/>
        </w:rPr>
        <w:t xml:space="preserve"> (viz dále)</w:t>
      </w:r>
      <w:r w:rsidRPr="00C64F52">
        <w:rPr>
          <w:rFonts w:eastAsia="Calibri" w:cs="Times New Roman"/>
        </w:rPr>
        <w:t xml:space="preserve">. </w:t>
      </w:r>
    </w:p>
    <w:p w14:paraId="1D87F80F" w14:textId="49944314" w:rsidR="007F5A47" w:rsidRPr="00C64F52" w:rsidRDefault="007F5A47" w:rsidP="00AB680C">
      <w:pPr>
        <w:widowControl w:val="0"/>
        <w:spacing w:before="0"/>
        <w:rPr>
          <w:rFonts w:eastAsia="Calibri" w:cs="Times New Roman"/>
        </w:rPr>
      </w:pPr>
      <w:r w:rsidRPr="00C64F52">
        <w:rPr>
          <w:rFonts w:eastAsia="Calibri" w:cs="Times New Roman"/>
        </w:rPr>
        <w:t>Před vstupem České republiky do Evropské unie činnost celní správy spočívala především ve</w:t>
      </w:r>
      <w:r w:rsidR="00784598">
        <w:rPr>
          <w:rFonts w:eastAsia="Calibri" w:cs="Times New Roman"/>
        </w:rPr>
        <w:t> </w:t>
      </w:r>
      <w:r w:rsidRPr="00C64F52">
        <w:rPr>
          <w:rFonts w:eastAsia="Calibri" w:cs="Times New Roman"/>
        </w:rPr>
        <w:t>výkonu celnictví v užším slova smyslu (tj. celní řízení, správa cla</w:t>
      </w:r>
      <w:r w:rsidR="00671426" w:rsidRPr="00C64F52">
        <w:rPr>
          <w:rFonts w:eastAsia="Calibri" w:cs="Times New Roman"/>
        </w:rPr>
        <w:t>, bezpečnostně-politická opatření s cílem ochrany vnitřního trhu</w:t>
      </w:r>
      <w:r w:rsidRPr="00C64F52">
        <w:rPr>
          <w:rFonts w:eastAsia="Calibri" w:cs="Times New Roman"/>
        </w:rPr>
        <w:t xml:space="preserve">), kdy k 1. </w:t>
      </w:r>
      <w:r w:rsidR="00AB351A">
        <w:rPr>
          <w:rFonts w:eastAsia="Calibri" w:cs="Times New Roman"/>
        </w:rPr>
        <w:t>lednu</w:t>
      </w:r>
      <w:r w:rsidRPr="00C64F52">
        <w:rPr>
          <w:rFonts w:eastAsia="Calibri" w:cs="Times New Roman"/>
        </w:rPr>
        <w:t xml:space="preserve"> 20</w:t>
      </w:r>
      <w:r w:rsidR="00671426" w:rsidRPr="00C64F52">
        <w:rPr>
          <w:rFonts w:eastAsia="Calibri" w:cs="Times New Roman"/>
        </w:rPr>
        <w:t>0</w:t>
      </w:r>
      <w:r w:rsidRPr="00C64F52">
        <w:rPr>
          <w:rFonts w:eastAsia="Calibri" w:cs="Times New Roman"/>
        </w:rPr>
        <w:t xml:space="preserve">4 celní správa disponovala 9 444 systemizovanými místy (7 606 celníků, 1 838 </w:t>
      </w:r>
      <w:r w:rsidR="00671426" w:rsidRPr="00C64F52">
        <w:rPr>
          <w:rFonts w:eastAsia="Calibri" w:cs="Times New Roman"/>
        </w:rPr>
        <w:t>občanských</w:t>
      </w:r>
      <w:r w:rsidRPr="00C64F52">
        <w:rPr>
          <w:rFonts w:eastAsia="Calibri" w:cs="Times New Roman"/>
        </w:rPr>
        <w:t xml:space="preserve"> zaměstnanců). Integrace České republiky do Evropské unie měla pro celní správu zásadní dopad, protože přímé spojení se třetími zeměmi zůstalo pouze na mezinárodních letištích. </w:t>
      </w:r>
      <w:r w:rsidR="00671426" w:rsidRPr="00C64F52">
        <w:rPr>
          <w:rFonts w:eastAsia="Calibri" w:cs="Times New Roman"/>
        </w:rPr>
        <w:t xml:space="preserve">K 1. </w:t>
      </w:r>
      <w:r w:rsidR="00AB351A">
        <w:rPr>
          <w:rFonts w:eastAsia="Calibri" w:cs="Times New Roman"/>
        </w:rPr>
        <w:t>lednu</w:t>
      </w:r>
      <w:r w:rsidR="00671426" w:rsidRPr="00C64F52">
        <w:rPr>
          <w:rFonts w:eastAsia="Calibri" w:cs="Times New Roman"/>
        </w:rPr>
        <w:t xml:space="preserve"> 2005 měla celní správa 7 388 systemizovaných míst (5 823 celníků, 1 565 občanských zaměstnanců), tedy o 2 056 méně než před vstupem České republiky do Evropské unie. </w:t>
      </w:r>
    </w:p>
    <w:p w14:paraId="705F20C8" w14:textId="006FBE6D" w:rsidR="007F5A47" w:rsidRPr="00C64F52" w:rsidRDefault="007F5A47" w:rsidP="00AB680C">
      <w:pPr>
        <w:widowControl w:val="0"/>
        <w:spacing w:before="0"/>
        <w:rPr>
          <w:rFonts w:eastAsia="Calibri" w:cs="Times New Roman"/>
        </w:rPr>
      </w:pPr>
      <w:r w:rsidRPr="00C64F52">
        <w:rPr>
          <w:rFonts w:eastAsia="Calibri" w:cs="Times New Roman"/>
        </w:rPr>
        <w:t xml:space="preserve">Činnost celní správy </w:t>
      </w:r>
      <w:r w:rsidR="00671426" w:rsidRPr="00C64F52">
        <w:rPr>
          <w:rFonts w:eastAsia="Calibri" w:cs="Times New Roman"/>
        </w:rPr>
        <w:t>po vstupu České republiky do Evropské unie do</w:t>
      </w:r>
      <w:r w:rsidR="004A21F0" w:rsidRPr="00C64F52">
        <w:rPr>
          <w:rFonts w:eastAsia="Calibri" w:cs="Times New Roman"/>
        </w:rPr>
        <w:t>zn</w:t>
      </w:r>
      <w:r w:rsidR="00671426" w:rsidRPr="00C64F52">
        <w:rPr>
          <w:rFonts w:eastAsia="Calibri" w:cs="Times New Roman"/>
        </w:rPr>
        <w:t xml:space="preserve">ala </w:t>
      </w:r>
      <w:r w:rsidR="00916267" w:rsidRPr="00C64F52">
        <w:rPr>
          <w:rFonts w:eastAsia="Calibri" w:cs="Times New Roman"/>
        </w:rPr>
        <w:t xml:space="preserve">značných </w:t>
      </w:r>
      <w:r w:rsidR="00671426" w:rsidRPr="00C64F52">
        <w:rPr>
          <w:rFonts w:eastAsia="Calibri" w:cs="Times New Roman"/>
        </w:rPr>
        <w:t>změn a</w:t>
      </w:r>
      <w:r w:rsidR="00916267" w:rsidRPr="00C64F52">
        <w:rPr>
          <w:rFonts w:eastAsia="Calibri" w:cs="Times New Roman"/>
        </w:rPr>
        <w:t> </w:t>
      </w:r>
      <w:r w:rsidR="00671426" w:rsidRPr="00C64F52">
        <w:rPr>
          <w:rFonts w:eastAsia="Calibri" w:cs="Times New Roman"/>
        </w:rPr>
        <w:t>byla orientována více na vnitrozemí, přičemž celní správě přibývaly postupně nové kompetence, které s výkonem celnictví v užším slova smyslu nesouvisí. Ke konci roku 2023 měla celní správa 5 614 systemizovaných míst (4 150 celníků, 1 464 občanských zaměstnanců)</w:t>
      </w:r>
      <w:r w:rsidR="00916267" w:rsidRPr="00C64F52">
        <w:rPr>
          <w:rFonts w:eastAsia="Calibri" w:cs="Times New Roman"/>
        </w:rPr>
        <w:t xml:space="preserve">, tedy o 1 774 systemizovaných míst méně oproti stavu k 1. </w:t>
      </w:r>
      <w:r w:rsidR="00AB351A">
        <w:rPr>
          <w:rFonts w:eastAsia="Calibri" w:cs="Times New Roman"/>
        </w:rPr>
        <w:t>lednu</w:t>
      </w:r>
      <w:r w:rsidR="00916267" w:rsidRPr="00C64F52">
        <w:rPr>
          <w:rFonts w:eastAsia="Calibri" w:cs="Times New Roman"/>
        </w:rPr>
        <w:t xml:space="preserve"> 2005</w:t>
      </w:r>
      <w:r w:rsidR="00491870" w:rsidRPr="00C64F52">
        <w:rPr>
          <w:rFonts w:eastAsia="Calibri" w:cs="Times New Roman"/>
        </w:rPr>
        <w:t xml:space="preserve"> a o </w:t>
      </w:r>
      <w:r w:rsidR="004C4B82" w:rsidRPr="00C64F52">
        <w:rPr>
          <w:rFonts w:eastAsia="Calibri" w:cs="Times New Roman"/>
        </w:rPr>
        <w:t>3 830</w:t>
      </w:r>
      <w:r w:rsidR="00491870" w:rsidRPr="00C64F52">
        <w:rPr>
          <w:rFonts w:eastAsia="Calibri" w:cs="Times New Roman"/>
        </w:rPr>
        <w:t xml:space="preserve"> systemizovaných míst méně oproti stavu k 1. </w:t>
      </w:r>
      <w:r w:rsidR="00AB351A">
        <w:rPr>
          <w:rFonts w:eastAsia="Calibri" w:cs="Times New Roman"/>
        </w:rPr>
        <w:t>lednu</w:t>
      </w:r>
      <w:r w:rsidR="00491870" w:rsidRPr="00C64F52">
        <w:rPr>
          <w:rFonts w:eastAsia="Calibri" w:cs="Times New Roman"/>
        </w:rPr>
        <w:t xml:space="preserve"> 2004</w:t>
      </w:r>
      <w:r w:rsidR="00671426" w:rsidRPr="00C64F52">
        <w:rPr>
          <w:rFonts w:eastAsia="Calibri" w:cs="Times New Roman"/>
        </w:rPr>
        <w:t xml:space="preserve">. </w:t>
      </w:r>
    </w:p>
    <w:p w14:paraId="249BB557" w14:textId="77777777" w:rsidR="004B5EAA" w:rsidRPr="00C64F52" w:rsidRDefault="00671426" w:rsidP="00AB680C">
      <w:pPr>
        <w:widowControl w:val="0"/>
        <w:spacing w:before="0"/>
        <w:rPr>
          <w:rFonts w:eastAsia="Calibri" w:cs="Times New Roman"/>
        </w:rPr>
      </w:pPr>
      <w:r w:rsidRPr="00C64F52">
        <w:rPr>
          <w:rFonts w:eastAsia="Calibri" w:cs="Times New Roman"/>
        </w:rPr>
        <w:t>Přestože personální substrát (počet systemizovaných míst</w:t>
      </w:r>
      <w:r w:rsidR="00180C79" w:rsidRPr="00C64F52">
        <w:rPr>
          <w:rFonts w:eastAsia="Calibri" w:cs="Times New Roman"/>
        </w:rPr>
        <w:t xml:space="preserve"> a počet reálně obsazených míst</w:t>
      </w:r>
      <w:r w:rsidRPr="00C64F52">
        <w:rPr>
          <w:rFonts w:eastAsia="Calibri" w:cs="Times New Roman"/>
        </w:rPr>
        <w:t>) celní správy setrvale klesá, zákonné kompetence celní správy mají spíše opačný trend, tedy setrvale rostou. Celní správa zvládá vykonávat svěřené kompetence v návaznosti na vysokou míru analytiky, digitalizace, automatizace a technického vybavení. Nicméně tyto zdroje, jakož i</w:t>
      </w:r>
      <w:r w:rsidR="00180C79" w:rsidRPr="00C64F52">
        <w:rPr>
          <w:rFonts w:eastAsia="Calibri" w:cs="Times New Roman"/>
        </w:rPr>
        <w:t> </w:t>
      </w:r>
      <w:r w:rsidRPr="00C64F52">
        <w:rPr>
          <w:rFonts w:eastAsia="Calibri" w:cs="Times New Roman"/>
        </w:rPr>
        <w:t>personální zdroje, jsou do značné míry roztříštěny velkým množstvím svěřených kompetencí a mohly by být využívány efektivněji</w:t>
      </w:r>
      <w:r w:rsidR="004C4B82" w:rsidRPr="00C64F52">
        <w:rPr>
          <w:rFonts w:eastAsia="Calibri" w:cs="Times New Roman"/>
        </w:rPr>
        <w:t xml:space="preserve"> a hospodárněji</w:t>
      </w:r>
      <w:r w:rsidRPr="00C64F52">
        <w:rPr>
          <w:rFonts w:eastAsia="Calibri" w:cs="Times New Roman"/>
        </w:rPr>
        <w:t>.</w:t>
      </w:r>
      <w:r w:rsidR="00916267" w:rsidRPr="00C64F52">
        <w:rPr>
          <w:rFonts w:eastAsia="Calibri" w:cs="Times New Roman"/>
        </w:rPr>
        <w:t xml:space="preserve"> </w:t>
      </w:r>
    </w:p>
    <w:p w14:paraId="68E264CD" w14:textId="04887FCF" w:rsidR="00671426" w:rsidRPr="00C64F52" w:rsidRDefault="00671426" w:rsidP="00AB680C">
      <w:pPr>
        <w:widowControl w:val="0"/>
        <w:spacing w:before="0"/>
        <w:rPr>
          <w:rFonts w:eastAsia="Calibri" w:cs="Times New Roman"/>
        </w:rPr>
      </w:pPr>
      <w:r w:rsidRPr="00C64F52">
        <w:rPr>
          <w:rFonts w:eastAsia="Calibri" w:cs="Times New Roman"/>
        </w:rPr>
        <w:t xml:space="preserve">Celní správa by měla být kompetenčně jasně profilovaným, efektivně fungujícím bezpečnostním sborem s vysokou přidanou hodnotou pro stát i pro klienty z řad obchodní veřejnosti. </w:t>
      </w:r>
    </w:p>
    <w:p w14:paraId="6F58B4B7" w14:textId="107869AC" w:rsidR="007F5A47" w:rsidRPr="00C64F52" w:rsidRDefault="00916267" w:rsidP="00AB680C">
      <w:pPr>
        <w:widowControl w:val="0"/>
        <w:spacing w:before="0"/>
        <w:rPr>
          <w:rFonts w:eastAsia="Calibri" w:cs="Times New Roman"/>
        </w:rPr>
      </w:pPr>
      <w:r w:rsidRPr="00C64F52">
        <w:rPr>
          <w:rFonts w:eastAsia="Calibri" w:cs="Times New Roman"/>
        </w:rPr>
        <w:t>Identifikovaným p</w:t>
      </w:r>
      <w:r w:rsidR="00F8253B" w:rsidRPr="00C64F52">
        <w:rPr>
          <w:rFonts w:eastAsia="Calibri" w:cs="Times New Roman"/>
        </w:rPr>
        <w:t xml:space="preserve">roblémem tedy je dlouhodobě neprovedená optimalizace </w:t>
      </w:r>
      <w:r w:rsidR="007F5A47" w:rsidRPr="00C64F52">
        <w:rPr>
          <w:rFonts w:eastAsia="Calibri" w:cs="Times New Roman"/>
        </w:rPr>
        <w:t>zákonných kompetencí celní správy</w:t>
      </w:r>
      <w:r w:rsidR="00F8253B" w:rsidRPr="00C64F52">
        <w:rPr>
          <w:rFonts w:eastAsia="Calibri" w:cs="Times New Roman"/>
        </w:rPr>
        <w:t xml:space="preserve">, kterou lze provést pouze </w:t>
      </w:r>
      <w:r w:rsidR="007F5A47" w:rsidRPr="00C64F52">
        <w:rPr>
          <w:rFonts w:eastAsia="Calibri" w:cs="Times New Roman"/>
        </w:rPr>
        <w:t>organizačně-kompetenční</w:t>
      </w:r>
      <w:r w:rsidR="00F8253B" w:rsidRPr="00C64F52">
        <w:rPr>
          <w:rFonts w:eastAsia="Calibri" w:cs="Times New Roman"/>
        </w:rPr>
        <w:t>mi</w:t>
      </w:r>
      <w:r w:rsidR="007F5A47" w:rsidRPr="00C64F52">
        <w:rPr>
          <w:rFonts w:eastAsia="Calibri" w:cs="Times New Roman"/>
        </w:rPr>
        <w:t xml:space="preserve"> změn</w:t>
      </w:r>
      <w:r w:rsidR="00F8253B" w:rsidRPr="00C64F52">
        <w:rPr>
          <w:rFonts w:eastAsia="Calibri" w:cs="Times New Roman"/>
        </w:rPr>
        <w:t>ami</w:t>
      </w:r>
      <w:r w:rsidRPr="00C64F52">
        <w:rPr>
          <w:rFonts w:eastAsia="Calibri" w:cs="Times New Roman"/>
        </w:rPr>
        <w:t xml:space="preserve"> </w:t>
      </w:r>
      <w:r w:rsidR="00C01993">
        <w:rPr>
          <w:rFonts w:eastAsia="Calibri" w:cs="Times New Roman"/>
        </w:rPr>
        <w:t>a současně změnami</w:t>
      </w:r>
      <w:r w:rsidR="00FA6CA0">
        <w:rPr>
          <w:rFonts w:eastAsia="Calibri" w:cs="Times New Roman"/>
        </w:rPr>
        <w:t> </w:t>
      </w:r>
      <w:r w:rsidRPr="00C64F52">
        <w:rPr>
          <w:rFonts w:eastAsia="Calibri" w:cs="Times New Roman"/>
        </w:rPr>
        <w:t xml:space="preserve">procesními a hmotněprávními </w:t>
      </w:r>
      <w:r w:rsidR="007F5A47" w:rsidRPr="00C64F52">
        <w:rPr>
          <w:rFonts w:eastAsia="Calibri" w:cs="Times New Roman"/>
        </w:rPr>
        <w:t>v</w:t>
      </w:r>
      <w:r w:rsidRPr="00C64F52">
        <w:rPr>
          <w:rFonts w:eastAsia="Calibri" w:cs="Times New Roman"/>
        </w:rPr>
        <w:t> </w:t>
      </w:r>
      <w:r w:rsidR="007F5A47" w:rsidRPr="00C64F52">
        <w:rPr>
          <w:rFonts w:eastAsia="Calibri" w:cs="Times New Roman"/>
        </w:rPr>
        <w:t xml:space="preserve">právních předpisech upravujících působnost </w:t>
      </w:r>
      <w:r w:rsidRPr="00C64F52">
        <w:rPr>
          <w:rFonts w:eastAsia="Calibri" w:cs="Times New Roman"/>
        </w:rPr>
        <w:t>celní správy.</w:t>
      </w:r>
      <w:r w:rsidR="007F5A47" w:rsidRPr="00C64F52">
        <w:rPr>
          <w:rFonts w:eastAsia="Calibri" w:cs="Times New Roman"/>
        </w:rPr>
        <w:t xml:space="preserve"> </w:t>
      </w:r>
    </w:p>
    <w:p w14:paraId="36115A92" w14:textId="4C7FF92E" w:rsidR="00541B9F" w:rsidRPr="00A2506A" w:rsidRDefault="00421AC8" w:rsidP="00AB680C">
      <w:pPr>
        <w:pStyle w:val="Nadpis3"/>
        <w:keepNext w:val="0"/>
        <w:spacing w:line="276" w:lineRule="auto"/>
      </w:pPr>
      <w:bookmarkStart w:id="12" w:name="_Toc426709163"/>
      <w:bookmarkStart w:id="13" w:name="_Toc427045873"/>
      <w:bookmarkStart w:id="14" w:name="_Toc427048571"/>
      <w:bookmarkStart w:id="15" w:name="_Toc427045874"/>
      <w:bookmarkStart w:id="16" w:name="_Toc25666035"/>
      <w:bookmarkStart w:id="17" w:name="_Toc164761253"/>
      <w:bookmarkEnd w:id="12"/>
      <w:bookmarkEnd w:id="13"/>
      <w:bookmarkEnd w:id="14"/>
      <w:r w:rsidRPr="00A2506A">
        <w:t>Popis existujícího právního stavu v dané oblasti</w:t>
      </w:r>
      <w:bookmarkEnd w:id="15"/>
      <w:bookmarkEnd w:id="16"/>
      <w:bookmarkEnd w:id="17"/>
    </w:p>
    <w:p w14:paraId="4AA8915B" w14:textId="2020F557" w:rsidR="008010C0" w:rsidRPr="00C64F52" w:rsidRDefault="008010C0" w:rsidP="00AB680C">
      <w:pPr>
        <w:widowControl w:val="0"/>
        <w:spacing w:before="0"/>
        <w:rPr>
          <w:rFonts w:eastAsia="Calibri" w:cs="Times New Roman"/>
        </w:rPr>
      </w:pPr>
      <w:r w:rsidRPr="00C64F52">
        <w:rPr>
          <w:rFonts w:eastAsia="Calibri" w:cs="Times New Roman"/>
        </w:rPr>
        <w:t xml:space="preserve">Současné kompetence celní správy jsou velmi široké, </w:t>
      </w:r>
      <w:r w:rsidR="007D6029" w:rsidRPr="00C64F52">
        <w:rPr>
          <w:rFonts w:eastAsia="Calibri" w:cs="Times New Roman"/>
        </w:rPr>
        <w:t>kdy</w:t>
      </w:r>
      <w:r w:rsidRPr="00C64F52">
        <w:rPr>
          <w:rFonts w:eastAsia="Calibri" w:cs="Times New Roman"/>
        </w:rPr>
        <w:t xml:space="preserve"> po vstupu České republiky do</w:t>
      </w:r>
      <w:r w:rsidR="00FA6CA0">
        <w:rPr>
          <w:rFonts w:eastAsia="Calibri" w:cs="Times New Roman"/>
        </w:rPr>
        <w:t> </w:t>
      </w:r>
      <w:r w:rsidRPr="00C64F52">
        <w:rPr>
          <w:rFonts w:eastAsia="Calibri" w:cs="Times New Roman"/>
        </w:rPr>
        <w:t>Evropské unie byly celní správě postupně kompetence</w:t>
      </w:r>
      <w:r w:rsidR="007D6029" w:rsidRPr="00C64F52">
        <w:rPr>
          <w:rFonts w:eastAsia="Calibri" w:cs="Times New Roman"/>
        </w:rPr>
        <w:t xml:space="preserve"> přidávány</w:t>
      </w:r>
      <w:r w:rsidRPr="00C64F52">
        <w:rPr>
          <w:rFonts w:eastAsia="Calibri" w:cs="Times New Roman"/>
        </w:rPr>
        <w:t>, přičemž řada z nich nikterak nesouvisí s posláním celní správy a tradičními hlavními činnostmi. Z pohledu běžného občana pak nemusí být výkon státní moci celní správou přehledný a srozumitelný.</w:t>
      </w:r>
    </w:p>
    <w:p w14:paraId="79D59127" w14:textId="6379742E" w:rsidR="008010C0" w:rsidRPr="00C64F52" w:rsidRDefault="004E62AC" w:rsidP="00AB680C">
      <w:pPr>
        <w:widowControl w:val="0"/>
        <w:spacing w:before="0"/>
        <w:rPr>
          <w:rFonts w:eastAsia="Calibri" w:cs="Times New Roman"/>
        </w:rPr>
      </w:pPr>
      <w:r w:rsidRPr="00C64F52">
        <w:rPr>
          <w:rFonts w:eastAsia="Calibri" w:cs="Times New Roman"/>
        </w:rPr>
        <w:t xml:space="preserve">Pro </w:t>
      </w:r>
      <w:r w:rsidR="007D6029" w:rsidRPr="00C64F52">
        <w:rPr>
          <w:rFonts w:eastAsia="Calibri" w:cs="Times New Roman"/>
        </w:rPr>
        <w:t>lepší</w:t>
      </w:r>
      <w:r w:rsidRPr="00C64F52">
        <w:rPr>
          <w:rFonts w:eastAsia="Calibri" w:cs="Times New Roman"/>
        </w:rPr>
        <w:t xml:space="preserve"> orientaci lze </w:t>
      </w:r>
      <w:r w:rsidR="008010C0" w:rsidRPr="00C64F52">
        <w:rPr>
          <w:rFonts w:eastAsia="Calibri" w:cs="Times New Roman"/>
        </w:rPr>
        <w:t>současné kompetence celní správy</w:t>
      </w:r>
      <w:r w:rsidRPr="00C64F52">
        <w:rPr>
          <w:rFonts w:eastAsia="Calibri" w:cs="Times New Roman"/>
        </w:rPr>
        <w:t xml:space="preserve"> rozčlenit </w:t>
      </w:r>
      <w:r w:rsidR="008010C0" w:rsidRPr="00C64F52">
        <w:rPr>
          <w:rFonts w:eastAsia="Calibri" w:cs="Times New Roman"/>
        </w:rPr>
        <w:t xml:space="preserve">do následujících oblastí: celnictví, daně, pátrání, dohled a ostatní činnosti. </w:t>
      </w:r>
      <w:r w:rsidRPr="00C64F52">
        <w:rPr>
          <w:rFonts w:eastAsia="Calibri" w:cs="Times New Roman"/>
        </w:rPr>
        <w:t>V oblasti spotřebních a energetických daní a</w:t>
      </w:r>
      <w:r w:rsidR="007D6029" w:rsidRPr="00C64F52">
        <w:rPr>
          <w:rFonts w:eastAsia="Calibri" w:cs="Times New Roman"/>
        </w:rPr>
        <w:t> </w:t>
      </w:r>
      <w:r w:rsidRPr="00C64F52">
        <w:rPr>
          <w:rFonts w:eastAsia="Calibri" w:cs="Times New Roman"/>
        </w:rPr>
        <w:t>v oblasti dělené správy (tj. správy placení nejrůznějších peněžitých plnění) se celní správa profiluje od vstupu České republiky do Evropské unie. Od roku 2017 celní správa vykonává dohledové a represivní činnosti v oblasti hazardních her. O</w:t>
      </w:r>
      <w:r w:rsidR="008010C0" w:rsidRPr="00C64F52">
        <w:rPr>
          <w:rFonts w:eastAsia="Calibri" w:cs="Times New Roman"/>
        </w:rPr>
        <w:t>blast dohledu v sobě zahrnuje širokou škálu činností.</w:t>
      </w:r>
      <w:r w:rsidRPr="00C64F52">
        <w:rPr>
          <w:rFonts w:eastAsia="Calibri" w:cs="Times New Roman"/>
        </w:rPr>
        <w:t xml:space="preserve"> </w:t>
      </w:r>
      <w:r w:rsidR="008010C0" w:rsidRPr="00C64F52">
        <w:rPr>
          <w:rFonts w:eastAsia="Calibri" w:cs="Times New Roman"/>
        </w:rPr>
        <w:t xml:space="preserve">Současné činnosti celní správy jsou buď činnostmi výlučnými, kdy </w:t>
      </w:r>
      <w:r w:rsidR="008010C0" w:rsidRPr="00C64F52">
        <w:rPr>
          <w:rFonts w:eastAsia="Calibri" w:cs="Times New Roman"/>
        </w:rPr>
        <w:lastRenderedPageBreak/>
        <w:t>danou činnost vykonávají jen orgány celní správy, anebo sdílenými, kdy v takovém případě stejnými kompetencemi jako celní správa disponují i jiné státní orgány.</w:t>
      </w:r>
    </w:p>
    <w:p w14:paraId="34969C3A" w14:textId="21F91F41" w:rsidR="00541B9F" w:rsidRDefault="00541B9F" w:rsidP="00AB680C">
      <w:pPr>
        <w:spacing w:before="0"/>
        <w:rPr>
          <w:rFonts w:eastAsia="Arial" w:cs="Times New Roman"/>
          <w:b/>
          <w:bCs/>
          <w:szCs w:val="24"/>
        </w:rPr>
      </w:pPr>
      <w:r w:rsidRPr="00E92A9F">
        <w:rPr>
          <w:rFonts w:eastAsia="Arial" w:cs="Times New Roman"/>
          <w:b/>
          <w:bCs/>
          <w:szCs w:val="24"/>
        </w:rPr>
        <w:t>Základní přehled vybraných současných kompetencí celní správy</w:t>
      </w:r>
      <w:r w:rsidR="004E62AC">
        <w:rPr>
          <w:rFonts w:eastAsia="Arial" w:cs="Times New Roman"/>
          <w:b/>
          <w:bCs/>
          <w:szCs w:val="24"/>
        </w:rPr>
        <w:t>:</w:t>
      </w:r>
    </w:p>
    <w:tbl>
      <w:tblPr>
        <w:tblW w:w="9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80"/>
        <w:gridCol w:w="7400"/>
      </w:tblGrid>
      <w:tr w:rsidR="00541B9F" w:rsidRPr="00C64F52" w14:paraId="233333AC" w14:textId="77777777" w:rsidTr="004E62AC">
        <w:trPr>
          <w:trHeight w:val="315"/>
        </w:trPr>
        <w:tc>
          <w:tcPr>
            <w:tcW w:w="1680" w:type="dxa"/>
            <w:shd w:val="clear" w:color="auto" w:fill="auto"/>
            <w:vAlign w:val="center"/>
            <w:hideMark/>
          </w:tcPr>
          <w:p w14:paraId="2AABC24E" w14:textId="77777777" w:rsidR="00541B9F" w:rsidRPr="00C64F52" w:rsidRDefault="00541B9F" w:rsidP="00AB680C">
            <w:pPr>
              <w:spacing w:before="0" w:after="0"/>
              <w:jc w:val="center"/>
              <w:rPr>
                <w:rFonts w:cs="Times New Roman"/>
                <w:b/>
                <w:bCs/>
                <w:color w:val="000000"/>
                <w:szCs w:val="24"/>
              </w:rPr>
            </w:pPr>
            <w:r w:rsidRPr="00C64F52">
              <w:rPr>
                <w:rFonts w:cs="Times New Roman"/>
                <w:b/>
                <w:bCs/>
                <w:color w:val="000000"/>
                <w:szCs w:val="24"/>
              </w:rPr>
              <w:t>Oblast</w:t>
            </w:r>
          </w:p>
        </w:tc>
        <w:tc>
          <w:tcPr>
            <w:tcW w:w="7400" w:type="dxa"/>
            <w:shd w:val="clear" w:color="auto" w:fill="auto"/>
            <w:vAlign w:val="center"/>
            <w:hideMark/>
          </w:tcPr>
          <w:p w14:paraId="1A49FB1C" w14:textId="77777777" w:rsidR="00541B9F" w:rsidRPr="00C64F52" w:rsidRDefault="00541B9F" w:rsidP="00AB680C">
            <w:pPr>
              <w:spacing w:before="0" w:after="0"/>
              <w:jc w:val="center"/>
              <w:rPr>
                <w:rFonts w:cs="Times New Roman"/>
                <w:b/>
                <w:bCs/>
                <w:color w:val="000000"/>
                <w:szCs w:val="24"/>
              </w:rPr>
            </w:pPr>
            <w:r w:rsidRPr="00C64F52">
              <w:rPr>
                <w:rFonts w:cs="Times New Roman"/>
                <w:b/>
                <w:bCs/>
                <w:color w:val="000000"/>
                <w:szCs w:val="24"/>
              </w:rPr>
              <w:t>Kompetence</w:t>
            </w:r>
          </w:p>
        </w:tc>
      </w:tr>
      <w:tr w:rsidR="00541B9F" w:rsidRPr="00C64F52" w14:paraId="108A06DE" w14:textId="77777777" w:rsidTr="004E62AC">
        <w:trPr>
          <w:trHeight w:val="585"/>
        </w:trPr>
        <w:tc>
          <w:tcPr>
            <w:tcW w:w="1680" w:type="dxa"/>
            <w:vMerge w:val="restart"/>
            <w:shd w:val="clear" w:color="auto" w:fill="auto"/>
            <w:vAlign w:val="center"/>
            <w:hideMark/>
          </w:tcPr>
          <w:p w14:paraId="7E52006F" w14:textId="77777777" w:rsidR="00541B9F" w:rsidRPr="00C64F52" w:rsidRDefault="00541B9F" w:rsidP="00AB680C">
            <w:pPr>
              <w:spacing w:before="0" w:after="0"/>
              <w:jc w:val="center"/>
              <w:rPr>
                <w:rFonts w:cs="Times New Roman"/>
                <w:b/>
                <w:bCs/>
                <w:color w:val="000000"/>
                <w:szCs w:val="24"/>
              </w:rPr>
            </w:pPr>
            <w:r w:rsidRPr="00C64F52">
              <w:rPr>
                <w:rFonts w:cs="Times New Roman"/>
                <w:b/>
                <w:bCs/>
                <w:color w:val="000000"/>
                <w:szCs w:val="24"/>
              </w:rPr>
              <w:t>Clo</w:t>
            </w:r>
          </w:p>
        </w:tc>
        <w:tc>
          <w:tcPr>
            <w:tcW w:w="7400" w:type="dxa"/>
            <w:shd w:val="clear" w:color="auto" w:fill="auto"/>
            <w:vAlign w:val="center"/>
            <w:hideMark/>
          </w:tcPr>
          <w:p w14:paraId="2AE78FF2" w14:textId="77777777" w:rsidR="00541B9F" w:rsidRPr="00C64F52" w:rsidRDefault="00541B9F" w:rsidP="00AB680C">
            <w:pPr>
              <w:spacing w:before="0" w:after="0"/>
              <w:rPr>
                <w:rFonts w:cs="Times New Roman"/>
                <w:color w:val="000000"/>
                <w:szCs w:val="24"/>
              </w:rPr>
            </w:pPr>
            <w:r w:rsidRPr="00C64F52">
              <w:rPr>
                <w:rFonts w:cs="Times New Roman"/>
                <w:color w:val="000000"/>
                <w:szCs w:val="24"/>
              </w:rPr>
              <w:t>Celní řízení v souvislosti s dovozem, vývozem a tranzitem zboží včetně zajištění celního dluhu</w:t>
            </w:r>
          </w:p>
        </w:tc>
      </w:tr>
      <w:tr w:rsidR="00541B9F" w:rsidRPr="00C64F52" w14:paraId="2DAFFC9B" w14:textId="77777777" w:rsidTr="004E62AC">
        <w:trPr>
          <w:trHeight w:val="300"/>
        </w:trPr>
        <w:tc>
          <w:tcPr>
            <w:tcW w:w="1680" w:type="dxa"/>
            <w:vMerge/>
            <w:vAlign w:val="center"/>
            <w:hideMark/>
          </w:tcPr>
          <w:p w14:paraId="1A361EDC" w14:textId="77777777" w:rsidR="00541B9F" w:rsidRPr="00C64F52" w:rsidRDefault="00541B9F" w:rsidP="00AB680C">
            <w:pPr>
              <w:spacing w:before="0" w:after="0"/>
              <w:rPr>
                <w:rFonts w:cs="Times New Roman"/>
                <w:b/>
                <w:bCs/>
                <w:color w:val="000000"/>
                <w:szCs w:val="24"/>
              </w:rPr>
            </w:pPr>
          </w:p>
        </w:tc>
        <w:tc>
          <w:tcPr>
            <w:tcW w:w="7400" w:type="dxa"/>
            <w:shd w:val="clear" w:color="auto" w:fill="auto"/>
            <w:vAlign w:val="center"/>
            <w:hideMark/>
          </w:tcPr>
          <w:p w14:paraId="294A97D8" w14:textId="77777777" w:rsidR="00541B9F" w:rsidRPr="00C64F52" w:rsidRDefault="00541B9F" w:rsidP="00AB680C">
            <w:pPr>
              <w:spacing w:before="0" w:after="0"/>
              <w:rPr>
                <w:rFonts w:cs="Times New Roman"/>
                <w:color w:val="000000"/>
                <w:szCs w:val="24"/>
              </w:rPr>
            </w:pPr>
            <w:r w:rsidRPr="00C64F52">
              <w:rPr>
                <w:rFonts w:cs="Times New Roman"/>
                <w:color w:val="000000"/>
                <w:szCs w:val="24"/>
              </w:rPr>
              <w:t>Povolovací řízení v celní oblasti</w:t>
            </w:r>
          </w:p>
        </w:tc>
      </w:tr>
      <w:tr w:rsidR="00541B9F" w:rsidRPr="00C64F52" w14:paraId="007D66B6" w14:textId="77777777" w:rsidTr="004E62AC">
        <w:trPr>
          <w:trHeight w:val="300"/>
        </w:trPr>
        <w:tc>
          <w:tcPr>
            <w:tcW w:w="1680" w:type="dxa"/>
            <w:vMerge/>
            <w:vAlign w:val="center"/>
            <w:hideMark/>
          </w:tcPr>
          <w:p w14:paraId="537A968E" w14:textId="77777777" w:rsidR="00541B9F" w:rsidRPr="00C64F52" w:rsidRDefault="00541B9F" w:rsidP="00AB680C">
            <w:pPr>
              <w:spacing w:before="0" w:after="0"/>
              <w:rPr>
                <w:rFonts w:cs="Times New Roman"/>
                <w:b/>
                <w:bCs/>
                <w:color w:val="000000"/>
                <w:szCs w:val="24"/>
              </w:rPr>
            </w:pPr>
          </w:p>
        </w:tc>
        <w:tc>
          <w:tcPr>
            <w:tcW w:w="7400" w:type="dxa"/>
            <w:shd w:val="clear" w:color="auto" w:fill="auto"/>
            <w:vAlign w:val="center"/>
            <w:hideMark/>
          </w:tcPr>
          <w:p w14:paraId="20EEB408" w14:textId="77777777" w:rsidR="00541B9F" w:rsidRPr="00C64F52" w:rsidRDefault="00541B9F" w:rsidP="00AB680C">
            <w:pPr>
              <w:spacing w:before="0" w:after="0"/>
              <w:rPr>
                <w:rFonts w:cs="Times New Roman"/>
                <w:color w:val="000000"/>
                <w:szCs w:val="24"/>
              </w:rPr>
            </w:pPr>
            <w:r w:rsidRPr="00C64F52">
              <w:rPr>
                <w:rFonts w:cs="Times New Roman"/>
                <w:color w:val="000000"/>
                <w:szCs w:val="24"/>
              </w:rPr>
              <w:t>Sazební zařazování zboží včetně vydávání závazných informací</w:t>
            </w:r>
          </w:p>
        </w:tc>
      </w:tr>
      <w:tr w:rsidR="00541B9F" w:rsidRPr="00C64F52" w14:paraId="0030B7A1" w14:textId="77777777" w:rsidTr="004E62AC">
        <w:trPr>
          <w:trHeight w:val="300"/>
        </w:trPr>
        <w:tc>
          <w:tcPr>
            <w:tcW w:w="1680" w:type="dxa"/>
            <w:vMerge/>
            <w:vAlign w:val="center"/>
            <w:hideMark/>
          </w:tcPr>
          <w:p w14:paraId="65D9F263" w14:textId="77777777" w:rsidR="00541B9F" w:rsidRPr="00C64F52" w:rsidRDefault="00541B9F" w:rsidP="00AB680C">
            <w:pPr>
              <w:spacing w:before="0" w:after="0"/>
              <w:rPr>
                <w:rFonts w:cs="Times New Roman"/>
                <w:b/>
                <w:bCs/>
                <w:color w:val="000000"/>
                <w:szCs w:val="24"/>
              </w:rPr>
            </w:pPr>
          </w:p>
        </w:tc>
        <w:tc>
          <w:tcPr>
            <w:tcW w:w="7400" w:type="dxa"/>
            <w:shd w:val="clear" w:color="auto" w:fill="auto"/>
            <w:vAlign w:val="center"/>
            <w:hideMark/>
          </w:tcPr>
          <w:p w14:paraId="7534A87D" w14:textId="77777777" w:rsidR="00541B9F" w:rsidRPr="00C64F52" w:rsidRDefault="00541B9F" w:rsidP="00AB680C">
            <w:pPr>
              <w:spacing w:before="0" w:after="0"/>
              <w:rPr>
                <w:rFonts w:cs="Times New Roman"/>
                <w:color w:val="000000"/>
                <w:szCs w:val="24"/>
              </w:rPr>
            </w:pPr>
            <w:r w:rsidRPr="00C64F52">
              <w:rPr>
                <w:rFonts w:cs="Times New Roman"/>
                <w:color w:val="000000"/>
                <w:szCs w:val="24"/>
              </w:rPr>
              <w:t>Celní hodnota a původ zboží</w:t>
            </w:r>
          </w:p>
        </w:tc>
      </w:tr>
      <w:tr w:rsidR="00541B9F" w:rsidRPr="00C64F52" w14:paraId="64EF0D80" w14:textId="77777777" w:rsidTr="004E62AC">
        <w:trPr>
          <w:trHeight w:val="300"/>
        </w:trPr>
        <w:tc>
          <w:tcPr>
            <w:tcW w:w="1680" w:type="dxa"/>
            <w:vMerge/>
            <w:vAlign w:val="center"/>
            <w:hideMark/>
          </w:tcPr>
          <w:p w14:paraId="68014479" w14:textId="77777777" w:rsidR="00541B9F" w:rsidRPr="00C64F52" w:rsidRDefault="00541B9F" w:rsidP="00AB680C">
            <w:pPr>
              <w:spacing w:before="0" w:after="0"/>
              <w:rPr>
                <w:rFonts w:cs="Times New Roman"/>
                <w:b/>
                <w:bCs/>
                <w:color w:val="000000"/>
                <w:szCs w:val="24"/>
              </w:rPr>
            </w:pPr>
          </w:p>
        </w:tc>
        <w:tc>
          <w:tcPr>
            <w:tcW w:w="7400" w:type="dxa"/>
            <w:shd w:val="clear" w:color="auto" w:fill="auto"/>
            <w:vAlign w:val="center"/>
            <w:hideMark/>
          </w:tcPr>
          <w:p w14:paraId="13ACBD83" w14:textId="77777777" w:rsidR="00541B9F" w:rsidRPr="00C64F52" w:rsidRDefault="00541B9F" w:rsidP="00AB680C">
            <w:pPr>
              <w:spacing w:before="0" w:after="0"/>
              <w:rPr>
                <w:rFonts w:cs="Times New Roman"/>
                <w:color w:val="000000"/>
                <w:szCs w:val="24"/>
              </w:rPr>
            </w:pPr>
            <w:r w:rsidRPr="00C64F52">
              <w:rPr>
                <w:rFonts w:cs="Times New Roman"/>
                <w:color w:val="000000"/>
                <w:szCs w:val="24"/>
              </w:rPr>
              <w:t>Celní kvóty</w:t>
            </w:r>
          </w:p>
        </w:tc>
      </w:tr>
      <w:tr w:rsidR="00541B9F" w:rsidRPr="00C64F52" w14:paraId="60C103B3" w14:textId="77777777" w:rsidTr="004E62AC">
        <w:trPr>
          <w:trHeight w:val="300"/>
        </w:trPr>
        <w:tc>
          <w:tcPr>
            <w:tcW w:w="1680" w:type="dxa"/>
            <w:vMerge/>
            <w:vAlign w:val="center"/>
            <w:hideMark/>
          </w:tcPr>
          <w:p w14:paraId="41E5C935" w14:textId="77777777" w:rsidR="00541B9F" w:rsidRPr="00C64F52" w:rsidRDefault="00541B9F" w:rsidP="00AB680C">
            <w:pPr>
              <w:spacing w:before="0" w:after="0"/>
              <w:rPr>
                <w:rFonts w:cs="Times New Roman"/>
                <w:b/>
                <w:bCs/>
                <w:color w:val="000000"/>
                <w:szCs w:val="24"/>
              </w:rPr>
            </w:pPr>
          </w:p>
        </w:tc>
        <w:tc>
          <w:tcPr>
            <w:tcW w:w="7400" w:type="dxa"/>
            <w:shd w:val="clear" w:color="auto" w:fill="auto"/>
            <w:vAlign w:val="center"/>
            <w:hideMark/>
          </w:tcPr>
          <w:p w14:paraId="2764CAB3" w14:textId="77777777" w:rsidR="00541B9F" w:rsidRPr="00C64F52" w:rsidRDefault="00541B9F" w:rsidP="00AB680C">
            <w:pPr>
              <w:spacing w:before="0" w:after="0"/>
              <w:rPr>
                <w:rFonts w:cs="Times New Roman"/>
                <w:color w:val="000000"/>
                <w:szCs w:val="24"/>
              </w:rPr>
            </w:pPr>
            <w:r w:rsidRPr="00C64F52">
              <w:rPr>
                <w:rFonts w:cs="Times New Roman"/>
                <w:color w:val="000000"/>
                <w:szCs w:val="24"/>
              </w:rPr>
              <w:t>TARIC a tarifní opatření</w:t>
            </w:r>
          </w:p>
        </w:tc>
      </w:tr>
      <w:tr w:rsidR="00541B9F" w:rsidRPr="00C64F52" w14:paraId="4B1F47B9" w14:textId="77777777" w:rsidTr="004E62AC">
        <w:trPr>
          <w:trHeight w:val="300"/>
        </w:trPr>
        <w:tc>
          <w:tcPr>
            <w:tcW w:w="1680" w:type="dxa"/>
            <w:vMerge/>
            <w:vAlign w:val="center"/>
            <w:hideMark/>
          </w:tcPr>
          <w:p w14:paraId="67B7DF96" w14:textId="77777777" w:rsidR="00541B9F" w:rsidRPr="00C64F52" w:rsidRDefault="00541B9F" w:rsidP="00AB680C">
            <w:pPr>
              <w:spacing w:before="0" w:after="0"/>
              <w:rPr>
                <w:rFonts w:cs="Times New Roman"/>
                <w:b/>
                <w:bCs/>
                <w:color w:val="000000"/>
                <w:szCs w:val="24"/>
              </w:rPr>
            </w:pPr>
          </w:p>
        </w:tc>
        <w:tc>
          <w:tcPr>
            <w:tcW w:w="7400" w:type="dxa"/>
            <w:shd w:val="clear" w:color="auto" w:fill="auto"/>
            <w:vAlign w:val="center"/>
            <w:hideMark/>
          </w:tcPr>
          <w:p w14:paraId="14097D79" w14:textId="77777777" w:rsidR="00541B9F" w:rsidRPr="00C64F52" w:rsidRDefault="00541B9F" w:rsidP="00AB680C">
            <w:pPr>
              <w:spacing w:before="0" w:after="0"/>
              <w:rPr>
                <w:rFonts w:cs="Times New Roman"/>
                <w:color w:val="000000"/>
                <w:szCs w:val="24"/>
              </w:rPr>
            </w:pPr>
            <w:r w:rsidRPr="00C64F52">
              <w:rPr>
                <w:rFonts w:cs="Times New Roman"/>
                <w:color w:val="000000"/>
                <w:szCs w:val="24"/>
              </w:rPr>
              <w:t>Mezinárodní spolupráce v odhalování celních podvodů</w:t>
            </w:r>
          </w:p>
        </w:tc>
      </w:tr>
      <w:tr w:rsidR="00541B9F" w:rsidRPr="00C64F52" w14:paraId="790404E8" w14:textId="77777777" w:rsidTr="004E62AC">
        <w:trPr>
          <w:trHeight w:val="300"/>
        </w:trPr>
        <w:tc>
          <w:tcPr>
            <w:tcW w:w="1680" w:type="dxa"/>
            <w:vMerge/>
            <w:vAlign w:val="center"/>
            <w:hideMark/>
          </w:tcPr>
          <w:p w14:paraId="0A0F69F7" w14:textId="77777777" w:rsidR="00541B9F" w:rsidRPr="00C64F52" w:rsidRDefault="00541B9F" w:rsidP="00AB680C">
            <w:pPr>
              <w:spacing w:before="0" w:after="0"/>
              <w:rPr>
                <w:rFonts w:cs="Times New Roman"/>
                <w:b/>
                <w:bCs/>
                <w:color w:val="000000"/>
                <w:szCs w:val="24"/>
              </w:rPr>
            </w:pPr>
          </w:p>
        </w:tc>
        <w:tc>
          <w:tcPr>
            <w:tcW w:w="7400" w:type="dxa"/>
            <w:shd w:val="clear" w:color="auto" w:fill="auto"/>
            <w:vAlign w:val="center"/>
            <w:hideMark/>
          </w:tcPr>
          <w:p w14:paraId="0C60CF79" w14:textId="77777777" w:rsidR="00541B9F" w:rsidRPr="00C64F52" w:rsidRDefault="00541B9F" w:rsidP="00AB680C">
            <w:pPr>
              <w:spacing w:before="0" w:after="0"/>
              <w:rPr>
                <w:rFonts w:cs="Times New Roman"/>
                <w:color w:val="000000"/>
                <w:szCs w:val="24"/>
              </w:rPr>
            </w:pPr>
            <w:r w:rsidRPr="00C64F52">
              <w:rPr>
                <w:rFonts w:cs="Times New Roman"/>
                <w:color w:val="000000"/>
                <w:szCs w:val="24"/>
              </w:rPr>
              <w:t>Zákazy a omezení včetně mezinárodních sankcí</w:t>
            </w:r>
          </w:p>
        </w:tc>
      </w:tr>
      <w:tr w:rsidR="00541B9F" w:rsidRPr="00C64F52" w14:paraId="6655441B" w14:textId="77777777" w:rsidTr="004E62AC">
        <w:trPr>
          <w:trHeight w:val="300"/>
        </w:trPr>
        <w:tc>
          <w:tcPr>
            <w:tcW w:w="1680" w:type="dxa"/>
            <w:vMerge/>
            <w:vAlign w:val="center"/>
            <w:hideMark/>
          </w:tcPr>
          <w:p w14:paraId="2A3D4213" w14:textId="77777777" w:rsidR="00541B9F" w:rsidRPr="00C64F52" w:rsidRDefault="00541B9F" w:rsidP="00AB680C">
            <w:pPr>
              <w:spacing w:before="0" w:after="0"/>
              <w:rPr>
                <w:rFonts w:cs="Times New Roman"/>
                <w:b/>
                <w:bCs/>
                <w:color w:val="000000"/>
                <w:szCs w:val="24"/>
              </w:rPr>
            </w:pPr>
          </w:p>
        </w:tc>
        <w:tc>
          <w:tcPr>
            <w:tcW w:w="7400" w:type="dxa"/>
            <w:shd w:val="clear" w:color="auto" w:fill="auto"/>
            <w:vAlign w:val="center"/>
            <w:hideMark/>
          </w:tcPr>
          <w:p w14:paraId="0B1CAE3E" w14:textId="77777777" w:rsidR="00541B9F" w:rsidRPr="00C64F52" w:rsidRDefault="00541B9F" w:rsidP="00AB680C">
            <w:pPr>
              <w:spacing w:before="0" w:after="0"/>
              <w:rPr>
                <w:rFonts w:cs="Times New Roman"/>
                <w:color w:val="000000"/>
                <w:szCs w:val="24"/>
              </w:rPr>
            </w:pPr>
            <w:r w:rsidRPr="00C64F52">
              <w:rPr>
                <w:rFonts w:cs="Times New Roman"/>
                <w:color w:val="000000"/>
                <w:szCs w:val="24"/>
              </w:rPr>
              <w:t>Správa TOR (tradiční vlastní zdroje)</w:t>
            </w:r>
          </w:p>
        </w:tc>
      </w:tr>
      <w:tr w:rsidR="00541B9F" w:rsidRPr="00C64F52" w14:paraId="078E9B33" w14:textId="77777777" w:rsidTr="004E62AC">
        <w:trPr>
          <w:trHeight w:val="300"/>
        </w:trPr>
        <w:tc>
          <w:tcPr>
            <w:tcW w:w="1680" w:type="dxa"/>
            <w:vMerge/>
            <w:vAlign w:val="center"/>
            <w:hideMark/>
          </w:tcPr>
          <w:p w14:paraId="7022B9DD" w14:textId="77777777" w:rsidR="00541B9F" w:rsidRPr="00C64F52" w:rsidRDefault="00541B9F" w:rsidP="00AB680C">
            <w:pPr>
              <w:spacing w:before="0" w:after="0"/>
              <w:rPr>
                <w:rFonts w:cs="Times New Roman"/>
                <w:b/>
                <w:bCs/>
                <w:color w:val="000000"/>
                <w:szCs w:val="24"/>
              </w:rPr>
            </w:pPr>
          </w:p>
        </w:tc>
        <w:tc>
          <w:tcPr>
            <w:tcW w:w="7400" w:type="dxa"/>
            <w:shd w:val="clear" w:color="auto" w:fill="auto"/>
            <w:vAlign w:val="center"/>
            <w:hideMark/>
          </w:tcPr>
          <w:p w14:paraId="7F414F5D" w14:textId="77777777" w:rsidR="00541B9F" w:rsidRPr="00C64F52" w:rsidRDefault="00541B9F" w:rsidP="00AB680C">
            <w:pPr>
              <w:spacing w:before="0" w:after="0"/>
              <w:rPr>
                <w:rFonts w:cs="Times New Roman"/>
                <w:color w:val="000000"/>
                <w:szCs w:val="24"/>
              </w:rPr>
            </w:pPr>
            <w:r w:rsidRPr="00C64F52">
              <w:rPr>
                <w:rFonts w:cs="Times New Roman"/>
                <w:color w:val="000000"/>
                <w:szCs w:val="24"/>
              </w:rPr>
              <w:t>Ověřování osvědčení o úlovku (rybolov)</w:t>
            </w:r>
          </w:p>
        </w:tc>
      </w:tr>
      <w:tr w:rsidR="00541B9F" w:rsidRPr="00C64F52" w14:paraId="3518E758" w14:textId="77777777" w:rsidTr="004E62AC">
        <w:trPr>
          <w:trHeight w:val="300"/>
        </w:trPr>
        <w:tc>
          <w:tcPr>
            <w:tcW w:w="1680" w:type="dxa"/>
            <w:vMerge/>
            <w:vAlign w:val="center"/>
            <w:hideMark/>
          </w:tcPr>
          <w:p w14:paraId="04E4A31C" w14:textId="77777777" w:rsidR="00541B9F" w:rsidRPr="00C64F52" w:rsidRDefault="00541B9F" w:rsidP="00AB680C">
            <w:pPr>
              <w:spacing w:before="0" w:after="0"/>
              <w:rPr>
                <w:rFonts w:cs="Times New Roman"/>
                <w:b/>
                <w:bCs/>
                <w:color w:val="000000"/>
                <w:szCs w:val="24"/>
              </w:rPr>
            </w:pPr>
          </w:p>
        </w:tc>
        <w:tc>
          <w:tcPr>
            <w:tcW w:w="7400" w:type="dxa"/>
            <w:shd w:val="clear" w:color="auto" w:fill="auto"/>
            <w:vAlign w:val="center"/>
            <w:hideMark/>
          </w:tcPr>
          <w:p w14:paraId="525229C2" w14:textId="77777777" w:rsidR="00541B9F" w:rsidRPr="00C64F52" w:rsidRDefault="00541B9F" w:rsidP="00AB680C">
            <w:pPr>
              <w:spacing w:before="0" w:after="0"/>
              <w:rPr>
                <w:rFonts w:cs="Times New Roman"/>
                <w:color w:val="000000"/>
                <w:szCs w:val="24"/>
              </w:rPr>
            </w:pPr>
            <w:r w:rsidRPr="00C64F52">
              <w:rPr>
                <w:rFonts w:cs="Times New Roman"/>
                <w:color w:val="000000"/>
                <w:szCs w:val="24"/>
              </w:rPr>
              <w:t>Správa příjmů a vymáhání v celní oblasti</w:t>
            </w:r>
          </w:p>
        </w:tc>
      </w:tr>
      <w:tr w:rsidR="00541B9F" w:rsidRPr="00C64F52" w14:paraId="5E97B5CB" w14:textId="77777777" w:rsidTr="004E62AC">
        <w:trPr>
          <w:trHeight w:val="315"/>
        </w:trPr>
        <w:tc>
          <w:tcPr>
            <w:tcW w:w="1680" w:type="dxa"/>
            <w:vMerge/>
            <w:vAlign w:val="center"/>
            <w:hideMark/>
          </w:tcPr>
          <w:p w14:paraId="176FFC14" w14:textId="77777777" w:rsidR="00541B9F" w:rsidRPr="00C64F52" w:rsidRDefault="00541B9F" w:rsidP="00AB680C">
            <w:pPr>
              <w:spacing w:before="0" w:after="0"/>
              <w:rPr>
                <w:rFonts w:cs="Times New Roman"/>
                <w:b/>
                <w:bCs/>
                <w:color w:val="000000"/>
                <w:szCs w:val="24"/>
              </w:rPr>
            </w:pPr>
          </w:p>
        </w:tc>
        <w:tc>
          <w:tcPr>
            <w:tcW w:w="7400" w:type="dxa"/>
            <w:shd w:val="clear" w:color="auto" w:fill="auto"/>
            <w:vAlign w:val="center"/>
            <w:hideMark/>
          </w:tcPr>
          <w:p w14:paraId="3E264E54" w14:textId="77777777" w:rsidR="00541B9F" w:rsidRPr="00C64F52" w:rsidRDefault="00541B9F" w:rsidP="00AB680C">
            <w:pPr>
              <w:spacing w:before="0" w:after="0"/>
              <w:rPr>
                <w:rFonts w:cs="Times New Roman"/>
                <w:color w:val="000000"/>
                <w:szCs w:val="24"/>
              </w:rPr>
            </w:pPr>
            <w:r w:rsidRPr="00C64F52">
              <w:rPr>
                <w:rFonts w:cs="Times New Roman"/>
                <w:color w:val="000000"/>
                <w:szCs w:val="24"/>
              </w:rPr>
              <w:t>Správní trestání v celní oblasti</w:t>
            </w:r>
          </w:p>
        </w:tc>
      </w:tr>
      <w:tr w:rsidR="00541B9F" w:rsidRPr="00C64F52" w14:paraId="2A3AF691" w14:textId="77777777" w:rsidTr="004E62AC">
        <w:trPr>
          <w:trHeight w:val="585"/>
        </w:trPr>
        <w:tc>
          <w:tcPr>
            <w:tcW w:w="1680" w:type="dxa"/>
            <w:vMerge w:val="restart"/>
            <w:shd w:val="clear" w:color="auto" w:fill="auto"/>
            <w:vAlign w:val="center"/>
            <w:hideMark/>
          </w:tcPr>
          <w:p w14:paraId="7D261F4F" w14:textId="77777777" w:rsidR="00541B9F" w:rsidRPr="00C64F52" w:rsidRDefault="00541B9F" w:rsidP="00AB680C">
            <w:pPr>
              <w:spacing w:before="0" w:after="0"/>
              <w:jc w:val="center"/>
              <w:rPr>
                <w:rFonts w:cs="Times New Roman"/>
                <w:b/>
                <w:bCs/>
                <w:color w:val="000000"/>
                <w:szCs w:val="24"/>
              </w:rPr>
            </w:pPr>
            <w:r w:rsidRPr="00C64F52">
              <w:rPr>
                <w:rFonts w:cs="Times New Roman"/>
                <w:b/>
                <w:bCs/>
                <w:color w:val="000000"/>
                <w:szCs w:val="24"/>
              </w:rPr>
              <w:t>Daně</w:t>
            </w:r>
          </w:p>
        </w:tc>
        <w:tc>
          <w:tcPr>
            <w:tcW w:w="7400" w:type="dxa"/>
            <w:shd w:val="clear" w:color="auto" w:fill="auto"/>
            <w:vAlign w:val="center"/>
            <w:hideMark/>
          </w:tcPr>
          <w:p w14:paraId="3A8C0F7D" w14:textId="77777777" w:rsidR="00541B9F" w:rsidRPr="00C64F52" w:rsidRDefault="00541B9F" w:rsidP="00AB680C">
            <w:pPr>
              <w:spacing w:before="0" w:after="0"/>
              <w:rPr>
                <w:rFonts w:cs="Times New Roman"/>
                <w:color w:val="000000"/>
                <w:szCs w:val="24"/>
              </w:rPr>
            </w:pPr>
            <w:r w:rsidRPr="00C64F52">
              <w:rPr>
                <w:rFonts w:cs="Times New Roman"/>
                <w:color w:val="000000"/>
                <w:szCs w:val="24"/>
              </w:rPr>
              <w:t>Správa spotřebních daní včetně správy zvláštních vratek (např. zelená nafta, topenáři)</w:t>
            </w:r>
          </w:p>
        </w:tc>
      </w:tr>
      <w:tr w:rsidR="00541B9F" w:rsidRPr="00C64F52" w14:paraId="0A2C7500" w14:textId="77777777" w:rsidTr="004E62AC">
        <w:trPr>
          <w:trHeight w:val="300"/>
        </w:trPr>
        <w:tc>
          <w:tcPr>
            <w:tcW w:w="1680" w:type="dxa"/>
            <w:vMerge/>
            <w:vAlign w:val="center"/>
            <w:hideMark/>
          </w:tcPr>
          <w:p w14:paraId="3311EF72" w14:textId="77777777" w:rsidR="00541B9F" w:rsidRPr="00C64F52" w:rsidRDefault="00541B9F" w:rsidP="00AB680C">
            <w:pPr>
              <w:spacing w:before="0" w:after="0"/>
              <w:rPr>
                <w:rFonts w:cs="Times New Roman"/>
                <w:b/>
                <w:bCs/>
                <w:color w:val="000000"/>
                <w:szCs w:val="24"/>
              </w:rPr>
            </w:pPr>
          </w:p>
        </w:tc>
        <w:tc>
          <w:tcPr>
            <w:tcW w:w="7400" w:type="dxa"/>
            <w:shd w:val="clear" w:color="auto" w:fill="auto"/>
            <w:vAlign w:val="center"/>
            <w:hideMark/>
          </w:tcPr>
          <w:p w14:paraId="521BA8ED" w14:textId="77777777" w:rsidR="00541B9F" w:rsidRPr="00C64F52" w:rsidRDefault="00541B9F" w:rsidP="00AB680C">
            <w:pPr>
              <w:spacing w:before="0" w:after="0"/>
              <w:rPr>
                <w:rFonts w:cs="Times New Roman"/>
                <w:color w:val="000000"/>
                <w:szCs w:val="24"/>
              </w:rPr>
            </w:pPr>
            <w:r w:rsidRPr="00C64F52">
              <w:rPr>
                <w:rFonts w:cs="Times New Roman"/>
                <w:color w:val="000000"/>
                <w:szCs w:val="24"/>
              </w:rPr>
              <w:t>Správa energetických daní</w:t>
            </w:r>
          </w:p>
        </w:tc>
      </w:tr>
      <w:tr w:rsidR="00541B9F" w:rsidRPr="00C64F52" w14:paraId="1469B20C" w14:textId="77777777" w:rsidTr="004E62AC">
        <w:trPr>
          <w:trHeight w:val="345"/>
        </w:trPr>
        <w:tc>
          <w:tcPr>
            <w:tcW w:w="1680" w:type="dxa"/>
            <w:vMerge/>
            <w:vAlign w:val="center"/>
            <w:hideMark/>
          </w:tcPr>
          <w:p w14:paraId="66913FDD" w14:textId="77777777" w:rsidR="00541B9F" w:rsidRPr="00C64F52" w:rsidRDefault="00541B9F" w:rsidP="00AB680C">
            <w:pPr>
              <w:spacing w:before="0" w:after="0"/>
              <w:rPr>
                <w:rFonts w:cs="Times New Roman"/>
                <w:b/>
                <w:bCs/>
                <w:color w:val="000000"/>
                <w:szCs w:val="24"/>
              </w:rPr>
            </w:pPr>
          </w:p>
        </w:tc>
        <w:tc>
          <w:tcPr>
            <w:tcW w:w="7400" w:type="dxa"/>
            <w:shd w:val="clear" w:color="auto" w:fill="auto"/>
            <w:vAlign w:val="center"/>
            <w:hideMark/>
          </w:tcPr>
          <w:p w14:paraId="6D4BEA55" w14:textId="4C9BC917" w:rsidR="00541B9F" w:rsidRPr="00C64F52" w:rsidRDefault="00541B9F" w:rsidP="00FA6CA0">
            <w:pPr>
              <w:spacing w:before="0" w:after="0"/>
              <w:rPr>
                <w:rFonts w:cs="Times New Roman"/>
                <w:color w:val="000000"/>
                <w:szCs w:val="24"/>
              </w:rPr>
            </w:pPr>
            <w:r w:rsidRPr="00C64F52">
              <w:rPr>
                <w:rFonts w:cs="Times New Roman"/>
                <w:color w:val="000000"/>
                <w:szCs w:val="24"/>
              </w:rPr>
              <w:t xml:space="preserve">Správa </w:t>
            </w:r>
            <w:r w:rsidR="00FA6CA0">
              <w:rPr>
                <w:rFonts w:cs="Times New Roman"/>
                <w:color w:val="000000"/>
                <w:szCs w:val="24"/>
              </w:rPr>
              <w:t>daně z přidané hodnoty</w:t>
            </w:r>
            <w:r w:rsidRPr="00C64F52">
              <w:rPr>
                <w:rFonts w:cs="Times New Roman"/>
                <w:color w:val="000000"/>
                <w:szCs w:val="24"/>
              </w:rPr>
              <w:t xml:space="preserve"> při dovozu zboží neplátci </w:t>
            </w:r>
            <w:r w:rsidR="00FA6CA0">
              <w:rPr>
                <w:rFonts w:cs="Times New Roman"/>
                <w:color w:val="000000"/>
                <w:szCs w:val="24"/>
              </w:rPr>
              <w:t>daně z přidané hodnoty</w:t>
            </w:r>
            <w:r w:rsidRPr="00C64F52">
              <w:rPr>
                <w:rFonts w:cs="Times New Roman"/>
                <w:color w:val="000000"/>
                <w:szCs w:val="24"/>
              </w:rPr>
              <w:t xml:space="preserve"> a při porušení celních předpisů</w:t>
            </w:r>
          </w:p>
        </w:tc>
      </w:tr>
      <w:tr w:rsidR="00541B9F" w:rsidRPr="00C64F52" w14:paraId="043D45A0" w14:textId="77777777" w:rsidTr="004E62AC">
        <w:trPr>
          <w:trHeight w:val="300"/>
        </w:trPr>
        <w:tc>
          <w:tcPr>
            <w:tcW w:w="1680" w:type="dxa"/>
            <w:vMerge/>
            <w:vAlign w:val="center"/>
            <w:hideMark/>
          </w:tcPr>
          <w:p w14:paraId="35E030E1" w14:textId="77777777" w:rsidR="00541B9F" w:rsidRPr="00C64F52" w:rsidRDefault="00541B9F" w:rsidP="00AB680C">
            <w:pPr>
              <w:spacing w:before="0" w:after="0"/>
              <w:rPr>
                <w:rFonts w:cs="Times New Roman"/>
                <w:b/>
                <w:bCs/>
                <w:color w:val="000000"/>
                <w:szCs w:val="24"/>
              </w:rPr>
            </w:pPr>
          </w:p>
        </w:tc>
        <w:tc>
          <w:tcPr>
            <w:tcW w:w="7400" w:type="dxa"/>
            <w:shd w:val="clear" w:color="auto" w:fill="auto"/>
            <w:vAlign w:val="center"/>
            <w:hideMark/>
          </w:tcPr>
          <w:p w14:paraId="74BFFC41" w14:textId="2F541C13" w:rsidR="00541B9F" w:rsidRPr="00C64F52" w:rsidRDefault="00541B9F" w:rsidP="00FA6CA0">
            <w:pPr>
              <w:spacing w:before="0" w:after="0"/>
              <w:rPr>
                <w:rFonts w:cs="Times New Roman"/>
                <w:color w:val="000000"/>
                <w:szCs w:val="24"/>
              </w:rPr>
            </w:pPr>
            <w:r w:rsidRPr="00C64F52">
              <w:rPr>
                <w:rFonts w:cs="Times New Roman"/>
                <w:color w:val="000000"/>
                <w:szCs w:val="24"/>
              </w:rPr>
              <w:t>Povolovací řízení v oblasti spotřebních</w:t>
            </w:r>
            <w:r w:rsidR="00FA6CA0">
              <w:rPr>
                <w:rFonts w:cs="Times New Roman"/>
                <w:color w:val="000000"/>
                <w:szCs w:val="24"/>
              </w:rPr>
              <w:t xml:space="preserve"> daní</w:t>
            </w:r>
            <w:r w:rsidRPr="00C64F52">
              <w:rPr>
                <w:rFonts w:cs="Times New Roman"/>
                <w:color w:val="000000"/>
                <w:szCs w:val="24"/>
              </w:rPr>
              <w:t xml:space="preserve">, energetických daní a </w:t>
            </w:r>
            <w:r w:rsidR="00FA6CA0">
              <w:rPr>
                <w:rFonts w:cs="Times New Roman"/>
                <w:color w:val="000000"/>
                <w:szCs w:val="24"/>
              </w:rPr>
              <w:t>daně z přidané hodnoty</w:t>
            </w:r>
          </w:p>
        </w:tc>
      </w:tr>
      <w:tr w:rsidR="00541B9F" w:rsidRPr="00C64F52" w14:paraId="25E2D338" w14:textId="77777777" w:rsidTr="004E62AC">
        <w:trPr>
          <w:trHeight w:val="300"/>
        </w:trPr>
        <w:tc>
          <w:tcPr>
            <w:tcW w:w="1680" w:type="dxa"/>
            <w:vMerge/>
            <w:vAlign w:val="center"/>
            <w:hideMark/>
          </w:tcPr>
          <w:p w14:paraId="3DA4AFEA" w14:textId="77777777" w:rsidR="00541B9F" w:rsidRPr="00C64F52" w:rsidRDefault="00541B9F" w:rsidP="00AB680C">
            <w:pPr>
              <w:spacing w:before="0" w:after="0"/>
              <w:rPr>
                <w:rFonts w:cs="Times New Roman"/>
                <w:b/>
                <w:bCs/>
                <w:color w:val="000000"/>
                <w:szCs w:val="24"/>
              </w:rPr>
            </w:pPr>
          </w:p>
        </w:tc>
        <w:tc>
          <w:tcPr>
            <w:tcW w:w="7400" w:type="dxa"/>
            <w:shd w:val="clear" w:color="auto" w:fill="auto"/>
            <w:vAlign w:val="center"/>
            <w:hideMark/>
          </w:tcPr>
          <w:p w14:paraId="71FD84F6" w14:textId="77777777" w:rsidR="00541B9F" w:rsidRPr="00C64F52" w:rsidRDefault="00541B9F" w:rsidP="00AB680C">
            <w:pPr>
              <w:spacing w:before="0" w:after="0"/>
              <w:rPr>
                <w:rFonts w:cs="Times New Roman"/>
                <w:color w:val="000000"/>
                <w:szCs w:val="24"/>
              </w:rPr>
            </w:pPr>
            <w:r w:rsidRPr="00C64F52">
              <w:rPr>
                <w:rFonts w:cs="Times New Roman"/>
                <w:color w:val="000000"/>
                <w:szCs w:val="24"/>
              </w:rPr>
              <w:t>Distribuce pohonných hmot</w:t>
            </w:r>
          </w:p>
        </w:tc>
      </w:tr>
      <w:tr w:rsidR="00541B9F" w:rsidRPr="00C64F52" w14:paraId="1180B1CE" w14:textId="77777777" w:rsidTr="004E62AC">
        <w:trPr>
          <w:trHeight w:val="300"/>
        </w:trPr>
        <w:tc>
          <w:tcPr>
            <w:tcW w:w="1680" w:type="dxa"/>
            <w:vMerge/>
            <w:vAlign w:val="center"/>
            <w:hideMark/>
          </w:tcPr>
          <w:p w14:paraId="09CDDCF2" w14:textId="77777777" w:rsidR="00541B9F" w:rsidRPr="00C64F52" w:rsidRDefault="00541B9F" w:rsidP="00AB680C">
            <w:pPr>
              <w:spacing w:before="0" w:after="0"/>
              <w:rPr>
                <w:rFonts w:cs="Times New Roman"/>
                <w:b/>
                <w:bCs/>
                <w:color w:val="000000"/>
                <w:szCs w:val="24"/>
              </w:rPr>
            </w:pPr>
          </w:p>
        </w:tc>
        <w:tc>
          <w:tcPr>
            <w:tcW w:w="7400" w:type="dxa"/>
            <w:shd w:val="clear" w:color="auto" w:fill="auto"/>
            <w:vAlign w:val="center"/>
            <w:hideMark/>
          </w:tcPr>
          <w:p w14:paraId="39A1DBF9" w14:textId="77777777" w:rsidR="00541B9F" w:rsidRPr="00C64F52" w:rsidRDefault="00541B9F" w:rsidP="00AB680C">
            <w:pPr>
              <w:spacing w:before="0" w:after="0"/>
              <w:rPr>
                <w:rFonts w:cs="Times New Roman"/>
                <w:color w:val="000000"/>
                <w:szCs w:val="24"/>
              </w:rPr>
            </w:pPr>
            <w:r w:rsidRPr="00C64F52">
              <w:rPr>
                <w:rFonts w:cs="Times New Roman"/>
                <w:color w:val="000000"/>
                <w:szCs w:val="24"/>
              </w:rPr>
              <w:t>Povinné značení lihu</w:t>
            </w:r>
          </w:p>
        </w:tc>
      </w:tr>
      <w:tr w:rsidR="00541B9F" w:rsidRPr="00C64F52" w14:paraId="3E48E5CF" w14:textId="77777777" w:rsidTr="004E62AC">
        <w:trPr>
          <w:trHeight w:val="300"/>
        </w:trPr>
        <w:tc>
          <w:tcPr>
            <w:tcW w:w="1680" w:type="dxa"/>
            <w:vMerge/>
            <w:vAlign w:val="center"/>
            <w:hideMark/>
          </w:tcPr>
          <w:p w14:paraId="1131F738" w14:textId="77777777" w:rsidR="00541B9F" w:rsidRPr="00C64F52" w:rsidRDefault="00541B9F" w:rsidP="00AB680C">
            <w:pPr>
              <w:spacing w:before="0" w:after="0"/>
              <w:rPr>
                <w:rFonts w:cs="Times New Roman"/>
                <w:b/>
                <w:bCs/>
                <w:color w:val="000000"/>
                <w:szCs w:val="24"/>
              </w:rPr>
            </w:pPr>
          </w:p>
        </w:tc>
        <w:tc>
          <w:tcPr>
            <w:tcW w:w="7400" w:type="dxa"/>
            <w:shd w:val="clear" w:color="auto" w:fill="auto"/>
            <w:vAlign w:val="center"/>
            <w:hideMark/>
          </w:tcPr>
          <w:p w14:paraId="44E5C87B" w14:textId="77777777" w:rsidR="00541B9F" w:rsidRPr="00C64F52" w:rsidRDefault="00541B9F" w:rsidP="00AB680C">
            <w:pPr>
              <w:spacing w:before="0" w:after="0"/>
              <w:rPr>
                <w:rFonts w:cs="Times New Roman"/>
                <w:color w:val="000000"/>
                <w:szCs w:val="24"/>
              </w:rPr>
            </w:pPr>
            <w:r w:rsidRPr="00C64F52">
              <w:rPr>
                <w:rFonts w:cs="Times New Roman"/>
                <w:color w:val="000000"/>
                <w:szCs w:val="24"/>
              </w:rPr>
              <w:t>Podporované zdroje energie</w:t>
            </w:r>
          </w:p>
        </w:tc>
      </w:tr>
      <w:tr w:rsidR="00541B9F" w:rsidRPr="00C64F52" w14:paraId="3853D139" w14:textId="77777777" w:rsidTr="004E62AC">
        <w:trPr>
          <w:trHeight w:val="300"/>
        </w:trPr>
        <w:tc>
          <w:tcPr>
            <w:tcW w:w="1680" w:type="dxa"/>
            <w:vMerge/>
            <w:vAlign w:val="center"/>
            <w:hideMark/>
          </w:tcPr>
          <w:p w14:paraId="0DA508D9" w14:textId="77777777" w:rsidR="00541B9F" w:rsidRPr="00C64F52" w:rsidRDefault="00541B9F" w:rsidP="00AB680C">
            <w:pPr>
              <w:spacing w:before="0" w:after="0"/>
              <w:rPr>
                <w:rFonts w:cs="Times New Roman"/>
                <w:b/>
                <w:bCs/>
                <w:color w:val="000000"/>
                <w:szCs w:val="24"/>
              </w:rPr>
            </w:pPr>
          </w:p>
        </w:tc>
        <w:tc>
          <w:tcPr>
            <w:tcW w:w="7400" w:type="dxa"/>
            <w:shd w:val="clear" w:color="auto" w:fill="auto"/>
            <w:vAlign w:val="center"/>
            <w:hideMark/>
          </w:tcPr>
          <w:p w14:paraId="0F512DB9" w14:textId="77777777" w:rsidR="00541B9F" w:rsidRPr="00C64F52" w:rsidRDefault="00541B9F" w:rsidP="00AB680C">
            <w:pPr>
              <w:spacing w:before="0" w:after="0"/>
              <w:rPr>
                <w:rFonts w:cs="Times New Roman"/>
                <w:color w:val="000000"/>
                <w:szCs w:val="24"/>
              </w:rPr>
            </w:pPr>
            <w:r w:rsidRPr="00C64F52">
              <w:rPr>
                <w:rFonts w:cs="Times New Roman"/>
                <w:color w:val="000000"/>
                <w:szCs w:val="24"/>
              </w:rPr>
              <w:t>Ochrana ovzduší</w:t>
            </w:r>
          </w:p>
        </w:tc>
      </w:tr>
      <w:tr w:rsidR="00541B9F" w:rsidRPr="00C64F52" w14:paraId="01660F40" w14:textId="77777777" w:rsidTr="004E62AC">
        <w:trPr>
          <w:trHeight w:val="300"/>
        </w:trPr>
        <w:tc>
          <w:tcPr>
            <w:tcW w:w="1680" w:type="dxa"/>
            <w:vMerge/>
            <w:vAlign w:val="center"/>
            <w:hideMark/>
          </w:tcPr>
          <w:p w14:paraId="028E4855" w14:textId="77777777" w:rsidR="00541B9F" w:rsidRPr="00C64F52" w:rsidRDefault="00541B9F" w:rsidP="00AB680C">
            <w:pPr>
              <w:spacing w:before="0" w:after="0"/>
              <w:rPr>
                <w:rFonts w:cs="Times New Roman"/>
                <w:b/>
                <w:bCs/>
                <w:color w:val="000000"/>
                <w:szCs w:val="24"/>
              </w:rPr>
            </w:pPr>
          </w:p>
        </w:tc>
        <w:tc>
          <w:tcPr>
            <w:tcW w:w="7400" w:type="dxa"/>
            <w:shd w:val="clear" w:color="auto" w:fill="auto"/>
            <w:vAlign w:val="center"/>
            <w:hideMark/>
          </w:tcPr>
          <w:p w14:paraId="2779A971" w14:textId="77777777" w:rsidR="00541B9F" w:rsidRPr="00C64F52" w:rsidRDefault="00541B9F" w:rsidP="00AB680C">
            <w:pPr>
              <w:spacing w:before="0" w:after="0"/>
              <w:rPr>
                <w:rFonts w:cs="Times New Roman"/>
                <w:color w:val="000000"/>
                <w:szCs w:val="24"/>
              </w:rPr>
            </w:pPr>
            <w:r w:rsidRPr="00C64F52">
              <w:rPr>
                <w:rFonts w:cs="Times New Roman"/>
                <w:color w:val="000000"/>
                <w:szCs w:val="24"/>
              </w:rPr>
              <w:t>EMCS a mezinárodní spolupráce v oblasti daní</w:t>
            </w:r>
          </w:p>
        </w:tc>
      </w:tr>
      <w:tr w:rsidR="00541B9F" w:rsidRPr="00C64F52" w14:paraId="2D772605" w14:textId="77777777" w:rsidTr="004E62AC">
        <w:trPr>
          <w:trHeight w:val="300"/>
        </w:trPr>
        <w:tc>
          <w:tcPr>
            <w:tcW w:w="1680" w:type="dxa"/>
            <w:vMerge/>
            <w:vAlign w:val="center"/>
            <w:hideMark/>
          </w:tcPr>
          <w:p w14:paraId="4363C166" w14:textId="77777777" w:rsidR="00541B9F" w:rsidRPr="00C64F52" w:rsidRDefault="00541B9F" w:rsidP="00AB680C">
            <w:pPr>
              <w:spacing w:before="0" w:after="0"/>
              <w:rPr>
                <w:rFonts w:cs="Times New Roman"/>
                <w:b/>
                <w:bCs/>
                <w:color w:val="000000"/>
                <w:szCs w:val="24"/>
              </w:rPr>
            </w:pPr>
          </w:p>
        </w:tc>
        <w:tc>
          <w:tcPr>
            <w:tcW w:w="7400" w:type="dxa"/>
            <w:shd w:val="clear" w:color="auto" w:fill="auto"/>
            <w:vAlign w:val="center"/>
            <w:hideMark/>
          </w:tcPr>
          <w:p w14:paraId="64FF33E8" w14:textId="77777777" w:rsidR="00541B9F" w:rsidRPr="00C64F52" w:rsidRDefault="00541B9F" w:rsidP="00AB680C">
            <w:pPr>
              <w:spacing w:before="0" w:after="0"/>
              <w:rPr>
                <w:rFonts w:cs="Times New Roman"/>
                <w:color w:val="000000"/>
                <w:szCs w:val="24"/>
              </w:rPr>
            </w:pPr>
            <w:r w:rsidRPr="00C64F52">
              <w:rPr>
                <w:rFonts w:cs="Times New Roman"/>
                <w:color w:val="000000"/>
                <w:szCs w:val="24"/>
              </w:rPr>
              <w:t>Vinařství</w:t>
            </w:r>
          </w:p>
        </w:tc>
      </w:tr>
      <w:tr w:rsidR="00541B9F" w:rsidRPr="00C64F52" w14:paraId="02A1EFA5" w14:textId="77777777" w:rsidTr="004E62AC">
        <w:trPr>
          <w:trHeight w:val="300"/>
        </w:trPr>
        <w:tc>
          <w:tcPr>
            <w:tcW w:w="1680" w:type="dxa"/>
            <w:vMerge/>
            <w:vAlign w:val="center"/>
            <w:hideMark/>
          </w:tcPr>
          <w:p w14:paraId="4EFA6662" w14:textId="77777777" w:rsidR="00541B9F" w:rsidRPr="00C64F52" w:rsidRDefault="00541B9F" w:rsidP="00AB680C">
            <w:pPr>
              <w:spacing w:before="0" w:after="0"/>
              <w:rPr>
                <w:rFonts w:cs="Times New Roman"/>
                <w:b/>
                <w:bCs/>
                <w:color w:val="000000"/>
                <w:szCs w:val="24"/>
              </w:rPr>
            </w:pPr>
          </w:p>
        </w:tc>
        <w:tc>
          <w:tcPr>
            <w:tcW w:w="7400" w:type="dxa"/>
            <w:shd w:val="clear" w:color="auto" w:fill="auto"/>
            <w:vAlign w:val="center"/>
            <w:hideMark/>
          </w:tcPr>
          <w:p w14:paraId="77368BE6" w14:textId="77777777" w:rsidR="00541B9F" w:rsidRPr="00C64F52" w:rsidRDefault="00541B9F" w:rsidP="00AB680C">
            <w:pPr>
              <w:spacing w:before="0" w:after="0"/>
              <w:rPr>
                <w:rFonts w:cs="Times New Roman"/>
                <w:color w:val="000000"/>
                <w:szCs w:val="24"/>
              </w:rPr>
            </w:pPr>
            <w:r w:rsidRPr="00C64F52">
              <w:rPr>
                <w:rFonts w:cs="Times New Roman"/>
                <w:color w:val="000000"/>
                <w:szCs w:val="24"/>
              </w:rPr>
              <w:t>Správa příjmů a vymáhání v daňové oblasti</w:t>
            </w:r>
          </w:p>
        </w:tc>
      </w:tr>
      <w:tr w:rsidR="00541B9F" w:rsidRPr="00C64F52" w14:paraId="2CB2F122" w14:textId="77777777" w:rsidTr="004E62AC">
        <w:trPr>
          <w:trHeight w:val="315"/>
        </w:trPr>
        <w:tc>
          <w:tcPr>
            <w:tcW w:w="1680" w:type="dxa"/>
            <w:vMerge/>
            <w:vAlign w:val="center"/>
            <w:hideMark/>
          </w:tcPr>
          <w:p w14:paraId="19732E70" w14:textId="77777777" w:rsidR="00541B9F" w:rsidRPr="00C64F52" w:rsidRDefault="00541B9F" w:rsidP="00AB680C">
            <w:pPr>
              <w:spacing w:before="0" w:after="0"/>
              <w:rPr>
                <w:rFonts w:cs="Times New Roman"/>
                <w:b/>
                <w:bCs/>
                <w:color w:val="000000"/>
                <w:szCs w:val="24"/>
              </w:rPr>
            </w:pPr>
          </w:p>
        </w:tc>
        <w:tc>
          <w:tcPr>
            <w:tcW w:w="7400" w:type="dxa"/>
            <w:shd w:val="clear" w:color="auto" w:fill="auto"/>
            <w:vAlign w:val="center"/>
            <w:hideMark/>
          </w:tcPr>
          <w:p w14:paraId="72C93995" w14:textId="77777777" w:rsidR="00541B9F" w:rsidRPr="00C64F52" w:rsidRDefault="00541B9F" w:rsidP="00AB680C">
            <w:pPr>
              <w:spacing w:before="0" w:after="0"/>
              <w:rPr>
                <w:rFonts w:cs="Times New Roman"/>
                <w:color w:val="000000"/>
                <w:szCs w:val="24"/>
              </w:rPr>
            </w:pPr>
            <w:r w:rsidRPr="00C64F52">
              <w:rPr>
                <w:rFonts w:cs="Times New Roman"/>
                <w:color w:val="000000"/>
                <w:szCs w:val="24"/>
              </w:rPr>
              <w:t>Správní trestání v daňové oblasti</w:t>
            </w:r>
          </w:p>
        </w:tc>
      </w:tr>
      <w:tr w:rsidR="00541B9F" w:rsidRPr="00C64F52" w14:paraId="18BCA0C5" w14:textId="77777777" w:rsidTr="004E62AC">
        <w:trPr>
          <w:trHeight w:val="315"/>
        </w:trPr>
        <w:tc>
          <w:tcPr>
            <w:tcW w:w="1680" w:type="dxa"/>
            <w:vMerge w:val="restart"/>
            <w:shd w:val="clear" w:color="auto" w:fill="auto"/>
            <w:vAlign w:val="center"/>
            <w:hideMark/>
          </w:tcPr>
          <w:p w14:paraId="67D95D52" w14:textId="77777777" w:rsidR="00541B9F" w:rsidRPr="00C64F52" w:rsidRDefault="00541B9F" w:rsidP="00AB680C">
            <w:pPr>
              <w:spacing w:before="0" w:after="0"/>
              <w:jc w:val="center"/>
              <w:rPr>
                <w:rFonts w:cs="Times New Roman"/>
                <w:b/>
                <w:bCs/>
                <w:color w:val="000000"/>
                <w:szCs w:val="24"/>
              </w:rPr>
            </w:pPr>
            <w:r w:rsidRPr="00C64F52">
              <w:rPr>
                <w:rFonts w:cs="Times New Roman"/>
                <w:b/>
                <w:bCs/>
                <w:color w:val="000000"/>
                <w:szCs w:val="24"/>
              </w:rPr>
              <w:t>Pátrání</w:t>
            </w:r>
          </w:p>
        </w:tc>
        <w:tc>
          <w:tcPr>
            <w:tcW w:w="7400" w:type="dxa"/>
            <w:shd w:val="clear" w:color="auto" w:fill="auto"/>
            <w:vAlign w:val="center"/>
            <w:hideMark/>
          </w:tcPr>
          <w:p w14:paraId="18DE06EE" w14:textId="77777777" w:rsidR="00541B9F" w:rsidRPr="00C64F52" w:rsidRDefault="00541B9F" w:rsidP="00AB680C">
            <w:pPr>
              <w:spacing w:before="0" w:after="0"/>
              <w:rPr>
                <w:rFonts w:cs="Times New Roman"/>
                <w:color w:val="000000"/>
                <w:szCs w:val="24"/>
              </w:rPr>
            </w:pPr>
            <w:r w:rsidRPr="00C64F52">
              <w:rPr>
                <w:rFonts w:cs="Times New Roman"/>
                <w:color w:val="000000"/>
                <w:szCs w:val="24"/>
              </w:rPr>
              <w:t>Prověřování vybraných trestných činů</w:t>
            </w:r>
          </w:p>
        </w:tc>
      </w:tr>
      <w:tr w:rsidR="00541B9F" w:rsidRPr="00C64F52" w14:paraId="4ADE8FA8" w14:textId="77777777" w:rsidTr="004E62AC">
        <w:trPr>
          <w:trHeight w:val="315"/>
        </w:trPr>
        <w:tc>
          <w:tcPr>
            <w:tcW w:w="1680" w:type="dxa"/>
            <w:vMerge/>
            <w:vAlign w:val="center"/>
            <w:hideMark/>
          </w:tcPr>
          <w:p w14:paraId="177063E9" w14:textId="77777777" w:rsidR="00541B9F" w:rsidRPr="00C64F52" w:rsidRDefault="00541B9F" w:rsidP="00AB680C">
            <w:pPr>
              <w:spacing w:before="0" w:after="0"/>
              <w:rPr>
                <w:rFonts w:cs="Times New Roman"/>
                <w:b/>
                <w:bCs/>
                <w:color w:val="000000"/>
                <w:szCs w:val="24"/>
              </w:rPr>
            </w:pPr>
          </w:p>
        </w:tc>
        <w:tc>
          <w:tcPr>
            <w:tcW w:w="7400" w:type="dxa"/>
            <w:shd w:val="clear" w:color="auto" w:fill="auto"/>
            <w:vAlign w:val="center"/>
            <w:hideMark/>
          </w:tcPr>
          <w:p w14:paraId="4DB599EA" w14:textId="77777777" w:rsidR="00541B9F" w:rsidRPr="00C64F52" w:rsidRDefault="00541B9F" w:rsidP="00AB680C">
            <w:pPr>
              <w:spacing w:before="0" w:after="0"/>
              <w:rPr>
                <w:rFonts w:cs="Times New Roman"/>
                <w:color w:val="000000"/>
                <w:szCs w:val="24"/>
              </w:rPr>
            </w:pPr>
            <w:r w:rsidRPr="00C64F52">
              <w:rPr>
                <w:rFonts w:cs="Times New Roman"/>
                <w:color w:val="000000"/>
                <w:szCs w:val="24"/>
              </w:rPr>
              <w:t>Mezinárodní spolupráce v oblasti celních a daňových podvodů</w:t>
            </w:r>
          </w:p>
        </w:tc>
      </w:tr>
      <w:tr w:rsidR="00541B9F" w:rsidRPr="00C64F52" w14:paraId="64285D9F" w14:textId="77777777" w:rsidTr="004E62AC">
        <w:trPr>
          <w:trHeight w:val="315"/>
        </w:trPr>
        <w:tc>
          <w:tcPr>
            <w:tcW w:w="1680" w:type="dxa"/>
            <w:vMerge w:val="restart"/>
            <w:shd w:val="clear" w:color="auto" w:fill="auto"/>
            <w:vAlign w:val="center"/>
            <w:hideMark/>
          </w:tcPr>
          <w:p w14:paraId="5739FE37" w14:textId="77777777" w:rsidR="00541B9F" w:rsidRPr="00C64F52" w:rsidRDefault="00541B9F" w:rsidP="00AB680C">
            <w:pPr>
              <w:spacing w:before="0" w:after="0"/>
              <w:jc w:val="center"/>
              <w:rPr>
                <w:rFonts w:cs="Times New Roman"/>
                <w:b/>
                <w:bCs/>
                <w:color w:val="000000"/>
                <w:szCs w:val="24"/>
              </w:rPr>
            </w:pPr>
            <w:r w:rsidRPr="00C64F52">
              <w:rPr>
                <w:rFonts w:cs="Times New Roman"/>
                <w:b/>
                <w:bCs/>
                <w:color w:val="000000"/>
                <w:szCs w:val="24"/>
              </w:rPr>
              <w:t>Dohled</w:t>
            </w:r>
          </w:p>
        </w:tc>
        <w:tc>
          <w:tcPr>
            <w:tcW w:w="7400" w:type="dxa"/>
            <w:shd w:val="clear" w:color="auto" w:fill="auto"/>
            <w:vAlign w:val="center"/>
            <w:hideMark/>
          </w:tcPr>
          <w:p w14:paraId="66DA6A2E" w14:textId="77777777" w:rsidR="00541B9F" w:rsidRPr="00C64F52" w:rsidRDefault="00541B9F" w:rsidP="00AB680C">
            <w:pPr>
              <w:spacing w:before="0" w:after="0"/>
              <w:rPr>
                <w:rFonts w:cs="Times New Roman"/>
                <w:color w:val="000000"/>
                <w:szCs w:val="24"/>
              </w:rPr>
            </w:pPr>
            <w:r w:rsidRPr="00C64F52">
              <w:rPr>
                <w:rFonts w:cs="Times New Roman"/>
                <w:color w:val="000000"/>
                <w:szCs w:val="24"/>
              </w:rPr>
              <w:t>Hazard</w:t>
            </w:r>
          </w:p>
        </w:tc>
      </w:tr>
      <w:tr w:rsidR="00541B9F" w:rsidRPr="00C64F52" w14:paraId="0D45351B" w14:textId="77777777" w:rsidTr="004E62AC">
        <w:trPr>
          <w:trHeight w:val="300"/>
        </w:trPr>
        <w:tc>
          <w:tcPr>
            <w:tcW w:w="1680" w:type="dxa"/>
            <w:vMerge/>
            <w:vAlign w:val="center"/>
            <w:hideMark/>
          </w:tcPr>
          <w:p w14:paraId="7B9C80B6" w14:textId="77777777" w:rsidR="00541B9F" w:rsidRPr="00C64F52" w:rsidRDefault="00541B9F" w:rsidP="00AB680C">
            <w:pPr>
              <w:spacing w:before="0" w:after="0"/>
              <w:rPr>
                <w:rFonts w:cs="Times New Roman"/>
                <w:b/>
                <w:bCs/>
                <w:color w:val="000000"/>
                <w:szCs w:val="24"/>
              </w:rPr>
            </w:pPr>
          </w:p>
        </w:tc>
        <w:tc>
          <w:tcPr>
            <w:tcW w:w="7400" w:type="dxa"/>
            <w:shd w:val="clear" w:color="auto" w:fill="auto"/>
            <w:vAlign w:val="center"/>
            <w:hideMark/>
          </w:tcPr>
          <w:p w14:paraId="3E02D229" w14:textId="77777777" w:rsidR="00541B9F" w:rsidRPr="00C64F52" w:rsidRDefault="00541B9F" w:rsidP="00AB680C">
            <w:pPr>
              <w:spacing w:before="0" w:after="0"/>
              <w:rPr>
                <w:rFonts w:cs="Times New Roman"/>
                <w:color w:val="000000"/>
                <w:szCs w:val="24"/>
              </w:rPr>
            </w:pPr>
            <w:r w:rsidRPr="00C64F52">
              <w:rPr>
                <w:rFonts w:cs="Times New Roman"/>
                <w:color w:val="000000"/>
                <w:szCs w:val="24"/>
              </w:rPr>
              <w:t>Mýto a dálniční známky</w:t>
            </w:r>
          </w:p>
        </w:tc>
      </w:tr>
      <w:tr w:rsidR="00541B9F" w:rsidRPr="00C64F52" w14:paraId="1C347226" w14:textId="77777777" w:rsidTr="004E62AC">
        <w:trPr>
          <w:trHeight w:val="300"/>
        </w:trPr>
        <w:tc>
          <w:tcPr>
            <w:tcW w:w="1680" w:type="dxa"/>
            <w:vMerge/>
            <w:vAlign w:val="center"/>
            <w:hideMark/>
          </w:tcPr>
          <w:p w14:paraId="331307DA" w14:textId="77777777" w:rsidR="00541B9F" w:rsidRPr="00C64F52" w:rsidRDefault="00541B9F" w:rsidP="00AB680C">
            <w:pPr>
              <w:spacing w:before="0" w:after="0"/>
              <w:rPr>
                <w:rFonts w:cs="Times New Roman"/>
                <w:b/>
                <w:bCs/>
                <w:color w:val="000000"/>
                <w:szCs w:val="24"/>
              </w:rPr>
            </w:pPr>
          </w:p>
        </w:tc>
        <w:tc>
          <w:tcPr>
            <w:tcW w:w="7400" w:type="dxa"/>
            <w:shd w:val="clear" w:color="auto" w:fill="auto"/>
            <w:vAlign w:val="center"/>
            <w:hideMark/>
          </w:tcPr>
          <w:p w14:paraId="7C211520" w14:textId="77777777" w:rsidR="00541B9F" w:rsidRPr="00C64F52" w:rsidRDefault="00541B9F" w:rsidP="00AB680C">
            <w:pPr>
              <w:spacing w:before="0" w:after="0"/>
              <w:rPr>
                <w:rFonts w:cs="Times New Roman"/>
                <w:color w:val="000000"/>
                <w:szCs w:val="24"/>
              </w:rPr>
            </w:pPr>
            <w:proofErr w:type="spellStart"/>
            <w:r w:rsidRPr="00C64F52">
              <w:rPr>
                <w:rFonts w:cs="Times New Roman"/>
                <w:color w:val="000000"/>
                <w:szCs w:val="24"/>
              </w:rPr>
              <w:t>Nízkorychlostní</w:t>
            </w:r>
            <w:proofErr w:type="spellEnd"/>
            <w:r w:rsidRPr="00C64F52">
              <w:rPr>
                <w:rFonts w:cs="Times New Roman"/>
                <w:color w:val="000000"/>
                <w:szCs w:val="24"/>
              </w:rPr>
              <w:t xml:space="preserve"> vážení</w:t>
            </w:r>
          </w:p>
        </w:tc>
      </w:tr>
      <w:tr w:rsidR="00541B9F" w:rsidRPr="00C64F52" w14:paraId="41AC0DEB" w14:textId="77777777" w:rsidTr="004E62AC">
        <w:trPr>
          <w:trHeight w:val="570"/>
        </w:trPr>
        <w:tc>
          <w:tcPr>
            <w:tcW w:w="1680" w:type="dxa"/>
            <w:vMerge/>
            <w:vAlign w:val="center"/>
            <w:hideMark/>
          </w:tcPr>
          <w:p w14:paraId="230BE9A8" w14:textId="77777777" w:rsidR="00541B9F" w:rsidRPr="00C64F52" w:rsidRDefault="00541B9F" w:rsidP="00AB680C">
            <w:pPr>
              <w:spacing w:before="0" w:after="0"/>
              <w:rPr>
                <w:rFonts w:cs="Times New Roman"/>
                <w:b/>
                <w:bCs/>
                <w:color w:val="000000"/>
                <w:szCs w:val="24"/>
              </w:rPr>
            </w:pPr>
          </w:p>
        </w:tc>
        <w:tc>
          <w:tcPr>
            <w:tcW w:w="7400" w:type="dxa"/>
            <w:shd w:val="clear" w:color="auto" w:fill="auto"/>
            <w:vAlign w:val="center"/>
            <w:hideMark/>
          </w:tcPr>
          <w:p w14:paraId="1B0FA14F" w14:textId="77777777" w:rsidR="00541B9F" w:rsidRPr="00C64F52" w:rsidRDefault="00541B9F" w:rsidP="00AB680C">
            <w:pPr>
              <w:spacing w:before="0" w:after="0"/>
              <w:rPr>
                <w:rFonts w:cs="Times New Roman"/>
                <w:color w:val="000000"/>
                <w:szCs w:val="24"/>
              </w:rPr>
            </w:pPr>
            <w:r w:rsidRPr="00C64F52">
              <w:rPr>
                <w:rFonts w:cs="Times New Roman"/>
                <w:color w:val="000000"/>
                <w:szCs w:val="24"/>
              </w:rPr>
              <w:t>Ochrana před návykovými látkami včetně pěstování máku a konopí a přepravy prekurzorů drog</w:t>
            </w:r>
          </w:p>
        </w:tc>
      </w:tr>
      <w:tr w:rsidR="00541B9F" w:rsidRPr="00C64F52" w14:paraId="330FB9BB" w14:textId="77777777" w:rsidTr="004E62AC">
        <w:trPr>
          <w:trHeight w:val="300"/>
        </w:trPr>
        <w:tc>
          <w:tcPr>
            <w:tcW w:w="1680" w:type="dxa"/>
            <w:vMerge/>
            <w:vAlign w:val="center"/>
            <w:hideMark/>
          </w:tcPr>
          <w:p w14:paraId="009ECF62" w14:textId="77777777" w:rsidR="00541B9F" w:rsidRPr="00C64F52" w:rsidRDefault="00541B9F" w:rsidP="00AB680C">
            <w:pPr>
              <w:spacing w:before="0" w:after="0"/>
              <w:rPr>
                <w:rFonts w:cs="Times New Roman"/>
                <w:b/>
                <w:bCs/>
                <w:color w:val="000000"/>
                <w:szCs w:val="24"/>
              </w:rPr>
            </w:pPr>
          </w:p>
        </w:tc>
        <w:tc>
          <w:tcPr>
            <w:tcW w:w="7400" w:type="dxa"/>
            <w:shd w:val="clear" w:color="auto" w:fill="auto"/>
            <w:vAlign w:val="center"/>
            <w:hideMark/>
          </w:tcPr>
          <w:p w14:paraId="6786A25D" w14:textId="77777777" w:rsidR="00541B9F" w:rsidRPr="00C64F52" w:rsidRDefault="00541B9F" w:rsidP="00AB680C">
            <w:pPr>
              <w:spacing w:before="0" w:after="0"/>
              <w:rPr>
                <w:rFonts w:cs="Times New Roman"/>
                <w:color w:val="000000"/>
                <w:szCs w:val="24"/>
              </w:rPr>
            </w:pPr>
            <w:r w:rsidRPr="00C64F52">
              <w:rPr>
                <w:rFonts w:cs="Times New Roman"/>
                <w:color w:val="000000"/>
                <w:szCs w:val="24"/>
              </w:rPr>
              <w:t>Zaměstnávání cizinců</w:t>
            </w:r>
          </w:p>
        </w:tc>
      </w:tr>
      <w:tr w:rsidR="00541B9F" w:rsidRPr="00C64F52" w14:paraId="1F3622E4" w14:textId="77777777" w:rsidTr="004E62AC">
        <w:trPr>
          <w:trHeight w:val="300"/>
        </w:trPr>
        <w:tc>
          <w:tcPr>
            <w:tcW w:w="1680" w:type="dxa"/>
            <w:vMerge/>
            <w:vAlign w:val="center"/>
            <w:hideMark/>
          </w:tcPr>
          <w:p w14:paraId="7D55081B" w14:textId="77777777" w:rsidR="00541B9F" w:rsidRPr="00C64F52" w:rsidRDefault="00541B9F" w:rsidP="00AB680C">
            <w:pPr>
              <w:spacing w:before="0" w:after="0"/>
              <w:rPr>
                <w:rFonts w:cs="Times New Roman"/>
                <w:b/>
                <w:bCs/>
                <w:color w:val="000000"/>
                <w:szCs w:val="24"/>
              </w:rPr>
            </w:pPr>
          </w:p>
        </w:tc>
        <w:tc>
          <w:tcPr>
            <w:tcW w:w="7400" w:type="dxa"/>
            <w:shd w:val="clear" w:color="auto" w:fill="auto"/>
            <w:vAlign w:val="center"/>
            <w:hideMark/>
          </w:tcPr>
          <w:p w14:paraId="4224F775" w14:textId="77777777" w:rsidR="00541B9F" w:rsidRPr="00C64F52" w:rsidRDefault="00541B9F" w:rsidP="00AB680C">
            <w:pPr>
              <w:spacing w:before="0" w:after="0"/>
              <w:rPr>
                <w:rFonts w:cs="Times New Roman"/>
                <w:color w:val="000000"/>
                <w:szCs w:val="24"/>
              </w:rPr>
            </w:pPr>
            <w:r w:rsidRPr="00C64F52">
              <w:rPr>
                <w:rFonts w:cs="Times New Roman"/>
                <w:color w:val="000000"/>
                <w:szCs w:val="24"/>
              </w:rPr>
              <w:t>Kontrolní činnosti související s bezpečností státu</w:t>
            </w:r>
          </w:p>
        </w:tc>
      </w:tr>
      <w:tr w:rsidR="00541B9F" w:rsidRPr="00C64F52" w14:paraId="7CBFBD65" w14:textId="77777777" w:rsidTr="004E62AC">
        <w:trPr>
          <w:trHeight w:val="300"/>
        </w:trPr>
        <w:tc>
          <w:tcPr>
            <w:tcW w:w="1680" w:type="dxa"/>
            <w:vMerge/>
            <w:vAlign w:val="center"/>
            <w:hideMark/>
          </w:tcPr>
          <w:p w14:paraId="7AE54111" w14:textId="77777777" w:rsidR="00541B9F" w:rsidRPr="00C64F52" w:rsidRDefault="00541B9F" w:rsidP="00AB680C">
            <w:pPr>
              <w:spacing w:before="0" w:after="0"/>
              <w:rPr>
                <w:rFonts w:cs="Times New Roman"/>
                <w:b/>
                <w:bCs/>
                <w:color w:val="000000"/>
                <w:szCs w:val="24"/>
              </w:rPr>
            </w:pPr>
          </w:p>
        </w:tc>
        <w:tc>
          <w:tcPr>
            <w:tcW w:w="7400" w:type="dxa"/>
            <w:shd w:val="clear" w:color="auto" w:fill="auto"/>
            <w:vAlign w:val="center"/>
            <w:hideMark/>
          </w:tcPr>
          <w:p w14:paraId="47FE2AE0" w14:textId="77777777" w:rsidR="00541B9F" w:rsidRPr="00C64F52" w:rsidRDefault="00541B9F" w:rsidP="00AB680C">
            <w:pPr>
              <w:spacing w:before="0" w:after="0"/>
              <w:rPr>
                <w:rFonts w:cs="Times New Roman"/>
                <w:color w:val="000000"/>
                <w:szCs w:val="24"/>
              </w:rPr>
            </w:pPr>
            <w:r w:rsidRPr="00C64F52">
              <w:rPr>
                <w:rFonts w:cs="Times New Roman"/>
                <w:color w:val="000000"/>
                <w:szCs w:val="24"/>
              </w:rPr>
              <w:t>Duševní vlastnictví</w:t>
            </w:r>
          </w:p>
        </w:tc>
      </w:tr>
      <w:tr w:rsidR="00541B9F" w:rsidRPr="00C64F52" w14:paraId="25FD0137" w14:textId="77777777" w:rsidTr="004E62AC">
        <w:trPr>
          <w:trHeight w:val="300"/>
        </w:trPr>
        <w:tc>
          <w:tcPr>
            <w:tcW w:w="1680" w:type="dxa"/>
            <w:vMerge/>
            <w:vAlign w:val="center"/>
          </w:tcPr>
          <w:p w14:paraId="62D1CCB7" w14:textId="77777777" w:rsidR="00541B9F" w:rsidRPr="00C64F52" w:rsidRDefault="00541B9F" w:rsidP="00AB680C">
            <w:pPr>
              <w:spacing w:before="0" w:after="0"/>
              <w:rPr>
                <w:rFonts w:cs="Times New Roman"/>
                <w:b/>
                <w:bCs/>
                <w:color w:val="000000"/>
                <w:szCs w:val="24"/>
              </w:rPr>
            </w:pPr>
          </w:p>
        </w:tc>
        <w:tc>
          <w:tcPr>
            <w:tcW w:w="7400" w:type="dxa"/>
            <w:shd w:val="clear" w:color="auto" w:fill="auto"/>
            <w:vAlign w:val="center"/>
          </w:tcPr>
          <w:p w14:paraId="25A78098" w14:textId="77777777" w:rsidR="00541B9F" w:rsidRPr="00C64F52" w:rsidRDefault="00541B9F" w:rsidP="00AB680C">
            <w:pPr>
              <w:spacing w:before="0" w:after="0"/>
              <w:rPr>
                <w:rFonts w:cs="Times New Roman"/>
                <w:color w:val="000000"/>
                <w:szCs w:val="24"/>
              </w:rPr>
            </w:pPr>
            <w:r w:rsidRPr="00C64F52">
              <w:rPr>
                <w:rFonts w:cs="Times New Roman"/>
                <w:color w:val="000000"/>
                <w:szCs w:val="24"/>
              </w:rPr>
              <w:t>CITES</w:t>
            </w:r>
          </w:p>
        </w:tc>
      </w:tr>
      <w:tr w:rsidR="00541B9F" w:rsidRPr="00C64F52" w14:paraId="4F9E72B7" w14:textId="77777777" w:rsidTr="004E62AC">
        <w:trPr>
          <w:trHeight w:val="300"/>
        </w:trPr>
        <w:tc>
          <w:tcPr>
            <w:tcW w:w="1680" w:type="dxa"/>
            <w:vMerge/>
            <w:vAlign w:val="center"/>
            <w:hideMark/>
          </w:tcPr>
          <w:p w14:paraId="76246515" w14:textId="77777777" w:rsidR="00541B9F" w:rsidRPr="00C64F52" w:rsidRDefault="00541B9F" w:rsidP="00AB680C">
            <w:pPr>
              <w:spacing w:before="0" w:after="0"/>
              <w:rPr>
                <w:rFonts w:cs="Times New Roman"/>
                <w:b/>
                <w:bCs/>
                <w:color w:val="000000"/>
                <w:szCs w:val="24"/>
              </w:rPr>
            </w:pPr>
          </w:p>
        </w:tc>
        <w:tc>
          <w:tcPr>
            <w:tcW w:w="7400" w:type="dxa"/>
            <w:shd w:val="clear" w:color="auto" w:fill="auto"/>
            <w:vAlign w:val="center"/>
            <w:hideMark/>
          </w:tcPr>
          <w:p w14:paraId="6D46C91E" w14:textId="77777777" w:rsidR="00541B9F" w:rsidRPr="00C64F52" w:rsidRDefault="00541B9F" w:rsidP="00AB680C">
            <w:pPr>
              <w:spacing w:before="0" w:after="0"/>
              <w:rPr>
                <w:rFonts w:cs="Times New Roman"/>
                <w:color w:val="000000"/>
                <w:szCs w:val="24"/>
              </w:rPr>
            </w:pPr>
            <w:r w:rsidRPr="00C64F52">
              <w:rPr>
                <w:rFonts w:cs="Times New Roman"/>
                <w:color w:val="000000"/>
                <w:szCs w:val="24"/>
              </w:rPr>
              <w:t>Přeprava odpadů</w:t>
            </w:r>
          </w:p>
        </w:tc>
      </w:tr>
      <w:tr w:rsidR="00541B9F" w:rsidRPr="00C64F52" w14:paraId="4605DAF5" w14:textId="77777777" w:rsidTr="004E62AC">
        <w:trPr>
          <w:trHeight w:val="300"/>
        </w:trPr>
        <w:tc>
          <w:tcPr>
            <w:tcW w:w="1680" w:type="dxa"/>
            <w:vMerge/>
            <w:vAlign w:val="center"/>
            <w:hideMark/>
          </w:tcPr>
          <w:p w14:paraId="0CA3C933" w14:textId="77777777" w:rsidR="00541B9F" w:rsidRPr="00C64F52" w:rsidRDefault="00541B9F" w:rsidP="00AB680C">
            <w:pPr>
              <w:spacing w:before="0" w:after="0"/>
              <w:rPr>
                <w:rFonts w:cs="Times New Roman"/>
                <w:b/>
                <w:bCs/>
                <w:color w:val="000000"/>
                <w:szCs w:val="24"/>
              </w:rPr>
            </w:pPr>
          </w:p>
        </w:tc>
        <w:tc>
          <w:tcPr>
            <w:tcW w:w="7400" w:type="dxa"/>
            <w:shd w:val="clear" w:color="auto" w:fill="auto"/>
            <w:vAlign w:val="center"/>
            <w:hideMark/>
          </w:tcPr>
          <w:p w14:paraId="026A6087" w14:textId="77777777" w:rsidR="00541B9F" w:rsidRPr="00C64F52" w:rsidRDefault="00541B9F" w:rsidP="00AB680C">
            <w:pPr>
              <w:spacing w:before="0" w:after="0"/>
              <w:rPr>
                <w:rFonts w:cs="Times New Roman"/>
                <w:color w:val="000000"/>
                <w:szCs w:val="24"/>
              </w:rPr>
            </w:pPr>
            <w:r w:rsidRPr="00C64F52">
              <w:rPr>
                <w:rFonts w:cs="Times New Roman"/>
                <w:color w:val="000000"/>
                <w:szCs w:val="24"/>
              </w:rPr>
              <w:t>Přeprava obalů</w:t>
            </w:r>
          </w:p>
        </w:tc>
      </w:tr>
      <w:tr w:rsidR="00541B9F" w:rsidRPr="00C64F52" w14:paraId="582FA627" w14:textId="77777777" w:rsidTr="004E62AC">
        <w:trPr>
          <w:trHeight w:val="300"/>
        </w:trPr>
        <w:tc>
          <w:tcPr>
            <w:tcW w:w="1680" w:type="dxa"/>
            <w:vMerge/>
            <w:vAlign w:val="center"/>
            <w:hideMark/>
          </w:tcPr>
          <w:p w14:paraId="69ADC085" w14:textId="77777777" w:rsidR="00541B9F" w:rsidRPr="00C64F52" w:rsidRDefault="00541B9F" w:rsidP="00AB680C">
            <w:pPr>
              <w:spacing w:before="0" w:after="0"/>
              <w:rPr>
                <w:rFonts w:cs="Times New Roman"/>
                <w:b/>
                <w:bCs/>
                <w:color w:val="000000"/>
                <w:szCs w:val="24"/>
              </w:rPr>
            </w:pPr>
          </w:p>
        </w:tc>
        <w:tc>
          <w:tcPr>
            <w:tcW w:w="7400" w:type="dxa"/>
            <w:shd w:val="clear" w:color="auto" w:fill="auto"/>
            <w:vAlign w:val="center"/>
            <w:hideMark/>
          </w:tcPr>
          <w:p w14:paraId="49BFA527" w14:textId="77777777" w:rsidR="00541B9F" w:rsidRPr="00C64F52" w:rsidRDefault="00541B9F" w:rsidP="00AB680C">
            <w:pPr>
              <w:spacing w:before="0" w:after="0"/>
              <w:rPr>
                <w:rFonts w:cs="Times New Roman"/>
                <w:color w:val="000000"/>
                <w:szCs w:val="24"/>
              </w:rPr>
            </w:pPr>
            <w:r w:rsidRPr="00C64F52">
              <w:rPr>
                <w:rFonts w:cs="Times New Roman"/>
                <w:color w:val="000000"/>
                <w:szCs w:val="24"/>
              </w:rPr>
              <w:t>Kulturní dědictví</w:t>
            </w:r>
          </w:p>
        </w:tc>
      </w:tr>
      <w:tr w:rsidR="00541B9F" w:rsidRPr="00C64F52" w14:paraId="43A02328" w14:textId="77777777" w:rsidTr="004E62AC">
        <w:trPr>
          <w:trHeight w:val="300"/>
        </w:trPr>
        <w:tc>
          <w:tcPr>
            <w:tcW w:w="1680" w:type="dxa"/>
            <w:vMerge/>
            <w:vAlign w:val="center"/>
            <w:hideMark/>
          </w:tcPr>
          <w:p w14:paraId="37060FF8" w14:textId="77777777" w:rsidR="00541B9F" w:rsidRPr="00C64F52" w:rsidRDefault="00541B9F" w:rsidP="00AB680C">
            <w:pPr>
              <w:spacing w:before="0" w:after="0"/>
              <w:rPr>
                <w:rFonts w:cs="Times New Roman"/>
                <w:b/>
                <w:bCs/>
                <w:color w:val="000000"/>
                <w:szCs w:val="24"/>
              </w:rPr>
            </w:pPr>
          </w:p>
        </w:tc>
        <w:tc>
          <w:tcPr>
            <w:tcW w:w="7400" w:type="dxa"/>
            <w:shd w:val="clear" w:color="auto" w:fill="auto"/>
            <w:vAlign w:val="center"/>
            <w:hideMark/>
          </w:tcPr>
          <w:p w14:paraId="7E9F62D9" w14:textId="77777777" w:rsidR="00541B9F" w:rsidRPr="00C64F52" w:rsidRDefault="00541B9F" w:rsidP="00AB680C">
            <w:pPr>
              <w:spacing w:before="0" w:after="0"/>
              <w:rPr>
                <w:rFonts w:cs="Times New Roman"/>
                <w:color w:val="000000"/>
                <w:szCs w:val="24"/>
              </w:rPr>
            </w:pPr>
            <w:r w:rsidRPr="00C64F52">
              <w:rPr>
                <w:rFonts w:cs="Times New Roman"/>
                <w:color w:val="000000"/>
                <w:szCs w:val="24"/>
              </w:rPr>
              <w:t>Cenová kontrola</w:t>
            </w:r>
          </w:p>
        </w:tc>
      </w:tr>
      <w:tr w:rsidR="00541B9F" w:rsidRPr="00C64F52" w14:paraId="52E9EDDC" w14:textId="77777777" w:rsidTr="004E62AC">
        <w:trPr>
          <w:trHeight w:val="300"/>
        </w:trPr>
        <w:tc>
          <w:tcPr>
            <w:tcW w:w="1680" w:type="dxa"/>
            <w:vMerge/>
            <w:vAlign w:val="center"/>
            <w:hideMark/>
          </w:tcPr>
          <w:p w14:paraId="717186FA" w14:textId="77777777" w:rsidR="00541B9F" w:rsidRPr="00C64F52" w:rsidRDefault="00541B9F" w:rsidP="00AB680C">
            <w:pPr>
              <w:spacing w:before="0" w:after="0"/>
              <w:rPr>
                <w:rFonts w:cs="Times New Roman"/>
                <w:b/>
                <w:bCs/>
                <w:color w:val="000000"/>
                <w:szCs w:val="24"/>
              </w:rPr>
            </w:pPr>
          </w:p>
        </w:tc>
        <w:tc>
          <w:tcPr>
            <w:tcW w:w="7400" w:type="dxa"/>
            <w:shd w:val="clear" w:color="auto" w:fill="auto"/>
            <w:vAlign w:val="center"/>
            <w:hideMark/>
          </w:tcPr>
          <w:p w14:paraId="2B540FAB" w14:textId="77777777" w:rsidR="00541B9F" w:rsidRPr="00C64F52" w:rsidRDefault="00541B9F" w:rsidP="00AB680C">
            <w:pPr>
              <w:spacing w:before="0" w:after="0"/>
              <w:rPr>
                <w:rFonts w:cs="Times New Roman"/>
                <w:color w:val="000000"/>
                <w:szCs w:val="24"/>
              </w:rPr>
            </w:pPr>
            <w:r w:rsidRPr="00C64F52">
              <w:rPr>
                <w:rFonts w:cs="Times New Roman"/>
                <w:color w:val="000000"/>
                <w:szCs w:val="24"/>
              </w:rPr>
              <w:t>Asistenční činnosti</w:t>
            </w:r>
          </w:p>
        </w:tc>
      </w:tr>
      <w:tr w:rsidR="00541B9F" w:rsidRPr="00C64F52" w14:paraId="3434CEEA" w14:textId="77777777" w:rsidTr="004E62AC">
        <w:trPr>
          <w:trHeight w:val="300"/>
        </w:trPr>
        <w:tc>
          <w:tcPr>
            <w:tcW w:w="1680" w:type="dxa"/>
            <w:vMerge/>
            <w:vAlign w:val="center"/>
            <w:hideMark/>
          </w:tcPr>
          <w:p w14:paraId="7356E97C" w14:textId="77777777" w:rsidR="00541B9F" w:rsidRPr="00C64F52" w:rsidRDefault="00541B9F" w:rsidP="00AB680C">
            <w:pPr>
              <w:spacing w:before="0" w:after="0"/>
              <w:rPr>
                <w:rFonts w:cs="Times New Roman"/>
                <w:b/>
                <w:bCs/>
                <w:color w:val="000000"/>
                <w:szCs w:val="24"/>
              </w:rPr>
            </w:pPr>
          </w:p>
        </w:tc>
        <w:tc>
          <w:tcPr>
            <w:tcW w:w="7400" w:type="dxa"/>
            <w:shd w:val="clear" w:color="auto" w:fill="auto"/>
            <w:vAlign w:val="center"/>
            <w:hideMark/>
          </w:tcPr>
          <w:p w14:paraId="68482EB5" w14:textId="38085C0A" w:rsidR="00541B9F" w:rsidRPr="00C64F52" w:rsidRDefault="00541B9F" w:rsidP="00FA6CA0">
            <w:pPr>
              <w:spacing w:before="0" w:after="0"/>
              <w:rPr>
                <w:rFonts w:cs="Times New Roman"/>
                <w:szCs w:val="24"/>
              </w:rPr>
            </w:pPr>
            <w:r w:rsidRPr="00C64F52">
              <w:rPr>
                <w:rFonts w:eastAsia="Arial" w:cs="Times New Roman"/>
                <w:szCs w:val="24"/>
              </w:rPr>
              <w:t>Plnění úkolů v rámci služby pod velením Policie Č</w:t>
            </w:r>
            <w:r w:rsidR="00FA6CA0">
              <w:rPr>
                <w:rFonts w:eastAsia="Arial" w:cs="Times New Roman"/>
                <w:szCs w:val="24"/>
              </w:rPr>
              <w:t>eské republiky (dále jen „Policie ČR“)</w:t>
            </w:r>
          </w:p>
        </w:tc>
      </w:tr>
      <w:tr w:rsidR="00541B9F" w:rsidRPr="00C64F52" w14:paraId="41465E53" w14:textId="77777777" w:rsidTr="004E62AC">
        <w:trPr>
          <w:trHeight w:val="300"/>
        </w:trPr>
        <w:tc>
          <w:tcPr>
            <w:tcW w:w="1680" w:type="dxa"/>
            <w:vMerge/>
            <w:vAlign w:val="center"/>
            <w:hideMark/>
          </w:tcPr>
          <w:p w14:paraId="68F2B5D5" w14:textId="77777777" w:rsidR="00541B9F" w:rsidRPr="00C64F52" w:rsidRDefault="00541B9F" w:rsidP="00AB680C">
            <w:pPr>
              <w:spacing w:before="0" w:after="0"/>
              <w:rPr>
                <w:rFonts w:cs="Times New Roman"/>
                <w:b/>
                <w:bCs/>
                <w:color w:val="000000"/>
                <w:szCs w:val="24"/>
              </w:rPr>
            </w:pPr>
          </w:p>
        </w:tc>
        <w:tc>
          <w:tcPr>
            <w:tcW w:w="7400" w:type="dxa"/>
            <w:shd w:val="clear" w:color="auto" w:fill="auto"/>
            <w:vAlign w:val="center"/>
            <w:hideMark/>
          </w:tcPr>
          <w:p w14:paraId="42368984" w14:textId="77777777" w:rsidR="00541B9F" w:rsidRPr="00C64F52" w:rsidRDefault="00541B9F" w:rsidP="00AB680C">
            <w:pPr>
              <w:spacing w:before="0" w:after="0"/>
              <w:rPr>
                <w:rFonts w:cs="Times New Roman"/>
                <w:color w:val="000000"/>
                <w:szCs w:val="24"/>
              </w:rPr>
            </w:pPr>
            <w:r w:rsidRPr="00C64F52">
              <w:rPr>
                <w:rFonts w:cs="Times New Roman"/>
                <w:color w:val="000000"/>
                <w:szCs w:val="24"/>
              </w:rPr>
              <w:t>Integrovaný záchranný systém</w:t>
            </w:r>
          </w:p>
        </w:tc>
      </w:tr>
      <w:tr w:rsidR="00541B9F" w:rsidRPr="00C64F52" w14:paraId="657D6EA7" w14:textId="77777777" w:rsidTr="004E62AC">
        <w:trPr>
          <w:trHeight w:val="375"/>
        </w:trPr>
        <w:tc>
          <w:tcPr>
            <w:tcW w:w="1680" w:type="dxa"/>
            <w:vMerge/>
            <w:vAlign w:val="center"/>
            <w:hideMark/>
          </w:tcPr>
          <w:p w14:paraId="439D7A08" w14:textId="77777777" w:rsidR="00541B9F" w:rsidRPr="00C64F52" w:rsidRDefault="00541B9F" w:rsidP="00AB680C">
            <w:pPr>
              <w:spacing w:before="0" w:after="0"/>
              <w:rPr>
                <w:rFonts w:cs="Times New Roman"/>
                <w:b/>
                <w:bCs/>
                <w:color w:val="000000"/>
                <w:szCs w:val="24"/>
              </w:rPr>
            </w:pPr>
          </w:p>
        </w:tc>
        <w:tc>
          <w:tcPr>
            <w:tcW w:w="7400" w:type="dxa"/>
            <w:shd w:val="clear" w:color="auto" w:fill="auto"/>
            <w:vAlign w:val="center"/>
            <w:hideMark/>
          </w:tcPr>
          <w:p w14:paraId="0B5F639F" w14:textId="77777777" w:rsidR="00541B9F" w:rsidRPr="00C64F52" w:rsidRDefault="00541B9F" w:rsidP="00AB680C">
            <w:pPr>
              <w:spacing w:before="0" w:after="0"/>
              <w:rPr>
                <w:rFonts w:cs="Times New Roman"/>
                <w:color w:val="000000"/>
                <w:szCs w:val="24"/>
              </w:rPr>
            </w:pPr>
            <w:r w:rsidRPr="00C64F52">
              <w:rPr>
                <w:rFonts w:cs="Times New Roman"/>
                <w:color w:val="000000"/>
                <w:szCs w:val="24"/>
              </w:rPr>
              <w:t>Správa příjmů a vymáhání včetně zadržování registračních značek vozidel</w:t>
            </w:r>
          </w:p>
        </w:tc>
      </w:tr>
      <w:tr w:rsidR="00541B9F" w:rsidRPr="00C64F52" w14:paraId="1686309E" w14:textId="77777777" w:rsidTr="004E62AC">
        <w:trPr>
          <w:trHeight w:val="315"/>
        </w:trPr>
        <w:tc>
          <w:tcPr>
            <w:tcW w:w="1680" w:type="dxa"/>
            <w:vMerge/>
            <w:vAlign w:val="center"/>
            <w:hideMark/>
          </w:tcPr>
          <w:p w14:paraId="180AD6BC" w14:textId="77777777" w:rsidR="00541B9F" w:rsidRPr="00C64F52" w:rsidRDefault="00541B9F" w:rsidP="00AB680C">
            <w:pPr>
              <w:spacing w:before="0" w:after="0"/>
              <w:rPr>
                <w:rFonts w:cs="Times New Roman"/>
                <w:b/>
                <w:bCs/>
                <w:color w:val="000000"/>
                <w:szCs w:val="24"/>
              </w:rPr>
            </w:pPr>
          </w:p>
        </w:tc>
        <w:tc>
          <w:tcPr>
            <w:tcW w:w="7400" w:type="dxa"/>
            <w:shd w:val="clear" w:color="auto" w:fill="auto"/>
            <w:vAlign w:val="center"/>
            <w:hideMark/>
          </w:tcPr>
          <w:p w14:paraId="72DCAA82" w14:textId="77777777" w:rsidR="00541B9F" w:rsidRPr="00C64F52" w:rsidRDefault="00541B9F" w:rsidP="00AB680C">
            <w:pPr>
              <w:spacing w:before="0" w:after="0"/>
              <w:rPr>
                <w:rFonts w:cs="Times New Roman"/>
                <w:color w:val="000000"/>
                <w:szCs w:val="24"/>
              </w:rPr>
            </w:pPr>
            <w:r w:rsidRPr="00C64F52">
              <w:rPr>
                <w:rFonts w:cs="Times New Roman"/>
                <w:color w:val="000000"/>
                <w:szCs w:val="24"/>
              </w:rPr>
              <w:t>Správní trestání ve vybraných dohledových činnostech</w:t>
            </w:r>
          </w:p>
        </w:tc>
      </w:tr>
      <w:tr w:rsidR="00541B9F" w:rsidRPr="00C64F52" w14:paraId="3C7ACC13" w14:textId="77777777" w:rsidTr="004E62AC">
        <w:trPr>
          <w:trHeight w:val="315"/>
        </w:trPr>
        <w:tc>
          <w:tcPr>
            <w:tcW w:w="1680" w:type="dxa"/>
            <w:vMerge w:val="restart"/>
            <w:shd w:val="clear" w:color="auto" w:fill="auto"/>
            <w:vAlign w:val="bottom"/>
            <w:hideMark/>
          </w:tcPr>
          <w:p w14:paraId="3503ECC0" w14:textId="77777777" w:rsidR="00541B9F" w:rsidRPr="00C64F52" w:rsidRDefault="00541B9F" w:rsidP="00AB680C">
            <w:pPr>
              <w:spacing w:before="0" w:after="0"/>
              <w:jc w:val="center"/>
              <w:rPr>
                <w:rFonts w:cs="Times New Roman"/>
                <w:b/>
                <w:bCs/>
                <w:color w:val="000000"/>
                <w:szCs w:val="24"/>
              </w:rPr>
            </w:pPr>
            <w:r w:rsidRPr="00C64F52">
              <w:rPr>
                <w:rFonts w:cs="Times New Roman"/>
                <w:b/>
                <w:bCs/>
                <w:color w:val="000000"/>
                <w:szCs w:val="24"/>
              </w:rPr>
              <w:t>Ostatní vybrané činnosti</w:t>
            </w:r>
          </w:p>
        </w:tc>
        <w:tc>
          <w:tcPr>
            <w:tcW w:w="7400" w:type="dxa"/>
            <w:shd w:val="clear" w:color="auto" w:fill="auto"/>
            <w:vAlign w:val="center"/>
            <w:hideMark/>
          </w:tcPr>
          <w:p w14:paraId="729E42EF" w14:textId="77777777" w:rsidR="00541B9F" w:rsidRPr="00C64F52" w:rsidRDefault="00541B9F" w:rsidP="00AB680C">
            <w:pPr>
              <w:spacing w:before="0" w:after="0"/>
              <w:rPr>
                <w:rFonts w:cs="Times New Roman"/>
                <w:color w:val="000000"/>
                <w:szCs w:val="24"/>
              </w:rPr>
            </w:pPr>
            <w:r w:rsidRPr="00C64F52">
              <w:rPr>
                <w:rFonts w:cs="Times New Roman"/>
                <w:color w:val="000000"/>
                <w:szCs w:val="24"/>
              </w:rPr>
              <w:t xml:space="preserve">Dělená správa </w:t>
            </w:r>
          </w:p>
        </w:tc>
      </w:tr>
      <w:tr w:rsidR="00541B9F" w:rsidRPr="00C64F52" w14:paraId="3A687778" w14:textId="77777777" w:rsidTr="004E62AC">
        <w:trPr>
          <w:trHeight w:val="300"/>
        </w:trPr>
        <w:tc>
          <w:tcPr>
            <w:tcW w:w="1680" w:type="dxa"/>
            <w:vMerge/>
            <w:vAlign w:val="center"/>
            <w:hideMark/>
          </w:tcPr>
          <w:p w14:paraId="4DF3DB7B" w14:textId="77777777" w:rsidR="00541B9F" w:rsidRPr="00C64F52" w:rsidRDefault="00541B9F" w:rsidP="00AB680C">
            <w:pPr>
              <w:spacing w:before="0" w:after="0"/>
              <w:rPr>
                <w:rFonts w:cs="Times New Roman"/>
                <w:b/>
                <w:bCs/>
                <w:color w:val="000000"/>
                <w:szCs w:val="24"/>
              </w:rPr>
            </w:pPr>
          </w:p>
        </w:tc>
        <w:tc>
          <w:tcPr>
            <w:tcW w:w="7400" w:type="dxa"/>
            <w:shd w:val="clear" w:color="auto" w:fill="auto"/>
            <w:vAlign w:val="center"/>
            <w:hideMark/>
          </w:tcPr>
          <w:p w14:paraId="1F37CAB6" w14:textId="77777777" w:rsidR="00541B9F" w:rsidRPr="00C64F52" w:rsidRDefault="00541B9F" w:rsidP="00AB680C">
            <w:pPr>
              <w:spacing w:before="0" w:after="0"/>
              <w:rPr>
                <w:rFonts w:cs="Times New Roman"/>
                <w:color w:val="000000"/>
                <w:szCs w:val="24"/>
              </w:rPr>
            </w:pPr>
            <w:proofErr w:type="spellStart"/>
            <w:r w:rsidRPr="00C64F52">
              <w:rPr>
                <w:rFonts w:cs="Times New Roman"/>
                <w:color w:val="000000"/>
                <w:szCs w:val="24"/>
              </w:rPr>
              <w:t>Intrastat</w:t>
            </w:r>
            <w:proofErr w:type="spellEnd"/>
            <w:r w:rsidRPr="00C64F52">
              <w:rPr>
                <w:rFonts w:cs="Times New Roman"/>
                <w:color w:val="000000"/>
                <w:szCs w:val="24"/>
              </w:rPr>
              <w:t xml:space="preserve"> – statistika unijního obchodu </w:t>
            </w:r>
          </w:p>
        </w:tc>
      </w:tr>
      <w:tr w:rsidR="00541B9F" w:rsidRPr="00C64F52" w14:paraId="6AF250FF" w14:textId="77777777" w:rsidTr="004E62AC">
        <w:trPr>
          <w:trHeight w:val="315"/>
        </w:trPr>
        <w:tc>
          <w:tcPr>
            <w:tcW w:w="1680" w:type="dxa"/>
            <w:vMerge/>
            <w:vAlign w:val="center"/>
            <w:hideMark/>
          </w:tcPr>
          <w:p w14:paraId="54BBF7C8" w14:textId="77777777" w:rsidR="00541B9F" w:rsidRPr="00C64F52" w:rsidRDefault="00541B9F" w:rsidP="00AB680C">
            <w:pPr>
              <w:spacing w:before="0" w:after="0"/>
              <w:rPr>
                <w:rFonts w:cs="Times New Roman"/>
                <w:b/>
                <w:bCs/>
                <w:color w:val="000000"/>
                <w:szCs w:val="24"/>
              </w:rPr>
            </w:pPr>
          </w:p>
        </w:tc>
        <w:tc>
          <w:tcPr>
            <w:tcW w:w="7400" w:type="dxa"/>
            <w:shd w:val="clear" w:color="auto" w:fill="auto"/>
            <w:vAlign w:val="center"/>
            <w:hideMark/>
          </w:tcPr>
          <w:p w14:paraId="4A1D8E8B" w14:textId="77777777" w:rsidR="00541B9F" w:rsidRPr="00C64F52" w:rsidRDefault="00541B9F" w:rsidP="00AB680C">
            <w:pPr>
              <w:spacing w:before="0" w:after="0"/>
              <w:rPr>
                <w:rFonts w:cs="Times New Roman"/>
                <w:color w:val="000000"/>
                <w:szCs w:val="24"/>
              </w:rPr>
            </w:pPr>
            <w:r w:rsidRPr="00C64F52">
              <w:rPr>
                <w:rFonts w:cs="Times New Roman"/>
                <w:color w:val="000000"/>
                <w:szCs w:val="24"/>
              </w:rPr>
              <w:t>Výsluhové nároky</w:t>
            </w:r>
          </w:p>
        </w:tc>
      </w:tr>
    </w:tbl>
    <w:p w14:paraId="78C22B48" w14:textId="77777777" w:rsidR="00421AC8" w:rsidRPr="00A2506A" w:rsidRDefault="00421AC8" w:rsidP="00AB680C">
      <w:pPr>
        <w:pStyle w:val="Nadpis3"/>
        <w:keepNext w:val="0"/>
        <w:spacing w:line="276" w:lineRule="auto"/>
      </w:pPr>
      <w:bookmarkStart w:id="18" w:name="_Toc426709165"/>
      <w:bookmarkStart w:id="19" w:name="_Toc427045875"/>
      <w:bookmarkStart w:id="20" w:name="_Toc427048573"/>
      <w:bookmarkStart w:id="21" w:name="_Toc427045876"/>
      <w:bookmarkStart w:id="22" w:name="_Toc25666036"/>
      <w:bookmarkStart w:id="23" w:name="_Toc164761254"/>
      <w:bookmarkEnd w:id="18"/>
      <w:bookmarkEnd w:id="19"/>
      <w:bookmarkEnd w:id="20"/>
      <w:r w:rsidRPr="00A2506A">
        <w:t>Identifikace dotčených subjektů</w:t>
      </w:r>
      <w:bookmarkEnd w:id="21"/>
      <w:bookmarkEnd w:id="22"/>
      <w:bookmarkEnd w:id="23"/>
    </w:p>
    <w:p w14:paraId="12C3EB13" w14:textId="672C9AFA" w:rsidR="001A20A1" w:rsidRPr="00A2506A" w:rsidRDefault="001A20A1" w:rsidP="00AB680C">
      <w:pPr>
        <w:pStyle w:val="Nadpis4"/>
        <w:keepNext w:val="0"/>
        <w:spacing w:line="276" w:lineRule="auto"/>
        <w:rPr>
          <w:color w:val="140E96"/>
        </w:rPr>
      </w:pPr>
      <w:r w:rsidRPr="00A2506A">
        <w:rPr>
          <w:color w:val="140E96"/>
        </w:rPr>
        <w:t xml:space="preserve">Orgány </w:t>
      </w:r>
      <w:r w:rsidR="00291887">
        <w:rPr>
          <w:color w:val="140E96"/>
        </w:rPr>
        <w:t>c</w:t>
      </w:r>
      <w:r w:rsidRPr="00A2506A">
        <w:rPr>
          <w:color w:val="140E96"/>
        </w:rPr>
        <w:t>elní správy</w:t>
      </w:r>
    </w:p>
    <w:p w14:paraId="13F1BAAF" w14:textId="2402188B" w:rsidR="00125792" w:rsidRPr="00C64F52" w:rsidRDefault="00E70C43" w:rsidP="00AB680C">
      <w:pPr>
        <w:widowControl w:val="0"/>
        <w:spacing w:before="0"/>
        <w:rPr>
          <w:rFonts w:eastAsia="Calibri" w:cs="Times New Roman"/>
        </w:rPr>
      </w:pPr>
      <w:r w:rsidRPr="00C64F52">
        <w:rPr>
          <w:rFonts w:eastAsia="Calibri" w:cs="Times New Roman"/>
        </w:rPr>
        <w:t>D</w:t>
      </w:r>
      <w:r w:rsidR="00421AC8" w:rsidRPr="00C64F52">
        <w:rPr>
          <w:rFonts w:eastAsia="Calibri" w:cs="Times New Roman"/>
        </w:rPr>
        <w:t>otčeným orgán</w:t>
      </w:r>
      <w:r w:rsidRPr="00C64F52">
        <w:rPr>
          <w:rFonts w:eastAsia="Calibri" w:cs="Times New Roman"/>
        </w:rPr>
        <w:t>em j</w:t>
      </w:r>
      <w:r w:rsidR="004E62AC" w:rsidRPr="00C64F52">
        <w:rPr>
          <w:rFonts w:eastAsia="Calibri" w:cs="Times New Roman"/>
        </w:rPr>
        <w:t xml:space="preserve">sou </w:t>
      </w:r>
      <w:r w:rsidRPr="00C64F52">
        <w:rPr>
          <w:rFonts w:eastAsia="Calibri" w:cs="Times New Roman"/>
        </w:rPr>
        <w:t>primárně</w:t>
      </w:r>
      <w:r w:rsidR="004E62AC" w:rsidRPr="00C64F52">
        <w:rPr>
          <w:rFonts w:eastAsia="Calibri" w:cs="Times New Roman"/>
        </w:rPr>
        <w:t xml:space="preserve"> orgány celní správy</w:t>
      </w:r>
      <w:r w:rsidR="00DD612C" w:rsidRPr="00C64F52">
        <w:rPr>
          <w:rFonts w:eastAsia="Calibri" w:cs="Times New Roman"/>
        </w:rPr>
        <w:t>,</w:t>
      </w:r>
      <w:r w:rsidRPr="00C64F52">
        <w:rPr>
          <w:rFonts w:eastAsia="Calibri" w:cs="Times New Roman"/>
        </w:rPr>
        <w:t xml:space="preserve"> v rámci jej</w:t>
      </w:r>
      <w:r w:rsidR="004E62AC" w:rsidRPr="00C64F52">
        <w:rPr>
          <w:rFonts w:eastAsia="Calibri" w:cs="Times New Roman"/>
        </w:rPr>
        <w:t>ichž</w:t>
      </w:r>
      <w:r w:rsidRPr="00C64F52">
        <w:rPr>
          <w:rFonts w:eastAsia="Calibri" w:cs="Times New Roman"/>
        </w:rPr>
        <w:t xml:space="preserve"> působnosti</w:t>
      </w:r>
      <w:r w:rsidR="00F17A76" w:rsidRPr="00C64F52">
        <w:rPr>
          <w:rFonts w:eastAsia="Calibri" w:cs="Times New Roman"/>
        </w:rPr>
        <w:t xml:space="preserve"> jsou</w:t>
      </w:r>
      <w:r w:rsidR="00B45902" w:rsidRPr="00C64F52">
        <w:rPr>
          <w:rFonts w:eastAsia="Calibri" w:cs="Times New Roman"/>
        </w:rPr>
        <w:t xml:space="preserve"> změny navrhovány. Jedná se</w:t>
      </w:r>
      <w:r w:rsidR="00F17A76" w:rsidRPr="00C64F52">
        <w:rPr>
          <w:rFonts w:eastAsia="Calibri" w:cs="Times New Roman"/>
        </w:rPr>
        <w:t>, s ohledem na účinnost návrhu zákona,</w:t>
      </w:r>
      <w:r w:rsidR="00B45902" w:rsidRPr="00C64F52">
        <w:rPr>
          <w:rFonts w:eastAsia="Calibri" w:cs="Times New Roman"/>
        </w:rPr>
        <w:t xml:space="preserve"> o Generální ředitelství cel a šest jemu podřízených celních úřadů (viz </w:t>
      </w:r>
      <w:r w:rsidR="00021B02" w:rsidRPr="00C64F52">
        <w:rPr>
          <w:rFonts w:eastAsia="Calibri" w:cs="Times New Roman"/>
        </w:rPr>
        <w:t>§ 6 zákon</w:t>
      </w:r>
      <w:r w:rsidR="00291887">
        <w:rPr>
          <w:rFonts w:eastAsia="Calibri" w:cs="Times New Roman"/>
        </w:rPr>
        <w:t>a</w:t>
      </w:r>
      <w:r w:rsidR="00021B02" w:rsidRPr="00C64F52">
        <w:rPr>
          <w:rFonts w:eastAsia="Calibri" w:cs="Times New Roman"/>
        </w:rPr>
        <w:t xml:space="preserve"> o Celní správě Č</w:t>
      </w:r>
      <w:r w:rsidR="00937333">
        <w:rPr>
          <w:rFonts w:eastAsia="Calibri" w:cs="Times New Roman"/>
        </w:rPr>
        <w:t>R</w:t>
      </w:r>
      <w:r w:rsidR="00021B02" w:rsidRPr="00C64F52">
        <w:rPr>
          <w:rFonts w:eastAsia="Calibri" w:cs="Times New Roman"/>
        </w:rPr>
        <w:t>, ve znění účinném od</w:t>
      </w:r>
      <w:r w:rsidR="00291887">
        <w:rPr>
          <w:rFonts w:eastAsia="Calibri" w:cs="Times New Roman"/>
        </w:rPr>
        <w:t> </w:t>
      </w:r>
      <w:r w:rsidR="00021B02" w:rsidRPr="00C64F52">
        <w:rPr>
          <w:rFonts w:eastAsia="Calibri" w:cs="Times New Roman"/>
        </w:rPr>
        <w:t>1.</w:t>
      </w:r>
      <w:r w:rsidR="00291887">
        <w:rPr>
          <w:rFonts w:eastAsia="Calibri" w:cs="Times New Roman"/>
        </w:rPr>
        <w:t> </w:t>
      </w:r>
      <w:r w:rsidR="00AB351A">
        <w:rPr>
          <w:rFonts w:eastAsia="Calibri" w:cs="Times New Roman"/>
        </w:rPr>
        <w:t xml:space="preserve">července </w:t>
      </w:r>
      <w:r w:rsidR="00021B02" w:rsidRPr="00C64F52">
        <w:rPr>
          <w:rFonts w:eastAsia="Calibri" w:cs="Times New Roman"/>
        </w:rPr>
        <w:t xml:space="preserve">2025). </w:t>
      </w:r>
    </w:p>
    <w:p w14:paraId="1474DCB3" w14:textId="20ED1CD7" w:rsidR="001A20A1" w:rsidRPr="00A2506A" w:rsidRDefault="001A20A1" w:rsidP="00AB680C">
      <w:pPr>
        <w:pStyle w:val="Nadpis4"/>
        <w:keepNext w:val="0"/>
        <w:spacing w:line="276" w:lineRule="auto"/>
        <w:rPr>
          <w:color w:val="140E96"/>
        </w:rPr>
      </w:pPr>
      <w:r w:rsidRPr="00A2506A">
        <w:rPr>
          <w:color w:val="140E96"/>
        </w:rPr>
        <w:t>Hospodářské subjekty</w:t>
      </w:r>
    </w:p>
    <w:p w14:paraId="10B479FD" w14:textId="6A7E65E8" w:rsidR="000D4707" w:rsidRPr="00C64F52" w:rsidRDefault="008C2CF2" w:rsidP="00AB680C">
      <w:pPr>
        <w:widowControl w:val="0"/>
        <w:spacing w:before="0"/>
        <w:rPr>
          <w:rFonts w:eastAsia="Calibri" w:cs="Times New Roman"/>
        </w:rPr>
      </w:pPr>
      <w:r w:rsidRPr="00C64F52">
        <w:rPr>
          <w:rFonts w:eastAsia="Calibri" w:cs="Times New Roman"/>
        </w:rPr>
        <w:t xml:space="preserve">Z pohledu hospodářských subjektů lze předpokládat v případě provedení změn </w:t>
      </w:r>
      <w:r w:rsidR="00F17A76" w:rsidRPr="00C64F52">
        <w:rPr>
          <w:rFonts w:eastAsia="Calibri" w:cs="Times New Roman"/>
        </w:rPr>
        <w:t xml:space="preserve">primárně </w:t>
      </w:r>
      <w:r w:rsidRPr="00C64F52">
        <w:rPr>
          <w:rFonts w:eastAsia="Calibri" w:cs="Times New Roman"/>
        </w:rPr>
        <w:t>pozitivní přínos zejména ve věci přehlednosti a srozumitelnosti výkonu státní správy</w:t>
      </w:r>
      <w:r w:rsidR="00625D0D" w:rsidRPr="00C64F52">
        <w:rPr>
          <w:rFonts w:eastAsia="Calibri" w:cs="Times New Roman"/>
        </w:rPr>
        <w:t xml:space="preserve"> (například opuštění některých sdílených kontrolních kompetencí celní správou, kdy se sníží počet orgánů oprávněných kontrolovat hospodářské subjekty) </w:t>
      </w:r>
      <w:r w:rsidRPr="00C64F52">
        <w:rPr>
          <w:rFonts w:eastAsia="Calibri" w:cs="Times New Roman"/>
        </w:rPr>
        <w:t>a snížení administrativní zátěže</w:t>
      </w:r>
      <w:r w:rsidR="00F17A76" w:rsidRPr="00C64F52">
        <w:rPr>
          <w:rFonts w:eastAsia="Calibri" w:cs="Times New Roman"/>
        </w:rPr>
        <w:t xml:space="preserve"> (např.</w:t>
      </w:r>
      <w:r w:rsidR="007B3542" w:rsidRPr="00C64F52">
        <w:rPr>
          <w:rFonts w:eastAsia="Calibri" w:cs="Times New Roman"/>
        </w:rPr>
        <w:t xml:space="preserve"> úplné</w:t>
      </w:r>
      <w:r w:rsidR="00625D0D" w:rsidRPr="00C64F52">
        <w:rPr>
          <w:rFonts w:eastAsia="Calibri" w:cs="Times New Roman"/>
        </w:rPr>
        <w:t xml:space="preserve"> zrušení oznamovací povinnost</w:t>
      </w:r>
      <w:r w:rsidR="007B3542" w:rsidRPr="00C64F52">
        <w:rPr>
          <w:rFonts w:eastAsia="Calibri" w:cs="Times New Roman"/>
        </w:rPr>
        <w:t>i příležitostného prodeje lihovin, a to pro nadbytečnost)</w:t>
      </w:r>
      <w:r w:rsidRPr="00C64F52">
        <w:rPr>
          <w:rFonts w:eastAsia="Calibri" w:cs="Times New Roman"/>
        </w:rPr>
        <w:t>.</w:t>
      </w:r>
    </w:p>
    <w:p w14:paraId="4C73307B" w14:textId="49991AF0" w:rsidR="00F1446E" w:rsidRPr="00A2506A" w:rsidRDefault="008C2CF2" w:rsidP="00AB680C">
      <w:pPr>
        <w:pStyle w:val="Nadpis4"/>
        <w:keepNext w:val="0"/>
        <w:spacing w:line="276" w:lineRule="auto"/>
        <w:rPr>
          <w:color w:val="140E96"/>
        </w:rPr>
      </w:pPr>
      <w:r w:rsidRPr="00A2506A">
        <w:rPr>
          <w:color w:val="140E96"/>
        </w:rPr>
        <w:t>Orgány státní správy</w:t>
      </w:r>
    </w:p>
    <w:p w14:paraId="60D3AB4F" w14:textId="69053F5B" w:rsidR="00827B11" w:rsidRPr="00C64F52" w:rsidRDefault="008C2CF2" w:rsidP="00AB680C">
      <w:pPr>
        <w:widowControl w:val="0"/>
        <w:spacing w:before="0"/>
        <w:rPr>
          <w:rFonts w:eastAsia="Calibri" w:cs="Times New Roman"/>
        </w:rPr>
      </w:pPr>
      <w:r w:rsidRPr="00C64F52">
        <w:rPr>
          <w:rFonts w:eastAsia="Calibri" w:cs="Times New Roman"/>
        </w:rPr>
        <w:t>V rámci změny kompetencí je možné očekávat snížení administrativní zátěže na straně státu</w:t>
      </w:r>
      <w:r w:rsidR="004E62AC" w:rsidRPr="00C64F52">
        <w:rPr>
          <w:rFonts w:eastAsia="Calibri" w:cs="Times New Roman"/>
        </w:rPr>
        <w:t xml:space="preserve"> (z komplexního pohledu)</w:t>
      </w:r>
      <w:r w:rsidRPr="00C64F52">
        <w:rPr>
          <w:rFonts w:eastAsia="Calibri" w:cs="Times New Roman"/>
        </w:rPr>
        <w:t xml:space="preserve"> a</w:t>
      </w:r>
      <w:r w:rsidR="004E62AC" w:rsidRPr="00C64F52">
        <w:rPr>
          <w:rFonts w:eastAsia="Calibri" w:cs="Times New Roman"/>
        </w:rPr>
        <w:t> </w:t>
      </w:r>
      <w:r w:rsidRPr="00C64F52">
        <w:rPr>
          <w:rFonts w:eastAsia="Calibri" w:cs="Times New Roman"/>
        </w:rPr>
        <w:t xml:space="preserve">dále </w:t>
      </w:r>
      <w:r w:rsidR="0056039E" w:rsidRPr="00C64F52">
        <w:rPr>
          <w:rFonts w:eastAsia="Calibri" w:cs="Times New Roman"/>
        </w:rPr>
        <w:t xml:space="preserve">dílčí </w:t>
      </w:r>
      <w:r w:rsidRPr="00C64F52">
        <w:rPr>
          <w:rFonts w:eastAsia="Calibri" w:cs="Times New Roman"/>
        </w:rPr>
        <w:t>úspory na straně veřejných rozpočtů.</w:t>
      </w:r>
      <w:r w:rsidR="0056039E" w:rsidRPr="00C64F52">
        <w:rPr>
          <w:rFonts w:eastAsia="Calibri" w:cs="Times New Roman"/>
        </w:rPr>
        <w:t xml:space="preserve"> Dotčenými orgány </w:t>
      </w:r>
      <w:r w:rsidR="00E771EC" w:rsidRPr="00C64F52">
        <w:rPr>
          <w:rFonts w:eastAsia="Calibri" w:cs="Times New Roman"/>
        </w:rPr>
        <w:t>jsou orgány státní správy, jichž se konkrétní změny dotýkají (například v případě kontroly zaměstnávání cizinců jde o Státní úřad</w:t>
      </w:r>
      <w:r w:rsidR="004B5EAA" w:rsidRPr="00C64F52">
        <w:rPr>
          <w:rFonts w:eastAsia="Calibri" w:cs="Times New Roman"/>
        </w:rPr>
        <w:t xml:space="preserve"> inspekce práce, v případě kontroly </w:t>
      </w:r>
      <w:proofErr w:type="spellStart"/>
      <w:r w:rsidR="004B5EAA" w:rsidRPr="00C64F52">
        <w:rPr>
          <w:rFonts w:eastAsia="Calibri" w:cs="Times New Roman"/>
        </w:rPr>
        <w:t>nízkorychlostního</w:t>
      </w:r>
      <w:proofErr w:type="spellEnd"/>
      <w:r w:rsidR="004B5EAA" w:rsidRPr="00C64F52">
        <w:rPr>
          <w:rFonts w:eastAsia="Calibri" w:cs="Times New Roman"/>
        </w:rPr>
        <w:t xml:space="preserve"> vážení jde o Policii Č</w:t>
      </w:r>
      <w:r w:rsidR="00FA6CA0">
        <w:rPr>
          <w:rFonts w:eastAsia="Calibri" w:cs="Times New Roman"/>
        </w:rPr>
        <w:t>R</w:t>
      </w:r>
      <w:r w:rsidR="004B5EAA" w:rsidRPr="00C64F52">
        <w:rPr>
          <w:rFonts w:eastAsia="Calibri" w:cs="Times New Roman"/>
        </w:rPr>
        <w:t xml:space="preserve"> a Ministerstvo dopravy atd.). </w:t>
      </w:r>
    </w:p>
    <w:p w14:paraId="6349B377" w14:textId="77777777" w:rsidR="00421AC8" w:rsidRDefault="00421AC8" w:rsidP="00AB680C">
      <w:pPr>
        <w:pStyle w:val="Nadpis3"/>
        <w:keepNext w:val="0"/>
        <w:spacing w:line="276" w:lineRule="auto"/>
      </w:pPr>
      <w:bookmarkStart w:id="24" w:name="_Toc426709167"/>
      <w:bookmarkStart w:id="25" w:name="_Toc427045877"/>
      <w:bookmarkStart w:id="26" w:name="_Toc427048575"/>
      <w:bookmarkStart w:id="27" w:name="_Toc427045878"/>
      <w:bookmarkStart w:id="28" w:name="_Toc25666037"/>
      <w:bookmarkStart w:id="29" w:name="_Toc164761255"/>
      <w:bookmarkEnd w:id="24"/>
      <w:bookmarkEnd w:id="25"/>
      <w:bookmarkEnd w:id="26"/>
      <w:r w:rsidRPr="00D14A9B">
        <w:t>Popis cílového stavu</w:t>
      </w:r>
      <w:bookmarkEnd w:id="27"/>
      <w:bookmarkEnd w:id="28"/>
      <w:bookmarkEnd w:id="29"/>
    </w:p>
    <w:p w14:paraId="61497274" w14:textId="51E9A272" w:rsidR="00827B11" w:rsidRPr="00C64F52" w:rsidRDefault="00E52BEA" w:rsidP="00AB680C">
      <w:pPr>
        <w:widowControl w:val="0"/>
        <w:spacing w:before="0"/>
        <w:rPr>
          <w:rFonts w:eastAsia="Calibri" w:cs="Times New Roman"/>
        </w:rPr>
      </w:pPr>
      <w:r w:rsidRPr="00C64F52">
        <w:rPr>
          <w:rFonts w:eastAsia="Calibri" w:cs="Times New Roman"/>
        </w:rPr>
        <w:t>Cílem je provést organizačně – kompetenční změny</w:t>
      </w:r>
      <w:r w:rsidR="007D6029" w:rsidRPr="00C64F52">
        <w:rPr>
          <w:rFonts w:eastAsia="Calibri" w:cs="Times New Roman"/>
        </w:rPr>
        <w:t xml:space="preserve"> a procesní a </w:t>
      </w:r>
      <w:bookmarkStart w:id="30" w:name="_GoBack"/>
      <w:r w:rsidR="007D6029" w:rsidRPr="00C64F52">
        <w:rPr>
          <w:rFonts w:eastAsia="Calibri" w:cs="Times New Roman"/>
        </w:rPr>
        <w:t>hmot</w:t>
      </w:r>
      <w:bookmarkEnd w:id="30"/>
      <w:r w:rsidR="007D6029" w:rsidRPr="00C64F52">
        <w:rPr>
          <w:rFonts w:eastAsia="Calibri" w:cs="Times New Roman"/>
        </w:rPr>
        <w:t>něprávní změny</w:t>
      </w:r>
      <w:r w:rsidRPr="00C64F52">
        <w:rPr>
          <w:rFonts w:eastAsia="Calibri" w:cs="Times New Roman"/>
        </w:rPr>
        <w:t xml:space="preserve"> v</w:t>
      </w:r>
      <w:r w:rsidR="003C01AC">
        <w:rPr>
          <w:rFonts w:eastAsia="Calibri" w:cs="Times New Roman"/>
        </w:rPr>
        <w:t> </w:t>
      </w:r>
      <w:r w:rsidRPr="00C64F52">
        <w:rPr>
          <w:rFonts w:eastAsia="Calibri" w:cs="Times New Roman"/>
        </w:rPr>
        <w:t xml:space="preserve">právních předpisech upravujících působnost celní správy tak, aby celní správa </w:t>
      </w:r>
      <w:r w:rsidR="00A94A93" w:rsidRPr="00C64F52">
        <w:rPr>
          <w:rFonts w:eastAsia="Calibri" w:cs="Times New Roman"/>
        </w:rPr>
        <w:t>odpovídala požadavk</w:t>
      </w:r>
      <w:r w:rsidR="004B5EAA" w:rsidRPr="00C64F52">
        <w:rPr>
          <w:rFonts w:eastAsia="Calibri" w:cs="Times New Roman"/>
        </w:rPr>
        <w:t>ům</w:t>
      </w:r>
      <w:r w:rsidR="00A94A93" w:rsidRPr="00C64F52">
        <w:rPr>
          <w:rFonts w:eastAsia="Calibri" w:cs="Times New Roman"/>
        </w:rPr>
        <w:t xml:space="preserve"> uvedeným v bodu 1.1.1.</w:t>
      </w:r>
    </w:p>
    <w:p w14:paraId="011EE608" w14:textId="49031D60" w:rsidR="00B1089B" w:rsidRPr="00C64F52" w:rsidRDefault="00E52BEA" w:rsidP="00AB680C">
      <w:pPr>
        <w:widowControl w:val="0"/>
        <w:spacing w:before="0"/>
        <w:rPr>
          <w:rFonts w:eastAsia="Calibri" w:cs="Times New Roman"/>
        </w:rPr>
      </w:pPr>
      <w:r w:rsidRPr="00C64F52">
        <w:rPr>
          <w:rFonts w:eastAsia="Calibri" w:cs="Times New Roman"/>
        </w:rPr>
        <w:t xml:space="preserve">Konkrétně řečeno by působnost celní správy měla spočívat </w:t>
      </w:r>
      <w:r w:rsidR="007D6029" w:rsidRPr="00C64F52">
        <w:rPr>
          <w:rFonts w:eastAsia="Calibri" w:cs="Times New Roman"/>
        </w:rPr>
        <w:t xml:space="preserve">primárně </w:t>
      </w:r>
      <w:r w:rsidRPr="00C64F52">
        <w:rPr>
          <w:rFonts w:eastAsia="Calibri" w:cs="Times New Roman"/>
        </w:rPr>
        <w:t xml:space="preserve">v těchto hlavních </w:t>
      </w:r>
      <w:r w:rsidR="007D6029" w:rsidRPr="00C64F52">
        <w:rPr>
          <w:rFonts w:eastAsia="Calibri" w:cs="Times New Roman"/>
        </w:rPr>
        <w:t>oblastech</w:t>
      </w:r>
      <w:r w:rsidRPr="00C64F52">
        <w:rPr>
          <w:rFonts w:eastAsia="Calibri" w:cs="Times New Roman"/>
        </w:rPr>
        <w:t>, na které by měl být kladen důraz a soustředěny zdroje: celnictví, správa spotřebních a energetických daní, dělená správa (správa placen</w:t>
      </w:r>
      <w:r w:rsidR="008010C0" w:rsidRPr="00C64F52">
        <w:rPr>
          <w:rFonts w:eastAsia="Calibri" w:cs="Times New Roman"/>
        </w:rPr>
        <w:t>í peněžitých plnění, zejména dle § 106 správního řádu) a hazardní hr</w:t>
      </w:r>
      <w:r w:rsidR="007D6029" w:rsidRPr="00C64F52">
        <w:rPr>
          <w:rFonts w:eastAsia="Calibri" w:cs="Times New Roman"/>
        </w:rPr>
        <w:t>y</w:t>
      </w:r>
      <w:r w:rsidR="008010C0" w:rsidRPr="00C64F52">
        <w:rPr>
          <w:rFonts w:eastAsia="Calibri" w:cs="Times New Roman"/>
        </w:rPr>
        <w:t xml:space="preserve">. </w:t>
      </w:r>
    </w:p>
    <w:p w14:paraId="4AE3C060" w14:textId="218C7138" w:rsidR="00E52BEA" w:rsidRDefault="00E52BEA" w:rsidP="00AB680C">
      <w:pPr>
        <w:spacing w:before="0" w:after="0" w:line="276" w:lineRule="auto"/>
        <w:jc w:val="center"/>
        <w:rPr>
          <w:szCs w:val="24"/>
        </w:rPr>
      </w:pPr>
      <w:r w:rsidRPr="001B380F">
        <w:rPr>
          <w:rFonts w:cs="Times New Roman"/>
          <w:noProof/>
          <w:szCs w:val="24"/>
          <w:lang w:eastAsia="cs-CZ"/>
        </w:rPr>
        <w:lastRenderedPageBreak/>
        <w:drawing>
          <wp:inline distT="0" distB="0" distL="0" distR="0" wp14:anchorId="23E02EDD" wp14:editId="6A728CA1">
            <wp:extent cx="3448050" cy="1788676"/>
            <wp:effectExtent l="0" t="0" r="0" b="0"/>
            <wp:docPr id="2" name="Obrázek 2" title="Vkládá se obráze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tretch>
                      <a:fillRect/>
                    </a:stretch>
                  </pic:blipFill>
                  <pic:spPr>
                    <a:xfrm>
                      <a:off x="0" y="0"/>
                      <a:ext cx="3448050" cy="1788676"/>
                    </a:xfrm>
                    <a:prstGeom prst="rect">
                      <a:avLst/>
                    </a:prstGeom>
                  </pic:spPr>
                </pic:pic>
              </a:graphicData>
            </a:graphic>
          </wp:inline>
        </w:drawing>
      </w:r>
    </w:p>
    <w:p w14:paraId="56F25420" w14:textId="09EEC6FC" w:rsidR="008010C0" w:rsidRDefault="008010C0" w:rsidP="00AB680C">
      <w:pPr>
        <w:widowControl w:val="0"/>
        <w:spacing w:before="0"/>
        <w:rPr>
          <w:rFonts w:cs="Times New Roman"/>
          <w:szCs w:val="24"/>
        </w:rPr>
      </w:pPr>
      <w:r w:rsidRPr="00C64F52">
        <w:rPr>
          <w:rFonts w:eastAsia="Calibri" w:cs="Times New Roman"/>
        </w:rPr>
        <w:t>S výše uvedenými tradičními činnostmi celní správy souvisí dále činnosti, jejichž cílem je přímo či nepřímo přispět k efektivněji prováděnému výkonu tradičních činností. Jde o činnosti dohledové, které jsou úzce spjaty zejména s celnictvím a správou spotřebních a energetických daní</w:t>
      </w:r>
      <w:r w:rsidR="007D6029" w:rsidRPr="00C64F52">
        <w:rPr>
          <w:rFonts w:eastAsia="Calibri" w:cs="Times New Roman"/>
        </w:rPr>
        <w:t>,</w:t>
      </w:r>
      <w:r w:rsidRPr="00C64F52">
        <w:rPr>
          <w:rFonts w:eastAsia="Calibri" w:cs="Times New Roman"/>
        </w:rPr>
        <w:t xml:space="preserve"> a o činnosti v oblasti pátrání, kdy pověřený celní orgán (Generální ředitelství cel) má postavení policejního orgánu jakožto orgánu činného v trestním řízení, a to zejména v rozsahu právních předpisů upravujících tradiční činnosti. Celní správa by i nadále vykonávala některé kompetence výše neuvedené, kdy jde např. o kontrolu mýta a časového zpoplatnění nebo působnost v souvislosti s vymáhání</w:t>
      </w:r>
      <w:r w:rsidR="007D6029" w:rsidRPr="00C64F52">
        <w:rPr>
          <w:rFonts w:eastAsia="Calibri" w:cs="Times New Roman"/>
        </w:rPr>
        <w:t>m</w:t>
      </w:r>
      <w:r w:rsidRPr="00C64F52">
        <w:rPr>
          <w:rFonts w:eastAsia="Calibri" w:cs="Times New Roman"/>
        </w:rPr>
        <w:t xml:space="preserve"> práv duševního vlastnictví</w:t>
      </w:r>
      <w:r w:rsidR="00291887">
        <w:rPr>
          <w:rFonts w:eastAsia="Calibri" w:cs="Times New Roman"/>
        </w:rPr>
        <w:t>, a to zejména z důvodu faktické obtížné zastupitelnosti jiným orgánem v dané roli</w:t>
      </w:r>
      <w:r w:rsidRPr="00C64F52">
        <w:rPr>
          <w:rFonts w:eastAsia="Calibri" w:cs="Times New Roman"/>
        </w:rPr>
        <w:t>.</w:t>
      </w:r>
      <w:r>
        <w:rPr>
          <w:rFonts w:cs="Times New Roman"/>
          <w:szCs w:val="24"/>
        </w:rPr>
        <w:t xml:space="preserve"> </w:t>
      </w:r>
    </w:p>
    <w:p w14:paraId="6E05A447" w14:textId="77777777" w:rsidR="00421AC8" w:rsidRPr="00A2506A" w:rsidRDefault="00421AC8" w:rsidP="00AB680C">
      <w:pPr>
        <w:pStyle w:val="Nadpis3"/>
        <w:keepNext w:val="0"/>
        <w:spacing w:line="276" w:lineRule="auto"/>
      </w:pPr>
      <w:bookmarkStart w:id="31" w:name="_Toc426709169"/>
      <w:bookmarkStart w:id="32" w:name="_Toc427045879"/>
      <w:bookmarkStart w:id="33" w:name="_Toc427048577"/>
      <w:bookmarkStart w:id="34" w:name="_Toc427045880"/>
      <w:bookmarkStart w:id="35" w:name="_Toc25666038"/>
      <w:bookmarkStart w:id="36" w:name="_Toc164761256"/>
      <w:bookmarkEnd w:id="31"/>
      <w:bookmarkEnd w:id="32"/>
      <w:bookmarkEnd w:id="33"/>
      <w:r w:rsidRPr="00A2506A">
        <w:t>Zhodnocení rizika</w:t>
      </w:r>
      <w:bookmarkEnd w:id="34"/>
      <w:bookmarkEnd w:id="35"/>
      <w:bookmarkEnd w:id="36"/>
    </w:p>
    <w:p w14:paraId="08967C0C" w14:textId="038E1359" w:rsidR="00171D74" w:rsidRPr="00C64F52" w:rsidRDefault="00CA3CBD" w:rsidP="00AB680C">
      <w:pPr>
        <w:widowControl w:val="0"/>
        <w:spacing w:before="0"/>
        <w:rPr>
          <w:rFonts w:eastAsia="Calibri" w:cs="Times New Roman"/>
        </w:rPr>
      </w:pPr>
      <w:r w:rsidRPr="00C64F52">
        <w:rPr>
          <w:rFonts w:eastAsia="Calibri" w:cs="Times New Roman"/>
        </w:rPr>
        <w:t>V případě nepřijetí změn zde existuje riziko, že by</w:t>
      </w:r>
      <w:r w:rsidR="004E62AC" w:rsidRPr="00C64F52">
        <w:rPr>
          <w:rFonts w:eastAsia="Calibri" w:cs="Times New Roman"/>
        </w:rPr>
        <w:t xml:space="preserve"> celní správa</w:t>
      </w:r>
      <w:r w:rsidRPr="00C64F52">
        <w:rPr>
          <w:rFonts w:eastAsia="Calibri" w:cs="Times New Roman"/>
        </w:rPr>
        <w:t xml:space="preserve"> dále ne</w:t>
      </w:r>
      <w:r w:rsidR="006415C3" w:rsidRPr="00C64F52">
        <w:rPr>
          <w:rFonts w:eastAsia="Calibri" w:cs="Times New Roman"/>
        </w:rPr>
        <w:t>byla</w:t>
      </w:r>
      <w:r w:rsidRPr="00C64F52">
        <w:rPr>
          <w:rFonts w:eastAsia="Calibri" w:cs="Times New Roman"/>
        </w:rPr>
        <w:t xml:space="preserve"> schopna vykonávat</w:t>
      </w:r>
      <w:r w:rsidR="007D6029" w:rsidRPr="00C64F52">
        <w:rPr>
          <w:rFonts w:eastAsia="Calibri" w:cs="Times New Roman"/>
        </w:rPr>
        <w:t xml:space="preserve"> v dosavadní kvalitě </w:t>
      </w:r>
      <w:r w:rsidRPr="00C64F52">
        <w:rPr>
          <w:rFonts w:eastAsia="Calibri" w:cs="Times New Roman"/>
        </w:rPr>
        <w:t>výše uvedené tradiční činnosti</w:t>
      </w:r>
      <w:r w:rsidR="0063200C" w:rsidRPr="00C64F52">
        <w:rPr>
          <w:rFonts w:eastAsia="Calibri" w:cs="Times New Roman"/>
        </w:rPr>
        <w:t xml:space="preserve"> (působnost)</w:t>
      </w:r>
      <w:r w:rsidRPr="00C64F52">
        <w:rPr>
          <w:rFonts w:eastAsia="Calibri" w:cs="Times New Roman"/>
        </w:rPr>
        <w:t xml:space="preserve"> a </w:t>
      </w:r>
      <w:bookmarkStart w:id="37" w:name="_Toc427045885"/>
      <w:bookmarkStart w:id="38" w:name="_Toc25666039"/>
      <w:r w:rsidRPr="00C64F52">
        <w:rPr>
          <w:rFonts w:eastAsia="Calibri" w:cs="Times New Roman"/>
        </w:rPr>
        <w:t>z</w:t>
      </w:r>
      <w:r w:rsidR="00BE0CD1" w:rsidRPr="00C64F52">
        <w:rPr>
          <w:rFonts w:eastAsia="Calibri" w:cs="Times New Roman"/>
        </w:rPr>
        <w:t>ároveň</w:t>
      </w:r>
      <w:r w:rsidR="004E62AC" w:rsidRPr="00C64F52">
        <w:rPr>
          <w:rFonts w:eastAsia="Calibri" w:cs="Times New Roman"/>
        </w:rPr>
        <w:t xml:space="preserve"> by nedošlo </w:t>
      </w:r>
      <w:r w:rsidR="00BE0CD1" w:rsidRPr="00C64F52">
        <w:rPr>
          <w:rFonts w:eastAsia="Calibri" w:cs="Times New Roman"/>
        </w:rPr>
        <w:t>ke snížení administrativní zátěže na straně státu i</w:t>
      </w:r>
      <w:r w:rsidR="004E62AC" w:rsidRPr="00C64F52">
        <w:rPr>
          <w:rFonts w:eastAsia="Calibri" w:cs="Times New Roman"/>
        </w:rPr>
        <w:t> </w:t>
      </w:r>
      <w:r w:rsidR="00BE0CD1" w:rsidRPr="00C64F52">
        <w:rPr>
          <w:rFonts w:eastAsia="Calibri" w:cs="Times New Roman"/>
        </w:rPr>
        <w:t xml:space="preserve">veřejnosti a </w:t>
      </w:r>
      <w:r w:rsidRPr="00C64F52">
        <w:rPr>
          <w:rFonts w:eastAsia="Calibri" w:cs="Times New Roman"/>
        </w:rPr>
        <w:t>k </w:t>
      </w:r>
      <w:r w:rsidR="00BE0CD1" w:rsidRPr="00C64F52">
        <w:rPr>
          <w:rFonts w:eastAsia="Calibri" w:cs="Times New Roman"/>
        </w:rPr>
        <w:t>úspor</w:t>
      </w:r>
      <w:r w:rsidRPr="00C64F52">
        <w:rPr>
          <w:rFonts w:eastAsia="Calibri" w:cs="Times New Roman"/>
        </w:rPr>
        <w:t>ám</w:t>
      </w:r>
      <w:r w:rsidR="00BE0CD1" w:rsidRPr="00C64F52">
        <w:rPr>
          <w:rFonts w:eastAsia="Calibri" w:cs="Times New Roman"/>
        </w:rPr>
        <w:t xml:space="preserve"> na straně veřejných rozpočtů.</w:t>
      </w:r>
    </w:p>
    <w:p w14:paraId="491E99EE" w14:textId="77777777" w:rsidR="00421AC8" w:rsidRPr="00A2506A" w:rsidRDefault="00421AC8" w:rsidP="00AB680C">
      <w:pPr>
        <w:pStyle w:val="Nadpis2"/>
        <w:keepNext w:val="0"/>
        <w:spacing w:line="276" w:lineRule="auto"/>
        <w:ind w:left="709"/>
      </w:pPr>
      <w:bookmarkStart w:id="39" w:name="_Toc164761257"/>
      <w:r w:rsidRPr="00A2506A">
        <w:t>Návrh variant řešení</w:t>
      </w:r>
      <w:bookmarkEnd w:id="37"/>
      <w:bookmarkEnd w:id="38"/>
      <w:bookmarkEnd w:id="39"/>
    </w:p>
    <w:p w14:paraId="4801006F" w14:textId="22728F63" w:rsidR="00B1089B" w:rsidRDefault="00357306" w:rsidP="00AB680C">
      <w:pPr>
        <w:spacing w:before="0"/>
        <w:rPr>
          <w:szCs w:val="24"/>
        </w:rPr>
      </w:pPr>
      <w:r w:rsidRPr="008C677D">
        <w:rPr>
          <w:rFonts w:cs="Times New Roman"/>
          <w:color w:val="000000" w:themeColor="text1"/>
          <w:szCs w:val="24"/>
        </w:rPr>
        <w:t xml:space="preserve">Jako výchozí </w:t>
      </w:r>
      <w:r w:rsidRPr="008C677D">
        <w:rPr>
          <w:rFonts w:cs="Times New Roman"/>
          <w:b/>
          <w:bCs/>
          <w:color w:val="000000" w:themeColor="text1"/>
          <w:szCs w:val="24"/>
        </w:rPr>
        <w:t>variant</w:t>
      </w:r>
      <w:r w:rsidR="00FC76C5" w:rsidRPr="008C677D">
        <w:rPr>
          <w:rFonts w:cs="Times New Roman"/>
          <w:b/>
          <w:bCs/>
          <w:color w:val="000000" w:themeColor="text1"/>
          <w:szCs w:val="24"/>
        </w:rPr>
        <w:t>u 0</w:t>
      </w:r>
      <w:r w:rsidR="00FC76C5" w:rsidRPr="008C677D">
        <w:rPr>
          <w:rFonts w:cs="Times New Roman"/>
          <w:color w:val="000000" w:themeColor="text1"/>
          <w:szCs w:val="24"/>
        </w:rPr>
        <w:t xml:space="preserve"> lze</w:t>
      </w:r>
      <w:r w:rsidR="00421713" w:rsidRPr="008C677D">
        <w:rPr>
          <w:rFonts w:cs="Times New Roman"/>
          <w:color w:val="000000" w:themeColor="text1"/>
          <w:szCs w:val="24"/>
        </w:rPr>
        <w:t xml:space="preserve"> obecně</w:t>
      </w:r>
      <w:r w:rsidR="00F62F24" w:rsidRPr="008C677D">
        <w:rPr>
          <w:rFonts w:cs="Times New Roman"/>
          <w:color w:val="000000" w:themeColor="text1"/>
          <w:szCs w:val="24"/>
        </w:rPr>
        <w:t xml:space="preserve"> </w:t>
      </w:r>
      <w:r w:rsidR="00FC76C5" w:rsidRPr="008C677D">
        <w:rPr>
          <w:rFonts w:cs="Times New Roman"/>
          <w:color w:val="000000" w:themeColor="text1"/>
          <w:szCs w:val="24"/>
        </w:rPr>
        <w:t xml:space="preserve">uvést situaci, kdy by </w:t>
      </w:r>
      <w:r w:rsidR="002856A5" w:rsidRPr="008C677D">
        <w:rPr>
          <w:rFonts w:cs="Times New Roman"/>
          <w:color w:val="000000" w:themeColor="text1"/>
          <w:szCs w:val="24"/>
        </w:rPr>
        <w:t xml:space="preserve">nebyla </w:t>
      </w:r>
      <w:r w:rsidR="00B53D66" w:rsidRPr="008C677D">
        <w:rPr>
          <w:rFonts w:cs="Times New Roman"/>
          <w:color w:val="000000" w:themeColor="text1"/>
          <w:szCs w:val="24"/>
        </w:rPr>
        <w:t xml:space="preserve">provedena </w:t>
      </w:r>
      <w:r w:rsidR="00E8473B">
        <w:rPr>
          <w:rFonts w:cs="Times New Roman"/>
          <w:color w:val="000000" w:themeColor="text1"/>
          <w:szCs w:val="24"/>
        </w:rPr>
        <w:t xml:space="preserve">žádná </w:t>
      </w:r>
      <w:r w:rsidR="00E80C30" w:rsidRPr="008C677D">
        <w:rPr>
          <w:rFonts w:cs="Times New Roman"/>
          <w:szCs w:val="24"/>
        </w:rPr>
        <w:t>optimalizace zákonných kompetencí celní správy</w:t>
      </w:r>
      <w:r w:rsidR="004E62AC">
        <w:rPr>
          <w:rFonts w:cs="Times New Roman"/>
          <w:szCs w:val="24"/>
        </w:rPr>
        <w:t xml:space="preserve">, tedy </w:t>
      </w:r>
      <w:r w:rsidR="00DD34B6">
        <w:rPr>
          <w:rFonts w:cs="Times New Roman"/>
          <w:szCs w:val="24"/>
        </w:rPr>
        <w:t>nedošlo by k</w:t>
      </w:r>
      <w:r w:rsidR="008E5626">
        <w:rPr>
          <w:rFonts w:cs="Times New Roman"/>
          <w:szCs w:val="24"/>
        </w:rPr>
        <w:t> žádným změnám.</w:t>
      </w:r>
    </w:p>
    <w:p w14:paraId="3F347EEC" w14:textId="42873F31" w:rsidR="00716947" w:rsidRPr="007435EB" w:rsidRDefault="002B1B95" w:rsidP="00AB680C">
      <w:pPr>
        <w:spacing w:before="0"/>
        <w:rPr>
          <w:rFonts w:cs="Times New Roman"/>
          <w:szCs w:val="24"/>
        </w:rPr>
      </w:pPr>
      <w:r w:rsidRPr="008C677D">
        <w:rPr>
          <w:rFonts w:cs="Times New Roman"/>
          <w:b/>
          <w:bCs/>
          <w:color w:val="000000" w:themeColor="text1"/>
          <w:szCs w:val="24"/>
        </w:rPr>
        <w:t>Variantou 1</w:t>
      </w:r>
      <w:r w:rsidRPr="008C677D">
        <w:rPr>
          <w:rFonts w:cs="Times New Roman"/>
          <w:color w:val="000000" w:themeColor="text1"/>
          <w:szCs w:val="24"/>
        </w:rPr>
        <w:t xml:space="preserve"> je </w:t>
      </w:r>
      <w:r w:rsidR="006C0432" w:rsidRPr="008C677D">
        <w:rPr>
          <w:rFonts w:cs="Times New Roman"/>
          <w:color w:val="000000" w:themeColor="text1"/>
          <w:szCs w:val="24"/>
        </w:rPr>
        <w:t xml:space="preserve">stav, kdy </w:t>
      </w:r>
      <w:r w:rsidR="00285024">
        <w:rPr>
          <w:rFonts w:cs="Times New Roman"/>
          <w:color w:val="000000" w:themeColor="text1"/>
          <w:szCs w:val="24"/>
        </w:rPr>
        <w:t>úpravou právních předpisů dojde k</w:t>
      </w:r>
      <w:r w:rsidR="00E8473B">
        <w:rPr>
          <w:rFonts w:cs="Times New Roman"/>
          <w:color w:val="000000" w:themeColor="text1"/>
          <w:szCs w:val="24"/>
        </w:rPr>
        <w:t> </w:t>
      </w:r>
      <w:r w:rsidR="00285024">
        <w:rPr>
          <w:rFonts w:cs="Times New Roman"/>
          <w:color w:val="000000" w:themeColor="text1"/>
          <w:szCs w:val="24"/>
        </w:rPr>
        <w:t>redukci</w:t>
      </w:r>
      <w:r w:rsidR="00E8473B">
        <w:rPr>
          <w:rFonts w:cs="Times New Roman"/>
          <w:color w:val="000000" w:themeColor="text1"/>
          <w:szCs w:val="24"/>
        </w:rPr>
        <w:t xml:space="preserve"> či změně</w:t>
      </w:r>
      <w:r w:rsidR="004E62AC">
        <w:rPr>
          <w:rFonts w:cs="Times New Roman"/>
          <w:color w:val="000000" w:themeColor="text1"/>
          <w:szCs w:val="24"/>
        </w:rPr>
        <w:t xml:space="preserve"> vybraných</w:t>
      </w:r>
      <w:r w:rsidR="00285024">
        <w:rPr>
          <w:rFonts w:cs="Times New Roman"/>
          <w:color w:val="000000" w:themeColor="text1"/>
          <w:szCs w:val="24"/>
        </w:rPr>
        <w:t xml:space="preserve"> zákonných kompetencí </w:t>
      </w:r>
      <w:r w:rsidR="004E62AC">
        <w:rPr>
          <w:rFonts w:cs="Times New Roman"/>
          <w:color w:val="000000" w:themeColor="text1"/>
          <w:szCs w:val="24"/>
        </w:rPr>
        <w:t>celní správy</w:t>
      </w:r>
      <w:r w:rsidR="00285024" w:rsidRPr="00285024">
        <w:rPr>
          <w:rFonts w:cs="Times New Roman"/>
          <w:color w:val="000000" w:themeColor="text1"/>
          <w:szCs w:val="24"/>
        </w:rPr>
        <w:t xml:space="preserve">, s důrazem </w:t>
      </w:r>
      <w:r w:rsidR="00285024" w:rsidRPr="00285024">
        <w:rPr>
          <w:rFonts w:cs="Times New Roman"/>
          <w:szCs w:val="24"/>
        </w:rPr>
        <w:t>na zachování tradičních hlavních činností, které by měla</w:t>
      </w:r>
      <w:r w:rsidR="004E62AC">
        <w:rPr>
          <w:rFonts w:cs="Times New Roman"/>
          <w:szCs w:val="24"/>
        </w:rPr>
        <w:t xml:space="preserve"> celní správa</w:t>
      </w:r>
      <w:r w:rsidR="00285024" w:rsidRPr="00285024">
        <w:rPr>
          <w:rFonts w:cs="Times New Roman"/>
          <w:szCs w:val="24"/>
        </w:rPr>
        <w:t xml:space="preserve"> vykonávat</w:t>
      </w:r>
      <w:r w:rsidR="004E62AC">
        <w:rPr>
          <w:rFonts w:cs="Times New Roman"/>
          <w:szCs w:val="24"/>
        </w:rPr>
        <w:t xml:space="preserve"> (</w:t>
      </w:r>
      <w:r w:rsidR="00285024" w:rsidRPr="00285024">
        <w:rPr>
          <w:rFonts w:cs="Times New Roman"/>
          <w:szCs w:val="24"/>
        </w:rPr>
        <w:t xml:space="preserve">tj. celnictví, </w:t>
      </w:r>
      <w:r w:rsidR="004E62AC">
        <w:rPr>
          <w:rFonts w:cs="Times New Roman"/>
          <w:szCs w:val="24"/>
        </w:rPr>
        <w:t>správu spotřebních a energetických daní</w:t>
      </w:r>
      <w:r w:rsidR="00285024" w:rsidRPr="00285024">
        <w:rPr>
          <w:rFonts w:cs="Times New Roman"/>
          <w:szCs w:val="24"/>
        </w:rPr>
        <w:t>,</w:t>
      </w:r>
      <w:r w:rsidR="004E62AC">
        <w:rPr>
          <w:rFonts w:cs="Times New Roman"/>
          <w:szCs w:val="24"/>
        </w:rPr>
        <w:t xml:space="preserve"> dělenou správu a působnost v oblasti hazardních her)</w:t>
      </w:r>
      <w:r w:rsidR="00285024">
        <w:rPr>
          <w:rFonts w:cs="Times New Roman"/>
          <w:szCs w:val="24"/>
        </w:rPr>
        <w:t>, a to</w:t>
      </w:r>
      <w:r w:rsidR="007435EB">
        <w:rPr>
          <w:rFonts w:cs="Times New Roman"/>
          <w:szCs w:val="24"/>
        </w:rPr>
        <w:t xml:space="preserve"> </w:t>
      </w:r>
      <w:r w:rsidR="007435EB" w:rsidRPr="007435EB">
        <w:rPr>
          <w:rFonts w:cs="Times New Roman"/>
          <w:szCs w:val="24"/>
        </w:rPr>
        <w:t>ideálně</w:t>
      </w:r>
      <w:r w:rsidR="00285024" w:rsidRPr="007435EB">
        <w:rPr>
          <w:rFonts w:cs="Times New Roman"/>
          <w:szCs w:val="24"/>
        </w:rPr>
        <w:t xml:space="preserve"> po vzájemné dohodě s jednotlivými gestory </w:t>
      </w:r>
      <w:r w:rsidR="004E62AC" w:rsidRPr="007435EB">
        <w:rPr>
          <w:rFonts w:cs="Times New Roman"/>
          <w:szCs w:val="24"/>
        </w:rPr>
        <w:t>dotčených</w:t>
      </w:r>
      <w:r w:rsidR="00285024" w:rsidRPr="007435EB">
        <w:rPr>
          <w:rFonts w:cs="Times New Roman"/>
          <w:szCs w:val="24"/>
        </w:rPr>
        <w:t xml:space="preserve"> právních předpisů</w:t>
      </w:r>
      <w:r w:rsidR="004E62AC" w:rsidRPr="007435EB">
        <w:rPr>
          <w:rFonts w:cs="Times New Roman"/>
          <w:szCs w:val="24"/>
        </w:rPr>
        <w:t xml:space="preserve"> (ústředními orgány státní správy)</w:t>
      </w:r>
      <w:r w:rsidR="007435EB">
        <w:rPr>
          <w:rFonts w:cs="Times New Roman"/>
          <w:szCs w:val="24"/>
        </w:rPr>
        <w:t xml:space="preserve">, případně </w:t>
      </w:r>
      <w:r w:rsidR="00DA2C7F">
        <w:rPr>
          <w:rFonts w:cs="Times New Roman"/>
          <w:szCs w:val="24"/>
        </w:rPr>
        <w:t>dle politického rozhodnutí</w:t>
      </w:r>
      <w:r w:rsidR="00B31298">
        <w:rPr>
          <w:rFonts w:cs="Times New Roman"/>
          <w:szCs w:val="24"/>
        </w:rPr>
        <w:t xml:space="preserve"> </w:t>
      </w:r>
      <w:r w:rsidR="00E8473B">
        <w:rPr>
          <w:rFonts w:cs="Times New Roman"/>
          <w:szCs w:val="24"/>
        </w:rPr>
        <w:t>oprávněných</w:t>
      </w:r>
      <w:r w:rsidR="00B31298">
        <w:rPr>
          <w:rFonts w:cs="Times New Roman"/>
          <w:szCs w:val="24"/>
        </w:rPr>
        <w:t xml:space="preserve"> osob. </w:t>
      </w:r>
    </w:p>
    <w:p w14:paraId="54380F2D" w14:textId="3A1FC668" w:rsidR="00A21506" w:rsidRPr="008C677D" w:rsidRDefault="00A21506" w:rsidP="00AB680C">
      <w:pPr>
        <w:pStyle w:val="Nadpisyvtextu"/>
        <w:keepNext w:val="0"/>
        <w:spacing w:before="0"/>
        <w:rPr>
          <w:rFonts w:cs="Times New Roman"/>
          <w:color w:val="000000" w:themeColor="text1"/>
          <w:szCs w:val="24"/>
          <w:u w:val="none"/>
        </w:rPr>
      </w:pPr>
      <w:bookmarkStart w:id="40" w:name="_Hlk25317540"/>
      <w:bookmarkStart w:id="41" w:name="_Hlk25317693"/>
      <w:r w:rsidRPr="008C677D">
        <w:rPr>
          <w:rFonts w:cs="Times New Roman"/>
          <w:color w:val="000000" w:themeColor="text1"/>
          <w:szCs w:val="24"/>
          <w:u w:val="none"/>
        </w:rPr>
        <w:t xml:space="preserve">Výčet zvažovaných variant tak zní: </w:t>
      </w:r>
    </w:p>
    <w:p w14:paraId="5E8468FD" w14:textId="44651249" w:rsidR="00A21506" w:rsidRPr="008C677D" w:rsidRDefault="00A21506" w:rsidP="00AB680C">
      <w:pPr>
        <w:pStyle w:val="Odstavecseseznamem"/>
        <w:numPr>
          <w:ilvl w:val="0"/>
          <w:numId w:val="22"/>
        </w:numPr>
        <w:spacing w:before="0"/>
        <w:contextualSpacing w:val="0"/>
        <w:rPr>
          <w:rFonts w:cs="Times New Roman"/>
          <w:szCs w:val="24"/>
        </w:rPr>
      </w:pPr>
      <w:r w:rsidRPr="008C677D">
        <w:rPr>
          <w:rFonts w:cs="Times New Roman"/>
          <w:szCs w:val="24"/>
        </w:rPr>
        <w:t xml:space="preserve">Varianta </w:t>
      </w:r>
      <w:r w:rsidR="00E6594F">
        <w:rPr>
          <w:rFonts w:cs="Times New Roman"/>
          <w:szCs w:val="24"/>
        </w:rPr>
        <w:t>0</w:t>
      </w:r>
      <w:r w:rsidR="000B7109" w:rsidRPr="008C677D">
        <w:rPr>
          <w:rFonts w:cs="Times New Roman"/>
          <w:szCs w:val="24"/>
        </w:rPr>
        <w:t xml:space="preserve"> </w:t>
      </w:r>
      <w:r w:rsidR="00843910" w:rsidRPr="008C677D">
        <w:rPr>
          <w:rFonts w:cs="Times New Roman"/>
          <w:szCs w:val="24"/>
        </w:rPr>
        <w:t>–</w:t>
      </w:r>
      <w:r w:rsidR="000B7109" w:rsidRPr="008C677D">
        <w:rPr>
          <w:rFonts w:cs="Times New Roman"/>
          <w:szCs w:val="24"/>
        </w:rPr>
        <w:t xml:space="preserve"> </w:t>
      </w:r>
      <w:r w:rsidR="007043B9" w:rsidRPr="008C677D">
        <w:rPr>
          <w:rFonts w:cs="Times New Roman"/>
          <w:szCs w:val="24"/>
        </w:rPr>
        <w:t xml:space="preserve">zůstane zachován </w:t>
      </w:r>
      <w:r w:rsidR="00285024" w:rsidRPr="007435EB">
        <w:rPr>
          <w:rFonts w:cs="Times New Roman"/>
          <w:szCs w:val="24"/>
        </w:rPr>
        <w:t>stávající stav</w:t>
      </w:r>
    </w:p>
    <w:p w14:paraId="50AC8AE5" w14:textId="237676E0" w:rsidR="007435EB" w:rsidRPr="00C64F52" w:rsidRDefault="00A21506" w:rsidP="00AB680C">
      <w:pPr>
        <w:pStyle w:val="Odstavecseseznamem"/>
        <w:numPr>
          <w:ilvl w:val="0"/>
          <w:numId w:val="22"/>
        </w:numPr>
        <w:spacing w:before="0"/>
        <w:contextualSpacing w:val="0"/>
        <w:rPr>
          <w:rFonts w:cs="Times New Roman"/>
          <w:szCs w:val="24"/>
        </w:rPr>
      </w:pPr>
      <w:r w:rsidRPr="008C677D">
        <w:rPr>
          <w:rFonts w:cs="Times New Roman"/>
          <w:szCs w:val="24"/>
        </w:rPr>
        <w:t xml:space="preserve">Varianta </w:t>
      </w:r>
      <w:r w:rsidR="00E6594F">
        <w:rPr>
          <w:rFonts w:cs="Times New Roman"/>
          <w:szCs w:val="24"/>
        </w:rPr>
        <w:t>1</w:t>
      </w:r>
      <w:r w:rsidR="008872E1" w:rsidRPr="008C677D">
        <w:rPr>
          <w:rFonts w:cs="Times New Roman"/>
          <w:szCs w:val="24"/>
        </w:rPr>
        <w:t xml:space="preserve"> – </w:t>
      </w:r>
      <w:r w:rsidR="00716947">
        <w:rPr>
          <w:rFonts w:cs="Times New Roman"/>
          <w:szCs w:val="24"/>
        </w:rPr>
        <w:t xml:space="preserve">úprava </w:t>
      </w:r>
      <w:r w:rsidR="00285024">
        <w:rPr>
          <w:rFonts w:cs="Times New Roman"/>
          <w:szCs w:val="24"/>
        </w:rPr>
        <w:t>zákonných kompetencí</w:t>
      </w:r>
      <w:r w:rsidR="007435EB">
        <w:rPr>
          <w:rFonts w:cs="Times New Roman"/>
          <w:szCs w:val="24"/>
        </w:rPr>
        <w:t xml:space="preserve"> celní správy</w:t>
      </w:r>
      <w:r w:rsidR="00E6594F">
        <w:rPr>
          <w:rFonts w:cs="Times New Roman"/>
          <w:szCs w:val="24"/>
        </w:rPr>
        <w:t xml:space="preserve"> </w:t>
      </w:r>
    </w:p>
    <w:p w14:paraId="53B61C5A" w14:textId="384103CD" w:rsidR="00421AC8" w:rsidRPr="00A2506A" w:rsidRDefault="00421AC8" w:rsidP="00AB680C">
      <w:pPr>
        <w:pStyle w:val="Nadpis2"/>
        <w:keepNext w:val="0"/>
        <w:spacing w:line="276" w:lineRule="auto"/>
        <w:ind w:left="709"/>
      </w:pPr>
      <w:bookmarkStart w:id="42" w:name="_Toc427045894"/>
      <w:bookmarkStart w:id="43" w:name="_Toc25666046"/>
      <w:bookmarkStart w:id="44" w:name="_Toc164761258"/>
      <w:bookmarkEnd w:id="40"/>
      <w:bookmarkEnd w:id="41"/>
      <w:r w:rsidRPr="00A2506A">
        <w:t>Vyhodnocení nákladů a přínosů</w:t>
      </w:r>
      <w:bookmarkEnd w:id="42"/>
      <w:bookmarkEnd w:id="43"/>
      <w:bookmarkEnd w:id="44"/>
    </w:p>
    <w:p w14:paraId="0C6A95CB" w14:textId="77777777" w:rsidR="00421AC8" w:rsidRPr="00A2506A" w:rsidRDefault="00421AC8" w:rsidP="00AB680C">
      <w:pPr>
        <w:pStyle w:val="Nadpis3"/>
        <w:keepNext w:val="0"/>
        <w:spacing w:line="276" w:lineRule="auto"/>
      </w:pPr>
      <w:bookmarkStart w:id="45" w:name="_Toc427045895"/>
      <w:bookmarkStart w:id="46" w:name="_Toc25666047"/>
      <w:bookmarkStart w:id="47" w:name="_Toc164761259"/>
      <w:r w:rsidRPr="00A2506A">
        <w:t>Identifikace nákladů a přínosů</w:t>
      </w:r>
      <w:bookmarkEnd w:id="45"/>
      <w:bookmarkEnd w:id="46"/>
      <w:bookmarkEnd w:id="47"/>
    </w:p>
    <w:p w14:paraId="7DBB7D56" w14:textId="03D0D439" w:rsidR="00421AC8" w:rsidRPr="00C64F52" w:rsidRDefault="00421AC8" w:rsidP="00AB680C">
      <w:pPr>
        <w:widowControl w:val="0"/>
        <w:spacing w:before="0"/>
        <w:rPr>
          <w:rFonts w:eastAsia="Calibri" w:cs="Times New Roman"/>
        </w:rPr>
      </w:pPr>
      <w:r w:rsidRPr="00C64F52">
        <w:rPr>
          <w:rFonts w:eastAsia="Calibri" w:cs="Times New Roman"/>
        </w:rPr>
        <w:t>Výše uvedené varianty byly vyhodnoceny podle</w:t>
      </w:r>
      <w:r w:rsidR="00E90091" w:rsidRPr="00C64F52">
        <w:rPr>
          <w:rFonts w:eastAsia="Calibri" w:cs="Times New Roman"/>
        </w:rPr>
        <w:t xml:space="preserve"> stěžejních</w:t>
      </w:r>
      <w:r w:rsidR="001F2CD8" w:rsidRPr="00C64F52">
        <w:rPr>
          <w:rFonts w:eastAsia="Calibri" w:cs="Times New Roman"/>
        </w:rPr>
        <w:t xml:space="preserve"> </w:t>
      </w:r>
      <w:r w:rsidRPr="00C64F52">
        <w:rPr>
          <w:rFonts w:eastAsia="Calibri" w:cs="Times New Roman"/>
        </w:rPr>
        <w:t>kritérií, která pokrývají klady a zápory (resp.</w:t>
      </w:r>
      <w:r w:rsidR="00F43406" w:rsidRPr="00C64F52">
        <w:rPr>
          <w:rFonts w:eastAsia="Calibri" w:cs="Times New Roman"/>
        </w:rPr>
        <w:t> </w:t>
      </w:r>
      <w:r w:rsidRPr="00C64F52">
        <w:rPr>
          <w:rFonts w:eastAsia="Calibri" w:cs="Times New Roman"/>
        </w:rPr>
        <w:t>přínosy a náklady) jednotlivých navržených variant.</w:t>
      </w:r>
      <w:r w:rsidR="00E90091" w:rsidRPr="00C64F52">
        <w:rPr>
          <w:rFonts w:eastAsia="Calibri" w:cs="Times New Roman"/>
        </w:rPr>
        <w:t xml:space="preserve"> </w:t>
      </w:r>
      <w:r w:rsidRPr="00C64F52">
        <w:rPr>
          <w:rFonts w:eastAsia="Calibri" w:cs="Times New Roman"/>
        </w:rPr>
        <w:t>Jako hodnotící kritéria byla identifikována:</w:t>
      </w:r>
    </w:p>
    <w:p w14:paraId="7097EC4D" w14:textId="2D952A1D" w:rsidR="00AA087A" w:rsidRPr="00AA087A" w:rsidRDefault="00693180" w:rsidP="00AB680C">
      <w:pPr>
        <w:pStyle w:val="Odrky"/>
        <w:spacing w:after="120"/>
        <w:rPr>
          <w:rFonts w:eastAsia="Calibri"/>
          <w:color w:val="000000" w:themeColor="text1"/>
        </w:rPr>
      </w:pPr>
      <w:r>
        <w:rPr>
          <w:rFonts w:eastAsia="Calibri"/>
          <w:color w:val="000000" w:themeColor="text1"/>
          <w:u w:val="single"/>
        </w:rPr>
        <w:lastRenderedPageBreak/>
        <w:t>e</w:t>
      </w:r>
      <w:r w:rsidR="00E6594F" w:rsidRPr="005568EF">
        <w:rPr>
          <w:rFonts w:eastAsia="Calibri"/>
          <w:color w:val="000000" w:themeColor="text1"/>
          <w:u w:val="single"/>
        </w:rPr>
        <w:t>fektivita a výkonnost zákonných kompetencí</w:t>
      </w:r>
      <w:r w:rsidR="004E62AC" w:rsidRPr="005568EF">
        <w:rPr>
          <w:rFonts w:eastAsia="Calibri"/>
          <w:color w:val="000000" w:themeColor="text1"/>
          <w:u w:val="single"/>
        </w:rPr>
        <w:t xml:space="preserve"> celní správy</w:t>
      </w:r>
      <w:r w:rsidR="00DD2F4A" w:rsidRPr="005568EF">
        <w:rPr>
          <w:rFonts w:eastAsia="Calibri"/>
          <w:color w:val="000000" w:themeColor="text1"/>
          <w:u w:val="single"/>
        </w:rPr>
        <w:t xml:space="preserve"> a jiných orgánů veřejné moci</w:t>
      </w:r>
      <w:r w:rsidR="005568EF">
        <w:rPr>
          <w:rFonts w:eastAsia="Calibri"/>
          <w:color w:val="000000" w:themeColor="text1"/>
        </w:rPr>
        <w:t xml:space="preserve"> – </w:t>
      </w:r>
      <w:r w:rsidR="00E94E4E">
        <w:rPr>
          <w:rFonts w:eastAsia="Calibri"/>
          <w:color w:val="000000" w:themeColor="text1"/>
        </w:rPr>
        <w:t>v</w:t>
      </w:r>
      <w:r w:rsidR="005568EF" w:rsidRPr="005568EF">
        <w:rPr>
          <w:rFonts w:eastAsia="Calibri"/>
          <w:color w:val="000000" w:themeColor="text1"/>
        </w:rPr>
        <w:t xml:space="preserve"> rámci tohoto kritéria by měla být posouzena činnost celní správy</w:t>
      </w:r>
      <w:r>
        <w:rPr>
          <w:rFonts w:eastAsia="Calibri"/>
          <w:color w:val="000000" w:themeColor="text1"/>
        </w:rPr>
        <w:t xml:space="preserve"> a jiných</w:t>
      </w:r>
      <w:r w:rsidR="005568EF" w:rsidRPr="005568EF">
        <w:rPr>
          <w:rFonts w:eastAsia="Calibri"/>
          <w:color w:val="000000" w:themeColor="text1"/>
        </w:rPr>
        <w:t xml:space="preserve"> orgánů veřejné moci</w:t>
      </w:r>
      <w:r>
        <w:rPr>
          <w:rFonts w:eastAsia="Calibri"/>
          <w:color w:val="000000" w:themeColor="text1"/>
        </w:rPr>
        <w:t>;</w:t>
      </w:r>
    </w:p>
    <w:p w14:paraId="5B2A4A9F" w14:textId="3DA9FB43" w:rsidR="00AA087A" w:rsidRPr="007435EB" w:rsidRDefault="00693180" w:rsidP="00AB680C">
      <w:pPr>
        <w:pStyle w:val="Odrky"/>
        <w:spacing w:after="120"/>
        <w:rPr>
          <w:rFonts w:eastAsia="Calibri"/>
          <w:color w:val="000000" w:themeColor="text1"/>
        </w:rPr>
      </w:pPr>
      <w:r>
        <w:rPr>
          <w:rFonts w:eastAsia="Calibri"/>
          <w:color w:val="000000" w:themeColor="text1"/>
          <w:u w:val="single"/>
        </w:rPr>
        <w:t>s</w:t>
      </w:r>
      <w:r w:rsidR="00AA087A" w:rsidRPr="00E611E3">
        <w:rPr>
          <w:rFonts w:eastAsia="Calibri"/>
          <w:color w:val="000000" w:themeColor="text1"/>
          <w:u w:val="single"/>
        </w:rPr>
        <w:t>rozumitelnost výkonu veřejné moci z pohledu veřejnosti</w:t>
      </w:r>
      <w:r w:rsidR="000040C3" w:rsidRPr="007435EB">
        <w:rPr>
          <w:rFonts w:eastAsia="Calibri"/>
          <w:color w:val="000000" w:themeColor="text1"/>
        </w:rPr>
        <w:t xml:space="preserve"> </w:t>
      </w:r>
      <w:r w:rsidR="005568EF">
        <w:rPr>
          <w:rFonts w:eastAsia="Calibri"/>
          <w:color w:val="000000" w:themeColor="text1"/>
        </w:rPr>
        <w:t xml:space="preserve">– </w:t>
      </w:r>
      <w:r w:rsidR="00E611E3">
        <w:rPr>
          <w:rFonts w:eastAsia="Calibri"/>
          <w:color w:val="000000" w:themeColor="text1"/>
        </w:rPr>
        <w:t>v</w:t>
      </w:r>
      <w:r w:rsidR="00E611E3" w:rsidRPr="00E611E3">
        <w:rPr>
          <w:rFonts w:eastAsia="Calibri"/>
          <w:color w:val="000000" w:themeColor="text1"/>
        </w:rPr>
        <w:t xml:space="preserve"> rámci tohoto kritéria by měl být posouzen pohled široké veřejnosti na výkon státní správy. Nutno zdůraznit, že činnost správních orgánů je (a má být) v prvé řadě službou veřejnosti a že by měl být zohledňován účel, pro který byl</w:t>
      </w:r>
      <w:r w:rsidR="005F29A1">
        <w:rPr>
          <w:rFonts w:eastAsia="Calibri"/>
          <w:color w:val="000000" w:themeColor="text1"/>
        </w:rPr>
        <w:t xml:space="preserve"> orgán veřejné moci</w:t>
      </w:r>
      <w:r w:rsidR="00E611E3" w:rsidRPr="00E611E3">
        <w:rPr>
          <w:rFonts w:eastAsia="Calibri"/>
          <w:color w:val="000000" w:themeColor="text1"/>
        </w:rPr>
        <w:t xml:space="preserve"> zřízen.</w:t>
      </w:r>
    </w:p>
    <w:p w14:paraId="6E2A099D" w14:textId="77777777" w:rsidR="00421AC8" w:rsidRPr="00A2506A" w:rsidRDefault="00421AC8" w:rsidP="00AB680C">
      <w:pPr>
        <w:pStyle w:val="Nadpis3"/>
        <w:keepNext w:val="0"/>
        <w:spacing w:line="276" w:lineRule="auto"/>
      </w:pPr>
      <w:bookmarkStart w:id="48" w:name="_Toc426709187"/>
      <w:bookmarkStart w:id="49" w:name="_Toc427045896"/>
      <w:bookmarkStart w:id="50" w:name="_Toc427048594"/>
      <w:bookmarkStart w:id="51" w:name="_Toc427045897"/>
      <w:bookmarkStart w:id="52" w:name="_Toc25666048"/>
      <w:bookmarkStart w:id="53" w:name="_Toc164761260"/>
      <w:bookmarkEnd w:id="48"/>
      <w:bookmarkEnd w:id="49"/>
      <w:bookmarkEnd w:id="50"/>
      <w:r w:rsidRPr="00A2506A">
        <w:t>Náklady</w:t>
      </w:r>
      <w:bookmarkEnd w:id="51"/>
      <w:bookmarkEnd w:id="52"/>
      <w:bookmarkEnd w:id="53"/>
      <w:r w:rsidRPr="00A2506A">
        <w:t xml:space="preserve"> </w:t>
      </w:r>
    </w:p>
    <w:p w14:paraId="49D55F90" w14:textId="55371171" w:rsidR="00DD2F4A" w:rsidRPr="00716947" w:rsidRDefault="008B6F12" w:rsidP="00AB680C">
      <w:pPr>
        <w:pStyle w:val="Odrky"/>
        <w:numPr>
          <w:ilvl w:val="0"/>
          <w:numId w:val="0"/>
        </w:numPr>
        <w:spacing w:after="120"/>
        <w:rPr>
          <w:rFonts w:eastAsia="Calibri"/>
          <w:color w:val="000000" w:themeColor="text1"/>
          <w:u w:val="single"/>
        </w:rPr>
      </w:pPr>
      <w:r>
        <w:rPr>
          <w:rFonts w:eastAsia="Calibri"/>
          <w:color w:val="000000" w:themeColor="text1"/>
          <w:u w:val="single"/>
        </w:rPr>
        <w:t xml:space="preserve">Efektivita a výkonnost zákonných kompetencí </w:t>
      </w:r>
      <w:r w:rsidR="00A209D9">
        <w:rPr>
          <w:rFonts w:eastAsia="Calibri"/>
          <w:color w:val="000000" w:themeColor="text1"/>
          <w:u w:val="single"/>
        </w:rPr>
        <w:t>celní správy</w:t>
      </w:r>
      <w:r w:rsidR="00DD2F4A">
        <w:rPr>
          <w:rFonts w:eastAsia="Calibri"/>
          <w:color w:val="000000" w:themeColor="text1"/>
          <w:u w:val="single"/>
        </w:rPr>
        <w:t xml:space="preserve"> </w:t>
      </w:r>
      <w:r w:rsidR="00DD2F4A" w:rsidRPr="00716947">
        <w:rPr>
          <w:rFonts w:eastAsia="Calibri"/>
          <w:color w:val="000000" w:themeColor="text1"/>
          <w:u w:val="single"/>
        </w:rPr>
        <w:t>a jiných orgánů veřejné moci</w:t>
      </w:r>
    </w:p>
    <w:p w14:paraId="193C330B" w14:textId="1EB53F79" w:rsidR="005A4F1A" w:rsidRPr="00C64F52" w:rsidRDefault="00100450" w:rsidP="00AB680C">
      <w:pPr>
        <w:widowControl w:val="0"/>
        <w:spacing w:before="0"/>
        <w:rPr>
          <w:rFonts w:eastAsia="Calibri" w:cs="Times New Roman"/>
        </w:rPr>
      </w:pPr>
      <w:r w:rsidRPr="00C64F52">
        <w:rPr>
          <w:rFonts w:eastAsia="Calibri" w:cs="Times New Roman"/>
        </w:rPr>
        <w:t>N</w:t>
      </w:r>
      <w:r w:rsidR="00662B80" w:rsidRPr="00C64F52">
        <w:rPr>
          <w:rFonts w:eastAsia="Calibri" w:cs="Times New Roman"/>
        </w:rPr>
        <w:t>avržené změny by měly</w:t>
      </w:r>
      <w:r w:rsidR="00716947" w:rsidRPr="00C64F52">
        <w:rPr>
          <w:rFonts w:eastAsia="Calibri" w:cs="Times New Roman"/>
        </w:rPr>
        <w:t xml:space="preserve"> </w:t>
      </w:r>
      <w:r w:rsidR="00662B80" w:rsidRPr="00C64F52">
        <w:rPr>
          <w:rFonts w:eastAsia="Calibri" w:cs="Times New Roman"/>
        </w:rPr>
        <w:t>přispět k efektivnější činnost</w:t>
      </w:r>
      <w:r w:rsidR="00716947" w:rsidRPr="00C64F52">
        <w:rPr>
          <w:rFonts w:eastAsia="Calibri" w:cs="Times New Roman"/>
        </w:rPr>
        <w:t xml:space="preserve">i </w:t>
      </w:r>
      <w:r w:rsidR="00662B80" w:rsidRPr="00C64F52">
        <w:rPr>
          <w:rFonts w:eastAsia="Calibri" w:cs="Times New Roman"/>
        </w:rPr>
        <w:t>celní správy</w:t>
      </w:r>
      <w:r w:rsidR="008E5626" w:rsidRPr="00C64F52">
        <w:rPr>
          <w:rFonts w:eastAsia="Calibri" w:cs="Times New Roman"/>
        </w:rPr>
        <w:t xml:space="preserve"> a jiných orgánů veřejné moci</w:t>
      </w:r>
      <w:r w:rsidR="00BE0CD1" w:rsidRPr="00C64F52">
        <w:rPr>
          <w:rFonts w:eastAsia="Calibri" w:cs="Times New Roman"/>
        </w:rPr>
        <w:t xml:space="preserve">. Jednalo by se o </w:t>
      </w:r>
      <w:r w:rsidR="00716947" w:rsidRPr="00C64F52">
        <w:rPr>
          <w:rFonts w:eastAsia="Calibri" w:cs="Times New Roman"/>
        </w:rPr>
        <w:t xml:space="preserve">opuštění některých činností u jiných orgánů veřejné moci, které jsou vykonávány s ohledem na okolnosti ne zcela efektivně, resp. </w:t>
      </w:r>
      <w:r w:rsidR="00BE0CD1" w:rsidRPr="00C64F52">
        <w:rPr>
          <w:rFonts w:eastAsia="Calibri" w:cs="Times New Roman"/>
        </w:rPr>
        <w:t xml:space="preserve">naopak </w:t>
      </w:r>
      <w:r w:rsidR="00716947" w:rsidRPr="00C64F52">
        <w:rPr>
          <w:rFonts w:eastAsia="Calibri" w:cs="Times New Roman"/>
        </w:rPr>
        <w:t>dojít k předání nových činností těmto jiným orgánům veřejné moci</w:t>
      </w:r>
      <w:r w:rsidR="003E4F33" w:rsidRPr="00C64F52">
        <w:rPr>
          <w:rFonts w:eastAsia="Calibri" w:cs="Times New Roman"/>
        </w:rPr>
        <w:t xml:space="preserve">, kdy předmětný výkon kompetence novým orgánem byl posouzen jako efektivnější a hospodárnější. U </w:t>
      </w:r>
      <w:r w:rsidR="00A209D9" w:rsidRPr="00C64F52">
        <w:rPr>
          <w:rFonts w:eastAsia="Calibri" w:cs="Times New Roman"/>
        </w:rPr>
        <w:t xml:space="preserve">celní správy </w:t>
      </w:r>
      <w:r w:rsidR="003E4F33" w:rsidRPr="00C64F52">
        <w:rPr>
          <w:rFonts w:eastAsia="Calibri" w:cs="Times New Roman"/>
        </w:rPr>
        <w:t>se v</w:t>
      </w:r>
      <w:r w:rsidR="00662B80" w:rsidRPr="00C64F52">
        <w:rPr>
          <w:rFonts w:eastAsia="Calibri" w:cs="Times New Roman"/>
        </w:rPr>
        <w:t>znik nákladů</w:t>
      </w:r>
      <w:r w:rsidR="003E4F33" w:rsidRPr="00C64F52">
        <w:rPr>
          <w:rFonts w:eastAsia="Calibri" w:cs="Times New Roman"/>
        </w:rPr>
        <w:t xml:space="preserve"> </w:t>
      </w:r>
      <w:r w:rsidR="00B52B69">
        <w:rPr>
          <w:rFonts w:eastAsia="Calibri" w:cs="Times New Roman"/>
        </w:rPr>
        <w:t xml:space="preserve">obecně </w:t>
      </w:r>
      <w:r w:rsidR="003E4F33" w:rsidRPr="00C64F52">
        <w:rPr>
          <w:rFonts w:eastAsia="Calibri" w:cs="Times New Roman"/>
        </w:rPr>
        <w:t>n</w:t>
      </w:r>
      <w:r w:rsidR="00662B80" w:rsidRPr="00C64F52">
        <w:rPr>
          <w:rFonts w:eastAsia="Calibri" w:cs="Times New Roman"/>
        </w:rPr>
        <w:t>epředpokládá, s</w:t>
      </w:r>
      <w:r w:rsidR="00B52B69">
        <w:rPr>
          <w:rFonts w:eastAsia="Calibri" w:cs="Times New Roman"/>
        </w:rPr>
        <w:t xml:space="preserve"> omezenou </w:t>
      </w:r>
      <w:r w:rsidR="00662B80" w:rsidRPr="00C64F52">
        <w:rPr>
          <w:rFonts w:eastAsia="Calibri" w:cs="Times New Roman"/>
        </w:rPr>
        <w:t>výjimkou rozšíření stávající agendy dělené správy (sjednocení kompetence k vymáhání obecným správcem daně)</w:t>
      </w:r>
      <w:r w:rsidR="00181F9E" w:rsidRPr="00C64F52">
        <w:rPr>
          <w:rFonts w:eastAsia="Calibri" w:cs="Times New Roman"/>
        </w:rPr>
        <w:t xml:space="preserve"> ve vztahu ke kompetenci „státního vymahače“, kdy by došlo k posílení role celní správy z pozice obecného správce daně.</w:t>
      </w:r>
      <w:r w:rsidR="00D17FDD">
        <w:rPr>
          <w:rFonts w:eastAsia="Calibri" w:cs="Times New Roman"/>
        </w:rPr>
        <w:t xml:space="preserve"> </w:t>
      </w:r>
      <w:r w:rsidR="00D17FDD" w:rsidRPr="00D17FDD">
        <w:rPr>
          <w:rFonts w:eastAsia="Calibri" w:cs="Times New Roman"/>
        </w:rPr>
        <w:t>V ostatních případech lze předpokládat úsporu systemizovaných míst, které budou využity na</w:t>
      </w:r>
      <w:r w:rsidR="00D17FDD">
        <w:rPr>
          <w:rFonts w:eastAsia="Calibri" w:cs="Times New Roman"/>
        </w:rPr>
        <w:t> </w:t>
      </w:r>
      <w:r w:rsidR="00D17FDD" w:rsidRPr="00D17FDD">
        <w:rPr>
          <w:rFonts w:eastAsia="Calibri" w:cs="Times New Roman"/>
        </w:rPr>
        <w:t>výkon jiných stávajících agend; personální dopad na celní správu se předpokládá v rámci vyšších desítek systemizovaných míst.</w:t>
      </w:r>
      <w:r w:rsidR="00D17FDD">
        <w:rPr>
          <w:rFonts w:eastAsia="Calibri" w:cs="Times New Roman"/>
        </w:rPr>
        <w:t xml:space="preserve"> </w:t>
      </w:r>
      <w:r w:rsidR="00C41EFA" w:rsidRPr="00C64F52">
        <w:rPr>
          <w:rFonts w:eastAsia="Calibri" w:cs="Times New Roman"/>
        </w:rPr>
        <w:t>Dílčí n</w:t>
      </w:r>
      <w:r w:rsidR="00181F9E" w:rsidRPr="00C64F52">
        <w:rPr>
          <w:rFonts w:eastAsia="Calibri" w:cs="Times New Roman"/>
        </w:rPr>
        <w:t xml:space="preserve">áklady je možné předpokládat na straně některých jiných orgánů veřejné moci ve vztahu k předání výkonu současných agend </w:t>
      </w:r>
      <w:r w:rsidR="00A209D9" w:rsidRPr="00C64F52">
        <w:rPr>
          <w:rFonts w:eastAsia="Calibri" w:cs="Times New Roman"/>
        </w:rPr>
        <w:t xml:space="preserve">celní správy </w:t>
      </w:r>
      <w:r w:rsidR="003E4F33" w:rsidRPr="00C64F52">
        <w:rPr>
          <w:rFonts w:eastAsia="Calibri" w:cs="Times New Roman"/>
        </w:rPr>
        <w:t>do jejich působnosti</w:t>
      </w:r>
      <w:r w:rsidR="00AF25C2" w:rsidRPr="00C64F52">
        <w:rPr>
          <w:rFonts w:eastAsia="Calibri" w:cs="Times New Roman"/>
        </w:rPr>
        <w:t>. J</w:t>
      </w:r>
      <w:r w:rsidR="00C41EFA" w:rsidRPr="00C64F52">
        <w:rPr>
          <w:rFonts w:eastAsia="Calibri" w:cs="Times New Roman"/>
        </w:rPr>
        <w:t xml:space="preserve">de-li o sdílené kompetence, měly by být náklady na straně dotčeného orgánu veřejné moci zanedbatelné, neboť </w:t>
      </w:r>
      <w:r w:rsidR="00D43D64" w:rsidRPr="00C64F52">
        <w:rPr>
          <w:rFonts w:eastAsia="Calibri" w:cs="Times New Roman"/>
        </w:rPr>
        <w:t>danou kompetenci již nyní vykonává</w:t>
      </w:r>
      <w:r w:rsidR="003E4F33" w:rsidRPr="00C64F52">
        <w:rPr>
          <w:rFonts w:eastAsia="Calibri" w:cs="Times New Roman"/>
        </w:rPr>
        <w:t xml:space="preserve">. </w:t>
      </w:r>
    </w:p>
    <w:p w14:paraId="531A4299" w14:textId="7D8E87C6" w:rsidR="007435EB" w:rsidRDefault="00B31298" w:rsidP="00AB680C">
      <w:pPr>
        <w:spacing w:before="0"/>
        <w:rPr>
          <w:rFonts w:eastAsia="Calibri"/>
          <w:color w:val="000000" w:themeColor="text1"/>
          <w:u w:val="single"/>
        </w:rPr>
      </w:pPr>
      <w:r w:rsidRPr="00B31298">
        <w:rPr>
          <w:rFonts w:eastAsia="Calibri"/>
          <w:color w:val="000000" w:themeColor="text1"/>
          <w:u w:val="single"/>
        </w:rPr>
        <w:t>Srozumitelnost výkonu veřejné moci z pohledu veřejnosti</w:t>
      </w:r>
    </w:p>
    <w:p w14:paraId="62434761" w14:textId="12BB40C0" w:rsidR="007435EB" w:rsidRPr="00C64F52" w:rsidRDefault="00BC4EEB" w:rsidP="00AB680C">
      <w:pPr>
        <w:widowControl w:val="0"/>
        <w:spacing w:before="0"/>
        <w:rPr>
          <w:rFonts w:eastAsia="Calibri" w:cs="Times New Roman"/>
        </w:rPr>
      </w:pPr>
      <w:r w:rsidRPr="00C64F52">
        <w:rPr>
          <w:rFonts w:eastAsia="Calibri" w:cs="Times New Roman"/>
        </w:rPr>
        <w:t xml:space="preserve">Možným nákladem </w:t>
      </w:r>
      <w:r w:rsidR="00680E8B" w:rsidRPr="00C64F52">
        <w:rPr>
          <w:rFonts w:eastAsia="Calibri" w:cs="Times New Roman"/>
        </w:rPr>
        <w:t xml:space="preserve">(záporem) navržené změny je to, že by z pohledu veřejnosti došlo k „opětovné“ změně kompetencí orgánů veřejné moci, čímž by se potencionálně zvýšila nepřehlednost a nesrozumitelnost organizace systému státní správy; </w:t>
      </w:r>
      <w:r w:rsidR="006E50DE" w:rsidRPr="00C64F52">
        <w:rPr>
          <w:rFonts w:eastAsia="Calibri" w:cs="Times New Roman"/>
        </w:rPr>
        <w:t xml:space="preserve">tedy neplatilo by to, co měla veřejnost určitým způsobem zažité (např. že celník může provádět </w:t>
      </w:r>
      <w:proofErr w:type="spellStart"/>
      <w:r w:rsidR="006E50DE" w:rsidRPr="00C64F52">
        <w:rPr>
          <w:rFonts w:eastAsia="Calibri" w:cs="Times New Roman"/>
        </w:rPr>
        <w:t>nízkorychlostní</w:t>
      </w:r>
      <w:proofErr w:type="spellEnd"/>
      <w:r w:rsidR="006E50DE" w:rsidRPr="00C64F52">
        <w:rPr>
          <w:rFonts w:eastAsia="Calibri" w:cs="Times New Roman"/>
        </w:rPr>
        <w:t xml:space="preserve"> kontrolní vážení nebo </w:t>
      </w:r>
      <w:r w:rsidR="00D950DA" w:rsidRPr="00C64F52">
        <w:rPr>
          <w:rFonts w:eastAsia="Calibri" w:cs="Times New Roman"/>
        </w:rPr>
        <w:t xml:space="preserve">kontrolu zaměstnávání cizinců). </w:t>
      </w:r>
    </w:p>
    <w:p w14:paraId="00D8817C" w14:textId="77777777" w:rsidR="00421AC8" w:rsidRPr="00A2506A" w:rsidRDefault="00421AC8" w:rsidP="00AB680C">
      <w:pPr>
        <w:pStyle w:val="Nadpis3"/>
        <w:keepNext w:val="0"/>
        <w:spacing w:line="276" w:lineRule="auto"/>
      </w:pPr>
      <w:bookmarkStart w:id="54" w:name="_Toc426709189"/>
      <w:bookmarkStart w:id="55" w:name="_Toc427045898"/>
      <w:bookmarkStart w:id="56" w:name="_Toc427048596"/>
      <w:bookmarkStart w:id="57" w:name="_Toc427045899"/>
      <w:bookmarkStart w:id="58" w:name="_Toc25666049"/>
      <w:bookmarkStart w:id="59" w:name="_Toc164761261"/>
      <w:bookmarkEnd w:id="54"/>
      <w:bookmarkEnd w:id="55"/>
      <w:bookmarkEnd w:id="56"/>
      <w:r w:rsidRPr="00A2506A">
        <w:t>Přínosy</w:t>
      </w:r>
      <w:bookmarkEnd w:id="57"/>
      <w:bookmarkEnd w:id="58"/>
      <w:bookmarkEnd w:id="59"/>
      <w:r w:rsidRPr="00A2506A">
        <w:t xml:space="preserve"> </w:t>
      </w:r>
    </w:p>
    <w:p w14:paraId="4BD52AC9" w14:textId="5E8C5084" w:rsidR="00DD2F4A" w:rsidRPr="00DD2F4A" w:rsidRDefault="008B6F12" w:rsidP="00AB680C">
      <w:pPr>
        <w:pStyle w:val="Odrky"/>
        <w:numPr>
          <w:ilvl w:val="0"/>
          <w:numId w:val="0"/>
        </w:numPr>
        <w:spacing w:after="120"/>
        <w:rPr>
          <w:rFonts w:eastAsia="Calibri"/>
          <w:color w:val="000000" w:themeColor="text1"/>
          <w:u w:val="single"/>
        </w:rPr>
      </w:pPr>
      <w:r w:rsidRPr="00DD2F4A">
        <w:rPr>
          <w:color w:val="000000" w:themeColor="text1"/>
          <w:u w:val="single"/>
        </w:rPr>
        <w:t xml:space="preserve">Efektivita a </w:t>
      </w:r>
      <w:r w:rsidRPr="00DD2F4A">
        <w:rPr>
          <w:rFonts w:eastAsia="Calibri"/>
          <w:color w:val="000000" w:themeColor="text1"/>
          <w:u w:val="single"/>
        </w:rPr>
        <w:t xml:space="preserve">výkonnost zákonných </w:t>
      </w:r>
      <w:r w:rsidRPr="00A209D9">
        <w:rPr>
          <w:rFonts w:eastAsia="Calibri"/>
          <w:color w:val="000000" w:themeColor="text1"/>
          <w:u w:val="single"/>
        </w:rPr>
        <w:t xml:space="preserve">kompetencí </w:t>
      </w:r>
      <w:r w:rsidR="00A209D9" w:rsidRPr="00A209D9">
        <w:rPr>
          <w:rFonts w:eastAsia="Calibri"/>
          <w:color w:val="000000" w:themeColor="text1"/>
          <w:u w:val="single"/>
        </w:rPr>
        <w:t>celní správy</w:t>
      </w:r>
      <w:r w:rsidR="00A209D9" w:rsidRPr="00A209D9">
        <w:rPr>
          <w:rFonts w:cs="Times New Roman"/>
          <w:szCs w:val="24"/>
          <w:u w:val="single"/>
        </w:rPr>
        <w:t xml:space="preserve"> </w:t>
      </w:r>
      <w:r w:rsidR="00DD2F4A" w:rsidRPr="00A209D9">
        <w:rPr>
          <w:rFonts w:eastAsia="Calibri"/>
          <w:color w:val="000000" w:themeColor="text1"/>
          <w:u w:val="single"/>
        </w:rPr>
        <w:t>a</w:t>
      </w:r>
      <w:r w:rsidR="00DD2F4A" w:rsidRPr="00DD2F4A">
        <w:rPr>
          <w:rFonts w:eastAsia="Calibri"/>
          <w:color w:val="000000" w:themeColor="text1"/>
          <w:u w:val="single"/>
        </w:rPr>
        <w:t xml:space="preserve"> jiných orgánů veřejné moci</w:t>
      </w:r>
    </w:p>
    <w:p w14:paraId="69B4AA48" w14:textId="324A80FE" w:rsidR="00866240" w:rsidRPr="00C64F52" w:rsidRDefault="00CA6479" w:rsidP="00AB680C">
      <w:pPr>
        <w:widowControl w:val="0"/>
        <w:spacing w:before="0"/>
        <w:rPr>
          <w:rFonts w:eastAsia="Calibri" w:cs="Times New Roman"/>
        </w:rPr>
      </w:pPr>
      <w:r w:rsidRPr="00C64F52">
        <w:rPr>
          <w:rFonts w:eastAsia="Calibri" w:cs="Times New Roman"/>
        </w:rPr>
        <w:t>Ministerstvo financí a c</w:t>
      </w:r>
      <w:r w:rsidR="00675BF5" w:rsidRPr="00C64F52">
        <w:rPr>
          <w:rFonts w:eastAsia="Calibri" w:cs="Times New Roman"/>
        </w:rPr>
        <w:t>elní správa vním</w:t>
      </w:r>
      <w:r w:rsidRPr="00C64F52">
        <w:rPr>
          <w:rFonts w:eastAsia="Calibri" w:cs="Times New Roman"/>
        </w:rPr>
        <w:t>ají</w:t>
      </w:r>
      <w:r w:rsidR="00675BF5" w:rsidRPr="00C64F52">
        <w:rPr>
          <w:rFonts w:eastAsia="Calibri" w:cs="Times New Roman"/>
        </w:rPr>
        <w:t xml:space="preserve"> aktuální situaci v České republice, zejména stav veřejných rozpočtů, relativně vysokou míru inflace a rovněž mezinárodně-politickou situaci, což mimo jiné vede k poptávce po ještě vyšší efektivitě a hospodárnosti státní správy.</w:t>
      </w:r>
      <w:r w:rsidR="008E5626" w:rsidRPr="00C64F52">
        <w:rPr>
          <w:rFonts w:eastAsia="Calibri" w:cs="Times New Roman"/>
        </w:rPr>
        <w:t xml:space="preserve"> </w:t>
      </w:r>
      <w:r w:rsidR="00675BF5" w:rsidRPr="00C64F52">
        <w:rPr>
          <w:rFonts w:eastAsia="Calibri" w:cs="Times New Roman"/>
        </w:rPr>
        <w:t xml:space="preserve">Podstatou předložené změny zákona by měla být možná optimalizace zákonných kompetencí celní správy. </w:t>
      </w:r>
      <w:r w:rsidR="00866240" w:rsidRPr="00C64F52">
        <w:rPr>
          <w:rFonts w:eastAsia="Calibri" w:cs="Times New Roman"/>
        </w:rPr>
        <w:t>Celní správa chce nadále vykonávat tradiční i některé další kompetence, s ohledem na</w:t>
      </w:r>
      <w:r w:rsidR="00576B66">
        <w:rPr>
          <w:rFonts w:eastAsia="Calibri" w:cs="Times New Roman"/>
        </w:rPr>
        <w:t> </w:t>
      </w:r>
      <w:r w:rsidR="00866240" w:rsidRPr="00C64F52">
        <w:rPr>
          <w:rFonts w:eastAsia="Calibri" w:cs="Times New Roman"/>
        </w:rPr>
        <w:t>své znalosti, zkušenosti a</w:t>
      </w:r>
      <w:r w:rsidR="008E5626" w:rsidRPr="00C64F52">
        <w:rPr>
          <w:rFonts w:eastAsia="Calibri" w:cs="Times New Roman"/>
        </w:rPr>
        <w:t> </w:t>
      </w:r>
      <w:r w:rsidR="00866240" w:rsidRPr="00C64F52">
        <w:rPr>
          <w:rFonts w:eastAsia="Calibri" w:cs="Times New Roman"/>
        </w:rPr>
        <w:t xml:space="preserve">zdroje. </w:t>
      </w:r>
    </w:p>
    <w:p w14:paraId="36868F60" w14:textId="77777777" w:rsidR="00B31298" w:rsidRDefault="00B31298" w:rsidP="00AB680C">
      <w:pPr>
        <w:spacing w:before="0"/>
      </w:pPr>
      <w:r w:rsidRPr="00B31298">
        <w:rPr>
          <w:rFonts w:eastAsia="Calibri"/>
          <w:color w:val="000000" w:themeColor="text1"/>
          <w:u w:val="single"/>
        </w:rPr>
        <w:t>Srozumitelnost výkonu veřejné moci z pohledu veřejnosti</w:t>
      </w:r>
    </w:p>
    <w:p w14:paraId="685D81E6" w14:textId="244F6339" w:rsidR="00DB502D" w:rsidRPr="00C64F52" w:rsidRDefault="004B0A50" w:rsidP="00AB680C">
      <w:pPr>
        <w:widowControl w:val="0"/>
        <w:spacing w:before="0"/>
        <w:rPr>
          <w:rFonts w:eastAsia="Calibri" w:cs="Times New Roman"/>
        </w:rPr>
      </w:pPr>
      <w:r w:rsidRPr="00C64F52">
        <w:rPr>
          <w:rFonts w:eastAsia="Calibri" w:cs="Times New Roman"/>
        </w:rPr>
        <w:t>Možným přínosem (kladem)</w:t>
      </w:r>
      <w:r w:rsidR="00621FB3" w:rsidRPr="00C64F52">
        <w:rPr>
          <w:rFonts w:eastAsia="Calibri" w:cs="Times New Roman"/>
        </w:rPr>
        <w:t xml:space="preserve"> navrhované změny</w:t>
      </w:r>
      <w:r w:rsidR="000343F6" w:rsidRPr="00C64F52">
        <w:rPr>
          <w:rFonts w:eastAsia="Calibri" w:cs="Times New Roman"/>
        </w:rPr>
        <w:t xml:space="preserve"> je</w:t>
      </w:r>
      <w:r w:rsidR="00CC6196" w:rsidRPr="00C64F52">
        <w:rPr>
          <w:rFonts w:eastAsia="Calibri" w:cs="Times New Roman"/>
        </w:rPr>
        <w:t xml:space="preserve"> dosažení</w:t>
      </w:r>
      <w:r w:rsidR="00062667" w:rsidRPr="00C64F52">
        <w:rPr>
          <w:rFonts w:eastAsia="Calibri" w:cs="Times New Roman"/>
        </w:rPr>
        <w:t xml:space="preserve"> ústředního (původního) účelu, pro</w:t>
      </w:r>
      <w:r w:rsidR="00E03A77">
        <w:rPr>
          <w:rFonts w:eastAsia="Calibri" w:cs="Times New Roman"/>
        </w:rPr>
        <w:t> </w:t>
      </w:r>
      <w:r w:rsidR="00062667" w:rsidRPr="00C64F52">
        <w:rPr>
          <w:rFonts w:eastAsia="Calibri" w:cs="Times New Roman"/>
        </w:rPr>
        <w:t>který j</w:t>
      </w:r>
      <w:r w:rsidR="007506B0" w:rsidRPr="00C64F52">
        <w:rPr>
          <w:rFonts w:eastAsia="Calibri" w:cs="Times New Roman"/>
        </w:rPr>
        <w:t>e celní správa zřízena</w:t>
      </w:r>
      <w:r w:rsidR="002A404E" w:rsidRPr="00C64F52">
        <w:rPr>
          <w:rFonts w:eastAsia="Calibri" w:cs="Times New Roman"/>
        </w:rPr>
        <w:t xml:space="preserve">, což z pohledu veřejnosti může být vnímáno </w:t>
      </w:r>
      <w:r w:rsidR="00CA6479" w:rsidRPr="00C64F52">
        <w:rPr>
          <w:rFonts w:eastAsia="Calibri" w:cs="Times New Roman"/>
        </w:rPr>
        <w:t xml:space="preserve">velice </w:t>
      </w:r>
      <w:r w:rsidR="002A404E" w:rsidRPr="00C64F52">
        <w:rPr>
          <w:rFonts w:eastAsia="Calibri" w:cs="Times New Roman"/>
        </w:rPr>
        <w:t>pozitivně</w:t>
      </w:r>
      <w:r w:rsidR="007506B0" w:rsidRPr="00C64F52">
        <w:rPr>
          <w:rFonts w:eastAsia="Calibri" w:cs="Times New Roman"/>
        </w:rPr>
        <w:t xml:space="preserve">. </w:t>
      </w:r>
      <w:r w:rsidR="008F7E42" w:rsidRPr="00C64F52">
        <w:rPr>
          <w:rFonts w:eastAsia="Calibri" w:cs="Times New Roman"/>
        </w:rPr>
        <w:t>Tedy</w:t>
      </w:r>
      <w:r w:rsidR="002A404E" w:rsidRPr="00C64F52">
        <w:rPr>
          <w:rFonts w:eastAsia="Calibri" w:cs="Times New Roman"/>
        </w:rPr>
        <w:t xml:space="preserve"> veřejnost může kvitovat,</w:t>
      </w:r>
      <w:r w:rsidR="008F7E42" w:rsidRPr="00C64F52">
        <w:rPr>
          <w:rFonts w:eastAsia="Calibri" w:cs="Times New Roman"/>
        </w:rPr>
        <w:t xml:space="preserve"> že celní správa nemá </w:t>
      </w:r>
      <w:r w:rsidR="00CA6479" w:rsidRPr="00C64F52">
        <w:rPr>
          <w:rFonts w:eastAsia="Calibri" w:cs="Times New Roman"/>
        </w:rPr>
        <w:t xml:space="preserve">nově </w:t>
      </w:r>
      <w:r w:rsidR="008F7E42" w:rsidRPr="00C64F52">
        <w:rPr>
          <w:rFonts w:eastAsia="Calibri" w:cs="Times New Roman"/>
        </w:rPr>
        <w:t xml:space="preserve">vykonávat </w:t>
      </w:r>
      <w:r w:rsidR="00CA6479" w:rsidRPr="00C64F52">
        <w:rPr>
          <w:rFonts w:eastAsia="Calibri" w:cs="Times New Roman"/>
        </w:rPr>
        <w:t>„</w:t>
      </w:r>
      <w:r w:rsidR="00B53FC4" w:rsidRPr="00C64F52">
        <w:rPr>
          <w:rFonts w:eastAsia="Calibri" w:cs="Times New Roman"/>
        </w:rPr>
        <w:t xml:space="preserve">širokou </w:t>
      </w:r>
      <w:r w:rsidR="00CF3F77" w:rsidRPr="00C64F52">
        <w:rPr>
          <w:rFonts w:eastAsia="Calibri" w:cs="Times New Roman"/>
        </w:rPr>
        <w:t>paletu</w:t>
      </w:r>
      <w:r w:rsidR="00CA6479" w:rsidRPr="00C64F52">
        <w:rPr>
          <w:rFonts w:eastAsia="Calibri" w:cs="Times New Roman"/>
        </w:rPr>
        <w:t>“</w:t>
      </w:r>
      <w:r w:rsidR="00CF3F77" w:rsidRPr="00C64F52">
        <w:rPr>
          <w:rFonts w:eastAsia="Calibri" w:cs="Times New Roman"/>
        </w:rPr>
        <w:t xml:space="preserve"> kompetencí, </w:t>
      </w:r>
      <w:r w:rsidR="002A404E" w:rsidRPr="00C64F52">
        <w:rPr>
          <w:rFonts w:eastAsia="Calibri" w:cs="Times New Roman"/>
        </w:rPr>
        <w:t>ale má být zaměřena</w:t>
      </w:r>
      <w:r w:rsidR="00F153B3" w:rsidRPr="00C64F52">
        <w:rPr>
          <w:rFonts w:eastAsia="Calibri" w:cs="Times New Roman"/>
        </w:rPr>
        <w:t xml:space="preserve"> (specializována)</w:t>
      </w:r>
      <w:r w:rsidR="002A404E" w:rsidRPr="00C64F52">
        <w:rPr>
          <w:rFonts w:eastAsia="Calibri" w:cs="Times New Roman"/>
        </w:rPr>
        <w:t xml:space="preserve"> na oblasti, ve kterých má</w:t>
      </w:r>
      <w:r w:rsidR="00F153B3" w:rsidRPr="00C64F52">
        <w:rPr>
          <w:rFonts w:eastAsia="Calibri" w:cs="Times New Roman"/>
        </w:rPr>
        <w:t xml:space="preserve"> mít</w:t>
      </w:r>
      <w:r w:rsidR="002A404E" w:rsidRPr="00C64F52">
        <w:rPr>
          <w:rFonts w:eastAsia="Calibri" w:cs="Times New Roman"/>
        </w:rPr>
        <w:t xml:space="preserve"> </w:t>
      </w:r>
      <w:r w:rsidR="008A7962" w:rsidRPr="00C64F52">
        <w:rPr>
          <w:rFonts w:eastAsia="Calibri" w:cs="Times New Roman"/>
        </w:rPr>
        <w:t xml:space="preserve">v systému státní správy svou nezastupitelnou roli. Uvedené lze demonstrovat na příkladech. </w:t>
      </w:r>
      <w:proofErr w:type="spellStart"/>
      <w:r w:rsidR="003714FC" w:rsidRPr="00C64F52">
        <w:rPr>
          <w:rFonts w:eastAsia="Calibri" w:cs="Times New Roman"/>
        </w:rPr>
        <w:t>Nízkorychlostní</w:t>
      </w:r>
      <w:proofErr w:type="spellEnd"/>
      <w:r w:rsidR="003714FC" w:rsidRPr="00C64F52">
        <w:rPr>
          <w:rFonts w:eastAsia="Calibri" w:cs="Times New Roman"/>
        </w:rPr>
        <w:t xml:space="preserve"> vážení vykonává </w:t>
      </w:r>
      <w:r w:rsidR="005C17B3" w:rsidRPr="00C64F52">
        <w:rPr>
          <w:rFonts w:eastAsia="Calibri" w:cs="Times New Roman"/>
        </w:rPr>
        <w:t xml:space="preserve">jako sdílenou kompetenci Policie ČR a celní správa, kdy celní </w:t>
      </w:r>
      <w:r w:rsidR="005C17B3" w:rsidRPr="00C64F52">
        <w:rPr>
          <w:rFonts w:eastAsia="Calibri" w:cs="Times New Roman"/>
        </w:rPr>
        <w:lastRenderedPageBreak/>
        <w:t xml:space="preserve">správa provedla </w:t>
      </w:r>
      <w:r w:rsidR="008D5F56" w:rsidRPr="00C64F52">
        <w:rPr>
          <w:rFonts w:eastAsia="Calibri" w:cs="Times New Roman"/>
        </w:rPr>
        <w:t>v roce 2022 1</w:t>
      </w:r>
      <w:r w:rsidR="00F153B3" w:rsidRPr="00C64F52">
        <w:rPr>
          <w:rFonts w:eastAsia="Calibri" w:cs="Times New Roman"/>
        </w:rPr>
        <w:t xml:space="preserve"> </w:t>
      </w:r>
      <w:r w:rsidR="008D5F56" w:rsidRPr="00C64F52">
        <w:rPr>
          <w:rFonts w:eastAsia="Calibri" w:cs="Times New Roman"/>
        </w:rPr>
        <w:t xml:space="preserve">258 kontrol, což představuje cca 6 % všech provedených kontrol (Policie </w:t>
      </w:r>
      <w:r w:rsidR="00FA6CA0">
        <w:rPr>
          <w:rFonts w:eastAsia="Calibri" w:cs="Times New Roman"/>
        </w:rPr>
        <w:t xml:space="preserve">ČR </w:t>
      </w:r>
      <w:r w:rsidR="008D5F56" w:rsidRPr="00C64F52">
        <w:rPr>
          <w:rFonts w:eastAsia="Calibri" w:cs="Times New Roman"/>
        </w:rPr>
        <w:t>provedla v daném roce přes 20 tisíc kontrol). Pohledem veřejnosti</w:t>
      </w:r>
      <w:r w:rsidR="00F153B3" w:rsidRPr="00C64F52">
        <w:rPr>
          <w:rFonts w:eastAsia="Calibri" w:cs="Times New Roman"/>
        </w:rPr>
        <w:t xml:space="preserve"> se</w:t>
      </w:r>
      <w:r w:rsidR="008D5F56" w:rsidRPr="00C64F52">
        <w:rPr>
          <w:rFonts w:eastAsia="Calibri" w:cs="Times New Roman"/>
        </w:rPr>
        <w:t xml:space="preserve"> </w:t>
      </w:r>
      <w:r w:rsidR="006961E9" w:rsidRPr="00C64F52">
        <w:rPr>
          <w:rFonts w:eastAsia="Calibri" w:cs="Times New Roman"/>
        </w:rPr>
        <w:t xml:space="preserve">může </w:t>
      </w:r>
      <w:r w:rsidR="00F153B3" w:rsidRPr="00C64F52">
        <w:rPr>
          <w:rFonts w:eastAsia="Calibri" w:cs="Times New Roman"/>
        </w:rPr>
        <w:t>jevit</w:t>
      </w:r>
      <w:r w:rsidR="006961E9" w:rsidRPr="00C64F52">
        <w:rPr>
          <w:rFonts w:eastAsia="Calibri" w:cs="Times New Roman"/>
        </w:rPr>
        <w:t xml:space="preserve"> nelogické</w:t>
      </w:r>
      <w:r w:rsidR="00F153B3" w:rsidRPr="00C64F52">
        <w:rPr>
          <w:rFonts w:eastAsia="Calibri" w:cs="Times New Roman"/>
        </w:rPr>
        <w:t xml:space="preserve"> to</w:t>
      </w:r>
      <w:r w:rsidR="006961E9" w:rsidRPr="00C64F52">
        <w:rPr>
          <w:rFonts w:eastAsia="Calibri" w:cs="Times New Roman"/>
        </w:rPr>
        <w:t xml:space="preserve">, </w:t>
      </w:r>
      <w:r w:rsidR="00F153B3" w:rsidRPr="00C64F52">
        <w:rPr>
          <w:rFonts w:eastAsia="Calibri" w:cs="Times New Roman"/>
        </w:rPr>
        <w:t>že</w:t>
      </w:r>
      <w:r w:rsidR="006961E9" w:rsidRPr="00C64F52">
        <w:rPr>
          <w:rFonts w:eastAsia="Calibri" w:cs="Times New Roman"/>
        </w:rPr>
        <w:t xml:space="preserve"> dva bezpečnostní sbory dublují svou činnosti, resp. </w:t>
      </w:r>
      <w:r w:rsidR="007804AE">
        <w:rPr>
          <w:rFonts w:eastAsia="Calibri" w:cs="Times New Roman"/>
        </w:rPr>
        <w:t xml:space="preserve">lze si </w:t>
      </w:r>
      <w:r w:rsidR="006961E9" w:rsidRPr="00C64F52">
        <w:rPr>
          <w:rFonts w:eastAsia="Calibri" w:cs="Times New Roman"/>
        </w:rPr>
        <w:t>klást otázku, v čem je přidaná hodnota</w:t>
      </w:r>
      <w:r w:rsidR="00F153B3" w:rsidRPr="00C64F52">
        <w:rPr>
          <w:rFonts w:eastAsia="Calibri" w:cs="Times New Roman"/>
        </w:rPr>
        <w:t xml:space="preserve"> zdvojení dané činnosti</w:t>
      </w:r>
      <w:r w:rsidR="006961E9" w:rsidRPr="00C64F52">
        <w:rPr>
          <w:rFonts w:eastAsia="Calibri" w:cs="Times New Roman"/>
        </w:rPr>
        <w:t>. Obdobn</w:t>
      </w:r>
      <w:r w:rsidR="00146EB6" w:rsidRPr="00C64F52">
        <w:rPr>
          <w:rFonts w:eastAsia="Calibri" w:cs="Times New Roman"/>
        </w:rPr>
        <w:t xml:space="preserve">ý jev nastává v případě </w:t>
      </w:r>
      <w:r w:rsidR="00F153B3" w:rsidRPr="00C64F52">
        <w:rPr>
          <w:rFonts w:eastAsia="Calibri" w:cs="Times New Roman"/>
        </w:rPr>
        <w:t xml:space="preserve">kontroly </w:t>
      </w:r>
      <w:r w:rsidR="00747378" w:rsidRPr="00C64F52">
        <w:rPr>
          <w:rFonts w:eastAsia="Calibri" w:cs="Times New Roman"/>
        </w:rPr>
        <w:t xml:space="preserve">zaměstnávání cizinců, kdy </w:t>
      </w:r>
      <w:r w:rsidR="00F84DF3" w:rsidRPr="00C64F52">
        <w:rPr>
          <w:rFonts w:eastAsia="Calibri" w:cs="Times New Roman"/>
        </w:rPr>
        <w:t>v roce 2022 provedla</w:t>
      </w:r>
      <w:r w:rsidR="00EC3815" w:rsidRPr="00C64F52">
        <w:rPr>
          <w:rFonts w:eastAsia="Calibri" w:cs="Times New Roman"/>
        </w:rPr>
        <w:t xml:space="preserve"> celní správa</w:t>
      </w:r>
      <w:r w:rsidR="00F84DF3" w:rsidRPr="00C64F52">
        <w:rPr>
          <w:rFonts w:eastAsia="Calibri" w:cs="Times New Roman"/>
        </w:rPr>
        <w:t xml:space="preserve"> 624 kontrol</w:t>
      </w:r>
      <w:r w:rsidR="00EC3815" w:rsidRPr="00C64F52">
        <w:rPr>
          <w:rFonts w:eastAsia="Calibri" w:cs="Times New Roman"/>
        </w:rPr>
        <w:t xml:space="preserve"> a </w:t>
      </w:r>
      <w:r w:rsidR="001960C8" w:rsidRPr="00C64F52">
        <w:rPr>
          <w:rFonts w:eastAsia="Calibri" w:cs="Times New Roman"/>
        </w:rPr>
        <w:t>Státní úřad inspekce práce (včetně oblastních inspektorátů) provedl</w:t>
      </w:r>
      <w:r w:rsidR="006B6875" w:rsidRPr="00C64F52">
        <w:rPr>
          <w:rFonts w:eastAsia="Calibri" w:cs="Times New Roman"/>
        </w:rPr>
        <w:t xml:space="preserve"> přes</w:t>
      </w:r>
      <w:r w:rsidR="001960C8" w:rsidRPr="00C64F52">
        <w:rPr>
          <w:rFonts w:eastAsia="Calibri" w:cs="Times New Roman"/>
        </w:rPr>
        <w:t xml:space="preserve"> 18</w:t>
      </w:r>
      <w:r w:rsidR="006B6875" w:rsidRPr="00C64F52">
        <w:rPr>
          <w:rFonts w:eastAsia="Calibri" w:cs="Times New Roman"/>
        </w:rPr>
        <w:t xml:space="preserve"> tisíc </w:t>
      </w:r>
      <w:r w:rsidR="001960C8" w:rsidRPr="00C64F52">
        <w:rPr>
          <w:rFonts w:eastAsia="Calibri" w:cs="Times New Roman"/>
        </w:rPr>
        <w:t>kontrol</w:t>
      </w:r>
      <w:r w:rsidR="006B6875" w:rsidRPr="00C64F52">
        <w:rPr>
          <w:rFonts w:eastAsia="Calibri" w:cs="Times New Roman"/>
        </w:rPr>
        <w:t xml:space="preserve"> na daném úseku.</w:t>
      </w:r>
      <w:r w:rsidR="000833E3" w:rsidRPr="00C64F52">
        <w:rPr>
          <w:rFonts w:eastAsia="Calibri" w:cs="Times New Roman"/>
        </w:rPr>
        <w:t xml:space="preserve"> </w:t>
      </w:r>
      <w:r w:rsidR="00477FC1" w:rsidRPr="00C64F52">
        <w:rPr>
          <w:rFonts w:eastAsia="Calibri" w:cs="Times New Roman"/>
        </w:rPr>
        <w:t>Dále například ohledně vybírání a</w:t>
      </w:r>
      <w:r w:rsidR="007804AE">
        <w:rPr>
          <w:rFonts w:eastAsia="Calibri" w:cs="Times New Roman"/>
        </w:rPr>
        <w:t> </w:t>
      </w:r>
      <w:r w:rsidR="00477FC1" w:rsidRPr="00C64F52">
        <w:rPr>
          <w:rFonts w:eastAsia="Calibri" w:cs="Times New Roman"/>
        </w:rPr>
        <w:t>vymáhání pokut za přestupky lze z pohledu veřejnosti vnímat jako přínos</w:t>
      </w:r>
      <w:r w:rsidR="00F153B3" w:rsidRPr="00C64F52">
        <w:rPr>
          <w:rFonts w:eastAsia="Calibri" w:cs="Times New Roman"/>
        </w:rPr>
        <w:t>né</w:t>
      </w:r>
      <w:r w:rsidR="00477FC1" w:rsidRPr="00C64F52">
        <w:rPr>
          <w:rFonts w:eastAsia="Calibri" w:cs="Times New Roman"/>
        </w:rPr>
        <w:t xml:space="preserve"> sjednocení</w:t>
      </w:r>
      <w:r w:rsidR="00F153B3" w:rsidRPr="00C64F52">
        <w:rPr>
          <w:rFonts w:eastAsia="Calibri" w:cs="Times New Roman"/>
        </w:rPr>
        <w:t xml:space="preserve"> kompetence</w:t>
      </w:r>
      <w:r w:rsidR="00477FC1" w:rsidRPr="00C64F52">
        <w:rPr>
          <w:rFonts w:eastAsia="Calibri" w:cs="Times New Roman"/>
        </w:rPr>
        <w:t xml:space="preserve"> k jednomu orgánu, </w:t>
      </w:r>
      <w:r w:rsidR="00F153B3" w:rsidRPr="00C64F52">
        <w:rPr>
          <w:rFonts w:eastAsia="Calibri" w:cs="Times New Roman"/>
        </w:rPr>
        <w:t>kdy</w:t>
      </w:r>
      <w:r w:rsidR="00477FC1" w:rsidRPr="00C64F52">
        <w:rPr>
          <w:rFonts w:eastAsia="Calibri" w:cs="Times New Roman"/>
        </w:rPr>
        <w:t xml:space="preserve"> veřejnost bude vědět, že výběr </w:t>
      </w:r>
      <w:r w:rsidR="0098731A" w:rsidRPr="00C64F52">
        <w:rPr>
          <w:rFonts w:eastAsia="Calibri" w:cs="Times New Roman"/>
        </w:rPr>
        <w:t>a</w:t>
      </w:r>
      <w:r w:rsidR="00E03A77">
        <w:rPr>
          <w:rFonts w:eastAsia="Calibri" w:cs="Times New Roman"/>
        </w:rPr>
        <w:t> </w:t>
      </w:r>
      <w:r w:rsidR="0098731A" w:rsidRPr="00C64F52">
        <w:rPr>
          <w:rFonts w:eastAsia="Calibri" w:cs="Times New Roman"/>
        </w:rPr>
        <w:t xml:space="preserve">vymáhání pokut uložených </w:t>
      </w:r>
      <w:r w:rsidR="007C0A2F" w:rsidRPr="00C64F52">
        <w:rPr>
          <w:rFonts w:eastAsia="Calibri" w:cs="Times New Roman"/>
        </w:rPr>
        <w:t>státními správními orgány (nikoli územními samosprávnými celky)</w:t>
      </w:r>
      <w:r w:rsidR="0098731A" w:rsidRPr="00C64F52">
        <w:rPr>
          <w:rFonts w:eastAsia="Calibri" w:cs="Times New Roman"/>
        </w:rPr>
        <w:t xml:space="preserve"> zajišťují orgány celní správy, nikoli nejrůznější ukladatelé</w:t>
      </w:r>
      <w:r w:rsidR="00F153B3" w:rsidRPr="00C64F52">
        <w:rPr>
          <w:rFonts w:eastAsia="Calibri" w:cs="Times New Roman"/>
        </w:rPr>
        <w:t xml:space="preserve"> (</w:t>
      </w:r>
      <w:r w:rsidR="0098731A" w:rsidRPr="00C64F52">
        <w:rPr>
          <w:rFonts w:eastAsia="Calibri" w:cs="Times New Roman"/>
        </w:rPr>
        <w:t xml:space="preserve">dosavadní stav je </w:t>
      </w:r>
      <w:r w:rsidR="007804AE">
        <w:rPr>
          <w:rFonts w:eastAsia="Calibri" w:cs="Times New Roman"/>
        </w:rPr>
        <w:t>přes předchozí koncentraci části agendy nadále částečně</w:t>
      </w:r>
      <w:r w:rsidR="0098731A" w:rsidRPr="00C64F52">
        <w:rPr>
          <w:rFonts w:eastAsia="Calibri" w:cs="Times New Roman"/>
        </w:rPr>
        <w:t xml:space="preserve"> roztříštěný</w:t>
      </w:r>
      <w:r w:rsidR="00F153B3" w:rsidRPr="00C64F52">
        <w:rPr>
          <w:rFonts w:eastAsia="Calibri" w:cs="Times New Roman"/>
        </w:rPr>
        <w:t>)</w:t>
      </w:r>
      <w:r w:rsidR="0098731A" w:rsidRPr="00C64F52">
        <w:rPr>
          <w:rFonts w:eastAsia="Calibri" w:cs="Times New Roman"/>
        </w:rPr>
        <w:t>.</w:t>
      </w:r>
      <w:r w:rsidR="00F153B3" w:rsidRPr="00C64F52">
        <w:rPr>
          <w:rFonts w:eastAsia="Calibri" w:cs="Times New Roman"/>
        </w:rPr>
        <w:t xml:space="preserve"> Pro ilustraci lze také uvést, že p</w:t>
      </w:r>
      <w:r w:rsidR="002217F9" w:rsidRPr="00C64F52">
        <w:rPr>
          <w:rFonts w:eastAsia="Calibri" w:cs="Times New Roman"/>
        </w:rPr>
        <w:t xml:space="preserve">ři výkonu působnosti </w:t>
      </w:r>
      <w:r w:rsidR="007804AE">
        <w:rPr>
          <w:rFonts w:eastAsia="Calibri" w:cs="Times New Roman"/>
        </w:rPr>
        <w:t>po</w:t>
      </w:r>
      <w:r w:rsidR="002217F9" w:rsidRPr="00C64F52">
        <w:rPr>
          <w:rFonts w:eastAsia="Calibri" w:cs="Times New Roman"/>
        </w:rPr>
        <w:t xml:space="preserve">dle zákona o lihu dochází k duplicitním činnostem </w:t>
      </w:r>
      <w:r w:rsidR="009932A6" w:rsidRPr="00C64F52">
        <w:rPr>
          <w:rFonts w:eastAsia="Calibri" w:cs="Times New Roman"/>
        </w:rPr>
        <w:t>(</w:t>
      </w:r>
      <w:r w:rsidR="00CB5A5A" w:rsidRPr="00C64F52">
        <w:rPr>
          <w:rFonts w:eastAsia="Calibri" w:cs="Times New Roman"/>
        </w:rPr>
        <w:t>resp. nadbytečné komunikac</w:t>
      </w:r>
      <w:r w:rsidR="00791848" w:rsidRPr="00C64F52">
        <w:rPr>
          <w:rFonts w:eastAsia="Calibri" w:cs="Times New Roman"/>
        </w:rPr>
        <w:t>i</w:t>
      </w:r>
      <w:r w:rsidR="00B03F03" w:rsidRPr="00C64F52">
        <w:rPr>
          <w:rFonts w:eastAsia="Calibri" w:cs="Times New Roman"/>
        </w:rPr>
        <w:t xml:space="preserve"> veřejnosti se</w:t>
      </w:r>
      <w:r w:rsidR="007804AE">
        <w:rPr>
          <w:rFonts w:eastAsia="Calibri" w:cs="Times New Roman"/>
        </w:rPr>
        <w:t> </w:t>
      </w:r>
      <w:r w:rsidR="00B03F03" w:rsidRPr="00C64F52">
        <w:rPr>
          <w:rFonts w:eastAsia="Calibri" w:cs="Times New Roman"/>
        </w:rPr>
        <w:t>dvěma orgány</w:t>
      </w:r>
      <w:r w:rsidR="00CB5A5A" w:rsidRPr="00C64F52">
        <w:rPr>
          <w:rFonts w:eastAsia="Calibri" w:cs="Times New Roman"/>
        </w:rPr>
        <w:t>, a to Ministerstvem zemědělství a</w:t>
      </w:r>
      <w:r w:rsidR="007804AE">
        <w:rPr>
          <w:rFonts w:eastAsia="Calibri" w:cs="Times New Roman"/>
        </w:rPr>
        <w:t> </w:t>
      </w:r>
      <w:r w:rsidR="00CB5A5A" w:rsidRPr="00C64F52">
        <w:rPr>
          <w:rFonts w:eastAsia="Calibri" w:cs="Times New Roman"/>
        </w:rPr>
        <w:t>orgány celní správy</w:t>
      </w:r>
      <w:r w:rsidR="00B03F03" w:rsidRPr="00C64F52">
        <w:rPr>
          <w:rFonts w:eastAsia="Calibri" w:cs="Times New Roman"/>
        </w:rPr>
        <w:t xml:space="preserve"> jakožto správc</w:t>
      </w:r>
      <w:r w:rsidR="00791848" w:rsidRPr="00C64F52">
        <w:rPr>
          <w:rFonts w:eastAsia="Calibri" w:cs="Times New Roman"/>
        </w:rPr>
        <w:t>i</w:t>
      </w:r>
      <w:r w:rsidR="00B03F03" w:rsidRPr="00C64F52">
        <w:rPr>
          <w:rFonts w:eastAsia="Calibri" w:cs="Times New Roman"/>
        </w:rPr>
        <w:t xml:space="preserve"> daně z</w:t>
      </w:r>
      <w:r w:rsidR="007804AE">
        <w:rPr>
          <w:rFonts w:eastAsia="Calibri" w:cs="Times New Roman"/>
        </w:rPr>
        <w:t> </w:t>
      </w:r>
      <w:r w:rsidR="00B03F03" w:rsidRPr="00C64F52">
        <w:rPr>
          <w:rFonts w:eastAsia="Calibri" w:cs="Times New Roman"/>
        </w:rPr>
        <w:t>lihu</w:t>
      </w:r>
      <w:r w:rsidR="009932A6" w:rsidRPr="00C64F52">
        <w:rPr>
          <w:rFonts w:eastAsia="Calibri" w:cs="Times New Roman"/>
        </w:rPr>
        <w:t>), kdy</w:t>
      </w:r>
      <w:r w:rsidR="00B03F03" w:rsidRPr="00C64F52">
        <w:rPr>
          <w:rFonts w:eastAsia="Calibri" w:cs="Times New Roman"/>
        </w:rPr>
        <w:t xml:space="preserve"> správně-právní</w:t>
      </w:r>
      <w:r w:rsidR="009932A6" w:rsidRPr="00C64F52">
        <w:rPr>
          <w:rFonts w:eastAsia="Calibri" w:cs="Times New Roman"/>
        </w:rPr>
        <w:t xml:space="preserve"> kompetence</w:t>
      </w:r>
      <w:r w:rsidR="00B03F03" w:rsidRPr="00C64F52">
        <w:rPr>
          <w:rFonts w:eastAsia="Calibri" w:cs="Times New Roman"/>
        </w:rPr>
        <w:t xml:space="preserve"> dle zákona o lihu</w:t>
      </w:r>
      <w:r w:rsidR="009932A6" w:rsidRPr="00C64F52">
        <w:rPr>
          <w:rFonts w:eastAsia="Calibri" w:cs="Times New Roman"/>
        </w:rPr>
        <w:t xml:space="preserve"> by mohl</w:t>
      </w:r>
      <w:r w:rsidR="00B03F03" w:rsidRPr="00C64F52">
        <w:rPr>
          <w:rFonts w:eastAsia="Calibri" w:cs="Times New Roman"/>
        </w:rPr>
        <w:t>y</w:t>
      </w:r>
      <w:r w:rsidR="009932A6" w:rsidRPr="00C64F52">
        <w:rPr>
          <w:rFonts w:eastAsia="Calibri" w:cs="Times New Roman"/>
        </w:rPr>
        <w:t xml:space="preserve"> být svěřen</w:t>
      </w:r>
      <w:r w:rsidR="00B03F03" w:rsidRPr="00C64F52">
        <w:rPr>
          <w:rFonts w:eastAsia="Calibri" w:cs="Times New Roman"/>
        </w:rPr>
        <w:t>y</w:t>
      </w:r>
      <w:r w:rsidR="009932A6" w:rsidRPr="00C64F52">
        <w:rPr>
          <w:rFonts w:eastAsia="Calibri" w:cs="Times New Roman"/>
        </w:rPr>
        <w:t xml:space="preserve"> pouze </w:t>
      </w:r>
      <w:r w:rsidR="00AB474E" w:rsidRPr="00C64F52">
        <w:rPr>
          <w:rFonts w:eastAsia="Calibri" w:cs="Times New Roman"/>
        </w:rPr>
        <w:t xml:space="preserve">orgánům celní správy (došlo by ke snížení administrativní zátěže, kdy </w:t>
      </w:r>
      <w:r w:rsidR="00CA0FD6" w:rsidRPr="00C64F52">
        <w:rPr>
          <w:rFonts w:eastAsia="Calibri" w:cs="Times New Roman"/>
        </w:rPr>
        <w:t>veřejnost by komunikovala namísto se dvěma orgány jen s</w:t>
      </w:r>
      <w:r w:rsidR="00B03F03" w:rsidRPr="00C64F52">
        <w:rPr>
          <w:rFonts w:eastAsia="Calibri" w:cs="Times New Roman"/>
        </w:rPr>
        <w:t> </w:t>
      </w:r>
      <w:r w:rsidR="00CA0FD6" w:rsidRPr="00C64F52">
        <w:rPr>
          <w:rFonts w:eastAsia="Calibri" w:cs="Times New Roman"/>
        </w:rPr>
        <w:t>jedním</w:t>
      </w:r>
      <w:r w:rsidR="00B03F03" w:rsidRPr="00C64F52">
        <w:rPr>
          <w:rFonts w:eastAsia="Calibri" w:cs="Times New Roman"/>
        </w:rPr>
        <w:t>, a to se správcem spotřební daně z lihu</w:t>
      </w:r>
      <w:r w:rsidR="00CA0FD6" w:rsidRPr="00C64F52">
        <w:rPr>
          <w:rFonts w:eastAsia="Calibri" w:cs="Times New Roman"/>
        </w:rPr>
        <w:t>)</w:t>
      </w:r>
      <w:r w:rsidR="00B03F03" w:rsidRPr="00C64F52">
        <w:rPr>
          <w:rFonts w:eastAsia="Calibri" w:cs="Times New Roman"/>
        </w:rPr>
        <w:t xml:space="preserve">. </w:t>
      </w:r>
    </w:p>
    <w:p w14:paraId="1D2A4148" w14:textId="2B6FDA5D" w:rsidR="00421AC8" w:rsidRPr="00A2506A" w:rsidRDefault="00421AC8" w:rsidP="00AB680C">
      <w:pPr>
        <w:pStyle w:val="Nadpis3"/>
        <w:keepNext w:val="0"/>
        <w:spacing w:line="276" w:lineRule="auto"/>
      </w:pPr>
      <w:bookmarkStart w:id="60" w:name="_Toc426709194"/>
      <w:bookmarkStart w:id="61" w:name="_Toc427045903"/>
      <w:bookmarkStart w:id="62" w:name="_Toc427048601"/>
      <w:bookmarkStart w:id="63" w:name="_Toc427045904"/>
      <w:bookmarkStart w:id="64" w:name="_Toc25666050"/>
      <w:bookmarkStart w:id="65" w:name="_Toc164761262"/>
      <w:bookmarkEnd w:id="60"/>
      <w:bookmarkEnd w:id="61"/>
      <w:bookmarkEnd w:id="62"/>
      <w:r w:rsidRPr="00A2506A">
        <w:t xml:space="preserve">Vyhodnocení </w:t>
      </w:r>
      <w:bookmarkEnd w:id="63"/>
      <w:bookmarkEnd w:id="64"/>
      <w:r w:rsidR="007946FA" w:rsidRPr="00A2506A">
        <w:t>nákladů a přínosů</w:t>
      </w:r>
      <w:r w:rsidR="00AB351A" w:rsidRPr="00A2506A">
        <w:t xml:space="preserve"> variant</w:t>
      </w:r>
      <w:bookmarkEnd w:id="65"/>
    </w:p>
    <w:p w14:paraId="0C77E97B" w14:textId="43468B7E" w:rsidR="00340DE9" w:rsidRPr="00DD2F4A" w:rsidRDefault="00C30F00" w:rsidP="00AB680C">
      <w:pPr>
        <w:pStyle w:val="Odrky"/>
        <w:numPr>
          <w:ilvl w:val="0"/>
          <w:numId w:val="0"/>
        </w:numPr>
        <w:spacing w:after="120"/>
        <w:rPr>
          <w:rFonts w:eastAsia="Calibri"/>
          <w:color w:val="000000" w:themeColor="text1"/>
          <w:u w:val="single"/>
        </w:rPr>
      </w:pPr>
      <w:r w:rsidRPr="008B6F12">
        <w:rPr>
          <w:color w:val="000000" w:themeColor="text1"/>
          <w:u w:val="single"/>
        </w:rPr>
        <w:t xml:space="preserve">Vyhodnocení variant z hlediska </w:t>
      </w:r>
      <w:r w:rsidR="008B6F12" w:rsidRPr="008B6F12">
        <w:rPr>
          <w:color w:val="000000" w:themeColor="text1"/>
          <w:u w:val="single"/>
        </w:rPr>
        <w:t>efektivit</w:t>
      </w:r>
      <w:r w:rsidR="002B3882">
        <w:rPr>
          <w:color w:val="000000" w:themeColor="text1"/>
          <w:u w:val="single"/>
        </w:rPr>
        <w:t>y</w:t>
      </w:r>
      <w:r w:rsidR="008B6F12" w:rsidRPr="008B6F12">
        <w:rPr>
          <w:color w:val="000000" w:themeColor="text1"/>
          <w:u w:val="single"/>
        </w:rPr>
        <w:t xml:space="preserve"> a </w:t>
      </w:r>
      <w:r w:rsidR="008B6F12" w:rsidRPr="008B6F12">
        <w:rPr>
          <w:rFonts w:eastAsia="Calibri"/>
          <w:color w:val="000000" w:themeColor="text1"/>
          <w:u w:val="single"/>
        </w:rPr>
        <w:t>výkonnost</w:t>
      </w:r>
      <w:r w:rsidR="002B3882">
        <w:rPr>
          <w:rFonts w:eastAsia="Calibri"/>
          <w:color w:val="000000" w:themeColor="text1"/>
          <w:u w:val="single"/>
        </w:rPr>
        <w:t>i</w:t>
      </w:r>
      <w:r w:rsidR="008B6F12" w:rsidRPr="008B6F12">
        <w:rPr>
          <w:rFonts w:eastAsia="Calibri"/>
          <w:color w:val="000000" w:themeColor="text1"/>
          <w:u w:val="single"/>
        </w:rPr>
        <w:t xml:space="preserve"> zákonných kompetencí</w:t>
      </w:r>
      <w:r w:rsidR="00A209D9">
        <w:rPr>
          <w:rFonts w:eastAsia="Calibri"/>
          <w:color w:val="000000" w:themeColor="text1"/>
          <w:u w:val="single"/>
        </w:rPr>
        <w:t xml:space="preserve"> celní správy </w:t>
      </w:r>
      <w:r w:rsidR="00340DE9" w:rsidRPr="00DD2F4A">
        <w:rPr>
          <w:rFonts w:eastAsia="Calibri"/>
          <w:color w:val="000000" w:themeColor="text1"/>
          <w:u w:val="single"/>
        </w:rPr>
        <w:t>a</w:t>
      </w:r>
      <w:r w:rsidR="00A209D9">
        <w:rPr>
          <w:rFonts w:eastAsia="Calibri"/>
          <w:color w:val="000000" w:themeColor="text1"/>
          <w:u w:val="single"/>
        </w:rPr>
        <w:t> </w:t>
      </w:r>
      <w:r w:rsidR="00340DE9" w:rsidRPr="00DD2F4A">
        <w:rPr>
          <w:rFonts w:eastAsia="Calibri"/>
          <w:color w:val="000000" w:themeColor="text1"/>
          <w:u w:val="single"/>
        </w:rPr>
        <w:t>jiných orgánů veřejné moci</w:t>
      </w:r>
    </w:p>
    <w:p w14:paraId="34E0260D" w14:textId="5BB4710F" w:rsidR="0073617B" w:rsidRDefault="007E03A6" w:rsidP="00AB680C">
      <w:pPr>
        <w:spacing w:before="0"/>
      </w:pPr>
      <w:bookmarkStart w:id="66" w:name="_Hlk139625610"/>
      <w:r w:rsidRPr="0080499B">
        <w:t xml:space="preserve">Jako příznivější se jeví </w:t>
      </w:r>
      <w:r w:rsidRPr="0080499B">
        <w:rPr>
          <w:b/>
          <w:bCs/>
        </w:rPr>
        <w:t>varianta 1</w:t>
      </w:r>
      <w:bookmarkEnd w:id="66"/>
      <w:r w:rsidRPr="0080499B">
        <w:t xml:space="preserve">, </w:t>
      </w:r>
      <w:r w:rsidR="009A73F5">
        <w:t>kdy provedením optimalizace zákonných kompetencí ze</w:t>
      </w:r>
      <w:r w:rsidR="007804AE">
        <w:t> </w:t>
      </w:r>
      <w:r w:rsidR="009A73F5">
        <w:t xml:space="preserve">strany </w:t>
      </w:r>
      <w:r w:rsidR="00A209D9" w:rsidRPr="00A209D9">
        <w:rPr>
          <w:rFonts w:eastAsia="Calibri"/>
          <w:color w:val="000000" w:themeColor="text1"/>
        </w:rPr>
        <w:t>celní správy</w:t>
      </w:r>
      <w:r w:rsidR="00A209D9" w:rsidRPr="00A209D9">
        <w:rPr>
          <w:rFonts w:cs="Times New Roman"/>
          <w:szCs w:val="24"/>
        </w:rPr>
        <w:t xml:space="preserve"> </w:t>
      </w:r>
      <w:r w:rsidR="009A73F5">
        <w:t xml:space="preserve">dojde ke zvýšení efektivity a výkonnosti </w:t>
      </w:r>
      <w:r w:rsidR="008D17BC">
        <w:t>v rámci prováděné působnosti</w:t>
      </w:r>
      <w:r w:rsidR="005B7001">
        <w:t xml:space="preserve"> jak u </w:t>
      </w:r>
      <w:r w:rsidR="00A209D9" w:rsidRPr="00A209D9">
        <w:rPr>
          <w:rFonts w:eastAsia="Calibri"/>
          <w:color w:val="000000" w:themeColor="text1"/>
        </w:rPr>
        <w:t>celní správy</w:t>
      </w:r>
      <w:r w:rsidR="005B7001">
        <w:t>, tak i na straně orgánů veřejné moci</w:t>
      </w:r>
      <w:r w:rsidR="008D17BC">
        <w:t xml:space="preserve">. </w:t>
      </w:r>
      <w:r w:rsidR="00AA1E89">
        <w:t>Nosným důvodem u sdílených k</w:t>
      </w:r>
      <w:r w:rsidR="000C1D22">
        <w:t>o</w:t>
      </w:r>
      <w:r w:rsidR="003B120F">
        <w:t xml:space="preserve">mpetencí (např. </w:t>
      </w:r>
      <w:r w:rsidR="009D401B">
        <w:t xml:space="preserve">oblast </w:t>
      </w:r>
      <w:proofErr w:type="spellStart"/>
      <w:r w:rsidR="009D401B">
        <w:t>nízkorychlostního</w:t>
      </w:r>
      <w:proofErr w:type="spellEnd"/>
      <w:r w:rsidR="001274AE">
        <w:t xml:space="preserve"> kontrolního</w:t>
      </w:r>
      <w:r w:rsidR="009D401B">
        <w:t xml:space="preserve"> vážení </w:t>
      </w:r>
      <w:r w:rsidR="001274AE">
        <w:t>nebo kontroly zaměstnávání cizinců)</w:t>
      </w:r>
      <w:r w:rsidR="00BF51CC">
        <w:t xml:space="preserve"> je to, že </w:t>
      </w:r>
      <w:r w:rsidR="002C6C42">
        <w:t>výkon kontroly jedním typem orgá</w:t>
      </w:r>
      <w:r w:rsidR="009D3EFA">
        <w:t>nu veřejné moci</w:t>
      </w:r>
      <w:r w:rsidR="006B6C84">
        <w:t xml:space="preserve"> (např. oblastní inspektoráty práce) přispěje ke zvýšení odbor</w:t>
      </w:r>
      <w:r w:rsidR="00D45DE0">
        <w:t>ného</w:t>
      </w:r>
      <w:r w:rsidR="006B6C84">
        <w:t xml:space="preserve"> provádění </w:t>
      </w:r>
      <w:r w:rsidR="000F0894">
        <w:t xml:space="preserve">těchto </w:t>
      </w:r>
      <w:r w:rsidR="006B6C84">
        <w:t>kontrol a</w:t>
      </w:r>
      <w:r w:rsidR="000F0894">
        <w:t xml:space="preserve"> </w:t>
      </w:r>
      <w:r w:rsidR="00535770">
        <w:t>ke zvýšení</w:t>
      </w:r>
      <w:r w:rsidR="006B6C84">
        <w:t xml:space="preserve"> </w:t>
      </w:r>
      <w:r w:rsidR="00D45DE0">
        <w:t xml:space="preserve">kvality následného správního řízení; u </w:t>
      </w:r>
      <w:r w:rsidR="001D1894">
        <w:t>celních úřadů nyní dochází</w:t>
      </w:r>
      <w:r w:rsidR="004103C7">
        <w:t xml:space="preserve"> z důvodu</w:t>
      </w:r>
      <w:r w:rsidR="001D1894">
        <w:t xml:space="preserve"> </w:t>
      </w:r>
      <w:r w:rsidR="004103C7">
        <w:t xml:space="preserve">velkého </w:t>
      </w:r>
      <w:r w:rsidR="001D1894">
        <w:t xml:space="preserve">množství kompetencí k </w:t>
      </w:r>
      <w:r w:rsidR="001251DA">
        <w:t>tříštění zdrojů, kdy</w:t>
      </w:r>
      <w:r w:rsidR="004103C7">
        <w:t xml:space="preserve"> konkrétní</w:t>
      </w:r>
      <w:r w:rsidR="001251DA">
        <w:t xml:space="preserve"> </w:t>
      </w:r>
      <w:r w:rsidR="00432C21">
        <w:t>celník provádí</w:t>
      </w:r>
      <w:r w:rsidR="00D13E3D">
        <w:t xml:space="preserve"> kontroly v</w:t>
      </w:r>
      <w:r w:rsidR="00535770">
        <w:t xml:space="preserve"> nejrůznějších </w:t>
      </w:r>
      <w:r w:rsidR="00D13E3D">
        <w:t>oblastech</w:t>
      </w:r>
      <w:r w:rsidR="004103C7">
        <w:t>, které spolu</w:t>
      </w:r>
      <w:r w:rsidR="00535770">
        <w:t xml:space="preserve"> věcně</w:t>
      </w:r>
      <w:r w:rsidR="004103C7">
        <w:t xml:space="preserve"> nesouvisí,</w:t>
      </w:r>
      <w:r w:rsidR="00D13E3D">
        <w:t xml:space="preserve"> a logicky</w:t>
      </w:r>
      <w:r w:rsidR="00535770">
        <w:t xml:space="preserve"> tak</w:t>
      </w:r>
      <w:r w:rsidR="00D13E3D">
        <w:t xml:space="preserve"> nemůže být na všechny oblasti</w:t>
      </w:r>
      <w:r w:rsidR="00137C84">
        <w:t xml:space="preserve"> stoprocentně specializovaný, resp.</w:t>
      </w:r>
      <w:r w:rsidR="00CD2737">
        <w:t xml:space="preserve"> pokud by se soustředil pouze na některé</w:t>
      </w:r>
      <w:r w:rsidR="004103C7">
        <w:t>, vybrané</w:t>
      </w:r>
      <w:r w:rsidR="00CD2737">
        <w:t xml:space="preserve"> oblasti, vykonával by je </w:t>
      </w:r>
      <w:r w:rsidR="004103C7">
        <w:t xml:space="preserve">po odborné stránce kvalitněji. </w:t>
      </w:r>
      <w:r w:rsidR="008D17BC">
        <w:t>Zároveň tím, že obsah úpravy bude</w:t>
      </w:r>
      <w:r w:rsidR="0073617B">
        <w:t xml:space="preserve"> ve většině případů</w:t>
      </w:r>
      <w:r w:rsidR="008D17BC">
        <w:t xml:space="preserve"> předběžně projednán s dosavadním výkonným orgánem, lze předpokládat </w:t>
      </w:r>
      <w:r w:rsidR="005B7001">
        <w:t xml:space="preserve">ideální </w:t>
      </w:r>
      <w:r w:rsidR="008D17BC">
        <w:t>nastavení způsobu nové aplikační praxe tak, aby její výkon byl do budoucna provádě</w:t>
      </w:r>
      <w:r w:rsidR="00340DE9">
        <w:t>n</w:t>
      </w:r>
      <w:r w:rsidR="008D17BC">
        <w:t xml:space="preserve"> efektivněji.</w:t>
      </w:r>
    </w:p>
    <w:p w14:paraId="445D35B9" w14:textId="100B61D5" w:rsidR="007E03A6" w:rsidRPr="00C64F52" w:rsidRDefault="007E03A6" w:rsidP="00AB680C">
      <w:pPr>
        <w:spacing w:before="0"/>
        <w:rPr>
          <w:highlight w:val="yellow"/>
        </w:rPr>
      </w:pPr>
      <w:r>
        <w:t xml:space="preserve">Jako méně vhodná se jeví </w:t>
      </w:r>
      <w:r w:rsidRPr="00F41A37">
        <w:rPr>
          <w:b/>
          <w:bCs/>
        </w:rPr>
        <w:t xml:space="preserve">varianta </w:t>
      </w:r>
      <w:r w:rsidR="00340DE9">
        <w:rPr>
          <w:b/>
          <w:bCs/>
        </w:rPr>
        <w:t>0</w:t>
      </w:r>
      <w:r w:rsidR="005B7001">
        <w:rPr>
          <w:b/>
          <w:bCs/>
        </w:rPr>
        <w:t>,</w:t>
      </w:r>
      <w:r>
        <w:rPr>
          <w:b/>
          <w:bCs/>
        </w:rPr>
        <w:t xml:space="preserve"> </w:t>
      </w:r>
      <w:r>
        <w:t xml:space="preserve">a to z důvodu, že by </w:t>
      </w:r>
      <w:r w:rsidR="00340DE9">
        <w:t>nedošlo k žádné úpravě v rámci hlediska efektivity a výkonnosti a byl by zachován stávající stav</w:t>
      </w:r>
      <w:r w:rsidR="000161F8">
        <w:t xml:space="preserve">, kdy </w:t>
      </w:r>
      <w:r w:rsidR="00A209D9" w:rsidRPr="00A209D9">
        <w:rPr>
          <w:rFonts w:eastAsia="Calibri"/>
          <w:color w:val="000000" w:themeColor="text1"/>
        </w:rPr>
        <w:t>celní správ</w:t>
      </w:r>
      <w:r w:rsidR="00A209D9">
        <w:rPr>
          <w:rFonts w:eastAsia="Calibri"/>
          <w:color w:val="000000" w:themeColor="text1"/>
        </w:rPr>
        <w:t>a</w:t>
      </w:r>
      <w:r w:rsidR="00A209D9" w:rsidRPr="00A209D9">
        <w:rPr>
          <w:rFonts w:cs="Times New Roman"/>
          <w:szCs w:val="24"/>
        </w:rPr>
        <w:t xml:space="preserve"> </w:t>
      </w:r>
      <w:r w:rsidR="000161F8">
        <w:t>vykonává kompetence, které neodpovídají jejímu zaměření a poslání</w:t>
      </w:r>
      <w:r w:rsidR="009F30AF">
        <w:t>, což je z</w:t>
      </w:r>
      <w:r w:rsidR="005C7C21">
        <w:t> celkového pohledu nehospodárné.</w:t>
      </w:r>
    </w:p>
    <w:p w14:paraId="02C9DD33" w14:textId="3C20448B" w:rsidR="009C5AC2" w:rsidRPr="00F871D9" w:rsidRDefault="00C30F00" w:rsidP="00AB680C">
      <w:pPr>
        <w:spacing w:before="0"/>
        <w:rPr>
          <w:rFonts w:eastAsia="Calibri"/>
          <w:color w:val="000000" w:themeColor="text1"/>
          <w:u w:val="single"/>
        </w:rPr>
      </w:pPr>
      <w:r w:rsidRPr="00F871D9">
        <w:rPr>
          <w:color w:val="000000" w:themeColor="text1"/>
          <w:u w:val="single"/>
        </w:rPr>
        <w:t>Vyhodnocení variant z</w:t>
      </w:r>
      <w:r w:rsidR="004449AC" w:rsidRPr="00F871D9">
        <w:rPr>
          <w:color w:val="000000" w:themeColor="text1"/>
          <w:u w:val="single"/>
        </w:rPr>
        <w:t> </w:t>
      </w:r>
      <w:r w:rsidRPr="00F871D9">
        <w:rPr>
          <w:color w:val="000000" w:themeColor="text1"/>
          <w:u w:val="single"/>
        </w:rPr>
        <w:t xml:space="preserve">hlediska </w:t>
      </w:r>
      <w:r w:rsidR="00B31298" w:rsidRPr="00F871D9">
        <w:rPr>
          <w:color w:val="000000" w:themeColor="text1"/>
          <w:u w:val="single"/>
        </w:rPr>
        <w:t>srozumitelnosti výkonu veřejné moci z pohledu veřejnosti</w:t>
      </w:r>
    </w:p>
    <w:p w14:paraId="6F514AC2" w14:textId="281E9B99" w:rsidR="00A96682" w:rsidRPr="00F871D9" w:rsidRDefault="000161F8" w:rsidP="00AB680C">
      <w:pPr>
        <w:spacing w:before="0"/>
      </w:pPr>
      <w:r w:rsidRPr="00F871D9">
        <w:t xml:space="preserve">Obdobně jako u předchozího bodu lze považovat jako příznivější </w:t>
      </w:r>
      <w:r w:rsidRPr="00F871D9">
        <w:rPr>
          <w:b/>
          <w:bCs/>
        </w:rPr>
        <w:t>variantu 1</w:t>
      </w:r>
      <w:r w:rsidRPr="00F871D9">
        <w:t xml:space="preserve">, kdy provedením optimalizace zákonných kompetencí ze strany </w:t>
      </w:r>
      <w:r w:rsidR="00A209D9" w:rsidRPr="00F871D9">
        <w:rPr>
          <w:rFonts w:eastAsia="Calibri"/>
          <w:color w:val="000000" w:themeColor="text1"/>
        </w:rPr>
        <w:t>celní správy</w:t>
      </w:r>
      <w:r w:rsidR="00A209D9" w:rsidRPr="00F871D9">
        <w:rPr>
          <w:rFonts w:cs="Times New Roman"/>
          <w:szCs w:val="24"/>
        </w:rPr>
        <w:t xml:space="preserve"> </w:t>
      </w:r>
      <w:r w:rsidR="00434B0D" w:rsidRPr="00F871D9">
        <w:t>a úpravy u jiných orgánů veřejné moci</w:t>
      </w:r>
      <w:r w:rsidRPr="00F871D9">
        <w:t xml:space="preserve"> dojde k</w:t>
      </w:r>
      <w:r w:rsidR="00453DB6" w:rsidRPr="00F871D9">
        <w:t xml:space="preserve">e stavu, kdy veřejnost bude pozitivněji vnímat organizaci státní správy. </w:t>
      </w:r>
      <w:r w:rsidR="002C4BBE" w:rsidRPr="00F871D9">
        <w:t>Bude více naplněn princip</w:t>
      </w:r>
      <w:r w:rsidR="00904126" w:rsidRPr="00F871D9">
        <w:t xml:space="preserve"> zohlednění účel</w:t>
      </w:r>
      <w:r w:rsidR="00BE3AA4">
        <w:t>u</w:t>
      </w:r>
      <w:r w:rsidR="00904126" w:rsidRPr="00F871D9">
        <w:t>, pro který byl ten který orgán veřejné moci zřízen (obecným posláním celní správy je ochrana fiskálních zájmů České republiky a trhu zejména při kontrole zboží)</w:t>
      </w:r>
      <w:r w:rsidR="00BE3AA4">
        <w:t>.</w:t>
      </w:r>
      <w:r w:rsidR="00904126" w:rsidRPr="00F871D9">
        <w:t xml:space="preserve"> </w:t>
      </w:r>
    </w:p>
    <w:p w14:paraId="43A838C8" w14:textId="2A161083" w:rsidR="000161F8" w:rsidRPr="00F871D9" w:rsidRDefault="0057346C" w:rsidP="00AB680C">
      <w:pPr>
        <w:spacing w:before="0"/>
      </w:pPr>
      <w:r w:rsidRPr="00F871D9">
        <w:t>Obdobně jako u předchozího bodu se jeví j</w:t>
      </w:r>
      <w:r w:rsidR="000161F8" w:rsidRPr="00F871D9">
        <w:t xml:space="preserve">ako méně vhodná </w:t>
      </w:r>
      <w:r w:rsidR="000161F8" w:rsidRPr="00F871D9">
        <w:rPr>
          <w:b/>
          <w:bCs/>
        </w:rPr>
        <w:t>varianta 0</w:t>
      </w:r>
      <w:r w:rsidRPr="00F871D9">
        <w:rPr>
          <w:b/>
          <w:bCs/>
        </w:rPr>
        <w:t>,</w:t>
      </w:r>
      <w:r w:rsidR="000161F8" w:rsidRPr="00F871D9">
        <w:rPr>
          <w:b/>
          <w:bCs/>
        </w:rPr>
        <w:t xml:space="preserve"> </w:t>
      </w:r>
      <w:r w:rsidR="000161F8" w:rsidRPr="00F871D9">
        <w:t xml:space="preserve">a to z důvodu, že by nedošlo k žádné úpravě a byl by zachován stávající stav, kdy </w:t>
      </w:r>
      <w:r w:rsidR="00A209D9" w:rsidRPr="00F871D9">
        <w:rPr>
          <w:rFonts w:eastAsia="Calibri"/>
          <w:color w:val="000000" w:themeColor="text1"/>
        </w:rPr>
        <w:t xml:space="preserve">celní správa </w:t>
      </w:r>
      <w:r w:rsidR="000161F8" w:rsidRPr="00F871D9">
        <w:t xml:space="preserve">vykonává </w:t>
      </w:r>
      <w:r w:rsidR="000161F8" w:rsidRPr="00F871D9">
        <w:lastRenderedPageBreak/>
        <w:t>kompetence, které neodpovídají jejímu zaměření a poslání.</w:t>
      </w:r>
      <w:r w:rsidR="00F871D9" w:rsidRPr="00F871D9">
        <w:t xml:space="preserve"> Z pohledu veřejnosti by se jednalo o zakonzervování stavu, který nelze hodnotit jako ideální. </w:t>
      </w:r>
    </w:p>
    <w:p w14:paraId="2A6790E8" w14:textId="77777777" w:rsidR="00421AC8" w:rsidRPr="00A2506A" w:rsidRDefault="00421AC8" w:rsidP="00AB680C">
      <w:pPr>
        <w:pStyle w:val="Nadpis2"/>
        <w:keepNext w:val="0"/>
        <w:spacing w:line="276" w:lineRule="auto"/>
        <w:ind w:left="709"/>
      </w:pPr>
      <w:bookmarkStart w:id="67" w:name="_Toc427045906"/>
      <w:bookmarkStart w:id="68" w:name="_Toc25666052"/>
      <w:bookmarkStart w:id="69" w:name="_Toc164761263"/>
      <w:r w:rsidRPr="00A2506A">
        <w:t>Stanovení pořadí variant a výběr nejvhodnějšího řešení</w:t>
      </w:r>
      <w:bookmarkEnd w:id="67"/>
      <w:bookmarkEnd w:id="68"/>
      <w:bookmarkEnd w:id="69"/>
    </w:p>
    <w:p w14:paraId="622EDD2F" w14:textId="77777777" w:rsidR="00421AC8" w:rsidRDefault="00421AC8" w:rsidP="00AB680C">
      <w:pPr>
        <w:widowControl w:val="0"/>
        <w:tabs>
          <w:tab w:val="left" w:pos="284"/>
        </w:tabs>
        <w:spacing w:before="0"/>
        <w:rPr>
          <w:color w:val="000000" w:themeColor="text1"/>
        </w:rPr>
      </w:pPr>
      <w:r w:rsidRPr="0090043B">
        <w:rPr>
          <w:color w:val="000000" w:themeColor="text1"/>
        </w:rPr>
        <w:t xml:space="preserve">Na základě vzájemného porovnání jednotlivých variant optikou zvolených kritérií a identifikovaných rizik vyplynula jako </w:t>
      </w:r>
      <w:r w:rsidRPr="0090043B">
        <w:rPr>
          <w:b/>
          <w:color w:val="000000" w:themeColor="text1"/>
        </w:rPr>
        <w:t>nejvhodnější varianta</w:t>
      </w:r>
      <w:r w:rsidRPr="0090043B">
        <w:rPr>
          <w:color w:val="000000" w:themeColor="text1"/>
        </w:rPr>
        <w:t xml:space="preserve"> </w:t>
      </w:r>
      <w:r w:rsidRPr="0090043B">
        <w:rPr>
          <w:b/>
          <w:color w:val="000000" w:themeColor="text1"/>
        </w:rPr>
        <w:t>1</w:t>
      </w:r>
      <w:r w:rsidRPr="0090043B">
        <w:rPr>
          <w:color w:val="000000" w:themeColor="text1"/>
        </w:rPr>
        <w:t>.</w:t>
      </w:r>
    </w:p>
    <w:p w14:paraId="3AE84A29" w14:textId="76AFCC56" w:rsidR="00421AC8" w:rsidRPr="00C64F52" w:rsidRDefault="00421AC8" w:rsidP="00AB680C">
      <w:pPr>
        <w:pStyle w:val="Tabulka"/>
        <w:spacing w:line="276" w:lineRule="auto"/>
        <w:jc w:val="both"/>
        <w:rPr>
          <w:sz w:val="24"/>
          <w:szCs w:val="32"/>
        </w:rPr>
      </w:pPr>
      <w:r w:rsidRPr="00C64F52">
        <w:rPr>
          <w:sz w:val="24"/>
          <w:szCs w:val="32"/>
        </w:rPr>
        <w:t>Tabulka č. 1 – Vyhodnocení navržených variant</w:t>
      </w:r>
    </w:p>
    <w:tbl>
      <w:tblPr>
        <w:tblStyle w:val="Svtlstnovnzvraznn4"/>
        <w:tblW w:w="5000" w:type="pct"/>
        <w:tblLayout w:type="fixed"/>
        <w:tblLook w:val="04A0" w:firstRow="1" w:lastRow="0" w:firstColumn="1" w:lastColumn="0" w:noHBand="0" w:noVBand="1"/>
      </w:tblPr>
      <w:tblGrid>
        <w:gridCol w:w="1701"/>
        <w:gridCol w:w="3971"/>
        <w:gridCol w:w="3398"/>
      </w:tblGrid>
      <w:tr w:rsidR="00B31298" w:rsidRPr="00C64F52" w14:paraId="0237AA27" w14:textId="5D041F39" w:rsidTr="00684322">
        <w:trPr>
          <w:cnfStyle w:val="100000000000" w:firstRow="1" w:lastRow="0" w:firstColumn="0" w:lastColumn="0" w:oddVBand="0" w:evenVBand="0" w:oddHBand="0" w:evenHBand="0" w:firstRowFirstColumn="0" w:firstRowLastColumn="0" w:lastRowFirstColumn="0" w:lastRowLastColumn="0"/>
          <w:trHeight w:val="294"/>
        </w:trPr>
        <w:tc>
          <w:tcPr>
            <w:cnfStyle w:val="001000000000" w:firstRow="0" w:lastRow="0" w:firstColumn="1" w:lastColumn="0" w:oddVBand="0" w:evenVBand="0" w:oddHBand="0" w:evenHBand="0" w:firstRowFirstColumn="0" w:firstRowLastColumn="0" w:lastRowFirstColumn="0" w:lastRowLastColumn="0"/>
            <w:tcW w:w="938" w:type="pct"/>
            <w:noWrap/>
            <w:vAlign w:val="center"/>
            <w:hideMark/>
          </w:tcPr>
          <w:p w14:paraId="7C71EAEC" w14:textId="77777777" w:rsidR="00B31298" w:rsidRPr="00C64F52" w:rsidRDefault="00B31298" w:rsidP="00AB680C">
            <w:pPr>
              <w:spacing w:before="0" w:after="0"/>
              <w:jc w:val="center"/>
              <w:rPr>
                <w:rFonts w:cs="Times New Roman"/>
                <w:color w:val="000000" w:themeColor="text1"/>
                <w:szCs w:val="32"/>
                <w:lang w:eastAsia="cs-CZ"/>
              </w:rPr>
            </w:pPr>
          </w:p>
        </w:tc>
        <w:tc>
          <w:tcPr>
            <w:tcW w:w="2189" w:type="pct"/>
            <w:vAlign w:val="center"/>
            <w:hideMark/>
          </w:tcPr>
          <w:p w14:paraId="394E4C62" w14:textId="020090BD" w:rsidR="00B31298" w:rsidRPr="00C64F52" w:rsidRDefault="00B31298" w:rsidP="00AB680C">
            <w:pPr>
              <w:spacing w:before="0" w:after="0"/>
              <w:ind w:firstLine="0"/>
              <w:jc w:val="center"/>
              <w:cnfStyle w:val="100000000000" w:firstRow="1" w:lastRow="0" w:firstColumn="0" w:lastColumn="0" w:oddVBand="0" w:evenVBand="0" w:oddHBand="0" w:evenHBand="0" w:firstRowFirstColumn="0" w:firstRowLastColumn="0" w:lastRowFirstColumn="0" w:lastRowLastColumn="0"/>
              <w:rPr>
                <w:rFonts w:cs="Times New Roman"/>
                <w:color w:val="000000" w:themeColor="text1"/>
                <w:szCs w:val="32"/>
                <w:lang w:eastAsia="cs-CZ"/>
              </w:rPr>
            </w:pPr>
            <w:r w:rsidRPr="00C64F52">
              <w:rPr>
                <w:rFonts w:cs="Times New Roman"/>
                <w:color w:val="000000" w:themeColor="text1"/>
                <w:szCs w:val="32"/>
                <w:lang w:eastAsia="cs-CZ"/>
              </w:rPr>
              <w:t>Efektivita a výkonnost zákonných kompetencí celní správy</w:t>
            </w:r>
          </w:p>
        </w:tc>
        <w:tc>
          <w:tcPr>
            <w:tcW w:w="1874" w:type="pct"/>
            <w:vAlign w:val="center"/>
            <w:hideMark/>
          </w:tcPr>
          <w:p w14:paraId="0BD50DC4" w14:textId="7E448E3C" w:rsidR="00B31298" w:rsidRPr="00C64F52" w:rsidRDefault="00B31298" w:rsidP="00AB680C">
            <w:pPr>
              <w:spacing w:before="0" w:after="0"/>
              <w:ind w:firstLine="0"/>
              <w:jc w:val="center"/>
              <w:cnfStyle w:val="100000000000" w:firstRow="1" w:lastRow="0" w:firstColumn="0" w:lastColumn="0" w:oddVBand="0" w:evenVBand="0" w:oddHBand="0" w:evenHBand="0" w:firstRowFirstColumn="0" w:firstRowLastColumn="0" w:lastRowFirstColumn="0" w:lastRowLastColumn="0"/>
              <w:rPr>
                <w:rFonts w:cs="Times New Roman"/>
                <w:color w:val="000000" w:themeColor="text1"/>
                <w:szCs w:val="32"/>
                <w:lang w:eastAsia="cs-CZ"/>
              </w:rPr>
            </w:pPr>
            <w:r w:rsidRPr="00C64F52">
              <w:rPr>
                <w:rFonts w:cs="Times New Roman"/>
                <w:color w:val="000000" w:themeColor="text1"/>
                <w:szCs w:val="32"/>
                <w:lang w:eastAsia="cs-CZ"/>
              </w:rPr>
              <w:t>Srozumitelnost výkonu veřejné moci z pohledu veřejnosti</w:t>
            </w:r>
          </w:p>
        </w:tc>
      </w:tr>
      <w:tr w:rsidR="00B31298" w:rsidRPr="00C64F52" w14:paraId="0191A76A" w14:textId="724FCF10" w:rsidTr="00684322">
        <w:trPr>
          <w:cnfStyle w:val="000000100000" w:firstRow="0" w:lastRow="0" w:firstColumn="0" w:lastColumn="0" w:oddVBand="0" w:evenVBand="0" w:oddHBand="1" w:evenHBand="0" w:firstRowFirstColumn="0" w:firstRowLastColumn="0" w:lastRowFirstColumn="0" w:lastRowLastColumn="0"/>
          <w:trHeight w:val="294"/>
        </w:trPr>
        <w:tc>
          <w:tcPr>
            <w:cnfStyle w:val="001000000000" w:firstRow="0" w:lastRow="0" w:firstColumn="1" w:lastColumn="0" w:oddVBand="0" w:evenVBand="0" w:oddHBand="0" w:evenHBand="0" w:firstRowFirstColumn="0" w:firstRowLastColumn="0" w:lastRowFirstColumn="0" w:lastRowLastColumn="0"/>
            <w:tcW w:w="938" w:type="pct"/>
            <w:noWrap/>
            <w:vAlign w:val="center"/>
            <w:hideMark/>
          </w:tcPr>
          <w:p w14:paraId="2C873EBC" w14:textId="0BE8F8E0" w:rsidR="00B31298" w:rsidRPr="00C64F52" w:rsidRDefault="00B31298" w:rsidP="00AB680C">
            <w:pPr>
              <w:spacing w:before="0" w:after="0"/>
              <w:ind w:firstLine="0"/>
              <w:jc w:val="center"/>
              <w:rPr>
                <w:rFonts w:cs="Times New Roman"/>
                <w:color w:val="000000" w:themeColor="text1"/>
                <w:szCs w:val="32"/>
                <w:lang w:eastAsia="cs-CZ"/>
              </w:rPr>
            </w:pPr>
            <w:r w:rsidRPr="00C64F52">
              <w:rPr>
                <w:rFonts w:cs="Times New Roman"/>
                <w:color w:val="000000" w:themeColor="text1"/>
                <w:szCs w:val="32"/>
                <w:lang w:eastAsia="cs-CZ"/>
              </w:rPr>
              <w:t>Varianta 0</w:t>
            </w:r>
          </w:p>
        </w:tc>
        <w:tc>
          <w:tcPr>
            <w:tcW w:w="2189" w:type="pct"/>
            <w:noWrap/>
            <w:vAlign w:val="center"/>
          </w:tcPr>
          <w:p w14:paraId="5B7E7E5A" w14:textId="56340C48" w:rsidR="00B31298" w:rsidRPr="00C64F52" w:rsidRDefault="00B31298" w:rsidP="00AB680C">
            <w:pPr>
              <w:spacing w:before="0" w:after="0"/>
              <w:jc w:val="center"/>
              <w:cnfStyle w:val="000000100000" w:firstRow="0" w:lastRow="0" w:firstColumn="0" w:lastColumn="0" w:oddVBand="0" w:evenVBand="0" w:oddHBand="1" w:evenHBand="0" w:firstRowFirstColumn="0" w:firstRowLastColumn="0" w:lastRowFirstColumn="0" w:lastRowLastColumn="0"/>
              <w:rPr>
                <w:rFonts w:cs="Times New Roman"/>
                <w:bCs/>
                <w:color w:val="000000" w:themeColor="text1"/>
                <w:szCs w:val="32"/>
                <w:lang w:eastAsia="cs-CZ"/>
              </w:rPr>
            </w:pPr>
            <w:r w:rsidRPr="00C64F52">
              <w:rPr>
                <w:rFonts w:cs="Times New Roman"/>
                <w:bCs/>
                <w:color w:val="000000" w:themeColor="text1"/>
                <w:szCs w:val="32"/>
                <w:lang w:eastAsia="cs-CZ"/>
              </w:rPr>
              <w:t>2</w:t>
            </w:r>
          </w:p>
        </w:tc>
        <w:tc>
          <w:tcPr>
            <w:tcW w:w="1874" w:type="pct"/>
            <w:noWrap/>
            <w:vAlign w:val="center"/>
          </w:tcPr>
          <w:p w14:paraId="1EC21B30" w14:textId="73B88411" w:rsidR="00B31298" w:rsidRPr="00C64F52" w:rsidRDefault="00B31298" w:rsidP="00AB680C">
            <w:pPr>
              <w:spacing w:before="0" w:after="0"/>
              <w:jc w:val="center"/>
              <w:cnfStyle w:val="000000100000" w:firstRow="0" w:lastRow="0" w:firstColumn="0" w:lastColumn="0" w:oddVBand="0" w:evenVBand="0" w:oddHBand="1" w:evenHBand="0" w:firstRowFirstColumn="0" w:firstRowLastColumn="0" w:lastRowFirstColumn="0" w:lastRowLastColumn="0"/>
              <w:rPr>
                <w:rFonts w:cs="Times New Roman"/>
                <w:bCs/>
                <w:color w:val="000000" w:themeColor="text1"/>
                <w:szCs w:val="32"/>
                <w:lang w:eastAsia="cs-CZ"/>
              </w:rPr>
            </w:pPr>
            <w:r w:rsidRPr="00C64F52">
              <w:rPr>
                <w:rFonts w:cs="Times New Roman"/>
                <w:bCs/>
                <w:color w:val="000000" w:themeColor="text1"/>
                <w:szCs w:val="32"/>
                <w:lang w:eastAsia="cs-CZ"/>
              </w:rPr>
              <w:t>2</w:t>
            </w:r>
          </w:p>
        </w:tc>
      </w:tr>
      <w:tr w:rsidR="00B31298" w:rsidRPr="00C64F52" w14:paraId="1D25EC4D" w14:textId="518046CA" w:rsidTr="00684322">
        <w:trPr>
          <w:trHeight w:val="294"/>
        </w:trPr>
        <w:tc>
          <w:tcPr>
            <w:cnfStyle w:val="001000000000" w:firstRow="0" w:lastRow="0" w:firstColumn="1" w:lastColumn="0" w:oddVBand="0" w:evenVBand="0" w:oddHBand="0" w:evenHBand="0" w:firstRowFirstColumn="0" w:firstRowLastColumn="0" w:lastRowFirstColumn="0" w:lastRowLastColumn="0"/>
            <w:tcW w:w="938" w:type="pct"/>
            <w:noWrap/>
            <w:vAlign w:val="center"/>
          </w:tcPr>
          <w:p w14:paraId="4BD02EA0" w14:textId="3A8703D3" w:rsidR="00B31298" w:rsidRPr="00C64F52" w:rsidRDefault="00B31298" w:rsidP="00AB680C">
            <w:pPr>
              <w:spacing w:before="0" w:after="0"/>
              <w:ind w:firstLine="0"/>
              <w:jc w:val="center"/>
              <w:rPr>
                <w:rFonts w:cs="Times New Roman"/>
                <w:color w:val="000000" w:themeColor="text1"/>
                <w:szCs w:val="32"/>
                <w:lang w:eastAsia="cs-CZ"/>
              </w:rPr>
            </w:pPr>
            <w:r w:rsidRPr="00C64F52">
              <w:rPr>
                <w:rFonts w:cs="Times New Roman"/>
                <w:color w:val="000000" w:themeColor="text1"/>
                <w:szCs w:val="32"/>
                <w:lang w:eastAsia="cs-CZ"/>
              </w:rPr>
              <w:t>Varianta 1</w:t>
            </w:r>
          </w:p>
        </w:tc>
        <w:tc>
          <w:tcPr>
            <w:tcW w:w="2189" w:type="pct"/>
            <w:noWrap/>
            <w:vAlign w:val="center"/>
          </w:tcPr>
          <w:p w14:paraId="0C9994E8" w14:textId="491A6E68" w:rsidR="00B31298" w:rsidRPr="00C64F52" w:rsidRDefault="00B31298" w:rsidP="00AB680C">
            <w:pPr>
              <w:spacing w:before="0" w:after="0"/>
              <w:jc w:val="center"/>
              <w:cnfStyle w:val="000000000000" w:firstRow="0" w:lastRow="0" w:firstColumn="0" w:lastColumn="0" w:oddVBand="0" w:evenVBand="0" w:oddHBand="0" w:evenHBand="0" w:firstRowFirstColumn="0" w:firstRowLastColumn="0" w:lastRowFirstColumn="0" w:lastRowLastColumn="0"/>
              <w:rPr>
                <w:rFonts w:cs="Times New Roman"/>
                <w:bCs/>
                <w:color w:val="000000" w:themeColor="text1"/>
                <w:szCs w:val="32"/>
                <w:lang w:eastAsia="cs-CZ"/>
              </w:rPr>
            </w:pPr>
            <w:r w:rsidRPr="00C64F52">
              <w:rPr>
                <w:rFonts w:cs="Times New Roman"/>
                <w:bCs/>
                <w:color w:val="000000" w:themeColor="text1"/>
                <w:szCs w:val="32"/>
                <w:lang w:eastAsia="cs-CZ"/>
              </w:rPr>
              <w:t>1</w:t>
            </w:r>
          </w:p>
        </w:tc>
        <w:tc>
          <w:tcPr>
            <w:tcW w:w="1874" w:type="pct"/>
            <w:noWrap/>
            <w:vAlign w:val="center"/>
          </w:tcPr>
          <w:p w14:paraId="7AF252FB" w14:textId="291FC878" w:rsidR="00B31298" w:rsidRPr="00C64F52" w:rsidRDefault="00B31298" w:rsidP="00AB680C">
            <w:pPr>
              <w:spacing w:before="0" w:after="0"/>
              <w:jc w:val="center"/>
              <w:cnfStyle w:val="000000000000" w:firstRow="0" w:lastRow="0" w:firstColumn="0" w:lastColumn="0" w:oddVBand="0" w:evenVBand="0" w:oddHBand="0" w:evenHBand="0" w:firstRowFirstColumn="0" w:firstRowLastColumn="0" w:lastRowFirstColumn="0" w:lastRowLastColumn="0"/>
              <w:rPr>
                <w:rFonts w:cs="Times New Roman"/>
                <w:bCs/>
                <w:color w:val="000000" w:themeColor="text1"/>
                <w:szCs w:val="32"/>
                <w:lang w:eastAsia="cs-CZ"/>
              </w:rPr>
            </w:pPr>
            <w:r w:rsidRPr="00C64F52">
              <w:rPr>
                <w:rFonts w:cs="Times New Roman"/>
                <w:bCs/>
                <w:color w:val="000000" w:themeColor="text1"/>
                <w:szCs w:val="32"/>
                <w:lang w:eastAsia="cs-CZ"/>
              </w:rPr>
              <w:t>1</w:t>
            </w:r>
          </w:p>
        </w:tc>
      </w:tr>
    </w:tbl>
    <w:p w14:paraId="0AE04DC8" w14:textId="77777777" w:rsidR="00421AC8" w:rsidRPr="00A2506A" w:rsidRDefault="00421AC8" w:rsidP="00AB680C">
      <w:pPr>
        <w:pStyle w:val="Nadpis2"/>
        <w:keepNext w:val="0"/>
        <w:spacing w:line="276" w:lineRule="auto"/>
        <w:ind w:left="709"/>
      </w:pPr>
      <w:bookmarkStart w:id="70" w:name="_Toc427045907"/>
      <w:bookmarkStart w:id="71" w:name="_Toc25666053"/>
      <w:bookmarkStart w:id="72" w:name="_Toc164761264"/>
      <w:r w:rsidRPr="00A2506A">
        <w:t>Implementace doporučené varianty a vynucování</w:t>
      </w:r>
      <w:bookmarkEnd w:id="70"/>
      <w:bookmarkEnd w:id="71"/>
      <w:bookmarkEnd w:id="72"/>
    </w:p>
    <w:p w14:paraId="178B3543" w14:textId="19679DC7" w:rsidR="008A19D8" w:rsidRPr="006415C3" w:rsidRDefault="000432B1" w:rsidP="00AB680C">
      <w:pPr>
        <w:widowControl w:val="0"/>
        <w:tabs>
          <w:tab w:val="left" w:pos="284"/>
        </w:tabs>
        <w:spacing w:before="0"/>
      </w:pPr>
      <w:r w:rsidRPr="00522571">
        <w:rPr>
          <w:color w:val="000000" w:themeColor="text1"/>
        </w:rPr>
        <w:t>Navrhovan</w:t>
      </w:r>
      <w:r w:rsidR="00260AA6">
        <w:rPr>
          <w:color w:val="000000" w:themeColor="text1"/>
        </w:rPr>
        <w:t xml:space="preserve">á varianta bude </w:t>
      </w:r>
      <w:r w:rsidRPr="00522571">
        <w:rPr>
          <w:color w:val="000000" w:themeColor="text1"/>
        </w:rPr>
        <w:t>proveden</w:t>
      </w:r>
      <w:r w:rsidR="00D25B4F">
        <w:rPr>
          <w:color w:val="000000" w:themeColor="text1"/>
        </w:rPr>
        <w:t>a</w:t>
      </w:r>
      <w:r w:rsidR="00E6045F">
        <w:rPr>
          <w:color w:val="000000" w:themeColor="text1"/>
        </w:rPr>
        <w:t xml:space="preserve"> novelizací</w:t>
      </w:r>
      <w:r w:rsidR="00B1089B">
        <w:rPr>
          <w:color w:val="000000" w:themeColor="text1"/>
        </w:rPr>
        <w:t xml:space="preserve"> příslušných</w:t>
      </w:r>
      <w:r w:rsidR="00E6045F">
        <w:rPr>
          <w:color w:val="000000" w:themeColor="text1"/>
        </w:rPr>
        <w:t xml:space="preserve"> zákon</w:t>
      </w:r>
      <w:r w:rsidR="00B1089B">
        <w:rPr>
          <w:color w:val="000000" w:themeColor="text1"/>
        </w:rPr>
        <w:t>ů.</w:t>
      </w:r>
    </w:p>
    <w:p w14:paraId="6862B4BE" w14:textId="7C0DC4AB" w:rsidR="00421AC8" w:rsidRPr="00A2506A" w:rsidRDefault="00421AC8" w:rsidP="00AB680C">
      <w:pPr>
        <w:pStyle w:val="Nadpis2"/>
        <w:keepNext w:val="0"/>
        <w:spacing w:line="276" w:lineRule="auto"/>
        <w:ind w:left="709"/>
      </w:pPr>
      <w:bookmarkStart w:id="73" w:name="_Toc427045909"/>
      <w:bookmarkStart w:id="74" w:name="_Toc25666054"/>
      <w:bookmarkStart w:id="75" w:name="_Toc164761265"/>
      <w:r w:rsidRPr="00A2506A">
        <w:t>Přezkum účinnosti regulace</w:t>
      </w:r>
      <w:bookmarkEnd w:id="73"/>
      <w:bookmarkEnd w:id="74"/>
      <w:bookmarkEnd w:id="75"/>
      <w:r w:rsidRPr="00A2506A">
        <w:t xml:space="preserve"> </w:t>
      </w:r>
    </w:p>
    <w:p w14:paraId="14DC14DD" w14:textId="6B236B0D" w:rsidR="00522571" w:rsidRPr="0090043B" w:rsidRDefault="00421AC8" w:rsidP="00AB680C">
      <w:pPr>
        <w:widowControl w:val="0"/>
        <w:spacing w:before="0"/>
        <w:rPr>
          <w:color w:val="000000" w:themeColor="text1"/>
        </w:rPr>
      </w:pPr>
      <w:r w:rsidRPr="00A062A1">
        <w:rPr>
          <w:color w:val="000000" w:themeColor="text1"/>
        </w:rPr>
        <w:t>Primárně odpovědným za přezkum účinnosti je</w:t>
      </w:r>
      <w:r w:rsidR="00995900" w:rsidRPr="00A062A1">
        <w:rPr>
          <w:color w:val="000000" w:themeColor="text1"/>
        </w:rPr>
        <w:t xml:space="preserve"> </w:t>
      </w:r>
      <w:r w:rsidR="00995900" w:rsidRPr="00A062A1">
        <w:t xml:space="preserve">Ministerstvo financí. </w:t>
      </w:r>
    </w:p>
    <w:p w14:paraId="3CD9C149" w14:textId="77777777" w:rsidR="00421AC8" w:rsidRPr="00A2506A" w:rsidRDefault="00421AC8" w:rsidP="00AB680C">
      <w:pPr>
        <w:pStyle w:val="Nadpis2"/>
        <w:keepNext w:val="0"/>
        <w:spacing w:line="276" w:lineRule="auto"/>
        <w:ind w:left="709"/>
      </w:pPr>
      <w:bookmarkStart w:id="76" w:name="_Toc427045910"/>
      <w:bookmarkStart w:id="77" w:name="_Toc25666055"/>
      <w:bookmarkStart w:id="78" w:name="_Toc164761266"/>
      <w:r w:rsidRPr="00A2506A">
        <w:t>Konzultace a zdroje dat</w:t>
      </w:r>
      <w:bookmarkEnd w:id="76"/>
      <w:bookmarkEnd w:id="77"/>
      <w:bookmarkEnd w:id="78"/>
    </w:p>
    <w:p w14:paraId="0606FA0B" w14:textId="378EED99" w:rsidR="00B1089B" w:rsidRDefault="00BC63B1" w:rsidP="00AB680C">
      <w:pPr>
        <w:spacing w:before="0"/>
        <w:rPr>
          <w:rFonts w:eastAsiaTheme="majorEastAsia" w:cstheme="majorBidi"/>
          <w:b/>
          <w:bCs/>
          <w:color w:val="140E96"/>
          <w:sz w:val="28"/>
          <w:szCs w:val="24"/>
        </w:rPr>
      </w:pPr>
      <w:r w:rsidRPr="00584CEC">
        <w:rPr>
          <w:color w:val="000000" w:themeColor="text1"/>
        </w:rPr>
        <w:t>Konzultace</w:t>
      </w:r>
      <w:r w:rsidR="00EC3FCF">
        <w:rPr>
          <w:color w:val="000000" w:themeColor="text1"/>
        </w:rPr>
        <w:t xml:space="preserve"> </w:t>
      </w:r>
      <w:r w:rsidR="00CB562C">
        <w:rPr>
          <w:color w:val="000000" w:themeColor="text1"/>
        </w:rPr>
        <w:t xml:space="preserve">k předmětnému návrhu byly diskutovány s jednotlivými zainteresovanými orgány veřejné moci. V průběhu října a listopadu </w:t>
      </w:r>
      <w:r w:rsidR="006811F6">
        <w:rPr>
          <w:color w:val="000000" w:themeColor="text1"/>
        </w:rPr>
        <w:t xml:space="preserve">v roce </w:t>
      </w:r>
      <w:r w:rsidR="00CB562C">
        <w:rPr>
          <w:color w:val="000000" w:themeColor="text1"/>
        </w:rPr>
        <w:t xml:space="preserve">2023 proběhla osobní jednání s Ministerstvem spravedlnosti, Ministerstvem životního prostředí, Ministerstvem zdravotnictví, Ministerstvem průmyslu a obchodu, Ministerstvem zemědělství, Ministerstvem práce a sociálních věcí, Policií ČR – Policejním prezidiem, Ministerstvem dopravy a Ministerstvem kultury. Na tato jednání poté navázala písemná komunikace v rámci návrhů textace </w:t>
      </w:r>
      <w:r w:rsidR="00A062A1">
        <w:rPr>
          <w:color w:val="000000" w:themeColor="text1"/>
        </w:rPr>
        <w:t>paragrafovaných znění.</w:t>
      </w:r>
      <w:r w:rsidR="00B1089B">
        <w:br w:type="page"/>
      </w:r>
    </w:p>
    <w:p w14:paraId="422FC0E8" w14:textId="150253DF" w:rsidR="001D6778" w:rsidRPr="00A2506A" w:rsidRDefault="00497FF1" w:rsidP="00AB680C">
      <w:pPr>
        <w:pStyle w:val="Nadpis1"/>
        <w:keepNext w:val="0"/>
      </w:pPr>
      <w:bookmarkStart w:id="79" w:name="_Toc164761267"/>
      <w:r w:rsidRPr="00A2506A">
        <w:lastRenderedPageBreak/>
        <w:t xml:space="preserve">Výběr </w:t>
      </w:r>
      <w:r w:rsidR="00B44DA1">
        <w:t xml:space="preserve">a vymáhání </w:t>
      </w:r>
      <w:r w:rsidRPr="00A2506A">
        <w:t>pokut za přestupk</w:t>
      </w:r>
      <w:r w:rsidR="00431F25" w:rsidRPr="00A2506A">
        <w:t>y</w:t>
      </w:r>
      <w:r w:rsidRPr="00A2506A">
        <w:t xml:space="preserve"> </w:t>
      </w:r>
      <w:r w:rsidR="00B44DA1">
        <w:t xml:space="preserve">a dalších peněžitých plnění </w:t>
      </w:r>
      <w:r w:rsidR="00784598">
        <w:t>orgány c</w:t>
      </w:r>
      <w:r w:rsidRPr="00A2506A">
        <w:t>elní správ</w:t>
      </w:r>
      <w:r w:rsidR="00784598">
        <w:t>y</w:t>
      </w:r>
      <w:bookmarkEnd w:id="79"/>
    </w:p>
    <w:p w14:paraId="5D12D046" w14:textId="4CB92F19" w:rsidR="001D6778" w:rsidRPr="00A2506A" w:rsidRDefault="001D6778" w:rsidP="00AB680C">
      <w:pPr>
        <w:pStyle w:val="Nadpis2"/>
        <w:keepNext w:val="0"/>
        <w:ind w:left="709"/>
      </w:pPr>
      <w:bookmarkStart w:id="80" w:name="_Toc164761268"/>
      <w:r w:rsidRPr="00A2506A">
        <w:t>Důvod předložení a cíle</w:t>
      </w:r>
      <w:bookmarkEnd w:id="80"/>
    </w:p>
    <w:p w14:paraId="7750B0A3" w14:textId="11FA4AB7" w:rsidR="001D6778" w:rsidRPr="00A2506A" w:rsidRDefault="001D6778" w:rsidP="00AB680C">
      <w:pPr>
        <w:pStyle w:val="Nadpis3"/>
        <w:keepNext w:val="0"/>
      </w:pPr>
      <w:bookmarkStart w:id="81" w:name="_Toc164761269"/>
      <w:r w:rsidRPr="00A2506A">
        <w:t>Definice problému</w:t>
      </w:r>
      <w:bookmarkEnd w:id="81"/>
    </w:p>
    <w:p w14:paraId="7115C9D3" w14:textId="098E5C3B" w:rsidR="001949F4" w:rsidRDefault="001949F4" w:rsidP="00AB680C">
      <w:pPr>
        <w:spacing w:before="0"/>
      </w:pPr>
      <w:r w:rsidRPr="000940EC">
        <w:t xml:space="preserve">Jednou z významných činností celní správy je </w:t>
      </w:r>
      <w:r w:rsidR="00C642ED">
        <w:t>působnost na poli tzv. dělené správy</w:t>
      </w:r>
      <w:r w:rsidR="00C642ED" w:rsidRPr="00C642ED">
        <w:t>, kdy je správa placení peněžitých plnění ukládaných či vznikajících v jiných procesních režimech vykonávána v procesním režimu daňového řádu (dělená správa procesní), popřípadě je zároveň tato správa placení z kompetence orgánu příslušného řešit nalézací rovinu daného peněžitého plnění zcela nebo z části předávána k tomu kompetentnímu specializovanému orgánu v</w:t>
      </w:r>
      <w:r w:rsidR="00C642ED">
        <w:t> </w:t>
      </w:r>
      <w:r w:rsidR="00C642ED" w:rsidRPr="00C642ED">
        <w:t>postavení správce daně (dělená správa věcná nebo též kompetenční). Tímto orgánem je v</w:t>
      </w:r>
      <w:r w:rsidR="00C642ED">
        <w:t> </w:t>
      </w:r>
      <w:r w:rsidR="00C642ED" w:rsidRPr="00C642ED">
        <w:t xml:space="preserve">současnosti především tzv. obecný správce daně, kterým je </w:t>
      </w:r>
      <w:r w:rsidR="00C642ED">
        <w:t xml:space="preserve">právě </w:t>
      </w:r>
      <w:r w:rsidR="00C642ED" w:rsidRPr="00C642ED">
        <w:t>celní úřad.</w:t>
      </w:r>
      <w:r w:rsidR="00C642ED">
        <w:t xml:space="preserve"> </w:t>
      </w:r>
      <w:r w:rsidRPr="00842B3B">
        <w:t>Celní správa vykonává činnosti v oblasti dělené správy již od roku 2006 a v průběhu</w:t>
      </w:r>
      <w:r w:rsidRPr="00F22BBF">
        <w:t xml:space="preserve"> výkonu působnosti osvědčila v této oblasti své kvality, což dokazuje i rozšiřující </w:t>
      </w:r>
      <w:r>
        <w:t xml:space="preserve">se </w:t>
      </w:r>
      <w:r w:rsidRPr="00F22BBF">
        <w:t>množství ukladatelů, kteří se na celní správu obracejí.</w:t>
      </w:r>
      <w:r>
        <w:t xml:space="preserve"> </w:t>
      </w:r>
    </w:p>
    <w:p w14:paraId="6BEC8AE7" w14:textId="08FC26BB" w:rsidR="001949F4" w:rsidRDefault="001949F4" w:rsidP="00AB680C">
      <w:pPr>
        <w:spacing w:before="0"/>
      </w:pPr>
      <w:r>
        <w:t xml:space="preserve">Dělená správa je upravena v § 161 a násl. daňového řádu, </w:t>
      </w:r>
      <w:r w:rsidR="00C642ED">
        <w:t>přičemž</w:t>
      </w:r>
      <w:r>
        <w:t xml:space="preserve"> </w:t>
      </w:r>
      <w:r w:rsidR="00C642ED">
        <w:t xml:space="preserve">v souvislosti s kompetenční dělenou správou se </w:t>
      </w:r>
      <w:r>
        <w:t xml:space="preserve">při praktické aplikaci </w:t>
      </w:r>
      <w:r w:rsidRPr="00A91589">
        <w:t>rozlišuj</w:t>
      </w:r>
      <w:r>
        <w:t>í</w:t>
      </w:r>
      <w:r w:rsidRPr="00A91589">
        <w:t xml:space="preserve"> dva okruhy případů. </w:t>
      </w:r>
      <w:r>
        <w:t xml:space="preserve">Prvním případem </w:t>
      </w:r>
      <w:r w:rsidRPr="00A91589">
        <w:t>je rozdělení věcné působnosti při správě placení peněžitého plnění tak, že dobrovolná část úhrady je svěřena ukládajícímu</w:t>
      </w:r>
      <w:r>
        <w:t xml:space="preserve"> </w:t>
      </w:r>
      <w:r w:rsidRPr="00A91589">
        <w:t>orgánu a vlastní vymáhání pak obecnému správci daně</w:t>
      </w:r>
      <w:r>
        <w:t xml:space="preserve"> (tj. celnímu úřadu); v takovém případě zvláštní zákon stanovuje, že ukladatel vybírá </w:t>
      </w:r>
      <w:r w:rsidR="00C642ED">
        <w:t>dané peněžité plnění</w:t>
      </w:r>
      <w:r w:rsidRPr="00A91589">
        <w:t xml:space="preserve">. </w:t>
      </w:r>
      <w:r>
        <w:t xml:space="preserve">V druhém případě </w:t>
      </w:r>
      <w:r w:rsidRPr="00A91589">
        <w:t xml:space="preserve">je pak </w:t>
      </w:r>
      <w:r>
        <w:t>založena</w:t>
      </w:r>
      <w:r w:rsidRPr="00A91589">
        <w:t xml:space="preserve"> příslušnost obecného správce daně pro obě tyto oblasti, tedy</w:t>
      </w:r>
      <w:r>
        <w:t xml:space="preserve"> jak pro</w:t>
      </w:r>
      <w:r w:rsidRPr="00A91589">
        <w:t xml:space="preserve"> vybírání</w:t>
      </w:r>
      <w:r>
        <w:t xml:space="preserve">, tak </w:t>
      </w:r>
      <w:r w:rsidRPr="00A91589">
        <w:t>i</w:t>
      </w:r>
      <w:r>
        <w:t xml:space="preserve"> pro</w:t>
      </w:r>
      <w:r w:rsidRPr="00A91589">
        <w:t xml:space="preserve"> vymáhání příslušného peněžitého plnění.</w:t>
      </w:r>
    </w:p>
    <w:p w14:paraId="4C66878F" w14:textId="6047B3DC" w:rsidR="00C642ED" w:rsidRDefault="00C642ED" w:rsidP="00AB680C">
      <w:pPr>
        <w:spacing w:before="0"/>
      </w:pPr>
      <w:r>
        <w:t xml:space="preserve">Nejtypičtějším příkladem, kdy je kompetenční dělená správa aplikována, je správa placení pokut uložených v přestupkovém řízení, tedy v režimu správního řádu. Ačkoliv se tedy v dalším textu hovoří </w:t>
      </w:r>
      <w:r w:rsidR="00B44DA1">
        <w:t xml:space="preserve">primárně </w:t>
      </w:r>
      <w:r>
        <w:t xml:space="preserve">o správě placení pokut, téma se může týkat a týká i některých jiných peněžitých plnění.  </w:t>
      </w:r>
    </w:p>
    <w:p w14:paraId="00C6EE60" w14:textId="5E652FBE" w:rsidR="00A004E6" w:rsidRPr="00A004E6" w:rsidRDefault="001949F4" w:rsidP="00AB680C">
      <w:pPr>
        <w:spacing w:before="0"/>
      </w:pPr>
      <w:r w:rsidRPr="00512A18">
        <w:t>Z pohledu aplikační praxe se nejeví obecně žádoucí a hospodárné, aby agenda výběru pokut za</w:t>
      </w:r>
      <w:r w:rsidR="00C642ED">
        <w:t> </w:t>
      </w:r>
      <w:r w:rsidRPr="00512A18">
        <w:t xml:space="preserve">přestupky byla roztříštěna napříč jednotlivými orgány </w:t>
      </w:r>
      <w:r w:rsidR="00E72B81">
        <w:t>veřejné moci</w:t>
      </w:r>
      <w:r w:rsidRPr="00512A18">
        <w:t>, včetně ústředních orgánů státní správy</w:t>
      </w:r>
      <w:r w:rsidR="00471487">
        <w:t xml:space="preserve"> (výjimku představují územně samosprávné celky, tedy obce a kraje)</w:t>
      </w:r>
      <w:r w:rsidR="00DF2DE2" w:rsidRPr="007F0280">
        <w:t>.</w:t>
      </w:r>
      <w:r w:rsidR="00DF2DE2">
        <w:t xml:space="preserve"> </w:t>
      </w:r>
      <w:r w:rsidR="007F0280">
        <w:t>Tento stav</w:t>
      </w:r>
      <w:r w:rsidRPr="00512A18">
        <w:t xml:space="preserve"> vede například k tomu, že každý </w:t>
      </w:r>
      <w:r w:rsidR="009F48EA">
        <w:t>správní</w:t>
      </w:r>
      <w:r w:rsidRPr="00512A18">
        <w:t xml:space="preserve"> orgán </w:t>
      </w:r>
      <w:r w:rsidR="007F0280">
        <w:t>zajišťující výběr pokut</w:t>
      </w:r>
      <w:r w:rsidRPr="00512A18">
        <w:t xml:space="preserve"> musí mít u</w:t>
      </w:r>
      <w:r w:rsidR="009F48EA">
        <w:t> </w:t>
      </w:r>
      <w:r w:rsidRPr="00512A18">
        <w:t xml:space="preserve">České národní banky zřízen pro daný účel vlastní bankovní účet a řešit agendu přeposílání peněžních prostředků </w:t>
      </w:r>
      <w:r w:rsidR="007F0280">
        <w:t>do rozpočtu</w:t>
      </w:r>
      <w:r w:rsidRPr="00512A18">
        <w:t xml:space="preserve"> v návaznosti na jejich rozpočtové určení. Rovněž takový</w:t>
      </w:r>
      <w:r w:rsidR="009F48EA">
        <w:t xml:space="preserve"> správní</w:t>
      </w:r>
      <w:r w:rsidRPr="00512A18">
        <w:t xml:space="preserve"> orgán musí být schopen přijímat hotovostní platby a zajišťovat činnosti spojené se správou placení pokut v celé jejich šíři, například rozhodovat o žádostech o posečkání daně ve smyslu daňového řádu. </w:t>
      </w:r>
      <w:r w:rsidR="007F0280">
        <w:t>Navíc s</w:t>
      </w:r>
      <w:r w:rsidRPr="00512A18">
        <w:t xml:space="preserve">polupráce vybírajícího a vymáhacího orgánu může působit v některých případech obtíže, například v případě dobrovolné úhrady pokuty přímo ukladateli ve fázi, kdy již probíhá exekuční řízení nařízené vymáhacím orgánem; v takovém případě je vybírající orgán povinen peněžní prostředky přeposlat vymáhacímu orgánu. Souhrnně řečeno </w:t>
      </w:r>
      <w:r>
        <w:t xml:space="preserve">lze vnímat </w:t>
      </w:r>
      <w:r w:rsidRPr="00512A18">
        <w:t xml:space="preserve">možný prostor pro zlepšení a úspory v rámci agendy vybírání pokut za přestupky. </w:t>
      </w:r>
    </w:p>
    <w:p w14:paraId="09D5C39D" w14:textId="41753978" w:rsidR="001D6778" w:rsidRPr="00A2506A" w:rsidRDefault="001D6778" w:rsidP="00AB680C">
      <w:pPr>
        <w:pStyle w:val="Nadpis3"/>
        <w:keepNext w:val="0"/>
      </w:pPr>
      <w:bookmarkStart w:id="82" w:name="_Toc164761270"/>
      <w:r w:rsidRPr="00A2506A">
        <w:t>Popis existujícího právního stavu v dané oblasti</w:t>
      </w:r>
      <w:bookmarkEnd w:id="82"/>
    </w:p>
    <w:p w14:paraId="5DB3962B" w14:textId="77777777" w:rsidR="000C2F53" w:rsidRDefault="00B43C8A" w:rsidP="00AB680C">
      <w:pPr>
        <w:spacing w:before="0"/>
        <w:rPr>
          <w:rFonts w:cs="Times New Roman"/>
          <w:szCs w:val="24"/>
        </w:rPr>
      </w:pPr>
      <w:r w:rsidRPr="000C2F53">
        <w:rPr>
          <w:rFonts w:cs="Times New Roman"/>
          <w:szCs w:val="24"/>
        </w:rPr>
        <w:t>V českém právním řádu vymezují dělenou správu primárně ustanovení daňového řádu, konkrétně § 161 a 162. Jedná se rovněž o pojem, který je dostatečně vymezen i v rámci ustálené judikatury vyšších soudů, např. v rozsudku Nejvyššího správního soudu č. j. 6 As 152/2014 – 78, ve kterém se konkrétně uvádí mimo jiné toto: „</w:t>
      </w:r>
      <w:r w:rsidRPr="007F0280">
        <w:rPr>
          <w:rFonts w:cs="Times New Roman"/>
          <w:i/>
          <w:szCs w:val="24"/>
        </w:rPr>
        <w:t xml:space="preserve">Podstatou dělené správy je rozlišení tří fází tohoto procesu – ukládání pokuty, které končí okamžikem právní moci rozhodnutí správního orgánu (orgánu veřejné moci), který není správcem daně, o uložení peněžité sankce; vybírání </w:t>
      </w:r>
      <w:r w:rsidRPr="007F0280">
        <w:rPr>
          <w:rFonts w:cs="Times New Roman"/>
          <w:i/>
          <w:szCs w:val="24"/>
        </w:rPr>
        <w:lastRenderedPageBreak/>
        <w:t>uložené sankce (inkaso dobrovolného splnění uložené peněžité sankce) a vymáhání uložené sankce v případě, že tato nebyla ve lhůtě splatnosti povinným subjektem dobrovolně uhrazena. V případě dělené správy sankci ukládá orgán, který není správcem daně, ale v další fázi procesu buď týž orgán, nebo jiný státní orgán (např. obecný správce daně) postupuje podle procesních daňových předpisů a vybírající nebo vymáhající orgán má již procesní postavení správce daně</w:t>
      </w:r>
      <w:r w:rsidRPr="000C2F53">
        <w:rPr>
          <w:rFonts w:cs="Times New Roman"/>
          <w:szCs w:val="24"/>
        </w:rPr>
        <w:t>.“.</w:t>
      </w:r>
    </w:p>
    <w:p w14:paraId="2F435B21" w14:textId="60D1303E" w:rsidR="000C2F53" w:rsidRDefault="006C1BD8" w:rsidP="00AB680C">
      <w:pPr>
        <w:spacing w:before="0"/>
        <w:rPr>
          <w:rFonts w:cs="Times New Roman"/>
          <w:szCs w:val="24"/>
        </w:rPr>
      </w:pPr>
      <w:r w:rsidRPr="000C2F53">
        <w:rPr>
          <w:rFonts w:cs="Times New Roman"/>
          <w:szCs w:val="24"/>
        </w:rPr>
        <w:t>Prvním aspektem dělené správy je změna procesní úpravy (tzv. procesní dělená správa), kdy pokuta je ukládána podle předpisů správního práva za subsidiárního použití správního řádu a</w:t>
      </w:r>
      <w:r w:rsidR="004B6275">
        <w:rPr>
          <w:rFonts w:cs="Times New Roman"/>
          <w:szCs w:val="24"/>
        </w:rPr>
        <w:t> </w:t>
      </w:r>
      <w:r w:rsidRPr="000C2F53">
        <w:rPr>
          <w:rFonts w:cs="Times New Roman"/>
          <w:szCs w:val="24"/>
        </w:rPr>
        <w:t>následné postupy ohledně vybírání a případně vymáhání pokuty jsou již prováděny podle předpisů daňového práva (především daňového řádu) a správní orgán získává pro fáze vybírání a vymáhání uložené pokuty postavení správce daně. Procesní dělená správa je zakotvena v</w:t>
      </w:r>
      <w:r w:rsidR="00BC5D3A">
        <w:rPr>
          <w:rFonts w:cs="Times New Roman"/>
          <w:szCs w:val="24"/>
        </w:rPr>
        <w:t> </w:t>
      </w:r>
      <w:r w:rsidRPr="000C2F53">
        <w:rPr>
          <w:rFonts w:cs="Times New Roman"/>
          <w:szCs w:val="24"/>
        </w:rPr>
        <w:t>ustanovení § 161 odst. 1 a 2 daňového řádu, kdy není řešena</w:t>
      </w:r>
      <w:r w:rsidR="008B22B0">
        <w:rPr>
          <w:rFonts w:cs="Times New Roman"/>
          <w:szCs w:val="24"/>
        </w:rPr>
        <w:t xml:space="preserve"> změna orgánu veřejné moci, ale </w:t>
      </w:r>
      <w:r w:rsidRPr="000C2F53">
        <w:rPr>
          <w:rFonts w:cs="Times New Roman"/>
          <w:szCs w:val="24"/>
        </w:rPr>
        <w:t>pouze změna postavení tohoto orgánu s ohledem na příslušnou právní úpravu. Je nutné zdůraznit, že k dělené správě dochází i při dobrovolném splnění uložené povinnosti. Rozhodující význam z pohledu procesní dělené správy má skutečnost, že správu peněžitého plnění (vybírání, či vymáhání uložené povinnosti) uskutečňuje vždy správce daně podle daňových procesních předpisů, zatímco povinnost byla uložena správním orgánem v režimu správního řádu.</w:t>
      </w:r>
    </w:p>
    <w:p w14:paraId="41A95CB6" w14:textId="77777777" w:rsidR="000C2F53" w:rsidRDefault="006C1BD8" w:rsidP="00AB680C">
      <w:pPr>
        <w:spacing w:before="0"/>
        <w:rPr>
          <w:rFonts w:cs="Times New Roman"/>
          <w:szCs w:val="24"/>
        </w:rPr>
      </w:pPr>
      <w:r w:rsidRPr="000C2F53">
        <w:rPr>
          <w:rFonts w:cs="Times New Roman"/>
          <w:szCs w:val="24"/>
        </w:rPr>
        <w:t>Druhým aspektem dělené správy je změna příslušného orgánu veřejné moci, který jednotlivé fáze dělené správy provádí. V tomto případě se jedná o tzv. věcnou (kompetenční) dělenou správu, která je řešena ustanovením § 161 odst. 3 a § 162 daňového řádu. Při věcné dělené správě dochází k přesunu kompetence z „původního“ orgánu veřejné moci, který peněžité plnění uložil, na jiný orgán veřejné moci, který bude spravovat placení uložené pokuty (tedy ji zejména vybírat, vymáhat a evidovat).</w:t>
      </w:r>
    </w:p>
    <w:p w14:paraId="1F3BD302" w14:textId="183A5E55" w:rsidR="000C2F53" w:rsidRDefault="007F2E64" w:rsidP="00AB680C">
      <w:pPr>
        <w:spacing w:before="0"/>
        <w:rPr>
          <w:rFonts w:cs="Times New Roman"/>
          <w:szCs w:val="24"/>
        </w:rPr>
      </w:pPr>
      <w:r w:rsidRPr="000C2F53">
        <w:rPr>
          <w:rFonts w:cs="Times New Roman"/>
          <w:szCs w:val="24"/>
        </w:rPr>
        <w:t>V § 162 daňového řádu je pro oblast věcné dělené správy podrobněji stanoven postup pro</w:t>
      </w:r>
      <w:r w:rsidR="008B22B0">
        <w:rPr>
          <w:rFonts w:cs="Times New Roman"/>
          <w:szCs w:val="24"/>
        </w:rPr>
        <w:t> </w:t>
      </w:r>
      <w:r w:rsidRPr="000C2F53">
        <w:rPr>
          <w:rFonts w:cs="Times New Roman"/>
          <w:szCs w:val="24"/>
        </w:rPr>
        <w:t>součinnost mezi správním orgánem, který pokutu uložil, a správcem daně, který provádí správu placení, resp. vymáhání uložené pokuty. Obecně tedy mohou v rámci věcné dělené správy nastat dvě situace. Orgán veřejné moci peněžité plnění osobě uloží a následně předá správu placení tohoto uloženého peněžitého plnění správci daně, kdy tento postup upravuje §</w:t>
      </w:r>
      <w:r w:rsidR="00810EB9">
        <w:rPr>
          <w:rFonts w:cs="Times New Roman"/>
          <w:szCs w:val="24"/>
        </w:rPr>
        <w:t> </w:t>
      </w:r>
      <w:r w:rsidRPr="000C2F53">
        <w:rPr>
          <w:rFonts w:cs="Times New Roman"/>
          <w:szCs w:val="24"/>
        </w:rPr>
        <w:t>162 odst. 1 daňového řádu, nebo orgán veřejné moci správu placení uloženého peněžitého plnění správci daně předá pouze v případě, že ho osoba nesplnila dobrovolně, a jedná se tedy o</w:t>
      </w:r>
      <w:r w:rsidR="008B22B0">
        <w:rPr>
          <w:rFonts w:cs="Times New Roman"/>
          <w:szCs w:val="24"/>
        </w:rPr>
        <w:t> </w:t>
      </w:r>
      <w:r w:rsidRPr="000C2F53">
        <w:rPr>
          <w:rFonts w:cs="Times New Roman"/>
          <w:szCs w:val="24"/>
        </w:rPr>
        <w:t>postup podle § 162 odst. 2 daňového řádu. Správce daně tedy v tomto druhém případě bude příslušný pouze k vymáhání tohoto plnění. Jinými slovy v prvém případě správce daně spravuje peněžité plnění i u dobrovolného splnění, ve druhém až poté, co dobrovolně splněno není.</w:t>
      </w:r>
    </w:p>
    <w:p w14:paraId="50951DA9" w14:textId="77777777" w:rsidR="000C2F53" w:rsidRDefault="007F2E64" w:rsidP="00AB680C">
      <w:pPr>
        <w:spacing w:before="0"/>
        <w:rPr>
          <w:rFonts w:cs="Times New Roman"/>
          <w:szCs w:val="24"/>
        </w:rPr>
      </w:pPr>
      <w:r w:rsidRPr="000C2F53">
        <w:rPr>
          <w:rFonts w:cs="Times New Roman"/>
          <w:szCs w:val="24"/>
        </w:rPr>
        <w:t>V rámci předpisů správního práva je dělená správa zakotvena primárně v § 106</w:t>
      </w:r>
      <w:r w:rsidR="000C2F53">
        <w:rPr>
          <w:rFonts w:cs="Times New Roman"/>
          <w:szCs w:val="24"/>
        </w:rPr>
        <w:t xml:space="preserve"> </w:t>
      </w:r>
      <w:r w:rsidRPr="000C2F53">
        <w:rPr>
          <w:rFonts w:cs="Times New Roman"/>
          <w:szCs w:val="24"/>
        </w:rPr>
        <w:t>správního řádu, kdy z pohledu procesní dělené správy je stěžejní odst. 3, který</w:t>
      </w:r>
      <w:r w:rsidR="000C2F53">
        <w:rPr>
          <w:rFonts w:cs="Times New Roman"/>
          <w:szCs w:val="24"/>
        </w:rPr>
        <w:t xml:space="preserve"> </w:t>
      </w:r>
      <w:r w:rsidRPr="000C2F53">
        <w:rPr>
          <w:rFonts w:cs="Times New Roman"/>
          <w:szCs w:val="24"/>
        </w:rPr>
        <w:t>stanovuje, že pro exekuci, vybírání a evidenci peněžitých plnění se uplatní postup</w:t>
      </w:r>
      <w:r w:rsidR="000C2F53">
        <w:rPr>
          <w:rFonts w:cs="Times New Roman"/>
          <w:szCs w:val="24"/>
        </w:rPr>
        <w:t xml:space="preserve"> </w:t>
      </w:r>
      <w:r w:rsidRPr="000C2F53">
        <w:rPr>
          <w:rFonts w:cs="Times New Roman"/>
          <w:szCs w:val="24"/>
        </w:rPr>
        <w:t>pro správu daní. Jinými slovy jedná se o zákonné zmocnění pro záměnu právní úpravy</w:t>
      </w:r>
      <w:r w:rsidR="000C2F53">
        <w:rPr>
          <w:rFonts w:cs="Times New Roman"/>
          <w:szCs w:val="24"/>
        </w:rPr>
        <w:t xml:space="preserve"> </w:t>
      </w:r>
      <w:r w:rsidRPr="000C2F53">
        <w:rPr>
          <w:rFonts w:cs="Times New Roman"/>
          <w:szCs w:val="24"/>
        </w:rPr>
        <w:t>u případů, kdy byla peněžitá plnění uložena podle předpisů správního práva,</w:t>
      </w:r>
      <w:r w:rsidR="000C2F53">
        <w:rPr>
          <w:rFonts w:cs="Times New Roman"/>
          <w:szCs w:val="24"/>
        </w:rPr>
        <w:t xml:space="preserve"> </w:t>
      </w:r>
      <w:r w:rsidRPr="000C2F53">
        <w:rPr>
          <w:rFonts w:cs="Times New Roman"/>
          <w:szCs w:val="24"/>
        </w:rPr>
        <w:t>ale následně správa placení, resp. vymáhání již budou prováděny postupy pro správu</w:t>
      </w:r>
      <w:r w:rsidR="000C2F53">
        <w:rPr>
          <w:rFonts w:cs="Times New Roman"/>
          <w:szCs w:val="24"/>
        </w:rPr>
        <w:t xml:space="preserve"> </w:t>
      </w:r>
      <w:r w:rsidRPr="000C2F53">
        <w:rPr>
          <w:rFonts w:cs="Times New Roman"/>
          <w:szCs w:val="24"/>
        </w:rPr>
        <w:t>daní, tedy postupy podle daňového řádu.</w:t>
      </w:r>
    </w:p>
    <w:p w14:paraId="42A49603" w14:textId="0EC048DB" w:rsidR="000C2F53" w:rsidRDefault="003B4CFA" w:rsidP="00AB680C">
      <w:pPr>
        <w:spacing w:before="0"/>
        <w:rPr>
          <w:rFonts w:cs="Times New Roman"/>
          <w:szCs w:val="24"/>
        </w:rPr>
      </w:pPr>
      <w:r w:rsidRPr="000C2F53">
        <w:rPr>
          <w:rFonts w:cs="Times New Roman"/>
          <w:szCs w:val="24"/>
        </w:rPr>
        <w:t>Pokud jde o dělenou správu věcnou (kompetenční), klíčové je ustanovení § 106 odst. 1</w:t>
      </w:r>
      <w:r w:rsidR="000C2F53">
        <w:rPr>
          <w:rFonts w:cs="Times New Roman"/>
          <w:szCs w:val="24"/>
        </w:rPr>
        <w:t xml:space="preserve"> </w:t>
      </w:r>
      <w:r w:rsidRPr="000C2F53">
        <w:rPr>
          <w:rFonts w:cs="Times New Roman"/>
          <w:szCs w:val="24"/>
        </w:rPr>
        <w:t xml:space="preserve">správního řádu, které </w:t>
      </w:r>
      <w:r w:rsidR="00FB2CA0">
        <w:rPr>
          <w:rFonts w:cs="Times New Roman"/>
          <w:szCs w:val="24"/>
        </w:rPr>
        <w:t xml:space="preserve">předpokládá, že – není-li stanoveno jinak – obecný správce daně (celní úřad) provádí výběr a vymáhání peněžitých plnění uložených v režimu správního řádu. </w:t>
      </w:r>
      <w:r w:rsidR="00B36A53" w:rsidRPr="000C2F53">
        <w:rPr>
          <w:rFonts w:cs="Times New Roman"/>
          <w:szCs w:val="24"/>
        </w:rPr>
        <w:t>Pro</w:t>
      </w:r>
      <w:r w:rsidR="00FB2CA0">
        <w:rPr>
          <w:rFonts w:cs="Times New Roman"/>
          <w:szCs w:val="24"/>
        </w:rPr>
        <w:t> </w:t>
      </w:r>
      <w:r w:rsidR="00B36A53" w:rsidRPr="000C2F53">
        <w:rPr>
          <w:rFonts w:cs="Times New Roman"/>
          <w:szCs w:val="24"/>
        </w:rPr>
        <w:t>stanovení postupu nakládání s peněžitým plněním je současně třeba aplikovat kompetenční ustanovení obsažené</w:t>
      </w:r>
      <w:r w:rsidR="000C2F53">
        <w:rPr>
          <w:rFonts w:cs="Times New Roman"/>
          <w:szCs w:val="24"/>
        </w:rPr>
        <w:t xml:space="preserve"> </w:t>
      </w:r>
      <w:r w:rsidR="00B36A53" w:rsidRPr="000C2F53">
        <w:rPr>
          <w:rFonts w:cs="Times New Roman"/>
          <w:szCs w:val="24"/>
        </w:rPr>
        <w:t>v § 8 odst. 2 zákona o C</w:t>
      </w:r>
      <w:r w:rsidR="00AF2038">
        <w:rPr>
          <w:rFonts w:cs="Times New Roman"/>
          <w:szCs w:val="24"/>
        </w:rPr>
        <w:t>elní správě Č</w:t>
      </w:r>
      <w:r w:rsidR="00937333">
        <w:rPr>
          <w:rFonts w:cs="Times New Roman"/>
          <w:szCs w:val="24"/>
        </w:rPr>
        <w:t>R</w:t>
      </w:r>
      <w:r w:rsidR="00B36A53" w:rsidRPr="000C2F53">
        <w:rPr>
          <w:rFonts w:cs="Times New Roman"/>
          <w:szCs w:val="24"/>
        </w:rPr>
        <w:t>, které kromě explicitního určení celních úřadů jako</w:t>
      </w:r>
      <w:r w:rsidR="000C2F53">
        <w:rPr>
          <w:rFonts w:cs="Times New Roman"/>
          <w:szCs w:val="24"/>
        </w:rPr>
        <w:t xml:space="preserve"> </w:t>
      </w:r>
      <w:r w:rsidR="00B36A53" w:rsidRPr="000C2F53">
        <w:rPr>
          <w:rFonts w:cs="Times New Roman"/>
          <w:szCs w:val="24"/>
        </w:rPr>
        <w:t>obecného správce daně též stanoví, že celní úřad jako obecný správce daně</w:t>
      </w:r>
      <w:r w:rsidR="000C2F53">
        <w:rPr>
          <w:rFonts w:cs="Times New Roman"/>
          <w:szCs w:val="24"/>
        </w:rPr>
        <w:t xml:space="preserve"> </w:t>
      </w:r>
      <w:r w:rsidR="00B36A53" w:rsidRPr="000C2F53">
        <w:rPr>
          <w:rFonts w:cs="Times New Roman"/>
          <w:szCs w:val="24"/>
        </w:rPr>
        <w:t>„vykonává správu placení peněžitých plnění v rámci dělené správy, která jsou příjmem</w:t>
      </w:r>
      <w:r w:rsidR="000C2F53">
        <w:rPr>
          <w:rFonts w:cs="Times New Roman"/>
          <w:szCs w:val="24"/>
        </w:rPr>
        <w:t xml:space="preserve"> </w:t>
      </w:r>
      <w:r w:rsidR="00B36A53" w:rsidRPr="000C2F53">
        <w:rPr>
          <w:rFonts w:cs="Times New Roman"/>
          <w:szCs w:val="24"/>
        </w:rPr>
        <w:t xml:space="preserve">státního </w:t>
      </w:r>
      <w:r w:rsidR="00B36A53" w:rsidRPr="000C2F53">
        <w:rPr>
          <w:rFonts w:cs="Times New Roman"/>
          <w:szCs w:val="24"/>
        </w:rPr>
        <w:lastRenderedPageBreak/>
        <w:t>rozpočtu, státních fondů nebo rozpočtů územních samosprávných celků“.</w:t>
      </w:r>
      <w:r w:rsidR="00FB2CA0">
        <w:rPr>
          <w:rFonts w:cs="Times New Roman"/>
          <w:szCs w:val="24"/>
        </w:rPr>
        <w:t xml:space="preserve"> Zde tedy dochází k určitému zúžení oproti ustanovení § 106 odst. 1 správního řádu, kdy celní úřad je ustaven v roli obecného správce daně pouze pro správu placení poněkud užšího okruhu peněžitých plnění podle toho, jakého rozpočtu jsou příjmem.</w:t>
      </w:r>
    </w:p>
    <w:p w14:paraId="385253AE" w14:textId="77777777" w:rsidR="000C2F53" w:rsidRDefault="000C2F53" w:rsidP="00AB680C">
      <w:pPr>
        <w:spacing w:before="0"/>
        <w:rPr>
          <w:rFonts w:cs="Times New Roman"/>
          <w:szCs w:val="24"/>
        </w:rPr>
      </w:pPr>
      <w:r w:rsidRPr="000C2F53">
        <w:rPr>
          <w:rFonts w:cs="Times New Roman"/>
          <w:szCs w:val="24"/>
        </w:rPr>
        <w:t>Lze tedy shrnout, že obecně v rámci zvláštních správních zákonů mohou ohledně</w:t>
      </w:r>
      <w:r>
        <w:rPr>
          <w:rFonts w:cs="Times New Roman"/>
          <w:szCs w:val="24"/>
        </w:rPr>
        <w:t xml:space="preserve"> </w:t>
      </w:r>
      <w:r w:rsidRPr="000C2F53">
        <w:rPr>
          <w:rFonts w:cs="Times New Roman"/>
          <w:szCs w:val="24"/>
        </w:rPr>
        <w:t>ukládání pokut nastat tyto kompetenční situace:</w:t>
      </w:r>
    </w:p>
    <w:p w14:paraId="4A096670" w14:textId="77777777" w:rsidR="000C2F53" w:rsidRDefault="000C2F53" w:rsidP="00AB680C">
      <w:pPr>
        <w:spacing w:before="0"/>
        <w:rPr>
          <w:rFonts w:cs="Times New Roman"/>
          <w:szCs w:val="24"/>
        </w:rPr>
      </w:pPr>
      <w:r w:rsidRPr="000C2F53">
        <w:rPr>
          <w:rFonts w:cs="Times New Roman"/>
          <w:szCs w:val="24"/>
        </w:rPr>
        <w:t>1) Zákonodárce ve zvláštním zákoně výslovně stanovil, že orgán, který pokutu uložil,</w:t>
      </w:r>
      <w:r>
        <w:rPr>
          <w:rFonts w:cs="Times New Roman"/>
          <w:szCs w:val="24"/>
        </w:rPr>
        <w:t xml:space="preserve"> </w:t>
      </w:r>
      <w:r w:rsidRPr="000C2F53">
        <w:rPr>
          <w:rFonts w:cs="Times New Roman"/>
          <w:szCs w:val="24"/>
        </w:rPr>
        <w:t>tak je příslušný i pro vybírání a vymáhání. V takovém případě nedochází k</w:t>
      </w:r>
      <w:r>
        <w:rPr>
          <w:rFonts w:cs="Times New Roman"/>
          <w:szCs w:val="24"/>
        </w:rPr>
        <w:t> </w:t>
      </w:r>
      <w:r w:rsidRPr="000C2F53">
        <w:rPr>
          <w:rFonts w:cs="Times New Roman"/>
          <w:szCs w:val="24"/>
        </w:rPr>
        <w:t>věcné</w:t>
      </w:r>
      <w:r>
        <w:rPr>
          <w:rFonts w:cs="Times New Roman"/>
          <w:szCs w:val="24"/>
        </w:rPr>
        <w:t xml:space="preserve"> </w:t>
      </w:r>
      <w:r w:rsidRPr="000C2F53">
        <w:rPr>
          <w:rFonts w:cs="Times New Roman"/>
          <w:szCs w:val="24"/>
        </w:rPr>
        <w:t>dělené správě, ale pouze k procesní dělené správě.</w:t>
      </w:r>
    </w:p>
    <w:p w14:paraId="16BB0C37" w14:textId="2FD1F871" w:rsidR="000C2F53" w:rsidRDefault="000C2F53" w:rsidP="00AB680C">
      <w:pPr>
        <w:spacing w:before="0"/>
        <w:rPr>
          <w:rFonts w:cs="Times New Roman"/>
          <w:szCs w:val="24"/>
        </w:rPr>
      </w:pPr>
      <w:r w:rsidRPr="000C2F53">
        <w:rPr>
          <w:rFonts w:cs="Times New Roman"/>
          <w:szCs w:val="24"/>
        </w:rPr>
        <w:t>2) Zákonodárce ve zvláštním zákoně výslovně stanovil, že správní orgán je příslušný</w:t>
      </w:r>
      <w:r>
        <w:rPr>
          <w:rFonts w:cs="Times New Roman"/>
          <w:szCs w:val="24"/>
        </w:rPr>
        <w:t xml:space="preserve"> </w:t>
      </w:r>
      <w:r w:rsidRPr="000C2F53">
        <w:rPr>
          <w:rFonts w:cs="Times New Roman"/>
          <w:szCs w:val="24"/>
        </w:rPr>
        <w:t>pouze k</w:t>
      </w:r>
      <w:r w:rsidR="00532ACB">
        <w:rPr>
          <w:rFonts w:cs="Times New Roman"/>
          <w:szCs w:val="24"/>
        </w:rPr>
        <w:t> </w:t>
      </w:r>
      <w:r w:rsidRPr="000C2F53">
        <w:rPr>
          <w:rFonts w:cs="Times New Roman"/>
          <w:szCs w:val="24"/>
        </w:rPr>
        <w:t>projednání přestupku (uložení pokuty) a k vybírání. Zákonodárce následně</w:t>
      </w:r>
      <w:r>
        <w:rPr>
          <w:rFonts w:cs="Times New Roman"/>
          <w:szCs w:val="24"/>
        </w:rPr>
        <w:t xml:space="preserve"> </w:t>
      </w:r>
      <w:r w:rsidRPr="000C2F53">
        <w:rPr>
          <w:rFonts w:cs="Times New Roman"/>
          <w:szCs w:val="24"/>
        </w:rPr>
        <w:t>přímo ve</w:t>
      </w:r>
      <w:r w:rsidR="00532ACB">
        <w:rPr>
          <w:rFonts w:cs="Times New Roman"/>
          <w:szCs w:val="24"/>
        </w:rPr>
        <w:t> </w:t>
      </w:r>
      <w:r w:rsidRPr="000C2F53">
        <w:rPr>
          <w:rFonts w:cs="Times New Roman"/>
          <w:szCs w:val="24"/>
        </w:rPr>
        <w:t>zvláštním zákoně stanovil, že k vymáhání je příslušný jiný orgán (např. celní</w:t>
      </w:r>
      <w:r>
        <w:rPr>
          <w:rFonts w:cs="Times New Roman"/>
          <w:szCs w:val="24"/>
        </w:rPr>
        <w:t xml:space="preserve"> </w:t>
      </w:r>
      <w:r w:rsidRPr="000C2F53">
        <w:rPr>
          <w:rFonts w:cs="Times New Roman"/>
          <w:szCs w:val="24"/>
        </w:rPr>
        <w:t>úřad). V</w:t>
      </w:r>
      <w:r w:rsidR="00532ACB">
        <w:rPr>
          <w:rFonts w:cs="Times New Roman"/>
          <w:szCs w:val="24"/>
        </w:rPr>
        <w:t> </w:t>
      </w:r>
      <w:r w:rsidRPr="000C2F53">
        <w:rPr>
          <w:rFonts w:cs="Times New Roman"/>
          <w:szCs w:val="24"/>
        </w:rPr>
        <w:t>takovém případě dochází jak k procesní, tak věcné dělené správě,</w:t>
      </w:r>
      <w:r>
        <w:rPr>
          <w:rFonts w:cs="Times New Roman"/>
          <w:szCs w:val="24"/>
        </w:rPr>
        <w:t xml:space="preserve"> </w:t>
      </w:r>
      <w:r w:rsidRPr="000C2F53">
        <w:rPr>
          <w:rFonts w:cs="Times New Roman"/>
          <w:szCs w:val="24"/>
        </w:rPr>
        <w:t>ale příslušnost celních úřadů je stanovena přímo speciální úpravou ve zvláštním</w:t>
      </w:r>
      <w:r>
        <w:rPr>
          <w:rFonts w:cs="Times New Roman"/>
          <w:szCs w:val="24"/>
        </w:rPr>
        <w:t xml:space="preserve"> </w:t>
      </w:r>
      <w:r w:rsidRPr="000C2F53">
        <w:rPr>
          <w:rFonts w:cs="Times New Roman"/>
          <w:szCs w:val="24"/>
        </w:rPr>
        <w:t>zákoně.</w:t>
      </w:r>
    </w:p>
    <w:p w14:paraId="52C846E3" w14:textId="491744EC" w:rsidR="000C2F53" w:rsidRDefault="000C2F53" w:rsidP="00AB680C">
      <w:pPr>
        <w:spacing w:before="0"/>
        <w:rPr>
          <w:rFonts w:cs="Times New Roman"/>
          <w:szCs w:val="24"/>
        </w:rPr>
      </w:pPr>
      <w:r w:rsidRPr="000C2F53">
        <w:rPr>
          <w:rFonts w:cs="Times New Roman"/>
          <w:szCs w:val="24"/>
        </w:rPr>
        <w:t>3) Zákonodárce ve zvláštním zákoně výslovně stanovil, že správní orgán je příslušný</w:t>
      </w:r>
      <w:r>
        <w:rPr>
          <w:rFonts w:cs="Times New Roman"/>
          <w:szCs w:val="24"/>
        </w:rPr>
        <w:t xml:space="preserve"> </w:t>
      </w:r>
      <w:r w:rsidRPr="000C2F53">
        <w:rPr>
          <w:rFonts w:cs="Times New Roman"/>
          <w:szCs w:val="24"/>
        </w:rPr>
        <w:t>k</w:t>
      </w:r>
      <w:r w:rsidR="00532ACB">
        <w:rPr>
          <w:rFonts w:cs="Times New Roman"/>
          <w:szCs w:val="24"/>
        </w:rPr>
        <w:t> </w:t>
      </w:r>
      <w:r w:rsidRPr="000C2F53">
        <w:rPr>
          <w:rFonts w:cs="Times New Roman"/>
          <w:szCs w:val="24"/>
        </w:rPr>
        <w:t>projednání přestupku (uložení pokuty) a k vybírání, ale chybí speciální úprava</w:t>
      </w:r>
      <w:r>
        <w:rPr>
          <w:rFonts w:cs="Times New Roman"/>
          <w:szCs w:val="24"/>
        </w:rPr>
        <w:t xml:space="preserve"> </w:t>
      </w:r>
      <w:r w:rsidRPr="000C2F53">
        <w:rPr>
          <w:rFonts w:cs="Times New Roman"/>
          <w:szCs w:val="24"/>
        </w:rPr>
        <w:t>ohledně vymáhání. V takovém případě se uplatní postup podle § 106 odst. 1 správního</w:t>
      </w:r>
      <w:r>
        <w:rPr>
          <w:rFonts w:cs="Times New Roman"/>
          <w:szCs w:val="24"/>
        </w:rPr>
        <w:t xml:space="preserve"> </w:t>
      </w:r>
      <w:r w:rsidRPr="000C2F53">
        <w:rPr>
          <w:rFonts w:cs="Times New Roman"/>
          <w:szCs w:val="24"/>
        </w:rPr>
        <w:t>řádu</w:t>
      </w:r>
      <w:r w:rsidR="00532ACB">
        <w:rPr>
          <w:rFonts w:cs="Times New Roman"/>
          <w:szCs w:val="24"/>
        </w:rPr>
        <w:t>, resp. podle</w:t>
      </w:r>
      <w:r w:rsidRPr="000C2F53">
        <w:rPr>
          <w:rFonts w:cs="Times New Roman"/>
          <w:szCs w:val="24"/>
        </w:rPr>
        <w:t xml:space="preserve"> </w:t>
      </w:r>
      <w:r w:rsidR="00532ACB" w:rsidRPr="000C2F53">
        <w:rPr>
          <w:rFonts w:cs="Times New Roman"/>
          <w:szCs w:val="24"/>
        </w:rPr>
        <w:t>§ 8</w:t>
      </w:r>
      <w:r w:rsidR="00532ACB">
        <w:rPr>
          <w:rFonts w:cs="Times New Roman"/>
          <w:szCs w:val="24"/>
        </w:rPr>
        <w:t xml:space="preserve"> </w:t>
      </w:r>
      <w:r w:rsidR="00532ACB" w:rsidRPr="000C2F53">
        <w:rPr>
          <w:rFonts w:cs="Times New Roman"/>
          <w:szCs w:val="24"/>
        </w:rPr>
        <w:t>odst. 2 zákona o C</w:t>
      </w:r>
      <w:r w:rsidR="00532ACB">
        <w:rPr>
          <w:rFonts w:cs="Times New Roman"/>
          <w:szCs w:val="24"/>
        </w:rPr>
        <w:t>elní správě ČR</w:t>
      </w:r>
      <w:r w:rsidR="00532ACB" w:rsidRPr="000C2F53">
        <w:rPr>
          <w:rFonts w:cs="Times New Roman"/>
          <w:szCs w:val="24"/>
        </w:rPr>
        <w:t xml:space="preserve"> </w:t>
      </w:r>
      <w:r w:rsidRPr="000C2F53">
        <w:rPr>
          <w:rFonts w:cs="Times New Roman"/>
          <w:szCs w:val="24"/>
        </w:rPr>
        <w:t>a celní úřad v postavení obecného správce daně bude provádět pouze vymáhání.</w:t>
      </w:r>
    </w:p>
    <w:p w14:paraId="5A8436A9" w14:textId="3C5F6B76" w:rsidR="000C2F53" w:rsidRDefault="000C2F53" w:rsidP="00AB680C">
      <w:pPr>
        <w:spacing w:before="0"/>
        <w:rPr>
          <w:rFonts w:cs="Times New Roman"/>
          <w:szCs w:val="24"/>
        </w:rPr>
      </w:pPr>
      <w:r w:rsidRPr="000C2F53">
        <w:rPr>
          <w:rFonts w:cs="Times New Roman"/>
          <w:szCs w:val="24"/>
        </w:rPr>
        <w:t>4) Zákonodárce ve zvláštním zákoně výslovně stanovil, že správní orgán je příslušný</w:t>
      </w:r>
      <w:r>
        <w:rPr>
          <w:rFonts w:cs="Times New Roman"/>
          <w:szCs w:val="24"/>
        </w:rPr>
        <w:t xml:space="preserve"> </w:t>
      </w:r>
      <w:r w:rsidRPr="000C2F53">
        <w:rPr>
          <w:rFonts w:cs="Times New Roman"/>
          <w:szCs w:val="24"/>
        </w:rPr>
        <w:t>pouze k</w:t>
      </w:r>
      <w:r w:rsidR="00532ACB">
        <w:rPr>
          <w:rFonts w:cs="Times New Roman"/>
          <w:szCs w:val="24"/>
        </w:rPr>
        <w:t> </w:t>
      </w:r>
      <w:r w:rsidRPr="000C2F53">
        <w:rPr>
          <w:rFonts w:cs="Times New Roman"/>
          <w:szCs w:val="24"/>
        </w:rPr>
        <w:t>projednání přestupku (uložení pokuty), ale ve zvláštním zákoně zcela</w:t>
      </w:r>
      <w:r>
        <w:rPr>
          <w:rFonts w:cs="Times New Roman"/>
          <w:szCs w:val="24"/>
        </w:rPr>
        <w:t xml:space="preserve"> </w:t>
      </w:r>
      <w:r w:rsidRPr="000C2F53">
        <w:rPr>
          <w:rFonts w:cs="Times New Roman"/>
          <w:szCs w:val="24"/>
        </w:rPr>
        <w:t>absentuje jakákoliv úprava ohledně vybírání a vymáhání uložených pokut. V</w:t>
      </w:r>
      <w:r>
        <w:rPr>
          <w:rFonts w:cs="Times New Roman"/>
          <w:szCs w:val="24"/>
        </w:rPr>
        <w:t> </w:t>
      </w:r>
      <w:r w:rsidRPr="000C2F53">
        <w:rPr>
          <w:rFonts w:cs="Times New Roman"/>
          <w:szCs w:val="24"/>
        </w:rPr>
        <w:t>takovém</w:t>
      </w:r>
      <w:r>
        <w:rPr>
          <w:rFonts w:cs="Times New Roman"/>
          <w:szCs w:val="24"/>
        </w:rPr>
        <w:t xml:space="preserve"> </w:t>
      </w:r>
      <w:r w:rsidRPr="000C2F53">
        <w:rPr>
          <w:rFonts w:cs="Times New Roman"/>
          <w:szCs w:val="24"/>
        </w:rPr>
        <w:t>případě dochází k plné věcné dělené správě, kdy celní úřady vystupují v</w:t>
      </w:r>
      <w:r>
        <w:rPr>
          <w:rFonts w:cs="Times New Roman"/>
          <w:szCs w:val="24"/>
        </w:rPr>
        <w:t> </w:t>
      </w:r>
      <w:r w:rsidRPr="000C2F53">
        <w:rPr>
          <w:rFonts w:cs="Times New Roman"/>
          <w:szCs w:val="24"/>
        </w:rPr>
        <w:t>pozici</w:t>
      </w:r>
      <w:r>
        <w:rPr>
          <w:rFonts w:cs="Times New Roman"/>
          <w:szCs w:val="24"/>
        </w:rPr>
        <w:t xml:space="preserve"> </w:t>
      </w:r>
      <w:r w:rsidRPr="000C2F53">
        <w:rPr>
          <w:rFonts w:cs="Times New Roman"/>
          <w:szCs w:val="24"/>
        </w:rPr>
        <w:t>obecného správce daně jak pro vybírání, tak vymáhání pokut, a to na základě § 8</w:t>
      </w:r>
      <w:r>
        <w:rPr>
          <w:rFonts w:cs="Times New Roman"/>
          <w:szCs w:val="24"/>
        </w:rPr>
        <w:t xml:space="preserve"> </w:t>
      </w:r>
      <w:r w:rsidRPr="000C2F53">
        <w:rPr>
          <w:rFonts w:cs="Times New Roman"/>
          <w:szCs w:val="24"/>
        </w:rPr>
        <w:t>odst. 2 zákona o C</w:t>
      </w:r>
      <w:r w:rsidR="00AF2038">
        <w:rPr>
          <w:rFonts w:cs="Times New Roman"/>
          <w:szCs w:val="24"/>
        </w:rPr>
        <w:t>elní správě Č</w:t>
      </w:r>
      <w:r w:rsidR="00937333">
        <w:rPr>
          <w:rFonts w:cs="Times New Roman"/>
          <w:szCs w:val="24"/>
        </w:rPr>
        <w:t>R</w:t>
      </w:r>
      <w:r w:rsidRPr="000C2F53">
        <w:rPr>
          <w:rFonts w:cs="Times New Roman"/>
          <w:szCs w:val="24"/>
        </w:rPr>
        <w:t xml:space="preserve"> za použití ustanovení §</w:t>
      </w:r>
      <w:r>
        <w:rPr>
          <w:rFonts w:cs="Times New Roman"/>
          <w:szCs w:val="24"/>
        </w:rPr>
        <w:t> </w:t>
      </w:r>
      <w:r w:rsidRPr="000C2F53">
        <w:rPr>
          <w:rFonts w:cs="Times New Roman"/>
          <w:szCs w:val="24"/>
        </w:rPr>
        <w:t>106 správního řádu.</w:t>
      </w:r>
    </w:p>
    <w:p w14:paraId="32C2EE80" w14:textId="78F1DB20" w:rsidR="001D6778" w:rsidRPr="00A2506A" w:rsidRDefault="00070A5A" w:rsidP="00AB680C">
      <w:pPr>
        <w:pStyle w:val="Nadpis3"/>
        <w:keepNext w:val="0"/>
      </w:pPr>
      <w:bookmarkStart w:id="83" w:name="_Toc164761271"/>
      <w:r w:rsidRPr="00A2506A">
        <w:t>Identifikace dotčených subjektů</w:t>
      </w:r>
      <w:bookmarkEnd w:id="83"/>
    </w:p>
    <w:p w14:paraId="1E9C41BB" w14:textId="2CAA70E4" w:rsidR="00C0482A" w:rsidRPr="00A2506A" w:rsidRDefault="00C0482A" w:rsidP="00AB680C">
      <w:pPr>
        <w:pStyle w:val="Nadpis4"/>
        <w:keepNext w:val="0"/>
        <w:spacing w:line="276" w:lineRule="auto"/>
        <w:rPr>
          <w:color w:val="140E96"/>
        </w:rPr>
      </w:pPr>
      <w:r w:rsidRPr="00A2506A">
        <w:rPr>
          <w:color w:val="140E96"/>
        </w:rPr>
        <w:t xml:space="preserve">Orgány </w:t>
      </w:r>
      <w:r w:rsidR="00EB4E5A">
        <w:rPr>
          <w:color w:val="140E96"/>
        </w:rPr>
        <w:t>c</w:t>
      </w:r>
      <w:r w:rsidRPr="00A2506A">
        <w:rPr>
          <w:color w:val="140E96"/>
        </w:rPr>
        <w:t>elní správy</w:t>
      </w:r>
    </w:p>
    <w:p w14:paraId="6B927654" w14:textId="366234D2" w:rsidR="00C0482A" w:rsidRPr="00E70C43" w:rsidRDefault="00C0482A" w:rsidP="00AB680C">
      <w:pPr>
        <w:spacing w:before="0"/>
      </w:pPr>
      <w:r>
        <w:t>D</w:t>
      </w:r>
      <w:r w:rsidRPr="00E70C43">
        <w:t>otčeným orgán</w:t>
      </w:r>
      <w:r>
        <w:t xml:space="preserve">em jsou primárně orgány celní správy, v rámci jejichž působnosti jsou změny navrhovány. Jedná se, s ohledem na účinnosti návrhu zákona, o Generální ředitelství cel a šest jemu podřízených celních úřadů (viz § 6 zákon o Celní správě </w:t>
      </w:r>
      <w:r w:rsidR="00784598">
        <w:t>ČR</w:t>
      </w:r>
      <w:r>
        <w:t>, ve znění účinném od</w:t>
      </w:r>
      <w:r w:rsidR="00532ACB">
        <w:t> </w:t>
      </w:r>
      <w:r>
        <w:t>1.</w:t>
      </w:r>
      <w:r w:rsidR="00532ACB">
        <w:t> </w:t>
      </w:r>
      <w:r w:rsidR="00AB351A">
        <w:t>července</w:t>
      </w:r>
      <w:r>
        <w:t xml:space="preserve"> 2025). </w:t>
      </w:r>
    </w:p>
    <w:p w14:paraId="65136A1A" w14:textId="77777777" w:rsidR="00C0482A" w:rsidRPr="00A2506A" w:rsidRDefault="00C0482A" w:rsidP="00AB680C">
      <w:pPr>
        <w:pStyle w:val="Nadpis4"/>
        <w:keepNext w:val="0"/>
        <w:spacing w:line="276" w:lineRule="auto"/>
        <w:rPr>
          <w:color w:val="140E96"/>
        </w:rPr>
      </w:pPr>
      <w:r w:rsidRPr="00A2506A">
        <w:rPr>
          <w:color w:val="140E96"/>
        </w:rPr>
        <w:t>Orgány státní správy</w:t>
      </w:r>
    </w:p>
    <w:p w14:paraId="4C866FF9" w14:textId="4DD3C4D0" w:rsidR="00C0482A" w:rsidRDefault="00C0482A" w:rsidP="00AB680C">
      <w:pPr>
        <w:spacing w:before="0"/>
      </w:pPr>
      <w:r>
        <w:t>V rámci změny dané kompetence je možné očekávat snížení administrativní zátěže na straně jednotlivých orgánů veřejné moci (ukladatelů)</w:t>
      </w:r>
      <w:r w:rsidR="00E27079">
        <w:t>, které nově nebudou vykonávat agendu správy placení pokut za přestupky</w:t>
      </w:r>
      <w:r w:rsidR="006F7B7D">
        <w:t xml:space="preserve">; </w:t>
      </w:r>
      <w:r w:rsidR="00E27079">
        <w:t>např</w:t>
      </w:r>
      <w:r w:rsidR="006F7B7D">
        <w:t>íkl</w:t>
      </w:r>
      <w:r w:rsidR="009B775A">
        <w:t>ad ukladatelé</w:t>
      </w:r>
      <w:r w:rsidR="00FA00C5">
        <w:t xml:space="preserve"> nebudou muset vést osobní daňové účty</w:t>
      </w:r>
      <w:r w:rsidR="006F7B7D">
        <w:t xml:space="preserve"> </w:t>
      </w:r>
      <w:r w:rsidR="009B775A">
        <w:t>(</w:t>
      </w:r>
      <w:r w:rsidR="006F7B7D">
        <w:t>§</w:t>
      </w:r>
      <w:r w:rsidR="00532ACB">
        <w:t> </w:t>
      </w:r>
      <w:r w:rsidR="006F7B7D">
        <w:t xml:space="preserve">149 </w:t>
      </w:r>
      <w:r w:rsidR="00B427F9">
        <w:t>daňového řádu</w:t>
      </w:r>
      <w:r w:rsidR="009B775A">
        <w:t>)</w:t>
      </w:r>
      <w:r w:rsidR="006F7B7D">
        <w:t xml:space="preserve">, provádět párování plateb (§ 152 </w:t>
      </w:r>
      <w:r w:rsidR="00B427F9">
        <w:t>daňového řádu</w:t>
      </w:r>
      <w:r w:rsidR="006F7B7D">
        <w:t xml:space="preserve">) a identifikaci plateb (§ 164 </w:t>
      </w:r>
      <w:r w:rsidR="00B427F9">
        <w:t>daňového řádu</w:t>
      </w:r>
      <w:r w:rsidR="006F7B7D">
        <w:t>)</w:t>
      </w:r>
      <w:r w:rsidR="009B775A">
        <w:t xml:space="preserve">, zabezpečovat vracení přeplatku na žádost (§ 155 </w:t>
      </w:r>
      <w:r w:rsidR="00B427F9">
        <w:t>daňového řádu</w:t>
      </w:r>
      <w:r w:rsidR="009B775A">
        <w:t xml:space="preserve">), převádět přeplatky mezi osobními daňovými účty na žádost nebo z moci úřední, rozhodovat o žádostech o posečkání </w:t>
      </w:r>
      <w:r w:rsidR="0002268E">
        <w:t>daně (§</w:t>
      </w:r>
      <w:r w:rsidR="002D7C35">
        <w:t> </w:t>
      </w:r>
      <w:r w:rsidR="0002268E">
        <w:t>156</w:t>
      </w:r>
      <w:r w:rsidR="002D7C35">
        <w:t> </w:t>
      </w:r>
      <w:r w:rsidR="00B427F9">
        <w:t>daňového řádu</w:t>
      </w:r>
      <w:r w:rsidR="0002268E">
        <w:t>)</w:t>
      </w:r>
      <w:r w:rsidR="002D7C35">
        <w:t>, vyřizovat námitky subjektu (p</w:t>
      </w:r>
      <w:r w:rsidR="00A42F52">
        <w:t>achatelé přestupků</w:t>
      </w:r>
      <w:r w:rsidR="002D7C35">
        <w:t>) proti úkonu správce daně při placení daní (§ 159 </w:t>
      </w:r>
      <w:r w:rsidR="00B427F9">
        <w:t>daňového řádu</w:t>
      </w:r>
      <w:r w:rsidR="002D7C35">
        <w:t>) nebo zabezpečovat převádění peněžních prostředků do příslušného veřejného rozpočtu.</w:t>
      </w:r>
    </w:p>
    <w:p w14:paraId="73BBA8E2" w14:textId="40BDEBD0" w:rsidR="00C0482A" w:rsidRPr="00A2506A" w:rsidRDefault="00C0482A" w:rsidP="00AB680C">
      <w:pPr>
        <w:pStyle w:val="Nadpis4"/>
        <w:keepNext w:val="0"/>
        <w:spacing w:line="276" w:lineRule="auto"/>
        <w:rPr>
          <w:color w:val="140E96"/>
        </w:rPr>
      </w:pPr>
      <w:r w:rsidRPr="00A2506A">
        <w:rPr>
          <w:color w:val="140E96"/>
        </w:rPr>
        <w:t>Veřejnost</w:t>
      </w:r>
    </w:p>
    <w:p w14:paraId="44686370" w14:textId="36044FC9" w:rsidR="00C0482A" w:rsidRPr="00A004E6" w:rsidRDefault="00A42F52" w:rsidP="00AB680C">
      <w:pPr>
        <w:spacing w:before="0"/>
      </w:pPr>
      <w:r>
        <w:t xml:space="preserve">Dotčena je také široká veřejnost, resp. </w:t>
      </w:r>
      <w:r w:rsidR="00744342">
        <w:t>pachatelé přestupků, kterými mohou být fyzické</w:t>
      </w:r>
      <w:r w:rsidR="0093713A">
        <w:t xml:space="preserve"> osoby, podnikající fyzické osoby nebo</w:t>
      </w:r>
      <w:r w:rsidR="00744342">
        <w:t xml:space="preserve"> právnické osoby, neboť </w:t>
      </w:r>
      <w:r w:rsidR="00942E7B">
        <w:t xml:space="preserve">pokutu budou hradit na účet celního </w:t>
      </w:r>
      <w:r w:rsidR="00942E7B">
        <w:lastRenderedPageBreak/>
        <w:t>úřadu a s tímto v případě potřeby</w:t>
      </w:r>
      <w:r w:rsidR="00CB7386">
        <w:t xml:space="preserve"> vstupovat v interakci</w:t>
      </w:r>
      <w:r w:rsidR="00942E7B">
        <w:t xml:space="preserve"> (např.</w:t>
      </w:r>
      <w:r w:rsidR="00CB7386">
        <w:t xml:space="preserve"> v případě potřeby rozložit úhradu pokuty na splátky).</w:t>
      </w:r>
    </w:p>
    <w:p w14:paraId="4C6FE36E" w14:textId="44F4DABA" w:rsidR="00070A5A" w:rsidRPr="00A2506A" w:rsidRDefault="00070A5A" w:rsidP="00AB680C">
      <w:pPr>
        <w:pStyle w:val="Nadpis3"/>
        <w:keepNext w:val="0"/>
      </w:pPr>
      <w:bookmarkStart w:id="84" w:name="_Toc164761272"/>
      <w:r w:rsidRPr="00A2506A">
        <w:t>Popis cílového stavu</w:t>
      </w:r>
      <w:bookmarkEnd w:id="84"/>
    </w:p>
    <w:p w14:paraId="639F64F9" w14:textId="14E180E2" w:rsidR="0093713A" w:rsidRDefault="001E4435" w:rsidP="00AB680C">
      <w:pPr>
        <w:spacing w:before="0"/>
      </w:pPr>
      <w:r>
        <w:t>Cílovým stavem je</w:t>
      </w:r>
      <w:r w:rsidR="006D7557">
        <w:t xml:space="preserve"> to, aby celní správa</w:t>
      </w:r>
      <w:r w:rsidR="00397C64">
        <w:t xml:space="preserve"> převz</w:t>
      </w:r>
      <w:r w:rsidR="006D7557">
        <w:t>ala</w:t>
      </w:r>
      <w:r>
        <w:t xml:space="preserve"> </w:t>
      </w:r>
      <w:r w:rsidR="000A1124">
        <w:t xml:space="preserve">zcela nebo alespoň z části </w:t>
      </w:r>
      <w:r>
        <w:t>správ</w:t>
      </w:r>
      <w:r w:rsidR="006D7557">
        <w:t>u</w:t>
      </w:r>
      <w:r>
        <w:t xml:space="preserve"> placení</w:t>
      </w:r>
      <w:r w:rsidR="006D7557">
        <w:t xml:space="preserve"> (t</w:t>
      </w:r>
      <w:r w:rsidR="000A1124">
        <w:t>j</w:t>
      </w:r>
      <w:r w:rsidR="006D7557">
        <w:t>.</w:t>
      </w:r>
      <w:r w:rsidR="000A1124">
        <w:t> </w:t>
      </w:r>
      <w:r w:rsidR="006D7557">
        <w:t>výběr a vymáhání)</w:t>
      </w:r>
      <w:r>
        <w:t xml:space="preserve"> pokut za přestupky</w:t>
      </w:r>
      <w:r w:rsidR="00864587">
        <w:t xml:space="preserve"> </w:t>
      </w:r>
      <w:r w:rsidR="00864587" w:rsidRPr="00B42A5C">
        <w:t>(s výjimkou pokut uložených příkazovým blokem na</w:t>
      </w:r>
      <w:r w:rsidR="000A1124">
        <w:t> </w:t>
      </w:r>
      <w:r w:rsidR="00864587" w:rsidRPr="00B42A5C">
        <w:t>pokutu na místě zaplaceným)</w:t>
      </w:r>
      <w:r w:rsidR="006D7557">
        <w:t xml:space="preserve"> </w:t>
      </w:r>
      <w:r w:rsidR="00397C64">
        <w:t>od jiných</w:t>
      </w:r>
      <w:r w:rsidR="006D7557">
        <w:t xml:space="preserve"> </w:t>
      </w:r>
      <w:r w:rsidR="008A4301">
        <w:t xml:space="preserve">státních </w:t>
      </w:r>
      <w:r w:rsidR="006D7557">
        <w:t xml:space="preserve">orgánů veřejné moci </w:t>
      </w:r>
      <w:r w:rsidR="008A4301">
        <w:t xml:space="preserve">– </w:t>
      </w:r>
      <w:r w:rsidR="00864587">
        <w:t>ukladatelů</w:t>
      </w:r>
      <w:r w:rsidR="008A4301">
        <w:t xml:space="preserve"> (nikoli od</w:t>
      </w:r>
      <w:r w:rsidR="000A1124">
        <w:t> </w:t>
      </w:r>
      <w:r w:rsidR="008A4301">
        <w:t>územních samosprávných celků</w:t>
      </w:r>
      <w:r w:rsidR="006D7557">
        <w:t>)</w:t>
      </w:r>
      <w:r w:rsidR="00864587">
        <w:t>,</w:t>
      </w:r>
      <w:r w:rsidR="000A1124">
        <w:t xml:space="preserve"> a to tam, kde dosud uvedenou agendu orgány celní správy nezajišťují. Tím </w:t>
      </w:r>
      <w:r w:rsidR="006D7557">
        <w:t xml:space="preserve">by mělo dojít ke </w:t>
      </w:r>
      <w:r w:rsidR="00864587">
        <w:t xml:space="preserve">zvýšení efektivity a hospodárnosti </w:t>
      </w:r>
      <w:r w:rsidR="008A4301">
        <w:t>výkonu</w:t>
      </w:r>
      <w:r w:rsidR="00864587">
        <w:t xml:space="preserve"> státní správy. </w:t>
      </w:r>
    </w:p>
    <w:p w14:paraId="7292794E" w14:textId="7F3C4B22" w:rsidR="00B42A5C" w:rsidRDefault="00864587" w:rsidP="00AB680C">
      <w:pPr>
        <w:spacing w:before="0"/>
      </w:pPr>
      <w:r>
        <w:t>P</w:t>
      </w:r>
      <w:r w:rsidR="00B42A5C" w:rsidRPr="00B42A5C">
        <w:t>odle tezí současného Programového prohlášení vlády České republiky má být stát chytrý, efektivní a</w:t>
      </w:r>
      <w:r w:rsidR="00B42A5C">
        <w:t> </w:t>
      </w:r>
      <w:r w:rsidR="00B42A5C" w:rsidRPr="00B42A5C">
        <w:t>úsporný</w:t>
      </w:r>
      <w:r w:rsidR="00552DE0">
        <w:t>, přičemž se jeví logické a hospodárné, aby výkon jedné agendy</w:t>
      </w:r>
      <w:r w:rsidR="00AE59F2">
        <w:t xml:space="preserve"> byl (pokud to objektivně lze) koncentrován spíše k jednomu či několika orgánů</w:t>
      </w:r>
      <w:r w:rsidR="00C0482A">
        <w:t>m</w:t>
      </w:r>
      <w:r w:rsidR="00AE59F2">
        <w:t xml:space="preserve"> veřejné moci a </w:t>
      </w:r>
      <w:r w:rsidR="00552DE0">
        <w:t xml:space="preserve">nebyl roztříštěn mezi </w:t>
      </w:r>
      <w:r w:rsidR="00AE59F2">
        <w:t>velký počet orgánů veřejné moci</w:t>
      </w:r>
      <w:r w:rsidR="0093713A">
        <w:t xml:space="preserve">; naopak pokud by agenda měla být roztříštěna napříč všemi ukladateli, měly by </w:t>
      </w:r>
      <w:r w:rsidR="001D4485">
        <w:t>k tomuto existovat racionální důvody</w:t>
      </w:r>
      <w:r w:rsidR="00C0482A">
        <w:t>.</w:t>
      </w:r>
    </w:p>
    <w:p w14:paraId="1E9402A3" w14:textId="540687C4" w:rsidR="00A97029" w:rsidRPr="00A004E6" w:rsidRDefault="00A97029" w:rsidP="00AB680C">
      <w:pPr>
        <w:spacing w:before="0"/>
      </w:pPr>
      <w:r>
        <w:t>Role orgánů celní správy jako univerzálního správce placení peněžitých plnění ve vztahu k jiným orgánům veřejné moci by měla být rozvíjena též směrem k širší možnosti výkonu této agendy na žádost, což je možnost, kterou dnes připouští správní řád v § 106 odst. 2 pro vymáhání peněžitých plnění včetně pokut uložených orgány obce. Potenciál pro rozšíření zde existuje jak směrem k vybírání těchto peněžitých plnění, tak směrem k rozšíření uvedené možnosti též na peněžitá plnění uložená orgány kraje. Další kategorii by mohla představovat možnost provádět vymáhání peněžitých plnění v daňovém procesním režimu na žádost příslušného správce daně (tj. postup v režimu kompetenční dělené správy ovšem bez</w:t>
      </w:r>
      <w:r w:rsidR="00B44DA1">
        <w:t> </w:t>
      </w:r>
      <w:r>
        <w:t xml:space="preserve">současného režimu procesní dělené správy). Zde se nabízí potenciál zejména ve směru k místním poplatkům.   </w:t>
      </w:r>
    </w:p>
    <w:p w14:paraId="0077EBA3" w14:textId="76923992" w:rsidR="00070A5A" w:rsidRPr="00A2506A" w:rsidRDefault="00070A5A" w:rsidP="00AB680C">
      <w:pPr>
        <w:pStyle w:val="Nadpis3"/>
        <w:keepNext w:val="0"/>
      </w:pPr>
      <w:bookmarkStart w:id="85" w:name="_Toc164761273"/>
      <w:r w:rsidRPr="00A2506A">
        <w:t>Zhodnocení rizika</w:t>
      </w:r>
      <w:bookmarkEnd w:id="85"/>
    </w:p>
    <w:p w14:paraId="48D1B263" w14:textId="2696CBDF" w:rsidR="00D36951" w:rsidRPr="00A963B6" w:rsidRDefault="00BB73B0" w:rsidP="00AB680C">
      <w:pPr>
        <w:spacing w:before="0"/>
        <w:rPr>
          <w:rFonts w:cs="Times New Roman"/>
          <w:color w:val="000000" w:themeColor="text1"/>
          <w:szCs w:val="24"/>
        </w:rPr>
      </w:pPr>
      <w:r w:rsidRPr="00FF0FBE">
        <w:rPr>
          <w:rFonts w:cs="Times New Roman"/>
          <w:color w:val="000000" w:themeColor="text1"/>
          <w:szCs w:val="24"/>
        </w:rPr>
        <w:t>V případě</w:t>
      </w:r>
      <w:r w:rsidRPr="00A963B6">
        <w:rPr>
          <w:rFonts w:cs="Times New Roman"/>
          <w:color w:val="000000" w:themeColor="text1"/>
          <w:szCs w:val="24"/>
        </w:rPr>
        <w:t xml:space="preserve"> přijetí změn existuje riziko </w:t>
      </w:r>
      <w:r w:rsidR="00AD71DD">
        <w:rPr>
          <w:rFonts w:cs="Times New Roman"/>
          <w:color w:val="000000" w:themeColor="text1"/>
          <w:szCs w:val="24"/>
        </w:rPr>
        <w:t>při velkém</w:t>
      </w:r>
      <w:r w:rsidRPr="00A963B6">
        <w:rPr>
          <w:rFonts w:cs="Times New Roman"/>
          <w:color w:val="000000" w:themeColor="text1"/>
          <w:szCs w:val="24"/>
        </w:rPr>
        <w:t xml:space="preserve"> nápad</w:t>
      </w:r>
      <w:r w:rsidR="00B1197B">
        <w:rPr>
          <w:rFonts w:cs="Times New Roman"/>
          <w:color w:val="000000" w:themeColor="text1"/>
          <w:szCs w:val="24"/>
        </w:rPr>
        <w:t>u</w:t>
      </w:r>
      <w:r w:rsidRPr="00A963B6">
        <w:rPr>
          <w:rFonts w:cs="Times New Roman"/>
          <w:color w:val="000000" w:themeColor="text1"/>
          <w:szCs w:val="24"/>
        </w:rPr>
        <w:t xml:space="preserve"> nových pohledávek, že celní správa nebude disponovat dostatečnou kapacitou na výkon řádné správy placení, </w:t>
      </w:r>
      <w:r w:rsidR="00F353DB" w:rsidRPr="00A963B6">
        <w:rPr>
          <w:rFonts w:cs="Times New Roman"/>
          <w:color w:val="000000" w:themeColor="text1"/>
          <w:szCs w:val="24"/>
        </w:rPr>
        <w:t>a to jak v oblasti personální, tak v oblasti informačních technologií, kde potenciálně hrozí přetížení hardwar</w:t>
      </w:r>
      <w:r w:rsidR="008A4301">
        <w:rPr>
          <w:rFonts w:cs="Times New Roman"/>
          <w:color w:val="000000" w:themeColor="text1"/>
          <w:szCs w:val="24"/>
        </w:rPr>
        <w:t>u</w:t>
      </w:r>
      <w:r w:rsidR="00F353DB" w:rsidRPr="00A963B6">
        <w:rPr>
          <w:rFonts w:cs="Times New Roman"/>
          <w:color w:val="000000" w:themeColor="text1"/>
          <w:szCs w:val="24"/>
        </w:rPr>
        <w:t xml:space="preserve"> či</w:t>
      </w:r>
      <w:r w:rsidR="00FF0FBE">
        <w:rPr>
          <w:rFonts w:cs="Times New Roman"/>
          <w:color w:val="000000" w:themeColor="text1"/>
          <w:szCs w:val="24"/>
        </w:rPr>
        <w:t> </w:t>
      </w:r>
      <w:r w:rsidR="00F353DB" w:rsidRPr="00A963B6">
        <w:rPr>
          <w:rFonts w:cs="Times New Roman"/>
          <w:color w:val="000000" w:themeColor="text1"/>
          <w:szCs w:val="24"/>
        </w:rPr>
        <w:t>softwar</w:t>
      </w:r>
      <w:r w:rsidR="008A4301">
        <w:rPr>
          <w:rFonts w:cs="Times New Roman"/>
          <w:color w:val="000000" w:themeColor="text1"/>
          <w:szCs w:val="24"/>
        </w:rPr>
        <w:t>u</w:t>
      </w:r>
      <w:r w:rsidR="00ED0680" w:rsidRPr="00A963B6">
        <w:rPr>
          <w:rFonts w:cs="Times New Roman"/>
          <w:color w:val="000000" w:themeColor="text1"/>
          <w:szCs w:val="24"/>
        </w:rPr>
        <w:t>. Proto je namístě navrh</w:t>
      </w:r>
      <w:r w:rsidR="00D36951" w:rsidRPr="00A963B6">
        <w:rPr>
          <w:rFonts w:cs="Times New Roman"/>
          <w:color w:val="000000" w:themeColor="text1"/>
          <w:szCs w:val="24"/>
        </w:rPr>
        <w:t xml:space="preserve">ovat </w:t>
      </w:r>
      <w:r w:rsidR="00ED0680" w:rsidRPr="00A963B6">
        <w:rPr>
          <w:rFonts w:cs="Times New Roman"/>
          <w:color w:val="000000" w:themeColor="text1"/>
          <w:szCs w:val="24"/>
        </w:rPr>
        <w:t>takové změny, které budou zohledňovat současné</w:t>
      </w:r>
      <w:r w:rsidR="00D36951" w:rsidRPr="00A963B6">
        <w:rPr>
          <w:rFonts w:cs="Times New Roman"/>
          <w:color w:val="000000" w:themeColor="text1"/>
          <w:szCs w:val="24"/>
        </w:rPr>
        <w:t xml:space="preserve"> kapacity celní správy v širším slova smyslu a které jsou reálně proveditelné.</w:t>
      </w:r>
    </w:p>
    <w:p w14:paraId="39AA67A4" w14:textId="04F5773F" w:rsidR="00D36951" w:rsidRDefault="00D36951" w:rsidP="00AB680C">
      <w:pPr>
        <w:spacing w:before="0"/>
        <w:rPr>
          <w:rFonts w:cs="Times New Roman"/>
          <w:color w:val="000000" w:themeColor="text1"/>
          <w:szCs w:val="24"/>
        </w:rPr>
      </w:pPr>
      <w:r w:rsidRPr="00A963B6">
        <w:rPr>
          <w:rFonts w:cs="Times New Roman"/>
          <w:color w:val="000000" w:themeColor="text1"/>
          <w:szCs w:val="24"/>
        </w:rPr>
        <w:t xml:space="preserve">V případě nepřijetí změn </w:t>
      </w:r>
      <w:r w:rsidR="00A963B6" w:rsidRPr="00A963B6">
        <w:rPr>
          <w:rFonts w:cs="Times New Roman"/>
          <w:color w:val="000000" w:themeColor="text1"/>
          <w:szCs w:val="24"/>
        </w:rPr>
        <w:t xml:space="preserve">spíše </w:t>
      </w:r>
      <w:r w:rsidR="00AB6D5D" w:rsidRPr="00A963B6">
        <w:rPr>
          <w:rFonts w:cs="Times New Roman"/>
          <w:color w:val="000000" w:themeColor="text1"/>
          <w:szCs w:val="24"/>
        </w:rPr>
        <w:t>ne</w:t>
      </w:r>
      <w:r w:rsidR="00A963B6" w:rsidRPr="00A963B6">
        <w:rPr>
          <w:rFonts w:cs="Times New Roman"/>
          <w:color w:val="000000" w:themeColor="text1"/>
          <w:szCs w:val="24"/>
        </w:rPr>
        <w:t>bude</w:t>
      </w:r>
      <w:r w:rsidR="00AB6D5D" w:rsidRPr="00A963B6">
        <w:rPr>
          <w:rFonts w:cs="Times New Roman"/>
          <w:color w:val="000000" w:themeColor="text1"/>
          <w:szCs w:val="24"/>
        </w:rPr>
        <w:t xml:space="preserve"> na úseku</w:t>
      </w:r>
      <w:r w:rsidR="00A963B6" w:rsidRPr="00A963B6">
        <w:rPr>
          <w:rFonts w:cs="Times New Roman"/>
          <w:color w:val="000000" w:themeColor="text1"/>
          <w:szCs w:val="24"/>
        </w:rPr>
        <w:t xml:space="preserve"> vybírání pokut za přestupky</w:t>
      </w:r>
      <w:r w:rsidR="00AB6D5D" w:rsidRPr="00A963B6">
        <w:rPr>
          <w:rFonts w:cs="Times New Roman"/>
          <w:color w:val="000000" w:themeColor="text1"/>
          <w:szCs w:val="24"/>
        </w:rPr>
        <w:t xml:space="preserve"> </w:t>
      </w:r>
      <w:r w:rsidR="00A963B6" w:rsidRPr="00A963B6">
        <w:rPr>
          <w:rFonts w:cs="Times New Roman"/>
          <w:color w:val="000000" w:themeColor="text1"/>
          <w:szCs w:val="24"/>
        </w:rPr>
        <w:t>naplňována teze</w:t>
      </w:r>
      <w:r w:rsidR="00AB6D5D" w:rsidRPr="00A963B6">
        <w:rPr>
          <w:rFonts w:cs="Times New Roman"/>
          <w:color w:val="000000" w:themeColor="text1"/>
          <w:szCs w:val="24"/>
        </w:rPr>
        <w:t>, že stát má být chytrý, efektivní a úsporný.</w:t>
      </w:r>
      <w:r w:rsidR="00AB6D5D">
        <w:rPr>
          <w:rFonts w:cs="Times New Roman"/>
          <w:color w:val="000000" w:themeColor="text1"/>
          <w:szCs w:val="24"/>
        </w:rPr>
        <w:t xml:space="preserve"> </w:t>
      </w:r>
    </w:p>
    <w:p w14:paraId="62B781DC" w14:textId="3E736092" w:rsidR="00070A5A" w:rsidRPr="00A2506A" w:rsidRDefault="00070A5A" w:rsidP="00AB680C">
      <w:pPr>
        <w:pStyle w:val="Nadpis2"/>
        <w:keepNext w:val="0"/>
        <w:ind w:left="709"/>
      </w:pPr>
      <w:bookmarkStart w:id="86" w:name="_Toc164761274"/>
      <w:r w:rsidRPr="00A2506A">
        <w:t>Návrh variant řešení</w:t>
      </w:r>
      <w:bookmarkEnd w:id="86"/>
    </w:p>
    <w:p w14:paraId="01B6910C" w14:textId="386A1477" w:rsidR="001D4485" w:rsidRPr="00AB680C" w:rsidRDefault="001D4485" w:rsidP="00AB680C">
      <w:pPr>
        <w:spacing w:before="0"/>
        <w:rPr>
          <w:rFonts w:cs="Times New Roman"/>
          <w:color w:val="000000" w:themeColor="text1"/>
          <w:szCs w:val="24"/>
        </w:rPr>
      </w:pPr>
      <w:r w:rsidRPr="008C677D">
        <w:rPr>
          <w:rFonts w:cs="Times New Roman"/>
          <w:color w:val="000000" w:themeColor="text1"/>
          <w:szCs w:val="24"/>
        </w:rPr>
        <w:t xml:space="preserve">Jako výchozí </w:t>
      </w:r>
      <w:r w:rsidRPr="008C677D">
        <w:rPr>
          <w:rFonts w:cs="Times New Roman"/>
          <w:b/>
          <w:bCs/>
          <w:color w:val="000000" w:themeColor="text1"/>
          <w:szCs w:val="24"/>
        </w:rPr>
        <w:t>variantu 0</w:t>
      </w:r>
      <w:r w:rsidRPr="008C677D">
        <w:rPr>
          <w:rFonts w:cs="Times New Roman"/>
          <w:color w:val="000000" w:themeColor="text1"/>
          <w:szCs w:val="24"/>
        </w:rPr>
        <w:t xml:space="preserve"> lze obecně uvést situaci, kdy by nebyla provedena </w:t>
      </w:r>
      <w:r>
        <w:rPr>
          <w:rFonts w:cs="Times New Roman"/>
          <w:color w:val="000000" w:themeColor="text1"/>
          <w:szCs w:val="24"/>
        </w:rPr>
        <w:t xml:space="preserve">žádná změna v oblasti výběru pokut za přestupky. </w:t>
      </w:r>
    </w:p>
    <w:p w14:paraId="0F1B7FFC" w14:textId="53CD9FA9" w:rsidR="003C5EC6" w:rsidRDefault="001D4485" w:rsidP="00AB680C">
      <w:pPr>
        <w:spacing w:before="0"/>
        <w:rPr>
          <w:rFonts w:cs="Times New Roman"/>
          <w:color w:val="000000" w:themeColor="text1"/>
          <w:szCs w:val="24"/>
        </w:rPr>
      </w:pPr>
      <w:r w:rsidRPr="008C677D">
        <w:rPr>
          <w:rFonts w:cs="Times New Roman"/>
          <w:b/>
          <w:bCs/>
          <w:color w:val="000000" w:themeColor="text1"/>
          <w:szCs w:val="24"/>
        </w:rPr>
        <w:t>Variantou 1</w:t>
      </w:r>
      <w:r w:rsidRPr="008C677D">
        <w:rPr>
          <w:rFonts w:cs="Times New Roman"/>
          <w:color w:val="000000" w:themeColor="text1"/>
          <w:szCs w:val="24"/>
        </w:rPr>
        <w:t xml:space="preserve"> je </w:t>
      </w:r>
      <w:r w:rsidR="007C719B">
        <w:rPr>
          <w:rFonts w:cs="Times New Roman"/>
          <w:color w:val="000000" w:themeColor="text1"/>
          <w:szCs w:val="24"/>
        </w:rPr>
        <w:t xml:space="preserve">změna právní úpravy tak, aby orgány celní správy zajišťovaly </w:t>
      </w:r>
      <w:r w:rsidR="00B44DA1">
        <w:rPr>
          <w:rFonts w:cs="Times New Roman"/>
          <w:color w:val="000000" w:themeColor="text1"/>
          <w:szCs w:val="24"/>
        </w:rPr>
        <w:t>plnou správu placení</w:t>
      </w:r>
      <w:r w:rsidR="007C719B">
        <w:rPr>
          <w:rFonts w:cs="Times New Roman"/>
          <w:color w:val="000000" w:themeColor="text1"/>
          <w:szCs w:val="24"/>
        </w:rPr>
        <w:t xml:space="preserve"> </w:t>
      </w:r>
      <w:r w:rsidR="003C5EC6">
        <w:rPr>
          <w:rFonts w:cs="Times New Roman"/>
          <w:color w:val="000000" w:themeColor="text1"/>
          <w:szCs w:val="24"/>
        </w:rPr>
        <w:t xml:space="preserve">téměř </w:t>
      </w:r>
      <w:r w:rsidR="007C719B">
        <w:rPr>
          <w:rFonts w:cs="Times New Roman"/>
          <w:color w:val="000000" w:themeColor="text1"/>
          <w:szCs w:val="24"/>
        </w:rPr>
        <w:t>všech pokut za přestupky</w:t>
      </w:r>
      <w:r w:rsidR="003C5EC6">
        <w:rPr>
          <w:rFonts w:cs="Times New Roman"/>
          <w:color w:val="000000" w:themeColor="text1"/>
          <w:szCs w:val="24"/>
        </w:rPr>
        <w:t xml:space="preserve"> (s výjimkou pokut ukládaných územními samosprávnými celky)</w:t>
      </w:r>
      <w:r w:rsidR="007C719B">
        <w:rPr>
          <w:rFonts w:cs="Times New Roman"/>
          <w:color w:val="000000" w:themeColor="text1"/>
          <w:szCs w:val="24"/>
        </w:rPr>
        <w:t>, bez ohledu na to, zda</w:t>
      </w:r>
      <w:r w:rsidR="003C5EC6">
        <w:rPr>
          <w:rFonts w:cs="Times New Roman"/>
          <w:color w:val="000000" w:themeColor="text1"/>
          <w:szCs w:val="24"/>
        </w:rPr>
        <w:t xml:space="preserve"> s touto změnou </w:t>
      </w:r>
      <w:r w:rsidR="007C719B">
        <w:rPr>
          <w:rFonts w:cs="Times New Roman"/>
          <w:color w:val="000000" w:themeColor="text1"/>
          <w:szCs w:val="24"/>
        </w:rPr>
        <w:t>jednotliví ukladatelé (resp.</w:t>
      </w:r>
      <w:r w:rsidR="003C5EC6">
        <w:rPr>
          <w:rFonts w:cs="Times New Roman"/>
          <w:color w:val="000000" w:themeColor="text1"/>
          <w:szCs w:val="24"/>
        </w:rPr>
        <w:t> ústřední orgány státní správy, v jejichž gesci je ten</w:t>
      </w:r>
      <w:r w:rsidR="00591A79">
        <w:rPr>
          <w:rFonts w:cs="Times New Roman"/>
          <w:color w:val="000000" w:themeColor="text1"/>
          <w:szCs w:val="24"/>
        </w:rPr>
        <w:t>,</w:t>
      </w:r>
      <w:r w:rsidR="003C5EC6">
        <w:rPr>
          <w:rFonts w:cs="Times New Roman"/>
          <w:color w:val="000000" w:themeColor="text1"/>
          <w:szCs w:val="24"/>
        </w:rPr>
        <w:t xml:space="preserve"> který právní předpis) souhlasí, nebo nesouhlasí.</w:t>
      </w:r>
    </w:p>
    <w:p w14:paraId="3A0B2C18" w14:textId="5E941A1C" w:rsidR="003C5EC6" w:rsidRDefault="003C5EC6" w:rsidP="00AB680C">
      <w:pPr>
        <w:spacing w:before="0"/>
        <w:rPr>
          <w:rFonts w:cs="Times New Roman"/>
          <w:color w:val="000000" w:themeColor="text1"/>
          <w:szCs w:val="24"/>
        </w:rPr>
      </w:pPr>
      <w:r w:rsidRPr="008C677D">
        <w:rPr>
          <w:rFonts w:cs="Times New Roman"/>
          <w:b/>
          <w:bCs/>
          <w:color w:val="000000" w:themeColor="text1"/>
          <w:szCs w:val="24"/>
        </w:rPr>
        <w:t xml:space="preserve">Variantou </w:t>
      </w:r>
      <w:r>
        <w:rPr>
          <w:rFonts w:cs="Times New Roman"/>
          <w:b/>
          <w:bCs/>
          <w:color w:val="000000" w:themeColor="text1"/>
          <w:szCs w:val="24"/>
        </w:rPr>
        <w:t>2</w:t>
      </w:r>
      <w:r w:rsidRPr="008C677D">
        <w:rPr>
          <w:rFonts w:cs="Times New Roman"/>
          <w:color w:val="000000" w:themeColor="text1"/>
          <w:szCs w:val="24"/>
        </w:rPr>
        <w:t xml:space="preserve"> je </w:t>
      </w:r>
      <w:r>
        <w:rPr>
          <w:rFonts w:cs="Times New Roman"/>
          <w:color w:val="000000" w:themeColor="text1"/>
          <w:szCs w:val="24"/>
        </w:rPr>
        <w:t xml:space="preserve">změna právní úpravy tak, aby orgány celní správy zajišťovaly </w:t>
      </w:r>
      <w:r w:rsidR="00B44DA1">
        <w:rPr>
          <w:rFonts w:cs="Times New Roman"/>
          <w:color w:val="000000" w:themeColor="text1"/>
          <w:szCs w:val="24"/>
        </w:rPr>
        <w:t>plnou správu placení</w:t>
      </w:r>
      <w:r>
        <w:rPr>
          <w:rFonts w:cs="Times New Roman"/>
          <w:color w:val="000000" w:themeColor="text1"/>
          <w:szCs w:val="24"/>
        </w:rPr>
        <w:t xml:space="preserve"> pokut za přestupky (s výjimkou pokut ukládaných územními samosprávnými celky) v</w:t>
      </w:r>
      <w:r w:rsidR="00B44DA1">
        <w:rPr>
          <w:rFonts w:cs="Times New Roman"/>
          <w:color w:val="000000" w:themeColor="text1"/>
          <w:szCs w:val="24"/>
        </w:rPr>
        <w:t> </w:t>
      </w:r>
      <w:r>
        <w:rPr>
          <w:rFonts w:cs="Times New Roman"/>
          <w:color w:val="000000" w:themeColor="text1"/>
          <w:szCs w:val="24"/>
        </w:rPr>
        <w:t xml:space="preserve">rozsahu, v jakém s touto změnou souhlasí jednotliví ukladatelé (resp. ústřední orgány státní správy, v jejichž gesci je ten který právní předpis).  </w:t>
      </w:r>
    </w:p>
    <w:p w14:paraId="6867ABA1" w14:textId="77777777" w:rsidR="001D4485" w:rsidRPr="008C677D" w:rsidRDefault="001D4485" w:rsidP="00AB680C">
      <w:pPr>
        <w:pStyle w:val="Nadpisyvtextu"/>
        <w:keepNext w:val="0"/>
        <w:spacing w:before="0"/>
        <w:rPr>
          <w:rFonts w:cs="Times New Roman"/>
          <w:color w:val="000000" w:themeColor="text1"/>
          <w:szCs w:val="24"/>
          <w:u w:val="none"/>
        </w:rPr>
      </w:pPr>
      <w:r w:rsidRPr="008C677D">
        <w:rPr>
          <w:rFonts w:cs="Times New Roman"/>
          <w:color w:val="000000" w:themeColor="text1"/>
          <w:szCs w:val="24"/>
          <w:u w:val="none"/>
        </w:rPr>
        <w:lastRenderedPageBreak/>
        <w:t xml:space="preserve">Výčet zvažovaných variant tak zní: </w:t>
      </w:r>
    </w:p>
    <w:p w14:paraId="6C301F2B" w14:textId="49350B47" w:rsidR="001D4485" w:rsidRPr="008C677D" w:rsidRDefault="001D4485" w:rsidP="00AB680C">
      <w:pPr>
        <w:pStyle w:val="Odstavecseseznamem"/>
        <w:numPr>
          <w:ilvl w:val="0"/>
          <w:numId w:val="22"/>
        </w:numPr>
        <w:spacing w:before="0"/>
        <w:contextualSpacing w:val="0"/>
        <w:rPr>
          <w:rFonts w:cs="Times New Roman"/>
          <w:szCs w:val="24"/>
        </w:rPr>
      </w:pPr>
      <w:r w:rsidRPr="008C677D">
        <w:rPr>
          <w:rFonts w:cs="Times New Roman"/>
          <w:szCs w:val="24"/>
        </w:rPr>
        <w:t xml:space="preserve">Varianta </w:t>
      </w:r>
      <w:r>
        <w:rPr>
          <w:rFonts w:cs="Times New Roman"/>
          <w:szCs w:val="24"/>
        </w:rPr>
        <w:t>0</w:t>
      </w:r>
      <w:r w:rsidRPr="008C677D">
        <w:rPr>
          <w:rFonts w:cs="Times New Roman"/>
          <w:szCs w:val="24"/>
        </w:rPr>
        <w:t xml:space="preserve"> – zůstane zachován </w:t>
      </w:r>
      <w:r w:rsidRPr="007435EB">
        <w:rPr>
          <w:rFonts w:cs="Times New Roman"/>
          <w:szCs w:val="24"/>
        </w:rPr>
        <w:t>stávající stav</w:t>
      </w:r>
      <w:r>
        <w:rPr>
          <w:rFonts w:cs="Times New Roman"/>
          <w:szCs w:val="24"/>
        </w:rPr>
        <w:t>,</w:t>
      </w:r>
    </w:p>
    <w:p w14:paraId="0D28B31A" w14:textId="3F109C12" w:rsidR="001D4485" w:rsidRDefault="001D4485" w:rsidP="00AB680C">
      <w:pPr>
        <w:pStyle w:val="Odstavecseseznamem"/>
        <w:numPr>
          <w:ilvl w:val="0"/>
          <w:numId w:val="22"/>
        </w:numPr>
        <w:spacing w:before="0"/>
        <w:contextualSpacing w:val="0"/>
        <w:rPr>
          <w:rFonts w:cs="Times New Roman"/>
          <w:szCs w:val="24"/>
        </w:rPr>
      </w:pPr>
      <w:r w:rsidRPr="008C677D">
        <w:rPr>
          <w:rFonts w:cs="Times New Roman"/>
          <w:szCs w:val="24"/>
        </w:rPr>
        <w:t xml:space="preserve">Varianta </w:t>
      </w:r>
      <w:r>
        <w:rPr>
          <w:rFonts w:cs="Times New Roman"/>
          <w:szCs w:val="24"/>
        </w:rPr>
        <w:t>1</w:t>
      </w:r>
      <w:r w:rsidRPr="008C677D">
        <w:rPr>
          <w:rFonts w:cs="Times New Roman"/>
          <w:szCs w:val="24"/>
        </w:rPr>
        <w:t xml:space="preserve"> – </w:t>
      </w:r>
      <w:r w:rsidR="00F81A6B">
        <w:rPr>
          <w:rFonts w:cs="Times New Roman"/>
          <w:szCs w:val="24"/>
        </w:rPr>
        <w:t xml:space="preserve">zajištění </w:t>
      </w:r>
      <w:r w:rsidR="003853CC">
        <w:rPr>
          <w:rFonts w:cs="Times New Roman"/>
          <w:szCs w:val="24"/>
        </w:rPr>
        <w:t>plné správy placení</w:t>
      </w:r>
      <w:r w:rsidR="00F81A6B">
        <w:rPr>
          <w:rFonts w:cs="Times New Roman"/>
          <w:szCs w:val="24"/>
        </w:rPr>
        <w:t xml:space="preserve"> pokut za přestupky orgány celní správy en bloc </w:t>
      </w:r>
      <w:r>
        <w:rPr>
          <w:rFonts w:cs="Times New Roman"/>
          <w:szCs w:val="24"/>
        </w:rPr>
        <w:t xml:space="preserve"> </w:t>
      </w:r>
    </w:p>
    <w:p w14:paraId="4ACFCE93" w14:textId="530EF920" w:rsidR="001D4485" w:rsidRPr="00A963B6" w:rsidRDefault="001D4485" w:rsidP="00AB680C">
      <w:pPr>
        <w:pStyle w:val="Odstavecseseznamem"/>
        <w:numPr>
          <w:ilvl w:val="0"/>
          <w:numId w:val="22"/>
        </w:numPr>
        <w:spacing w:before="0"/>
        <w:contextualSpacing w:val="0"/>
        <w:rPr>
          <w:rFonts w:cs="Times New Roman"/>
          <w:szCs w:val="24"/>
        </w:rPr>
      </w:pPr>
      <w:r w:rsidRPr="008C677D">
        <w:rPr>
          <w:rFonts w:cs="Times New Roman"/>
          <w:szCs w:val="24"/>
        </w:rPr>
        <w:t xml:space="preserve">Varianta </w:t>
      </w:r>
      <w:r>
        <w:rPr>
          <w:rFonts w:cs="Times New Roman"/>
          <w:szCs w:val="24"/>
        </w:rPr>
        <w:t>2</w:t>
      </w:r>
      <w:r w:rsidRPr="008C677D">
        <w:rPr>
          <w:rFonts w:cs="Times New Roman"/>
          <w:szCs w:val="24"/>
        </w:rPr>
        <w:t xml:space="preserve"> – </w:t>
      </w:r>
      <w:r w:rsidR="00F81A6B">
        <w:rPr>
          <w:rFonts w:cs="Times New Roman"/>
          <w:szCs w:val="24"/>
        </w:rPr>
        <w:t xml:space="preserve">zajištění </w:t>
      </w:r>
      <w:r w:rsidR="003853CC">
        <w:rPr>
          <w:rFonts w:cs="Times New Roman"/>
          <w:szCs w:val="24"/>
        </w:rPr>
        <w:t>plné správy placení</w:t>
      </w:r>
      <w:r w:rsidR="00F81A6B">
        <w:rPr>
          <w:rFonts w:cs="Times New Roman"/>
          <w:szCs w:val="24"/>
        </w:rPr>
        <w:t xml:space="preserve"> pokut za přestupky orgány celní správy v rozsahu, v jakém s tím souhlasí </w:t>
      </w:r>
      <w:r w:rsidR="00876AAA">
        <w:rPr>
          <w:rFonts w:cs="Times New Roman"/>
          <w:szCs w:val="24"/>
        </w:rPr>
        <w:t>ústřední orgány státní správy</w:t>
      </w:r>
    </w:p>
    <w:p w14:paraId="6B4CA990" w14:textId="62892F95" w:rsidR="00070A5A" w:rsidRPr="00A2506A" w:rsidRDefault="00070A5A" w:rsidP="00AB680C">
      <w:pPr>
        <w:pStyle w:val="Nadpis2"/>
        <w:keepNext w:val="0"/>
        <w:ind w:left="709"/>
      </w:pPr>
      <w:bookmarkStart w:id="87" w:name="_Toc164761275"/>
      <w:r w:rsidRPr="00A2506A">
        <w:t>Vyhodnocení nákladů a přínosů</w:t>
      </w:r>
      <w:bookmarkEnd w:id="87"/>
    </w:p>
    <w:p w14:paraId="4E79F655" w14:textId="589F4B9C" w:rsidR="00A004E6" w:rsidRPr="00A2506A" w:rsidRDefault="00070A5A" w:rsidP="00AB680C">
      <w:pPr>
        <w:pStyle w:val="Nadpis3"/>
        <w:keepNext w:val="0"/>
      </w:pPr>
      <w:bookmarkStart w:id="88" w:name="_Toc164761276"/>
      <w:r w:rsidRPr="00A2506A">
        <w:t>Identifikace nákladů a přínosů</w:t>
      </w:r>
      <w:bookmarkEnd w:id="88"/>
    </w:p>
    <w:p w14:paraId="576C0176" w14:textId="702C13FB" w:rsidR="00587FC5" w:rsidRPr="0090043B" w:rsidRDefault="00587FC5" w:rsidP="00AB680C">
      <w:pPr>
        <w:widowControl w:val="0"/>
        <w:tabs>
          <w:tab w:val="left" w:pos="284"/>
        </w:tabs>
        <w:spacing w:before="0"/>
        <w:rPr>
          <w:rFonts w:eastAsia="Calibri" w:cs="Times New Roman"/>
          <w:color w:val="000000" w:themeColor="text1"/>
          <w:szCs w:val="24"/>
        </w:rPr>
      </w:pPr>
      <w:r w:rsidRPr="0090043B">
        <w:rPr>
          <w:rFonts w:eastAsia="Calibri" w:cs="Times New Roman"/>
          <w:color w:val="000000" w:themeColor="text1"/>
          <w:szCs w:val="24"/>
        </w:rPr>
        <w:t>Výše uvedené varianty byly vyhodnoceny podle</w:t>
      </w:r>
      <w:r>
        <w:rPr>
          <w:rFonts w:eastAsia="Calibri" w:cs="Times New Roman"/>
          <w:color w:val="000000" w:themeColor="text1"/>
          <w:szCs w:val="24"/>
        </w:rPr>
        <w:t xml:space="preserve"> stěžejních </w:t>
      </w:r>
      <w:r w:rsidRPr="0090043B">
        <w:rPr>
          <w:rFonts w:eastAsia="Calibri" w:cs="Times New Roman"/>
          <w:color w:val="000000" w:themeColor="text1"/>
          <w:szCs w:val="24"/>
        </w:rPr>
        <w:t>kritérií, která pokrývají klady a zápory (resp.</w:t>
      </w:r>
      <w:r>
        <w:rPr>
          <w:rFonts w:eastAsia="Calibri" w:cs="Times New Roman"/>
          <w:color w:val="000000" w:themeColor="text1"/>
          <w:szCs w:val="24"/>
        </w:rPr>
        <w:t> </w:t>
      </w:r>
      <w:r w:rsidRPr="0090043B">
        <w:rPr>
          <w:rFonts w:eastAsia="Calibri" w:cs="Times New Roman"/>
          <w:color w:val="000000" w:themeColor="text1"/>
          <w:szCs w:val="24"/>
        </w:rPr>
        <w:t>přínosy a náklady) jednotlivých navržených variant.</w:t>
      </w:r>
      <w:r>
        <w:rPr>
          <w:rFonts w:eastAsia="Calibri" w:cs="Times New Roman"/>
          <w:color w:val="000000" w:themeColor="text1"/>
          <w:szCs w:val="24"/>
        </w:rPr>
        <w:t xml:space="preserve"> </w:t>
      </w:r>
      <w:r w:rsidRPr="0090043B">
        <w:rPr>
          <w:rFonts w:eastAsia="Calibri" w:cs="Times New Roman"/>
          <w:color w:val="000000" w:themeColor="text1"/>
          <w:szCs w:val="24"/>
        </w:rPr>
        <w:t>Jako hodnotící kritéria byla identifikována:</w:t>
      </w:r>
    </w:p>
    <w:p w14:paraId="6A19EB44" w14:textId="38B54B7F" w:rsidR="00463EA7" w:rsidRPr="00DA18F1" w:rsidRDefault="00463EA7" w:rsidP="00AB680C">
      <w:pPr>
        <w:pStyle w:val="Odrky"/>
        <w:spacing w:after="120"/>
        <w:rPr>
          <w:rFonts w:cs="Times New Roman"/>
          <w:color w:val="000000" w:themeColor="text1"/>
          <w:szCs w:val="24"/>
        </w:rPr>
      </w:pPr>
      <w:r>
        <w:rPr>
          <w:rFonts w:eastAsia="Calibri"/>
          <w:color w:val="000000" w:themeColor="text1"/>
          <w:u w:val="single"/>
        </w:rPr>
        <w:t>k</w:t>
      </w:r>
      <w:r w:rsidR="00D10D97">
        <w:rPr>
          <w:rFonts w:eastAsia="Calibri"/>
          <w:color w:val="000000" w:themeColor="text1"/>
          <w:u w:val="single"/>
        </w:rPr>
        <w:t>apacita (personální, IT) orgánů celní správy</w:t>
      </w:r>
      <w:r w:rsidR="00587FC5">
        <w:rPr>
          <w:rFonts w:eastAsia="Calibri"/>
          <w:color w:val="000000" w:themeColor="text1"/>
        </w:rPr>
        <w:t xml:space="preserve"> – </w:t>
      </w:r>
      <w:r>
        <w:rPr>
          <w:rFonts w:eastAsia="Calibri"/>
          <w:color w:val="000000" w:themeColor="text1"/>
        </w:rPr>
        <w:t xml:space="preserve">v rámci tohoto kritéria by </w:t>
      </w:r>
      <w:r w:rsidRPr="00DA18F1">
        <w:rPr>
          <w:rFonts w:eastAsia="Calibri"/>
          <w:color w:val="000000" w:themeColor="text1"/>
        </w:rPr>
        <w:t>měl</w:t>
      </w:r>
      <w:r w:rsidR="00DA18F1" w:rsidRPr="00DA18F1">
        <w:rPr>
          <w:rFonts w:eastAsia="Calibri"/>
          <w:color w:val="000000" w:themeColor="text1"/>
        </w:rPr>
        <w:t xml:space="preserve">a být posouzena </w:t>
      </w:r>
      <w:r w:rsidR="00DA18F1">
        <w:rPr>
          <w:rFonts w:eastAsia="Calibri"/>
          <w:color w:val="000000" w:themeColor="text1"/>
        </w:rPr>
        <w:t xml:space="preserve">možná </w:t>
      </w:r>
      <w:r w:rsidR="00DA18F1" w:rsidRPr="00DA18F1">
        <w:rPr>
          <w:rFonts w:eastAsia="Calibri"/>
          <w:color w:val="000000" w:themeColor="text1"/>
        </w:rPr>
        <w:t>kapacita</w:t>
      </w:r>
      <w:r w:rsidRPr="00A963B6">
        <w:rPr>
          <w:rFonts w:cs="Times New Roman"/>
          <w:color w:val="000000" w:themeColor="text1"/>
          <w:szCs w:val="24"/>
        </w:rPr>
        <w:t xml:space="preserve"> na výkon řádné správy placení, a to jak v oblasti personální, tak v oblasti informačních technologií, </w:t>
      </w:r>
      <w:r w:rsidR="00DA18F1">
        <w:rPr>
          <w:rFonts w:cs="Times New Roman"/>
          <w:color w:val="000000" w:themeColor="text1"/>
          <w:szCs w:val="24"/>
        </w:rPr>
        <w:t>aby bylo předcházeno riziku</w:t>
      </w:r>
      <w:r w:rsidRPr="00A963B6">
        <w:rPr>
          <w:rFonts w:cs="Times New Roman"/>
          <w:color w:val="000000" w:themeColor="text1"/>
          <w:szCs w:val="24"/>
        </w:rPr>
        <w:t xml:space="preserve"> přetížení</w:t>
      </w:r>
      <w:r w:rsidR="00DA18F1">
        <w:rPr>
          <w:rFonts w:cs="Times New Roman"/>
          <w:color w:val="000000" w:themeColor="text1"/>
          <w:szCs w:val="24"/>
        </w:rPr>
        <w:t xml:space="preserve">; </w:t>
      </w:r>
    </w:p>
    <w:p w14:paraId="2A70D05F" w14:textId="1498B124" w:rsidR="00D10D97" w:rsidRPr="00D10D97" w:rsidRDefault="00587FC5" w:rsidP="00AB680C">
      <w:pPr>
        <w:pStyle w:val="Odrky"/>
        <w:spacing w:after="120"/>
        <w:rPr>
          <w:rFonts w:eastAsia="Calibri"/>
          <w:color w:val="000000" w:themeColor="text1"/>
        </w:rPr>
      </w:pPr>
      <w:r w:rsidRPr="00587FC5">
        <w:rPr>
          <w:rFonts w:eastAsia="Calibri"/>
          <w:color w:val="000000" w:themeColor="text1"/>
          <w:u w:val="single"/>
        </w:rPr>
        <w:t>srozumitelnost výkonu veřejné moci z pohledu veřejnosti</w:t>
      </w:r>
      <w:r w:rsidRPr="00587FC5">
        <w:rPr>
          <w:rFonts w:eastAsia="Calibri"/>
          <w:color w:val="000000" w:themeColor="text1"/>
        </w:rPr>
        <w:t xml:space="preserve"> – v rámci tohoto kritéria by měl být posouzen pohled široké veřejnosti na výkon státní správy</w:t>
      </w:r>
      <w:r w:rsidR="00FD0AC5">
        <w:rPr>
          <w:rFonts w:cs="Times New Roman"/>
          <w:color w:val="000000" w:themeColor="text1"/>
          <w:szCs w:val="24"/>
        </w:rPr>
        <w:t>;</w:t>
      </w:r>
    </w:p>
    <w:p w14:paraId="5EC483E5" w14:textId="2ABDB6E4" w:rsidR="00587FC5" w:rsidRPr="00636F53" w:rsidRDefault="00636F53" w:rsidP="00AB680C">
      <w:pPr>
        <w:pStyle w:val="Odrky"/>
        <w:spacing w:after="120"/>
        <w:rPr>
          <w:rFonts w:eastAsia="Calibri"/>
          <w:color w:val="000000" w:themeColor="text1"/>
        </w:rPr>
      </w:pPr>
      <w:r>
        <w:rPr>
          <w:rFonts w:eastAsia="Calibri"/>
          <w:color w:val="000000" w:themeColor="text1"/>
          <w:u w:val="single"/>
        </w:rPr>
        <w:t>n</w:t>
      </w:r>
      <w:r w:rsidR="00D10D97">
        <w:rPr>
          <w:rFonts w:eastAsia="Calibri"/>
          <w:color w:val="000000" w:themeColor="text1"/>
          <w:u w:val="single"/>
        </w:rPr>
        <w:t>ázorová shoda orgánů státní správy na provedení změny</w:t>
      </w:r>
      <w:r w:rsidR="00D10D97" w:rsidRPr="00587FC5">
        <w:rPr>
          <w:rFonts w:eastAsia="Calibri"/>
          <w:color w:val="000000" w:themeColor="text1"/>
        </w:rPr>
        <w:t xml:space="preserve"> – v rámci tohoto kritéria by měl být posouzen pohled </w:t>
      </w:r>
      <w:r w:rsidR="00D10D97">
        <w:rPr>
          <w:rFonts w:eastAsia="Calibri"/>
          <w:color w:val="000000" w:themeColor="text1"/>
        </w:rPr>
        <w:t>orgánů</w:t>
      </w:r>
      <w:r w:rsidR="00D10D97" w:rsidRPr="00587FC5">
        <w:rPr>
          <w:rFonts w:eastAsia="Calibri"/>
          <w:color w:val="000000" w:themeColor="text1"/>
        </w:rPr>
        <w:t xml:space="preserve"> státní správy</w:t>
      </w:r>
      <w:r w:rsidR="003853CC">
        <w:rPr>
          <w:rFonts w:eastAsia="Calibri"/>
          <w:color w:val="000000" w:themeColor="text1"/>
        </w:rPr>
        <w:t xml:space="preserve"> zajišťujících správu placení</w:t>
      </w:r>
      <w:r w:rsidR="00463EA7">
        <w:rPr>
          <w:rFonts w:eastAsia="Calibri"/>
          <w:color w:val="000000" w:themeColor="text1"/>
        </w:rPr>
        <w:t xml:space="preserve"> pokut</w:t>
      </w:r>
      <w:r w:rsidR="00D10D97" w:rsidRPr="00587FC5">
        <w:rPr>
          <w:rFonts w:eastAsia="Calibri"/>
          <w:color w:val="000000" w:themeColor="text1"/>
        </w:rPr>
        <w:t>.</w:t>
      </w:r>
    </w:p>
    <w:p w14:paraId="63A71545" w14:textId="7A5155CB" w:rsidR="00070A5A" w:rsidRPr="00A2506A" w:rsidRDefault="00070A5A" w:rsidP="00AB680C">
      <w:pPr>
        <w:pStyle w:val="Nadpis3"/>
        <w:keepNext w:val="0"/>
      </w:pPr>
      <w:bookmarkStart w:id="89" w:name="_Toc164761277"/>
      <w:r w:rsidRPr="00A2506A">
        <w:t>Náklady</w:t>
      </w:r>
      <w:bookmarkEnd w:id="89"/>
    </w:p>
    <w:p w14:paraId="73E8C590" w14:textId="77777777" w:rsidR="00636F53" w:rsidRDefault="00636F53" w:rsidP="00AB680C">
      <w:pPr>
        <w:pStyle w:val="Odrky"/>
        <w:numPr>
          <w:ilvl w:val="0"/>
          <w:numId w:val="0"/>
        </w:numPr>
        <w:spacing w:after="120"/>
        <w:rPr>
          <w:rFonts w:eastAsia="Calibri"/>
          <w:color w:val="000000" w:themeColor="text1"/>
        </w:rPr>
      </w:pPr>
      <w:r>
        <w:rPr>
          <w:rFonts w:eastAsia="Calibri"/>
          <w:color w:val="000000" w:themeColor="text1"/>
          <w:u w:val="single"/>
        </w:rPr>
        <w:t>K</w:t>
      </w:r>
      <w:r w:rsidRPr="00DA18F1">
        <w:rPr>
          <w:rFonts w:eastAsia="Calibri"/>
          <w:color w:val="000000" w:themeColor="text1"/>
          <w:u w:val="single"/>
        </w:rPr>
        <w:t>apacita (personální, IT) orgánů celní správy</w:t>
      </w:r>
      <w:r w:rsidRPr="00DA18F1">
        <w:rPr>
          <w:rFonts w:eastAsia="Calibri"/>
          <w:color w:val="000000" w:themeColor="text1"/>
        </w:rPr>
        <w:t xml:space="preserve"> </w:t>
      </w:r>
    </w:p>
    <w:p w14:paraId="50BC323E" w14:textId="7B1F3CB4" w:rsidR="00636F53" w:rsidRPr="00DA18F1" w:rsidRDefault="00942E69" w:rsidP="00AB680C">
      <w:pPr>
        <w:pStyle w:val="Odrky"/>
        <w:numPr>
          <w:ilvl w:val="0"/>
          <w:numId w:val="0"/>
        </w:numPr>
        <w:spacing w:after="120"/>
        <w:rPr>
          <w:rFonts w:cs="Times New Roman"/>
          <w:color w:val="000000" w:themeColor="text1"/>
          <w:szCs w:val="24"/>
        </w:rPr>
      </w:pPr>
      <w:r>
        <w:rPr>
          <w:rFonts w:eastAsia="Calibri"/>
          <w:color w:val="000000" w:themeColor="text1"/>
        </w:rPr>
        <w:t xml:space="preserve">Záporem </w:t>
      </w:r>
      <w:r w:rsidR="00EB0169">
        <w:rPr>
          <w:rFonts w:eastAsia="Calibri"/>
          <w:color w:val="000000" w:themeColor="text1"/>
        </w:rPr>
        <w:t xml:space="preserve">navrhované změny </w:t>
      </w:r>
      <w:r w:rsidR="006804EA">
        <w:rPr>
          <w:rFonts w:eastAsia="Calibri"/>
          <w:color w:val="000000" w:themeColor="text1"/>
        </w:rPr>
        <w:t>je možné přetížení kapacit orgánů celní správy</w:t>
      </w:r>
      <w:r w:rsidR="00E05C98">
        <w:rPr>
          <w:rFonts w:eastAsia="Calibri"/>
          <w:color w:val="000000" w:themeColor="text1"/>
        </w:rPr>
        <w:t>, a to jak z pohledu lidských zdrojů (tedy kapacit personálních), tak z pohledu</w:t>
      </w:r>
      <w:r w:rsidR="006804EA">
        <w:rPr>
          <w:rFonts w:eastAsia="Calibri"/>
          <w:color w:val="000000" w:themeColor="text1"/>
        </w:rPr>
        <w:t xml:space="preserve"> </w:t>
      </w:r>
      <w:r w:rsidR="00100AF4">
        <w:rPr>
          <w:rFonts w:eastAsia="Calibri"/>
          <w:color w:val="000000" w:themeColor="text1"/>
        </w:rPr>
        <w:t>informačních technologií (konstrukce hardwar</w:t>
      </w:r>
      <w:r w:rsidR="006B3655">
        <w:rPr>
          <w:rFonts w:eastAsia="Calibri"/>
          <w:color w:val="000000" w:themeColor="text1"/>
        </w:rPr>
        <w:t>u</w:t>
      </w:r>
      <w:r w:rsidR="00100AF4">
        <w:rPr>
          <w:rFonts w:eastAsia="Calibri"/>
          <w:color w:val="000000" w:themeColor="text1"/>
        </w:rPr>
        <w:t xml:space="preserve"> i softwar</w:t>
      </w:r>
      <w:r w:rsidR="006B3655">
        <w:rPr>
          <w:rFonts w:eastAsia="Calibri"/>
          <w:color w:val="000000" w:themeColor="text1"/>
        </w:rPr>
        <w:t>u</w:t>
      </w:r>
      <w:r w:rsidR="00100AF4">
        <w:rPr>
          <w:rFonts w:eastAsia="Calibri"/>
          <w:color w:val="000000" w:themeColor="text1"/>
        </w:rPr>
        <w:t xml:space="preserve"> na určitý výkon). </w:t>
      </w:r>
    </w:p>
    <w:p w14:paraId="5EE05D1F" w14:textId="7EF5399F" w:rsidR="00636F53" w:rsidRDefault="00636F53" w:rsidP="00AB680C">
      <w:pPr>
        <w:pStyle w:val="Odrky"/>
        <w:numPr>
          <w:ilvl w:val="0"/>
          <w:numId w:val="0"/>
        </w:numPr>
        <w:spacing w:after="120"/>
        <w:rPr>
          <w:rFonts w:eastAsia="Calibri"/>
          <w:color w:val="000000" w:themeColor="text1"/>
        </w:rPr>
      </w:pPr>
      <w:r>
        <w:rPr>
          <w:rFonts w:eastAsia="Calibri"/>
          <w:color w:val="000000" w:themeColor="text1"/>
          <w:u w:val="single"/>
        </w:rPr>
        <w:t>Sr</w:t>
      </w:r>
      <w:r w:rsidRPr="00587FC5">
        <w:rPr>
          <w:rFonts w:eastAsia="Calibri"/>
          <w:color w:val="000000" w:themeColor="text1"/>
          <w:u w:val="single"/>
        </w:rPr>
        <w:t>ozumitelnost výkonu veřejné moci z pohledu veřejnosti</w:t>
      </w:r>
      <w:r w:rsidRPr="00587FC5">
        <w:rPr>
          <w:rFonts w:eastAsia="Calibri"/>
          <w:color w:val="000000" w:themeColor="text1"/>
        </w:rPr>
        <w:t xml:space="preserve"> </w:t>
      </w:r>
    </w:p>
    <w:p w14:paraId="2D0AD9EE" w14:textId="7BCF131C" w:rsidR="00636F53" w:rsidRPr="00636F53" w:rsidRDefault="00391B6B" w:rsidP="00AB680C">
      <w:pPr>
        <w:spacing w:before="0"/>
      </w:pPr>
      <w:r>
        <w:t xml:space="preserve">Možným nákladem (záporem) navržené změny je </w:t>
      </w:r>
      <w:r w:rsidR="00626663">
        <w:t>opětovná změna právních předpisů</w:t>
      </w:r>
      <w:r w:rsidR="00E2441F">
        <w:t xml:space="preserve">, kterou veřejnost vnímá obecně negativně (cílem je stabilita a spíše požadavek na neměnnost právních předpisů, není-li k tomu dán racionální důvod). </w:t>
      </w:r>
      <w:r w:rsidR="00626663">
        <w:t xml:space="preserve"> </w:t>
      </w:r>
      <w:r>
        <w:t xml:space="preserve"> </w:t>
      </w:r>
    </w:p>
    <w:p w14:paraId="0C1485D1" w14:textId="562E3D2F" w:rsidR="00636F53" w:rsidRDefault="00636F53" w:rsidP="00AB680C">
      <w:pPr>
        <w:pStyle w:val="Odrky"/>
        <w:numPr>
          <w:ilvl w:val="0"/>
          <w:numId w:val="0"/>
        </w:numPr>
        <w:spacing w:after="120"/>
        <w:rPr>
          <w:rFonts w:eastAsia="Calibri"/>
          <w:color w:val="000000" w:themeColor="text1"/>
        </w:rPr>
      </w:pPr>
      <w:r>
        <w:rPr>
          <w:rFonts w:eastAsia="Calibri"/>
          <w:color w:val="000000" w:themeColor="text1"/>
          <w:u w:val="single"/>
        </w:rPr>
        <w:t>Názorová shoda orgánů státní správy na provedení změny</w:t>
      </w:r>
      <w:r w:rsidRPr="00587FC5">
        <w:rPr>
          <w:rFonts w:eastAsia="Calibri"/>
          <w:color w:val="000000" w:themeColor="text1"/>
        </w:rPr>
        <w:t xml:space="preserve"> </w:t>
      </w:r>
    </w:p>
    <w:p w14:paraId="0C5F3751" w14:textId="4785EDCC" w:rsidR="00636F53" w:rsidRPr="005B3FA4" w:rsidRDefault="00100AF4" w:rsidP="00AB680C">
      <w:pPr>
        <w:spacing w:before="0"/>
      </w:pPr>
      <w:r>
        <w:t>Negativním j</w:t>
      </w:r>
      <w:r w:rsidR="00EE13AB">
        <w:t xml:space="preserve">evem by byl </w:t>
      </w:r>
      <w:r w:rsidR="00C86901">
        <w:t xml:space="preserve">převážný nesouhlas orgánů státní správy </w:t>
      </w:r>
      <w:r w:rsidR="009E1E6B">
        <w:t>s navrhovanou změnou, tj.</w:t>
      </w:r>
      <w:r w:rsidR="001A74FC">
        <w:t> </w:t>
      </w:r>
      <w:r w:rsidR="009E1E6B">
        <w:t xml:space="preserve">úplnou či částečnou koncentrací správy placení pokut za přestupek </w:t>
      </w:r>
      <w:r w:rsidR="005B3FA4">
        <w:t>u</w:t>
      </w:r>
      <w:r w:rsidR="009E1E6B">
        <w:t xml:space="preserve"> orgánů </w:t>
      </w:r>
      <w:r w:rsidR="005B3FA4">
        <w:t xml:space="preserve">celní správy. </w:t>
      </w:r>
      <w:r w:rsidR="009E1E6B">
        <w:t xml:space="preserve"> </w:t>
      </w:r>
    </w:p>
    <w:p w14:paraId="3CBC8029" w14:textId="19EB8E45" w:rsidR="00A004E6" w:rsidRPr="00A2506A" w:rsidRDefault="00070A5A" w:rsidP="00AB680C">
      <w:pPr>
        <w:pStyle w:val="Nadpis3"/>
        <w:keepNext w:val="0"/>
      </w:pPr>
      <w:bookmarkStart w:id="90" w:name="_Toc164761278"/>
      <w:r w:rsidRPr="00A2506A">
        <w:t>Přínosy</w:t>
      </w:r>
      <w:bookmarkEnd w:id="90"/>
    </w:p>
    <w:p w14:paraId="46906425" w14:textId="77777777" w:rsidR="00636F53" w:rsidRDefault="00636F53" w:rsidP="00AB680C">
      <w:pPr>
        <w:pStyle w:val="Odrky"/>
        <w:numPr>
          <w:ilvl w:val="0"/>
          <w:numId w:val="0"/>
        </w:numPr>
        <w:spacing w:after="120"/>
        <w:rPr>
          <w:rFonts w:eastAsia="Calibri"/>
          <w:color w:val="000000" w:themeColor="text1"/>
        </w:rPr>
      </w:pPr>
      <w:r>
        <w:rPr>
          <w:rFonts w:eastAsia="Calibri"/>
          <w:color w:val="000000" w:themeColor="text1"/>
          <w:u w:val="single"/>
        </w:rPr>
        <w:t>K</w:t>
      </w:r>
      <w:r w:rsidRPr="00DA18F1">
        <w:rPr>
          <w:rFonts w:eastAsia="Calibri"/>
          <w:color w:val="000000" w:themeColor="text1"/>
          <w:u w:val="single"/>
        </w:rPr>
        <w:t>apacita (personální, IT) orgánů celní správy</w:t>
      </w:r>
      <w:r w:rsidRPr="00DA18F1">
        <w:rPr>
          <w:rFonts w:eastAsia="Calibri"/>
          <w:color w:val="000000" w:themeColor="text1"/>
        </w:rPr>
        <w:t xml:space="preserve"> </w:t>
      </w:r>
    </w:p>
    <w:p w14:paraId="2C5EB8C2" w14:textId="5047B191" w:rsidR="00636F53" w:rsidRPr="00394598" w:rsidRDefault="008C7DC6" w:rsidP="00AB680C">
      <w:pPr>
        <w:pStyle w:val="Odrky"/>
        <w:numPr>
          <w:ilvl w:val="0"/>
          <w:numId w:val="0"/>
        </w:numPr>
        <w:spacing w:after="120"/>
        <w:rPr>
          <w:rFonts w:cs="Times New Roman"/>
          <w:color w:val="000000" w:themeColor="text1"/>
          <w:szCs w:val="24"/>
        </w:rPr>
      </w:pPr>
      <w:r w:rsidRPr="00394598">
        <w:rPr>
          <w:rFonts w:cs="Times New Roman"/>
          <w:color w:val="000000" w:themeColor="text1"/>
          <w:szCs w:val="24"/>
        </w:rPr>
        <w:t xml:space="preserve">Kladem </w:t>
      </w:r>
      <w:r w:rsidR="00CD1E81" w:rsidRPr="00394598">
        <w:rPr>
          <w:rFonts w:cs="Times New Roman"/>
          <w:color w:val="000000" w:themeColor="text1"/>
          <w:szCs w:val="24"/>
        </w:rPr>
        <w:t xml:space="preserve">může být </w:t>
      </w:r>
      <w:r w:rsidR="0051385E" w:rsidRPr="00394598">
        <w:rPr>
          <w:rFonts w:cs="Times New Roman"/>
          <w:color w:val="000000" w:themeColor="text1"/>
          <w:szCs w:val="24"/>
        </w:rPr>
        <w:t xml:space="preserve">využití stávajících kapacit </w:t>
      </w:r>
      <w:r w:rsidR="00B705F0" w:rsidRPr="00394598">
        <w:rPr>
          <w:rFonts w:cs="Times New Roman"/>
          <w:color w:val="000000" w:themeColor="text1"/>
          <w:szCs w:val="24"/>
        </w:rPr>
        <w:t>orgánů celní správy</w:t>
      </w:r>
      <w:r w:rsidR="00807A6C" w:rsidRPr="00394598">
        <w:rPr>
          <w:rFonts w:cs="Times New Roman"/>
          <w:color w:val="000000" w:themeColor="text1"/>
          <w:szCs w:val="24"/>
        </w:rPr>
        <w:t xml:space="preserve"> </w:t>
      </w:r>
      <w:r w:rsidR="002E49AB" w:rsidRPr="00394598">
        <w:rPr>
          <w:rFonts w:cs="Times New Roman"/>
          <w:color w:val="000000" w:themeColor="text1"/>
          <w:szCs w:val="24"/>
        </w:rPr>
        <w:t>v</w:t>
      </w:r>
      <w:r w:rsidR="00807A6C" w:rsidRPr="00394598">
        <w:rPr>
          <w:rFonts w:cs="Times New Roman"/>
          <w:color w:val="000000" w:themeColor="text1"/>
          <w:szCs w:val="24"/>
        </w:rPr>
        <w:t> oblasti informačních</w:t>
      </w:r>
      <w:r w:rsidR="002E49AB" w:rsidRPr="00394598">
        <w:rPr>
          <w:rFonts w:cs="Times New Roman"/>
          <w:color w:val="000000" w:themeColor="text1"/>
          <w:szCs w:val="24"/>
        </w:rPr>
        <w:t xml:space="preserve"> a</w:t>
      </w:r>
      <w:r w:rsidR="001A74FC">
        <w:rPr>
          <w:rFonts w:cs="Times New Roman"/>
          <w:color w:val="000000" w:themeColor="text1"/>
          <w:szCs w:val="24"/>
        </w:rPr>
        <w:t> </w:t>
      </w:r>
      <w:r w:rsidR="00807A6C" w:rsidRPr="00394598">
        <w:rPr>
          <w:rFonts w:cs="Times New Roman"/>
          <w:color w:val="000000" w:themeColor="text1"/>
          <w:szCs w:val="24"/>
        </w:rPr>
        <w:t>komunikačních technologií. Celní správ</w:t>
      </w:r>
      <w:r w:rsidR="005039E7" w:rsidRPr="00394598">
        <w:rPr>
          <w:rFonts w:cs="Times New Roman"/>
          <w:color w:val="000000" w:themeColor="text1"/>
          <w:szCs w:val="24"/>
        </w:rPr>
        <w:t>a</w:t>
      </w:r>
      <w:r w:rsidR="00807A6C" w:rsidRPr="00394598">
        <w:rPr>
          <w:rFonts w:cs="Times New Roman"/>
          <w:color w:val="000000" w:themeColor="text1"/>
          <w:szCs w:val="24"/>
        </w:rPr>
        <w:t xml:space="preserve"> je schopna spravovat velké množství pohledávek díky digitalizaci a automatizaci postupů. </w:t>
      </w:r>
    </w:p>
    <w:p w14:paraId="1A978F1D" w14:textId="5328282C" w:rsidR="00D7568E" w:rsidRPr="00394598" w:rsidRDefault="00D7568E" w:rsidP="00AB680C">
      <w:pPr>
        <w:spacing w:before="0"/>
        <w:rPr>
          <w:rFonts w:cstheme="minorHAnsi"/>
          <w:szCs w:val="24"/>
        </w:rPr>
      </w:pPr>
      <w:r w:rsidRPr="00394598">
        <w:rPr>
          <w:rFonts w:cstheme="minorHAnsi"/>
          <w:szCs w:val="24"/>
        </w:rPr>
        <w:t>Procesy při zjišťování exekvovatelného majetku jsou vysoce elektronické, automatizované a</w:t>
      </w:r>
      <w:r w:rsidR="001A74FC">
        <w:rPr>
          <w:rFonts w:cstheme="minorHAnsi"/>
          <w:szCs w:val="24"/>
        </w:rPr>
        <w:t> </w:t>
      </w:r>
      <w:r w:rsidRPr="00394598">
        <w:rPr>
          <w:rFonts w:cstheme="minorHAnsi"/>
          <w:szCs w:val="24"/>
        </w:rPr>
        <w:t xml:space="preserve">sdílené mezi jednotlivými celními úřady. Nedochází tedy k nadměrnému zatěžování třetích osob při součinnostních dotazech. Celní správa má ze zákona přístup do Centrální evidence </w:t>
      </w:r>
      <w:r w:rsidRPr="00394598">
        <w:rPr>
          <w:rFonts w:cstheme="minorHAnsi"/>
          <w:szCs w:val="24"/>
        </w:rPr>
        <w:lastRenderedPageBreak/>
        <w:t>účtů, zároveň využívá dálkový přístup prakticky do všech registrů nebo obdobných evidencí (nemovitostí, vozidel, zbraní, údajů Č</w:t>
      </w:r>
      <w:r w:rsidR="001A74FC">
        <w:rPr>
          <w:rFonts w:cstheme="minorHAnsi"/>
          <w:szCs w:val="24"/>
        </w:rPr>
        <w:t xml:space="preserve">eské správy sociálního zabezpečení </w:t>
      </w:r>
      <w:r w:rsidRPr="00394598">
        <w:rPr>
          <w:rFonts w:cstheme="minorHAnsi"/>
          <w:szCs w:val="24"/>
        </w:rPr>
        <w:t xml:space="preserve">a zdravotních pojišťoven, přeplatky </w:t>
      </w:r>
      <w:r w:rsidR="001A74FC">
        <w:rPr>
          <w:rFonts w:cstheme="minorHAnsi"/>
          <w:szCs w:val="24"/>
        </w:rPr>
        <w:t xml:space="preserve">evidované u orgánů </w:t>
      </w:r>
      <w:r w:rsidRPr="00394598">
        <w:rPr>
          <w:rFonts w:cstheme="minorHAnsi"/>
          <w:szCs w:val="24"/>
        </w:rPr>
        <w:t xml:space="preserve">celní </w:t>
      </w:r>
      <w:r w:rsidR="001A74FC">
        <w:rPr>
          <w:rFonts w:cstheme="minorHAnsi"/>
          <w:szCs w:val="24"/>
        </w:rPr>
        <w:t xml:space="preserve">správy </w:t>
      </w:r>
      <w:r w:rsidRPr="00394598">
        <w:rPr>
          <w:rFonts w:cstheme="minorHAnsi"/>
          <w:szCs w:val="24"/>
        </w:rPr>
        <w:t xml:space="preserve">a </w:t>
      </w:r>
      <w:r w:rsidR="001A74FC">
        <w:rPr>
          <w:rFonts w:cstheme="minorHAnsi"/>
          <w:szCs w:val="24"/>
        </w:rPr>
        <w:t>orgánů F</w:t>
      </w:r>
      <w:r w:rsidRPr="00394598">
        <w:rPr>
          <w:rFonts w:cstheme="minorHAnsi"/>
          <w:szCs w:val="24"/>
        </w:rPr>
        <w:t>inanční správy</w:t>
      </w:r>
      <w:r w:rsidR="001A74FC">
        <w:rPr>
          <w:rFonts w:cstheme="minorHAnsi"/>
          <w:szCs w:val="24"/>
        </w:rPr>
        <w:t xml:space="preserve"> České republiky atd.</w:t>
      </w:r>
      <w:r w:rsidRPr="00394598">
        <w:rPr>
          <w:rFonts w:cstheme="minorHAnsi"/>
          <w:szCs w:val="24"/>
        </w:rPr>
        <w:t>), které tento přístup nabízejí.</w:t>
      </w:r>
    </w:p>
    <w:p w14:paraId="435A1D35" w14:textId="412A3597" w:rsidR="00D7568E" w:rsidRPr="00394598" w:rsidRDefault="00D7568E" w:rsidP="00AB680C">
      <w:pPr>
        <w:spacing w:before="0"/>
        <w:rPr>
          <w:rFonts w:cstheme="minorHAnsi"/>
          <w:szCs w:val="24"/>
        </w:rPr>
      </w:pPr>
      <w:r w:rsidRPr="00394598">
        <w:rPr>
          <w:rFonts w:cstheme="minorHAnsi"/>
          <w:szCs w:val="24"/>
        </w:rPr>
        <w:t xml:space="preserve">Automatizovaná výměna informací </w:t>
      </w:r>
      <w:r w:rsidR="00C640D2" w:rsidRPr="00394598">
        <w:rPr>
          <w:rFonts w:cstheme="minorHAnsi"/>
          <w:szCs w:val="24"/>
        </w:rPr>
        <w:t xml:space="preserve">bude </w:t>
      </w:r>
      <w:r w:rsidRPr="00394598">
        <w:rPr>
          <w:rFonts w:cstheme="minorHAnsi"/>
          <w:szCs w:val="24"/>
        </w:rPr>
        <w:t xml:space="preserve">využívána </w:t>
      </w:r>
      <w:r w:rsidR="00A268E8" w:rsidRPr="00394598">
        <w:rPr>
          <w:rFonts w:cstheme="minorHAnsi"/>
          <w:szCs w:val="24"/>
        </w:rPr>
        <w:t>i</w:t>
      </w:r>
      <w:r w:rsidR="00EB0F80" w:rsidRPr="00394598">
        <w:rPr>
          <w:rFonts w:cstheme="minorHAnsi"/>
          <w:szCs w:val="24"/>
        </w:rPr>
        <w:t xml:space="preserve"> </w:t>
      </w:r>
      <w:r w:rsidR="00A268E8" w:rsidRPr="00394598">
        <w:rPr>
          <w:rFonts w:cstheme="minorHAnsi"/>
          <w:szCs w:val="24"/>
        </w:rPr>
        <w:t>mezi</w:t>
      </w:r>
      <w:r w:rsidRPr="00394598">
        <w:rPr>
          <w:rFonts w:cstheme="minorHAnsi"/>
          <w:szCs w:val="24"/>
        </w:rPr>
        <w:t xml:space="preserve"> ukladateli a </w:t>
      </w:r>
      <w:r w:rsidR="001A74FC">
        <w:rPr>
          <w:rFonts w:cstheme="minorHAnsi"/>
          <w:szCs w:val="24"/>
        </w:rPr>
        <w:t>orgány c</w:t>
      </w:r>
      <w:r w:rsidRPr="00394598">
        <w:rPr>
          <w:rFonts w:cstheme="minorHAnsi"/>
          <w:szCs w:val="24"/>
        </w:rPr>
        <w:t>elní správ</w:t>
      </w:r>
      <w:r w:rsidR="001A74FC">
        <w:rPr>
          <w:rFonts w:cstheme="minorHAnsi"/>
          <w:szCs w:val="24"/>
        </w:rPr>
        <w:t>y</w:t>
      </w:r>
      <w:r w:rsidRPr="00394598">
        <w:rPr>
          <w:rFonts w:cstheme="minorHAnsi"/>
          <w:szCs w:val="24"/>
        </w:rPr>
        <w:t xml:space="preserve">, čímž opět dochází k absenci zbytečné administrativy. </w:t>
      </w:r>
      <w:r w:rsidR="00EB0F80" w:rsidRPr="00394598">
        <w:rPr>
          <w:rFonts w:cstheme="minorHAnsi"/>
          <w:szCs w:val="24"/>
        </w:rPr>
        <w:t xml:space="preserve">Pro systém automatizované výměny informací bude ze strany </w:t>
      </w:r>
      <w:r w:rsidR="001A74FC">
        <w:rPr>
          <w:rFonts w:cstheme="minorHAnsi"/>
          <w:szCs w:val="24"/>
        </w:rPr>
        <w:t>orgánů c</w:t>
      </w:r>
      <w:r w:rsidR="00EB0F80" w:rsidRPr="00394598">
        <w:rPr>
          <w:rFonts w:cstheme="minorHAnsi"/>
          <w:szCs w:val="24"/>
        </w:rPr>
        <w:t xml:space="preserve">elní správy využit </w:t>
      </w:r>
      <w:r w:rsidR="00466072" w:rsidRPr="00394598">
        <w:rPr>
          <w:rFonts w:cstheme="minorHAnsi"/>
          <w:szCs w:val="24"/>
        </w:rPr>
        <w:t xml:space="preserve">způsob zpracování tzv. justičních pohledávek, které </w:t>
      </w:r>
      <w:r w:rsidR="001A74FC">
        <w:rPr>
          <w:rFonts w:cstheme="minorHAnsi"/>
          <w:szCs w:val="24"/>
        </w:rPr>
        <w:t xml:space="preserve">jim </w:t>
      </w:r>
      <w:r w:rsidR="00466072" w:rsidRPr="00394598">
        <w:rPr>
          <w:rFonts w:cstheme="minorHAnsi"/>
          <w:szCs w:val="24"/>
        </w:rPr>
        <w:t xml:space="preserve">předávají orgány resortu </w:t>
      </w:r>
      <w:r w:rsidR="001A74FC">
        <w:rPr>
          <w:rFonts w:cstheme="minorHAnsi"/>
          <w:szCs w:val="24"/>
        </w:rPr>
        <w:t>Ministerstva s</w:t>
      </w:r>
      <w:r w:rsidR="00466072" w:rsidRPr="00394598">
        <w:rPr>
          <w:rFonts w:cstheme="minorHAnsi"/>
          <w:szCs w:val="24"/>
        </w:rPr>
        <w:t>pravedlnosti</w:t>
      </w:r>
      <w:r w:rsidRPr="00394598">
        <w:rPr>
          <w:rFonts w:cstheme="minorHAnsi"/>
          <w:szCs w:val="24"/>
        </w:rPr>
        <w:t>.</w:t>
      </w:r>
    </w:p>
    <w:p w14:paraId="40CC2731" w14:textId="35948736" w:rsidR="002613F5" w:rsidRPr="00394598" w:rsidRDefault="002613F5" w:rsidP="00AB680C">
      <w:pPr>
        <w:spacing w:before="0"/>
        <w:rPr>
          <w:rFonts w:cstheme="minorHAnsi"/>
          <w:szCs w:val="24"/>
        </w:rPr>
      </w:pPr>
      <w:r w:rsidRPr="00394598">
        <w:rPr>
          <w:rFonts w:cstheme="minorHAnsi"/>
          <w:szCs w:val="24"/>
        </w:rPr>
        <w:t xml:space="preserve">Ze strany daňových subjektů je </w:t>
      </w:r>
      <w:r w:rsidR="00270ED1" w:rsidRPr="00394598">
        <w:rPr>
          <w:rFonts w:cstheme="minorHAnsi"/>
          <w:szCs w:val="24"/>
        </w:rPr>
        <w:t xml:space="preserve">možné </w:t>
      </w:r>
      <w:r w:rsidR="005D73D1" w:rsidRPr="00394598">
        <w:rPr>
          <w:rFonts w:cstheme="minorHAnsi"/>
          <w:szCs w:val="24"/>
        </w:rPr>
        <w:t>bez jakýchkoliv nákladů</w:t>
      </w:r>
      <w:r w:rsidR="00270ED1" w:rsidRPr="00394598">
        <w:rPr>
          <w:rFonts w:cstheme="minorHAnsi"/>
          <w:szCs w:val="24"/>
        </w:rPr>
        <w:t xml:space="preserve"> (na rozdíl od </w:t>
      </w:r>
      <w:r w:rsidR="00F53463" w:rsidRPr="00394598">
        <w:rPr>
          <w:rFonts w:cstheme="minorHAnsi"/>
          <w:szCs w:val="24"/>
        </w:rPr>
        <w:t>informací z Centrální evidence exekucí) zjistit v</w:t>
      </w:r>
      <w:r w:rsidR="00270ED1" w:rsidRPr="00394598">
        <w:rPr>
          <w:rFonts w:cstheme="minorHAnsi"/>
          <w:szCs w:val="24"/>
        </w:rPr>
        <w:t>eš</w:t>
      </w:r>
      <w:r w:rsidR="001A74FC">
        <w:rPr>
          <w:rFonts w:cstheme="minorHAnsi"/>
          <w:szCs w:val="24"/>
        </w:rPr>
        <w:t>keré závazky i nedoplatky vůči orgánům c</w:t>
      </w:r>
      <w:r w:rsidR="00270ED1" w:rsidRPr="00394598">
        <w:rPr>
          <w:rFonts w:cstheme="minorHAnsi"/>
          <w:szCs w:val="24"/>
        </w:rPr>
        <w:t>elní správ</w:t>
      </w:r>
      <w:r w:rsidR="001A74FC">
        <w:rPr>
          <w:rFonts w:cstheme="minorHAnsi"/>
          <w:szCs w:val="24"/>
        </w:rPr>
        <w:t>y</w:t>
      </w:r>
      <w:r w:rsidR="00270ED1" w:rsidRPr="00394598">
        <w:rPr>
          <w:rFonts w:cstheme="minorHAnsi"/>
          <w:szCs w:val="24"/>
        </w:rPr>
        <w:t>, respektive celním úřadům v pozici obecného správce</w:t>
      </w:r>
      <w:r w:rsidR="00394598" w:rsidRPr="00394598">
        <w:rPr>
          <w:rFonts w:cstheme="minorHAnsi"/>
          <w:szCs w:val="24"/>
        </w:rPr>
        <w:t>,</w:t>
      </w:r>
      <w:r w:rsidR="00270ED1" w:rsidRPr="00394598">
        <w:rPr>
          <w:rFonts w:cstheme="minorHAnsi"/>
          <w:szCs w:val="24"/>
        </w:rPr>
        <w:t xml:space="preserve"> on-line na </w:t>
      </w:r>
      <w:hyperlink r:id="rId12" w:history="1">
        <w:proofErr w:type="spellStart"/>
        <w:r w:rsidR="00270ED1" w:rsidRPr="00394598">
          <w:rPr>
            <w:rStyle w:val="Hypertextovodkaz"/>
            <w:rFonts w:cstheme="minorHAnsi"/>
          </w:rPr>
          <w:t>cPortál</w:t>
        </w:r>
        <w:proofErr w:type="spellEnd"/>
        <w:r w:rsidR="00270ED1" w:rsidRPr="00394598">
          <w:rPr>
            <w:rStyle w:val="Hypertextovodkaz"/>
            <w:rFonts w:cstheme="minorHAnsi"/>
          </w:rPr>
          <w:t xml:space="preserve"> Celní správy ČR (celnisprava.cz)</w:t>
        </w:r>
      </w:hyperlink>
      <w:r w:rsidR="00270ED1" w:rsidRPr="00394598">
        <w:rPr>
          <w:rFonts w:cstheme="minorHAnsi"/>
          <w:szCs w:val="24"/>
        </w:rPr>
        <w:t xml:space="preserve"> v aplikaci „Moje přeplatky a nedoplatky“. </w:t>
      </w:r>
    </w:p>
    <w:p w14:paraId="48E2B1BC" w14:textId="77777777" w:rsidR="00636F53" w:rsidRDefault="00636F53" w:rsidP="00AB680C">
      <w:pPr>
        <w:pStyle w:val="Odrky"/>
        <w:numPr>
          <w:ilvl w:val="0"/>
          <w:numId w:val="0"/>
        </w:numPr>
        <w:spacing w:after="120"/>
        <w:rPr>
          <w:rFonts w:eastAsia="Calibri"/>
          <w:color w:val="000000" w:themeColor="text1"/>
        </w:rPr>
      </w:pPr>
      <w:r>
        <w:rPr>
          <w:rFonts w:eastAsia="Calibri"/>
          <w:color w:val="000000" w:themeColor="text1"/>
          <w:u w:val="single"/>
        </w:rPr>
        <w:t>Sr</w:t>
      </w:r>
      <w:r w:rsidRPr="00587FC5">
        <w:rPr>
          <w:rFonts w:eastAsia="Calibri"/>
          <w:color w:val="000000" w:themeColor="text1"/>
          <w:u w:val="single"/>
        </w:rPr>
        <w:t>ozumitelnost výkonu veřejné moci z pohledu veřejnosti</w:t>
      </w:r>
      <w:r w:rsidRPr="00587FC5">
        <w:rPr>
          <w:rFonts w:eastAsia="Calibri"/>
          <w:color w:val="000000" w:themeColor="text1"/>
        </w:rPr>
        <w:t xml:space="preserve"> </w:t>
      </w:r>
    </w:p>
    <w:p w14:paraId="771F3F7F" w14:textId="2C096BC5" w:rsidR="0037157F" w:rsidRDefault="00391B6B" w:rsidP="00AB680C">
      <w:pPr>
        <w:spacing w:before="0"/>
        <w:rPr>
          <w:rFonts w:eastAsia="Calibri"/>
          <w:color w:val="000000" w:themeColor="text1"/>
        </w:rPr>
      </w:pPr>
      <w:r w:rsidRPr="00B03F03">
        <w:rPr>
          <w:rFonts w:eastAsia="Calibri"/>
          <w:color w:val="000000" w:themeColor="text1"/>
        </w:rPr>
        <w:t xml:space="preserve">Možným přínosem navrhované změny je dosažení </w:t>
      </w:r>
      <w:r w:rsidR="0037157F">
        <w:rPr>
          <w:rFonts w:eastAsia="Calibri"/>
          <w:color w:val="000000" w:themeColor="text1"/>
        </w:rPr>
        <w:t xml:space="preserve">stavu, kdy </w:t>
      </w:r>
      <w:r w:rsidR="0037157F">
        <w:t xml:space="preserve">občan či právnická osoba bude vědět, že se má obracet ohledně správy </w:t>
      </w:r>
      <w:r w:rsidR="00D6462C">
        <w:t xml:space="preserve">placení </w:t>
      </w:r>
      <w:r w:rsidR="0037157F">
        <w:t xml:space="preserve">pokut za přestupek </w:t>
      </w:r>
      <w:r w:rsidR="00613464">
        <w:t>primárně</w:t>
      </w:r>
      <w:r w:rsidR="0037157F">
        <w:t xml:space="preserve"> na orgány celní správy</w:t>
      </w:r>
      <w:r w:rsidR="00613464">
        <w:t xml:space="preserve">, kteří vystupují v pozici správce daně, resp. vykonávají správu placení daných pokut (s výjimkou správy vykonávané územními samosprávnými celky). </w:t>
      </w:r>
    </w:p>
    <w:p w14:paraId="3408E897" w14:textId="77777777" w:rsidR="00636F53" w:rsidRDefault="00636F53" w:rsidP="00AB680C">
      <w:pPr>
        <w:pStyle w:val="Odrky"/>
        <w:numPr>
          <w:ilvl w:val="0"/>
          <w:numId w:val="0"/>
        </w:numPr>
        <w:spacing w:after="120"/>
        <w:rPr>
          <w:rFonts w:eastAsia="Calibri"/>
          <w:color w:val="000000" w:themeColor="text1"/>
        </w:rPr>
      </w:pPr>
      <w:r>
        <w:rPr>
          <w:rFonts w:eastAsia="Calibri"/>
          <w:color w:val="000000" w:themeColor="text1"/>
          <w:u w:val="single"/>
        </w:rPr>
        <w:t>Názorová shoda orgánů státní správy na provedení změny</w:t>
      </w:r>
      <w:r w:rsidRPr="00587FC5">
        <w:rPr>
          <w:rFonts w:eastAsia="Calibri"/>
          <w:color w:val="000000" w:themeColor="text1"/>
        </w:rPr>
        <w:t xml:space="preserve"> </w:t>
      </w:r>
    </w:p>
    <w:p w14:paraId="0E8CB1DF" w14:textId="57B5FF3D" w:rsidR="00636F53" w:rsidRPr="005039E7" w:rsidRDefault="00613464" w:rsidP="00AB680C">
      <w:pPr>
        <w:spacing w:before="0"/>
      </w:pPr>
      <w:r>
        <w:t xml:space="preserve">Kladem </w:t>
      </w:r>
      <w:r w:rsidR="001A74FC">
        <w:t>by bylo</w:t>
      </w:r>
      <w:r w:rsidR="00166217">
        <w:t xml:space="preserve">, pokud by u jednotlivých variant panoval </w:t>
      </w:r>
      <w:r w:rsidR="00A01928">
        <w:t>věcný</w:t>
      </w:r>
      <w:r w:rsidR="00166217">
        <w:t xml:space="preserve"> souhlas </w:t>
      </w:r>
      <w:r>
        <w:t xml:space="preserve">s navrhovanou </w:t>
      </w:r>
      <w:r w:rsidRPr="0037157F">
        <w:t xml:space="preserve">změnou, tj. úplnou či částečnou koncentrací správy placení pokut za přestupek u orgánů celní správy.  </w:t>
      </w:r>
    </w:p>
    <w:p w14:paraId="45234CC7" w14:textId="3EF36575" w:rsidR="00070A5A" w:rsidRPr="00A2506A" w:rsidRDefault="00070A5A" w:rsidP="00AB680C">
      <w:pPr>
        <w:pStyle w:val="Nadpis3"/>
        <w:keepNext w:val="0"/>
      </w:pPr>
      <w:bookmarkStart w:id="91" w:name="_Toc164761279"/>
      <w:r w:rsidRPr="00A2506A">
        <w:t>Vyhodnocení nákladů a přínosů variant</w:t>
      </w:r>
      <w:bookmarkEnd w:id="91"/>
    </w:p>
    <w:p w14:paraId="336ECF4C" w14:textId="58FE7B96" w:rsidR="00636F53" w:rsidRDefault="00636F53" w:rsidP="00AB680C">
      <w:pPr>
        <w:pStyle w:val="Odrky"/>
        <w:numPr>
          <w:ilvl w:val="0"/>
          <w:numId w:val="0"/>
        </w:numPr>
        <w:spacing w:after="120"/>
        <w:rPr>
          <w:rFonts w:eastAsia="Calibri"/>
          <w:color w:val="000000" w:themeColor="text1"/>
        </w:rPr>
      </w:pPr>
      <w:r>
        <w:rPr>
          <w:rFonts w:eastAsia="Calibri"/>
          <w:color w:val="000000" w:themeColor="text1"/>
          <w:u w:val="single"/>
        </w:rPr>
        <w:t>Vyhodnocení variant z hlediska k</w:t>
      </w:r>
      <w:r w:rsidRPr="00DA18F1">
        <w:rPr>
          <w:rFonts w:eastAsia="Calibri"/>
          <w:color w:val="000000" w:themeColor="text1"/>
          <w:u w:val="single"/>
        </w:rPr>
        <w:t>apacit</w:t>
      </w:r>
      <w:r>
        <w:rPr>
          <w:rFonts w:eastAsia="Calibri"/>
          <w:color w:val="000000" w:themeColor="text1"/>
          <w:u w:val="single"/>
        </w:rPr>
        <w:t>y</w:t>
      </w:r>
      <w:r w:rsidRPr="00DA18F1">
        <w:rPr>
          <w:rFonts w:eastAsia="Calibri"/>
          <w:color w:val="000000" w:themeColor="text1"/>
          <w:u w:val="single"/>
        </w:rPr>
        <w:t xml:space="preserve"> (personální, IT) orgánů celní správy</w:t>
      </w:r>
      <w:r w:rsidRPr="00DA18F1">
        <w:rPr>
          <w:rFonts w:eastAsia="Calibri"/>
          <w:color w:val="000000" w:themeColor="text1"/>
        </w:rPr>
        <w:t xml:space="preserve"> </w:t>
      </w:r>
    </w:p>
    <w:p w14:paraId="63B938F3" w14:textId="30424D01" w:rsidR="00614924" w:rsidRPr="00D67547" w:rsidRDefault="00FF0FBE" w:rsidP="00AB680C">
      <w:pPr>
        <w:pStyle w:val="Odrky"/>
        <w:numPr>
          <w:ilvl w:val="0"/>
          <w:numId w:val="0"/>
        </w:numPr>
        <w:spacing w:after="120"/>
        <w:rPr>
          <w:rFonts w:eastAsia="Calibri"/>
          <w:color w:val="000000" w:themeColor="text1"/>
        </w:rPr>
      </w:pPr>
      <w:r>
        <w:rPr>
          <w:rFonts w:eastAsia="Calibri"/>
          <w:color w:val="000000" w:themeColor="text1"/>
        </w:rPr>
        <w:t>V rámci tohoto kritéria je třeba dát největší váhu posouzení případné potřeby navýšení personálních kapacit orgánů celní správy (které nelze pov</w:t>
      </w:r>
      <w:r w:rsidR="001E28CA">
        <w:rPr>
          <w:rFonts w:eastAsia="Calibri"/>
          <w:color w:val="000000" w:themeColor="text1"/>
        </w:rPr>
        <w:t>a</w:t>
      </w:r>
      <w:r>
        <w:rPr>
          <w:rFonts w:eastAsia="Calibri"/>
          <w:color w:val="000000" w:themeColor="text1"/>
        </w:rPr>
        <w:t>žovat za žádoucí), a následně pos</w:t>
      </w:r>
      <w:r w:rsidR="001E28CA">
        <w:rPr>
          <w:rFonts w:eastAsia="Calibri"/>
          <w:color w:val="000000" w:themeColor="text1"/>
        </w:rPr>
        <w:t>o</w:t>
      </w:r>
      <w:r>
        <w:rPr>
          <w:rFonts w:eastAsia="Calibri"/>
          <w:color w:val="000000" w:themeColor="text1"/>
        </w:rPr>
        <w:t>uzení efektivního využ</w:t>
      </w:r>
      <w:r w:rsidR="001E28CA">
        <w:rPr>
          <w:rFonts w:eastAsia="Calibri"/>
          <w:color w:val="000000" w:themeColor="text1"/>
        </w:rPr>
        <w:t>i</w:t>
      </w:r>
      <w:r>
        <w:rPr>
          <w:rFonts w:eastAsia="Calibri"/>
          <w:color w:val="000000" w:themeColor="text1"/>
        </w:rPr>
        <w:t xml:space="preserve">tí </w:t>
      </w:r>
      <w:r w:rsidR="001E28CA">
        <w:rPr>
          <w:rFonts w:eastAsia="Calibri"/>
          <w:color w:val="000000" w:themeColor="text1"/>
        </w:rPr>
        <w:t>stávajících informačních a komunikačních technologií</w:t>
      </w:r>
      <w:r>
        <w:rPr>
          <w:rFonts w:eastAsia="Calibri"/>
          <w:color w:val="000000" w:themeColor="text1"/>
        </w:rPr>
        <w:t>.</w:t>
      </w:r>
      <w:r w:rsidR="001E28CA">
        <w:rPr>
          <w:rFonts w:eastAsia="Calibri"/>
          <w:color w:val="000000" w:themeColor="text1"/>
        </w:rPr>
        <w:t xml:space="preserve"> </w:t>
      </w:r>
      <w:r w:rsidR="003C7CCD">
        <w:rPr>
          <w:rFonts w:eastAsia="Calibri"/>
          <w:color w:val="000000" w:themeColor="text1"/>
        </w:rPr>
        <w:t>Za</w:t>
      </w:r>
      <w:r w:rsidR="001E28CA">
        <w:rPr>
          <w:rFonts w:eastAsia="Calibri"/>
          <w:color w:val="000000" w:themeColor="text1"/>
        </w:rPr>
        <w:t> </w:t>
      </w:r>
      <w:r w:rsidR="003C7CCD">
        <w:rPr>
          <w:rFonts w:eastAsia="Calibri"/>
          <w:color w:val="000000" w:themeColor="text1"/>
        </w:rPr>
        <w:t xml:space="preserve">nejpříznivější lze u tohoto kritéria považovat </w:t>
      </w:r>
      <w:r w:rsidR="003C7CCD" w:rsidRPr="005039E7">
        <w:rPr>
          <w:rFonts w:eastAsia="Calibri"/>
          <w:b/>
          <w:color w:val="000000" w:themeColor="text1"/>
        </w:rPr>
        <w:t>variantu 2</w:t>
      </w:r>
      <w:r w:rsidR="003C7CCD">
        <w:rPr>
          <w:rFonts w:eastAsia="Calibri"/>
          <w:color w:val="000000" w:themeColor="text1"/>
        </w:rPr>
        <w:t xml:space="preserve">, která představuje převzetí správy placení </w:t>
      </w:r>
      <w:r w:rsidR="00614924">
        <w:rPr>
          <w:rFonts w:eastAsia="Calibri"/>
          <w:color w:val="000000" w:themeColor="text1"/>
        </w:rPr>
        <w:t>pokut za přestupky orgány celní správy v rozsahu, v jakém na tom panuje shoda. Při</w:t>
      </w:r>
      <w:r w:rsidR="008D0522">
        <w:rPr>
          <w:rFonts w:eastAsia="Calibri"/>
          <w:color w:val="000000" w:themeColor="text1"/>
        </w:rPr>
        <w:t> </w:t>
      </w:r>
      <w:r w:rsidR="005039E7">
        <w:rPr>
          <w:rFonts w:eastAsia="Calibri"/>
          <w:color w:val="000000" w:themeColor="text1"/>
        </w:rPr>
        <w:t xml:space="preserve">jednání s jednotlivými resorty bylo také zohledňováno množství pokut, které ústřední orgány státní správy či jim podřízené orgány státní správy ukládají, a to s ohledem na kapacity orgánů celní správy. </w:t>
      </w:r>
      <w:r w:rsidR="00182DCA">
        <w:rPr>
          <w:rFonts w:eastAsia="Calibri"/>
          <w:color w:val="000000" w:themeColor="text1"/>
        </w:rPr>
        <w:t>Je tak možné</w:t>
      </w:r>
      <w:r w:rsidR="00374685">
        <w:rPr>
          <w:rFonts w:eastAsia="Calibri"/>
          <w:color w:val="000000" w:themeColor="text1"/>
        </w:rPr>
        <w:t>, aby orgány celní správy</w:t>
      </w:r>
      <w:r w:rsidR="00182DCA">
        <w:rPr>
          <w:rFonts w:eastAsia="Calibri"/>
          <w:color w:val="000000" w:themeColor="text1"/>
        </w:rPr>
        <w:t xml:space="preserve"> danou agendu ve variantě 2 p</w:t>
      </w:r>
      <w:r w:rsidR="00374685">
        <w:rPr>
          <w:rFonts w:eastAsia="Calibri"/>
          <w:color w:val="000000" w:themeColor="text1"/>
        </w:rPr>
        <w:t>řevzal</w:t>
      </w:r>
      <w:r w:rsidR="00150C38">
        <w:rPr>
          <w:rFonts w:eastAsia="Calibri"/>
          <w:color w:val="000000" w:themeColor="text1"/>
        </w:rPr>
        <w:t>y</w:t>
      </w:r>
      <w:r w:rsidR="00374685">
        <w:rPr>
          <w:rFonts w:eastAsia="Calibri"/>
          <w:color w:val="000000" w:themeColor="text1"/>
        </w:rPr>
        <w:t xml:space="preserve"> bez </w:t>
      </w:r>
      <w:r w:rsidR="002F63A9">
        <w:rPr>
          <w:rFonts w:eastAsia="Calibri"/>
          <w:color w:val="000000" w:themeColor="text1"/>
        </w:rPr>
        <w:t>nároku na navýšení systemizovaných míst</w:t>
      </w:r>
      <w:r w:rsidR="00150C38">
        <w:rPr>
          <w:rFonts w:eastAsia="Calibri"/>
          <w:color w:val="000000" w:themeColor="text1"/>
        </w:rPr>
        <w:t xml:space="preserve"> s tím</w:t>
      </w:r>
      <w:r w:rsidR="00272462">
        <w:rPr>
          <w:rFonts w:eastAsia="Calibri"/>
          <w:color w:val="000000" w:themeColor="text1"/>
        </w:rPr>
        <w:t>,</w:t>
      </w:r>
      <w:r w:rsidR="00150C38">
        <w:rPr>
          <w:rFonts w:eastAsia="Calibri"/>
          <w:color w:val="000000" w:themeColor="text1"/>
        </w:rPr>
        <w:t xml:space="preserve"> že </w:t>
      </w:r>
      <w:r w:rsidR="001E28CA">
        <w:rPr>
          <w:rFonts w:eastAsia="Calibri"/>
          <w:color w:val="000000" w:themeColor="text1"/>
        </w:rPr>
        <w:t xml:space="preserve">současně </w:t>
      </w:r>
      <w:r w:rsidR="00150C38">
        <w:rPr>
          <w:rFonts w:eastAsia="Calibri"/>
          <w:color w:val="000000" w:themeColor="text1"/>
        </w:rPr>
        <w:t>dojde k</w:t>
      </w:r>
      <w:r w:rsidR="001E28CA">
        <w:rPr>
          <w:rFonts w:eastAsia="Calibri"/>
          <w:color w:val="000000" w:themeColor="text1"/>
        </w:rPr>
        <w:t xml:space="preserve"> maximalizaci </w:t>
      </w:r>
      <w:r w:rsidR="00020A42">
        <w:rPr>
          <w:rFonts w:eastAsia="Calibri"/>
          <w:color w:val="000000" w:themeColor="text1"/>
        </w:rPr>
        <w:t>efektivní</w:t>
      </w:r>
      <w:r w:rsidR="001E28CA">
        <w:rPr>
          <w:rFonts w:eastAsia="Calibri"/>
          <w:color w:val="000000" w:themeColor="text1"/>
        </w:rPr>
        <w:t>ho</w:t>
      </w:r>
      <w:r w:rsidR="00020A42">
        <w:rPr>
          <w:rFonts w:eastAsia="Calibri"/>
          <w:color w:val="000000" w:themeColor="text1"/>
        </w:rPr>
        <w:t xml:space="preserve"> využití stávajících informačních a komunikačních technologií</w:t>
      </w:r>
      <w:r w:rsidR="001E28CA">
        <w:rPr>
          <w:rFonts w:eastAsia="Calibri"/>
          <w:color w:val="000000" w:themeColor="text1"/>
        </w:rPr>
        <w:t xml:space="preserve"> v mezích možností při respektování </w:t>
      </w:r>
      <w:proofErr w:type="spellStart"/>
      <w:r w:rsidR="001E28CA">
        <w:rPr>
          <w:rFonts w:eastAsia="Calibri"/>
          <w:color w:val="000000" w:themeColor="text1"/>
        </w:rPr>
        <w:t>subkritéria</w:t>
      </w:r>
      <w:proofErr w:type="spellEnd"/>
      <w:r w:rsidR="001E28CA">
        <w:rPr>
          <w:rFonts w:eastAsia="Calibri"/>
          <w:color w:val="000000" w:themeColor="text1"/>
        </w:rPr>
        <w:t xml:space="preserve"> zachování personální kapacity</w:t>
      </w:r>
      <w:r w:rsidR="00020A42">
        <w:rPr>
          <w:rFonts w:eastAsia="Calibri"/>
          <w:color w:val="000000" w:themeColor="text1"/>
        </w:rPr>
        <w:t>.</w:t>
      </w:r>
      <w:r w:rsidR="005039E7">
        <w:rPr>
          <w:rFonts w:eastAsia="Calibri"/>
          <w:color w:val="000000" w:themeColor="text1"/>
        </w:rPr>
        <w:t xml:space="preserve"> </w:t>
      </w:r>
      <w:r w:rsidR="00182DCA">
        <w:rPr>
          <w:rFonts w:eastAsia="Calibri"/>
          <w:color w:val="000000" w:themeColor="text1"/>
        </w:rPr>
        <w:t xml:space="preserve">Na druhém místě je </w:t>
      </w:r>
      <w:r w:rsidR="00182DCA" w:rsidRPr="00182DCA">
        <w:rPr>
          <w:rFonts w:eastAsia="Calibri"/>
          <w:b/>
          <w:bCs/>
          <w:color w:val="000000" w:themeColor="text1"/>
        </w:rPr>
        <w:t>variant</w:t>
      </w:r>
      <w:r w:rsidR="001A74FC">
        <w:rPr>
          <w:rFonts w:eastAsia="Calibri"/>
          <w:b/>
          <w:bCs/>
          <w:color w:val="000000" w:themeColor="text1"/>
        </w:rPr>
        <w:t>a</w:t>
      </w:r>
      <w:r w:rsidR="00182DCA" w:rsidRPr="00182DCA">
        <w:rPr>
          <w:rFonts w:eastAsia="Calibri"/>
          <w:b/>
          <w:bCs/>
          <w:color w:val="000000" w:themeColor="text1"/>
        </w:rPr>
        <w:t xml:space="preserve"> 0</w:t>
      </w:r>
      <w:r w:rsidR="00182DCA">
        <w:rPr>
          <w:rFonts w:eastAsia="Calibri"/>
          <w:color w:val="000000" w:themeColor="text1"/>
        </w:rPr>
        <w:t xml:space="preserve">, která je </w:t>
      </w:r>
      <w:r w:rsidR="00020A42">
        <w:rPr>
          <w:rFonts w:eastAsia="Calibri"/>
          <w:color w:val="000000" w:themeColor="text1"/>
        </w:rPr>
        <w:t>neutrální ve vztahu ke kapacitám celní správy, nicméně nepředstavuje efektivnější využití daných kapacit. N</w:t>
      </w:r>
      <w:r w:rsidR="006F6515">
        <w:rPr>
          <w:rFonts w:eastAsia="Calibri"/>
          <w:color w:val="000000" w:themeColor="text1"/>
        </w:rPr>
        <w:t xml:space="preserve">ejméně příznivá je </w:t>
      </w:r>
      <w:r w:rsidR="00D921BC" w:rsidRPr="00D921BC">
        <w:rPr>
          <w:rFonts w:eastAsia="Calibri"/>
          <w:b/>
          <w:bCs/>
          <w:color w:val="000000" w:themeColor="text1"/>
        </w:rPr>
        <w:t>varianta 1</w:t>
      </w:r>
      <w:r w:rsidR="00D921BC">
        <w:rPr>
          <w:rFonts w:eastAsia="Calibri"/>
          <w:color w:val="000000" w:themeColor="text1"/>
        </w:rPr>
        <w:t xml:space="preserve">, tj. stav, kdy by došlo k převzetí agendy výběru pokut za přestupky orgány celní správy en bloc, čímž by mohlo dojít k přetížení stávajících kapacit. </w:t>
      </w:r>
    </w:p>
    <w:p w14:paraId="2CC82938" w14:textId="070A8999" w:rsidR="00636F53" w:rsidRDefault="00636F53" w:rsidP="00AB680C">
      <w:pPr>
        <w:pStyle w:val="Odrky"/>
        <w:numPr>
          <w:ilvl w:val="0"/>
          <w:numId w:val="0"/>
        </w:numPr>
        <w:spacing w:after="120"/>
        <w:rPr>
          <w:rFonts w:eastAsia="Calibri"/>
          <w:color w:val="000000" w:themeColor="text1"/>
        </w:rPr>
      </w:pPr>
      <w:r>
        <w:rPr>
          <w:rFonts w:eastAsia="Calibri"/>
          <w:color w:val="000000" w:themeColor="text1"/>
          <w:u w:val="single"/>
        </w:rPr>
        <w:t>Vyhodnocení variant z hlediska sr</w:t>
      </w:r>
      <w:r w:rsidRPr="00587FC5">
        <w:rPr>
          <w:rFonts w:eastAsia="Calibri"/>
          <w:color w:val="000000" w:themeColor="text1"/>
          <w:u w:val="single"/>
        </w:rPr>
        <w:t>ozumitelnost</w:t>
      </w:r>
      <w:r>
        <w:rPr>
          <w:rFonts w:eastAsia="Calibri"/>
          <w:color w:val="000000" w:themeColor="text1"/>
          <w:u w:val="single"/>
        </w:rPr>
        <w:t>i</w:t>
      </w:r>
      <w:r w:rsidRPr="00587FC5">
        <w:rPr>
          <w:rFonts w:eastAsia="Calibri"/>
          <w:color w:val="000000" w:themeColor="text1"/>
          <w:u w:val="single"/>
        </w:rPr>
        <w:t xml:space="preserve"> výkonu veřejné moci z pohledu veřejnosti</w:t>
      </w:r>
      <w:r w:rsidRPr="00587FC5">
        <w:rPr>
          <w:rFonts w:eastAsia="Calibri"/>
          <w:color w:val="000000" w:themeColor="text1"/>
        </w:rPr>
        <w:t xml:space="preserve"> </w:t>
      </w:r>
    </w:p>
    <w:p w14:paraId="6E729B12" w14:textId="643A7B97" w:rsidR="00391B6B" w:rsidRPr="00636F53" w:rsidRDefault="00391B6B" w:rsidP="00AB680C">
      <w:pPr>
        <w:spacing w:before="0"/>
      </w:pPr>
      <w:r>
        <w:t xml:space="preserve">Za nejpříznivější lze u tohoto kritéria považovat </w:t>
      </w:r>
      <w:r>
        <w:rPr>
          <w:b/>
          <w:bCs/>
        </w:rPr>
        <w:t>variantu 1</w:t>
      </w:r>
      <w:r>
        <w:t xml:space="preserve">, kdy </w:t>
      </w:r>
      <w:r w:rsidRPr="00391B6B">
        <w:t xml:space="preserve">zajištění </w:t>
      </w:r>
      <w:r w:rsidR="008D0522">
        <w:t xml:space="preserve">správy placení </w:t>
      </w:r>
      <w:r w:rsidRPr="00391B6B">
        <w:t>pokut za</w:t>
      </w:r>
      <w:r w:rsidR="008D0522">
        <w:t> </w:t>
      </w:r>
      <w:r w:rsidRPr="00391B6B">
        <w:t xml:space="preserve">přestupky orgány celní správy en bloc </w:t>
      </w:r>
      <w:r>
        <w:t xml:space="preserve">je logicky pro veřejnost nejvíce srozumitelné. </w:t>
      </w:r>
      <w:r w:rsidR="00E93CEB">
        <w:t>Na</w:t>
      </w:r>
      <w:r w:rsidR="008D0522">
        <w:t> </w:t>
      </w:r>
      <w:r w:rsidR="00E93CEB">
        <w:t xml:space="preserve">druhém místě je </w:t>
      </w:r>
      <w:r w:rsidR="00E93CEB">
        <w:rPr>
          <w:b/>
          <w:bCs/>
        </w:rPr>
        <w:t>varianta 2</w:t>
      </w:r>
      <w:r w:rsidR="00E93CEB">
        <w:t>, kdy</w:t>
      </w:r>
      <w:r w:rsidR="00382B6F">
        <w:t xml:space="preserve"> majoritní</w:t>
      </w:r>
      <w:r w:rsidR="00E93CEB">
        <w:t xml:space="preserve"> </w:t>
      </w:r>
      <w:r w:rsidR="00A4320F">
        <w:t xml:space="preserve">rozšíření </w:t>
      </w:r>
      <w:r w:rsidR="008D0522">
        <w:t>správy placení</w:t>
      </w:r>
      <w:r w:rsidR="00A4320F">
        <w:t xml:space="preserve"> pokut orgány celní správy</w:t>
      </w:r>
      <w:r w:rsidR="00971FBB">
        <w:t xml:space="preserve"> přispěje k vyšší srozumitelnosti výkonu veřejné moci (občan či právnická osoba bude vědět, že se primárně ohledně správy </w:t>
      </w:r>
      <w:r w:rsidR="008D0522">
        <w:t xml:space="preserve">placení </w:t>
      </w:r>
      <w:r w:rsidR="00971FBB">
        <w:t>pokut za přestupek má obrace</w:t>
      </w:r>
      <w:r w:rsidR="00FB400D">
        <w:t>t</w:t>
      </w:r>
      <w:r w:rsidR="00971FBB">
        <w:t xml:space="preserve"> na orgány celní správy; </w:t>
      </w:r>
      <w:r w:rsidR="009761C9">
        <w:t xml:space="preserve">situace, kdy </w:t>
      </w:r>
      <w:r w:rsidR="00836EBA">
        <w:t xml:space="preserve">celní správa nebude spravovat </w:t>
      </w:r>
      <w:r w:rsidR="008D0522">
        <w:t xml:space="preserve">placení </w:t>
      </w:r>
      <w:r w:rsidR="00836EBA">
        <w:t>pokut</w:t>
      </w:r>
      <w:r w:rsidR="008D0522">
        <w:t>y</w:t>
      </w:r>
      <w:r w:rsidR="00836EBA">
        <w:t xml:space="preserve"> za přestupek, budou spíše </w:t>
      </w:r>
      <w:r w:rsidR="00836EBA">
        <w:lastRenderedPageBreak/>
        <w:t>minoritní – s výjimkou</w:t>
      </w:r>
      <w:r>
        <w:t xml:space="preserve"> správy </w:t>
      </w:r>
      <w:r w:rsidR="00836EBA">
        <w:t xml:space="preserve">vykonávané územními samosprávnými celky). Nejméně příznivá je </w:t>
      </w:r>
      <w:r w:rsidR="00836EBA" w:rsidRPr="00836EBA">
        <w:rPr>
          <w:b/>
          <w:bCs/>
        </w:rPr>
        <w:t>varianta 0</w:t>
      </w:r>
      <w:r w:rsidR="00836EBA">
        <w:t xml:space="preserve">, tj. stav, kdy by nedošlo k žádnému věcnému posunu. </w:t>
      </w:r>
      <w:r w:rsidR="00A4320F">
        <w:t xml:space="preserve"> </w:t>
      </w:r>
    </w:p>
    <w:p w14:paraId="1E10C366" w14:textId="39A1C399" w:rsidR="00636F53" w:rsidRDefault="00636F53" w:rsidP="00AB680C">
      <w:pPr>
        <w:pStyle w:val="Odrky"/>
        <w:numPr>
          <w:ilvl w:val="0"/>
          <w:numId w:val="0"/>
        </w:numPr>
        <w:spacing w:after="120"/>
        <w:rPr>
          <w:rFonts w:eastAsia="Calibri"/>
          <w:color w:val="000000" w:themeColor="text1"/>
        </w:rPr>
      </w:pPr>
      <w:r>
        <w:rPr>
          <w:rFonts w:eastAsia="Calibri"/>
          <w:color w:val="000000" w:themeColor="text1"/>
          <w:u w:val="single"/>
        </w:rPr>
        <w:t>Vyhodnocení v</w:t>
      </w:r>
      <w:r w:rsidR="008D0522">
        <w:rPr>
          <w:rFonts w:eastAsia="Calibri"/>
          <w:color w:val="000000" w:themeColor="text1"/>
          <w:u w:val="single"/>
        </w:rPr>
        <w:t>ariant z hlediska názorové shody</w:t>
      </w:r>
      <w:r>
        <w:rPr>
          <w:rFonts w:eastAsia="Calibri"/>
          <w:color w:val="000000" w:themeColor="text1"/>
          <w:u w:val="single"/>
        </w:rPr>
        <w:t xml:space="preserve"> orgánů státní správy na provedení změny</w:t>
      </w:r>
      <w:r w:rsidRPr="00587FC5">
        <w:rPr>
          <w:rFonts w:eastAsia="Calibri"/>
          <w:color w:val="000000" w:themeColor="text1"/>
        </w:rPr>
        <w:t xml:space="preserve"> </w:t>
      </w:r>
    </w:p>
    <w:p w14:paraId="44D2F6F8" w14:textId="3748EFFD" w:rsidR="00A004E6" w:rsidRPr="009F17D5" w:rsidRDefault="00D921BC" w:rsidP="00AB680C">
      <w:pPr>
        <w:spacing w:before="0"/>
      </w:pPr>
      <w:r>
        <w:t xml:space="preserve">Za nejpříznivější lze u tohoto kritéria považovat </w:t>
      </w:r>
      <w:r w:rsidRPr="00D5213A">
        <w:rPr>
          <w:b/>
        </w:rPr>
        <w:t xml:space="preserve">variantu </w:t>
      </w:r>
      <w:r w:rsidR="00223203" w:rsidRPr="00D5213A">
        <w:rPr>
          <w:b/>
        </w:rPr>
        <w:t>2</w:t>
      </w:r>
      <w:r w:rsidR="00D5213A">
        <w:t xml:space="preserve">, </w:t>
      </w:r>
      <w:r w:rsidR="00DB1CF8">
        <w:t>tedy stav, kdy na předání a převzetí kompetence panuje shoda mezi předávajícím a přebírajícím orgánem.</w:t>
      </w:r>
      <w:r w:rsidR="00223203">
        <w:t xml:space="preserve"> Na druhém místě je </w:t>
      </w:r>
      <w:r w:rsidR="00223203" w:rsidRPr="00DB1CF8">
        <w:rPr>
          <w:b/>
        </w:rPr>
        <w:t xml:space="preserve">varianta </w:t>
      </w:r>
      <w:r w:rsidR="00D5213A" w:rsidRPr="00DB1CF8">
        <w:rPr>
          <w:b/>
        </w:rPr>
        <w:t>0</w:t>
      </w:r>
      <w:r w:rsidR="00DB1CF8">
        <w:t>, která je</w:t>
      </w:r>
      <w:r w:rsidR="00DB1CF8">
        <w:rPr>
          <w:rFonts w:eastAsia="Calibri"/>
          <w:color w:val="000000" w:themeColor="text1"/>
        </w:rPr>
        <w:t xml:space="preserve"> neutrální ve vztahu k</w:t>
      </w:r>
      <w:r w:rsidR="005C29E4">
        <w:rPr>
          <w:rFonts w:eastAsia="Calibri"/>
          <w:color w:val="000000" w:themeColor="text1"/>
        </w:rPr>
        <w:t> názorové shodě.</w:t>
      </w:r>
      <w:r w:rsidR="00D5213A">
        <w:rPr>
          <w:rFonts w:eastAsia="Calibri"/>
          <w:color w:val="000000" w:themeColor="text1"/>
        </w:rPr>
        <w:t xml:space="preserve"> </w:t>
      </w:r>
      <w:r w:rsidR="00D5213A">
        <w:t xml:space="preserve">Nejméně příznivá je </w:t>
      </w:r>
      <w:r w:rsidR="00D5213A" w:rsidRPr="009F17D5">
        <w:rPr>
          <w:b/>
          <w:bCs/>
        </w:rPr>
        <w:t>varianta 1</w:t>
      </w:r>
      <w:r w:rsidR="005C29E4">
        <w:t xml:space="preserve">, tedy převzetí </w:t>
      </w:r>
      <w:r w:rsidR="009F17D5">
        <w:t>kompetence k</w:t>
      </w:r>
      <w:r w:rsidR="008D0522">
        <w:t xml:space="preserve"> plné správě placení </w:t>
      </w:r>
      <w:r w:rsidR="009F17D5">
        <w:t>pokut i přes nesouhlas orgánu předávajícího kompetenci k</w:t>
      </w:r>
      <w:r w:rsidR="008D0522">
        <w:t>e správě placení</w:t>
      </w:r>
      <w:r w:rsidR="009F17D5">
        <w:t xml:space="preserve"> pokuty za přestupek. </w:t>
      </w:r>
      <w:r w:rsidR="00D5213A">
        <w:t xml:space="preserve"> </w:t>
      </w:r>
    </w:p>
    <w:p w14:paraId="1A880B7A" w14:textId="50D81AF6" w:rsidR="00070A5A" w:rsidRPr="00A2506A" w:rsidRDefault="00070A5A" w:rsidP="00AB680C">
      <w:pPr>
        <w:pStyle w:val="Nadpis2"/>
        <w:keepNext w:val="0"/>
        <w:ind w:left="709"/>
      </w:pPr>
      <w:bookmarkStart w:id="92" w:name="_Toc164761280"/>
      <w:r w:rsidRPr="00A2506A">
        <w:t>Stanovení pořadí variant a výběr nejvhodnějšího řešení</w:t>
      </w:r>
      <w:bookmarkEnd w:id="92"/>
    </w:p>
    <w:p w14:paraId="6989931F" w14:textId="14F6FAB8" w:rsidR="00B34591" w:rsidRPr="00AB680C" w:rsidRDefault="00B34591" w:rsidP="00AB680C">
      <w:pPr>
        <w:widowControl w:val="0"/>
        <w:tabs>
          <w:tab w:val="left" w:pos="284"/>
        </w:tabs>
        <w:spacing w:before="0"/>
        <w:rPr>
          <w:color w:val="000000" w:themeColor="text1"/>
          <w:szCs w:val="24"/>
        </w:rPr>
      </w:pPr>
      <w:r w:rsidRPr="00AB680C">
        <w:rPr>
          <w:color w:val="000000" w:themeColor="text1"/>
          <w:szCs w:val="24"/>
        </w:rPr>
        <w:t xml:space="preserve">Na základě vzájemného porovnání jednotlivých variant optikou zvolených kritérií a identifikovaných rizik vyplynula jako </w:t>
      </w:r>
      <w:r w:rsidRPr="00AB680C">
        <w:rPr>
          <w:b/>
          <w:color w:val="000000" w:themeColor="text1"/>
          <w:szCs w:val="24"/>
        </w:rPr>
        <w:t>nejvhodnější varianta</w:t>
      </w:r>
      <w:r w:rsidRPr="00AB680C">
        <w:rPr>
          <w:color w:val="000000" w:themeColor="text1"/>
          <w:szCs w:val="24"/>
        </w:rPr>
        <w:t xml:space="preserve"> </w:t>
      </w:r>
      <w:r w:rsidRPr="00AB680C">
        <w:rPr>
          <w:b/>
          <w:color w:val="000000" w:themeColor="text1"/>
          <w:szCs w:val="24"/>
        </w:rPr>
        <w:t>2</w:t>
      </w:r>
      <w:r w:rsidRPr="00AB680C">
        <w:rPr>
          <w:color w:val="000000" w:themeColor="text1"/>
          <w:szCs w:val="24"/>
        </w:rPr>
        <w:t>.</w:t>
      </w:r>
    </w:p>
    <w:p w14:paraId="5825998E" w14:textId="668899E6" w:rsidR="00A963B6" w:rsidRPr="00AB680C" w:rsidRDefault="00A963B6" w:rsidP="00AB680C">
      <w:pPr>
        <w:pStyle w:val="Tabulka"/>
        <w:spacing w:after="120"/>
        <w:jc w:val="both"/>
        <w:rPr>
          <w:sz w:val="24"/>
          <w:szCs w:val="24"/>
        </w:rPr>
      </w:pPr>
      <w:r w:rsidRPr="00AB680C">
        <w:rPr>
          <w:sz w:val="24"/>
          <w:szCs w:val="24"/>
        </w:rPr>
        <w:t xml:space="preserve">Tabulka č. </w:t>
      </w:r>
      <w:r w:rsidR="00B34591" w:rsidRPr="00AB680C">
        <w:rPr>
          <w:sz w:val="24"/>
          <w:szCs w:val="24"/>
        </w:rPr>
        <w:t>2</w:t>
      </w:r>
      <w:r w:rsidRPr="00AB680C">
        <w:rPr>
          <w:sz w:val="24"/>
          <w:szCs w:val="24"/>
        </w:rPr>
        <w:t xml:space="preserve"> – Vyhodnocení navržených variant</w:t>
      </w:r>
    </w:p>
    <w:tbl>
      <w:tblPr>
        <w:tblStyle w:val="Svtlstnovnzvraznn4"/>
        <w:tblW w:w="5000" w:type="pct"/>
        <w:jc w:val="center"/>
        <w:tblLayout w:type="fixed"/>
        <w:tblLook w:val="04A0" w:firstRow="1" w:lastRow="0" w:firstColumn="1" w:lastColumn="0" w:noHBand="0" w:noVBand="1"/>
      </w:tblPr>
      <w:tblGrid>
        <w:gridCol w:w="1843"/>
        <w:gridCol w:w="2547"/>
        <w:gridCol w:w="2340"/>
        <w:gridCol w:w="2340"/>
      </w:tblGrid>
      <w:tr w:rsidR="00587FC5" w:rsidRPr="00AB680C" w14:paraId="788A84BD" w14:textId="76308446" w:rsidTr="00684322">
        <w:trPr>
          <w:cnfStyle w:val="100000000000" w:firstRow="1" w:lastRow="0" w:firstColumn="0" w:lastColumn="0" w:oddVBand="0" w:evenVBand="0" w:oddHBand="0" w:evenHBand="0" w:firstRowFirstColumn="0" w:firstRowLastColumn="0" w:lastRowFirstColumn="0" w:lastRowLastColumn="0"/>
          <w:trHeight w:val="294"/>
          <w:jc w:val="center"/>
        </w:trPr>
        <w:tc>
          <w:tcPr>
            <w:cnfStyle w:val="001000000000" w:firstRow="0" w:lastRow="0" w:firstColumn="1" w:lastColumn="0" w:oddVBand="0" w:evenVBand="0" w:oddHBand="0" w:evenHBand="0" w:firstRowFirstColumn="0" w:firstRowLastColumn="0" w:lastRowFirstColumn="0" w:lastRowLastColumn="0"/>
            <w:tcW w:w="1016" w:type="pct"/>
            <w:noWrap/>
            <w:vAlign w:val="center"/>
            <w:hideMark/>
          </w:tcPr>
          <w:p w14:paraId="3580B6CD" w14:textId="77777777" w:rsidR="00587FC5" w:rsidRPr="00AB680C" w:rsidRDefault="00587FC5" w:rsidP="00AB680C">
            <w:pPr>
              <w:spacing w:before="0" w:after="0"/>
              <w:ind w:firstLine="0"/>
              <w:jc w:val="center"/>
              <w:rPr>
                <w:rFonts w:cs="Times New Roman"/>
                <w:color w:val="000000" w:themeColor="text1"/>
                <w:szCs w:val="32"/>
                <w:lang w:eastAsia="cs-CZ"/>
              </w:rPr>
            </w:pPr>
          </w:p>
        </w:tc>
        <w:tc>
          <w:tcPr>
            <w:tcW w:w="1404" w:type="pct"/>
            <w:vAlign w:val="center"/>
            <w:hideMark/>
          </w:tcPr>
          <w:p w14:paraId="25F1A4A0" w14:textId="42341BF6" w:rsidR="00587FC5" w:rsidRPr="00AB680C" w:rsidRDefault="00C73975" w:rsidP="00AB680C">
            <w:pPr>
              <w:spacing w:before="0" w:after="0"/>
              <w:ind w:firstLine="0"/>
              <w:jc w:val="center"/>
              <w:cnfStyle w:val="100000000000" w:firstRow="1" w:lastRow="0" w:firstColumn="0" w:lastColumn="0" w:oddVBand="0" w:evenVBand="0" w:oddHBand="0" w:evenHBand="0" w:firstRowFirstColumn="0" w:firstRowLastColumn="0" w:lastRowFirstColumn="0" w:lastRowLastColumn="0"/>
              <w:rPr>
                <w:rFonts w:cs="Times New Roman"/>
                <w:color w:val="000000" w:themeColor="text1"/>
                <w:szCs w:val="32"/>
                <w:lang w:eastAsia="cs-CZ"/>
              </w:rPr>
            </w:pPr>
            <w:r w:rsidRPr="00AB680C">
              <w:rPr>
                <w:rFonts w:cs="Times New Roman"/>
                <w:color w:val="000000" w:themeColor="text1"/>
                <w:szCs w:val="32"/>
                <w:lang w:eastAsia="cs-CZ"/>
              </w:rPr>
              <w:t>Kapacita (personální, IT) orgánů celní správy</w:t>
            </w:r>
          </w:p>
        </w:tc>
        <w:tc>
          <w:tcPr>
            <w:tcW w:w="1290" w:type="pct"/>
            <w:vAlign w:val="center"/>
            <w:hideMark/>
          </w:tcPr>
          <w:p w14:paraId="424552E9" w14:textId="77777777" w:rsidR="00587FC5" w:rsidRPr="00AB680C" w:rsidRDefault="00587FC5" w:rsidP="00AB680C">
            <w:pPr>
              <w:spacing w:before="0" w:after="0"/>
              <w:ind w:firstLine="0"/>
              <w:jc w:val="center"/>
              <w:cnfStyle w:val="100000000000" w:firstRow="1" w:lastRow="0" w:firstColumn="0" w:lastColumn="0" w:oddVBand="0" w:evenVBand="0" w:oddHBand="0" w:evenHBand="0" w:firstRowFirstColumn="0" w:firstRowLastColumn="0" w:lastRowFirstColumn="0" w:lastRowLastColumn="0"/>
              <w:rPr>
                <w:rFonts w:cs="Times New Roman"/>
                <w:color w:val="000000" w:themeColor="text1"/>
                <w:szCs w:val="32"/>
                <w:lang w:eastAsia="cs-CZ"/>
              </w:rPr>
            </w:pPr>
            <w:r w:rsidRPr="00AB680C">
              <w:rPr>
                <w:rFonts w:cs="Times New Roman"/>
                <w:color w:val="000000" w:themeColor="text1"/>
                <w:szCs w:val="32"/>
                <w:lang w:eastAsia="cs-CZ"/>
              </w:rPr>
              <w:t>Srozumitelnost výkonu veřejné moci z pohledu veřejnosti</w:t>
            </w:r>
          </w:p>
        </w:tc>
        <w:tc>
          <w:tcPr>
            <w:tcW w:w="1290" w:type="pct"/>
            <w:vAlign w:val="center"/>
          </w:tcPr>
          <w:p w14:paraId="3E4F69FD" w14:textId="6EF05410" w:rsidR="00587FC5" w:rsidRPr="00AB680C" w:rsidRDefault="00D10D97" w:rsidP="00AB680C">
            <w:pPr>
              <w:spacing w:before="0" w:after="0"/>
              <w:ind w:firstLine="0"/>
              <w:jc w:val="center"/>
              <w:cnfStyle w:val="100000000000" w:firstRow="1" w:lastRow="0" w:firstColumn="0" w:lastColumn="0" w:oddVBand="0" w:evenVBand="0" w:oddHBand="0" w:evenHBand="0" w:firstRowFirstColumn="0" w:firstRowLastColumn="0" w:lastRowFirstColumn="0" w:lastRowLastColumn="0"/>
              <w:rPr>
                <w:rFonts w:cs="Times New Roman"/>
                <w:color w:val="000000" w:themeColor="text1"/>
                <w:szCs w:val="32"/>
                <w:lang w:eastAsia="cs-CZ"/>
              </w:rPr>
            </w:pPr>
            <w:r w:rsidRPr="00AB680C">
              <w:rPr>
                <w:rFonts w:cs="Times New Roman"/>
                <w:color w:val="000000" w:themeColor="text1"/>
                <w:szCs w:val="32"/>
                <w:lang w:eastAsia="cs-CZ"/>
              </w:rPr>
              <w:t>Názorová shoda orgánů státní správy na provedení změny</w:t>
            </w:r>
          </w:p>
        </w:tc>
      </w:tr>
      <w:tr w:rsidR="00587FC5" w:rsidRPr="00AB680C" w14:paraId="189C07D6" w14:textId="7CE578F8" w:rsidTr="00684322">
        <w:trPr>
          <w:cnfStyle w:val="000000100000" w:firstRow="0" w:lastRow="0" w:firstColumn="0" w:lastColumn="0" w:oddVBand="0" w:evenVBand="0" w:oddHBand="1" w:evenHBand="0" w:firstRowFirstColumn="0" w:firstRowLastColumn="0" w:lastRowFirstColumn="0" w:lastRowLastColumn="0"/>
          <w:trHeight w:val="294"/>
          <w:jc w:val="center"/>
        </w:trPr>
        <w:tc>
          <w:tcPr>
            <w:cnfStyle w:val="001000000000" w:firstRow="0" w:lastRow="0" w:firstColumn="1" w:lastColumn="0" w:oddVBand="0" w:evenVBand="0" w:oddHBand="0" w:evenHBand="0" w:firstRowFirstColumn="0" w:firstRowLastColumn="0" w:lastRowFirstColumn="0" w:lastRowLastColumn="0"/>
            <w:tcW w:w="1016" w:type="pct"/>
            <w:noWrap/>
            <w:vAlign w:val="center"/>
            <w:hideMark/>
          </w:tcPr>
          <w:p w14:paraId="75134D87" w14:textId="77777777" w:rsidR="00587FC5" w:rsidRPr="00AB680C" w:rsidRDefault="00587FC5" w:rsidP="00AB680C">
            <w:pPr>
              <w:spacing w:before="0" w:after="0"/>
              <w:ind w:firstLine="0"/>
              <w:jc w:val="center"/>
              <w:rPr>
                <w:rFonts w:cs="Times New Roman"/>
                <w:color w:val="000000" w:themeColor="text1"/>
                <w:szCs w:val="32"/>
                <w:lang w:eastAsia="cs-CZ"/>
              </w:rPr>
            </w:pPr>
            <w:r w:rsidRPr="00AB680C">
              <w:rPr>
                <w:rFonts w:cs="Times New Roman"/>
                <w:color w:val="000000" w:themeColor="text1"/>
                <w:szCs w:val="32"/>
                <w:lang w:eastAsia="cs-CZ"/>
              </w:rPr>
              <w:t>Varianta 0</w:t>
            </w:r>
          </w:p>
        </w:tc>
        <w:tc>
          <w:tcPr>
            <w:tcW w:w="1404" w:type="pct"/>
            <w:noWrap/>
            <w:vAlign w:val="center"/>
          </w:tcPr>
          <w:p w14:paraId="00923274" w14:textId="1A03975A" w:rsidR="00587FC5" w:rsidRPr="00AB680C" w:rsidRDefault="00182DCA" w:rsidP="00AB680C">
            <w:pPr>
              <w:spacing w:before="0" w:after="0"/>
              <w:ind w:firstLine="0"/>
              <w:jc w:val="center"/>
              <w:cnfStyle w:val="000000100000" w:firstRow="0" w:lastRow="0" w:firstColumn="0" w:lastColumn="0" w:oddVBand="0" w:evenVBand="0" w:oddHBand="1" w:evenHBand="0" w:firstRowFirstColumn="0" w:firstRowLastColumn="0" w:lastRowFirstColumn="0" w:lastRowLastColumn="0"/>
              <w:rPr>
                <w:rFonts w:cs="Times New Roman"/>
                <w:bCs/>
                <w:color w:val="000000" w:themeColor="text1"/>
                <w:szCs w:val="32"/>
                <w:lang w:eastAsia="cs-CZ"/>
              </w:rPr>
            </w:pPr>
            <w:r w:rsidRPr="00AB680C">
              <w:rPr>
                <w:rFonts w:cs="Times New Roman"/>
                <w:bCs/>
                <w:color w:val="000000" w:themeColor="text1"/>
                <w:szCs w:val="32"/>
                <w:lang w:eastAsia="cs-CZ"/>
              </w:rPr>
              <w:t>2</w:t>
            </w:r>
          </w:p>
        </w:tc>
        <w:tc>
          <w:tcPr>
            <w:tcW w:w="1290" w:type="pct"/>
            <w:noWrap/>
            <w:vAlign w:val="center"/>
          </w:tcPr>
          <w:p w14:paraId="03A629BE" w14:textId="71FA8388" w:rsidR="00587FC5" w:rsidRPr="00AB680C" w:rsidRDefault="001B136F" w:rsidP="00AB680C">
            <w:pPr>
              <w:spacing w:before="0" w:after="0"/>
              <w:ind w:firstLine="0"/>
              <w:jc w:val="center"/>
              <w:cnfStyle w:val="000000100000" w:firstRow="0" w:lastRow="0" w:firstColumn="0" w:lastColumn="0" w:oddVBand="0" w:evenVBand="0" w:oddHBand="1" w:evenHBand="0" w:firstRowFirstColumn="0" w:firstRowLastColumn="0" w:lastRowFirstColumn="0" w:lastRowLastColumn="0"/>
              <w:rPr>
                <w:rFonts w:cs="Times New Roman"/>
                <w:bCs/>
                <w:color w:val="000000" w:themeColor="text1"/>
                <w:szCs w:val="32"/>
                <w:lang w:eastAsia="cs-CZ"/>
              </w:rPr>
            </w:pPr>
            <w:r w:rsidRPr="00AB680C">
              <w:rPr>
                <w:rFonts w:cs="Times New Roman"/>
                <w:bCs/>
                <w:color w:val="000000" w:themeColor="text1"/>
                <w:szCs w:val="32"/>
                <w:lang w:eastAsia="cs-CZ"/>
              </w:rPr>
              <w:t>3</w:t>
            </w:r>
            <w:r w:rsidR="00587FC5" w:rsidRPr="00AB680C">
              <w:rPr>
                <w:rFonts w:cs="Times New Roman"/>
                <w:bCs/>
                <w:color w:val="000000" w:themeColor="text1"/>
                <w:szCs w:val="32"/>
                <w:lang w:eastAsia="cs-CZ"/>
              </w:rPr>
              <w:t xml:space="preserve"> </w:t>
            </w:r>
          </w:p>
        </w:tc>
        <w:tc>
          <w:tcPr>
            <w:tcW w:w="1290" w:type="pct"/>
            <w:vAlign w:val="center"/>
          </w:tcPr>
          <w:p w14:paraId="0A5EC299" w14:textId="6888D357" w:rsidR="00587FC5" w:rsidRPr="00AB680C" w:rsidRDefault="00D515A3" w:rsidP="00AB680C">
            <w:pPr>
              <w:spacing w:before="0" w:after="0"/>
              <w:ind w:firstLine="0"/>
              <w:jc w:val="center"/>
              <w:cnfStyle w:val="000000100000" w:firstRow="0" w:lastRow="0" w:firstColumn="0" w:lastColumn="0" w:oddVBand="0" w:evenVBand="0" w:oddHBand="1" w:evenHBand="0" w:firstRowFirstColumn="0" w:firstRowLastColumn="0" w:lastRowFirstColumn="0" w:lastRowLastColumn="0"/>
              <w:rPr>
                <w:rFonts w:cs="Times New Roman"/>
                <w:bCs/>
                <w:color w:val="000000" w:themeColor="text1"/>
                <w:szCs w:val="32"/>
                <w:lang w:eastAsia="cs-CZ"/>
              </w:rPr>
            </w:pPr>
            <w:r w:rsidRPr="00AB680C">
              <w:rPr>
                <w:rFonts w:cs="Times New Roman"/>
                <w:bCs/>
                <w:color w:val="000000" w:themeColor="text1"/>
                <w:szCs w:val="32"/>
                <w:lang w:eastAsia="cs-CZ"/>
              </w:rPr>
              <w:t>2</w:t>
            </w:r>
          </w:p>
        </w:tc>
      </w:tr>
      <w:tr w:rsidR="00587FC5" w:rsidRPr="00AB680C" w14:paraId="74AF024B" w14:textId="41EE11F0" w:rsidTr="00684322">
        <w:trPr>
          <w:trHeight w:val="294"/>
          <w:jc w:val="center"/>
        </w:trPr>
        <w:tc>
          <w:tcPr>
            <w:cnfStyle w:val="001000000000" w:firstRow="0" w:lastRow="0" w:firstColumn="1" w:lastColumn="0" w:oddVBand="0" w:evenVBand="0" w:oddHBand="0" w:evenHBand="0" w:firstRowFirstColumn="0" w:firstRowLastColumn="0" w:lastRowFirstColumn="0" w:lastRowLastColumn="0"/>
            <w:tcW w:w="1016" w:type="pct"/>
            <w:noWrap/>
            <w:vAlign w:val="center"/>
          </w:tcPr>
          <w:p w14:paraId="34E5695A" w14:textId="77777777" w:rsidR="00587FC5" w:rsidRPr="00AB680C" w:rsidRDefault="00587FC5" w:rsidP="00AB680C">
            <w:pPr>
              <w:spacing w:before="0" w:after="0"/>
              <w:ind w:firstLine="0"/>
              <w:jc w:val="center"/>
              <w:rPr>
                <w:rFonts w:cs="Times New Roman"/>
                <w:color w:val="000000" w:themeColor="text1"/>
                <w:szCs w:val="32"/>
                <w:lang w:eastAsia="cs-CZ"/>
              </w:rPr>
            </w:pPr>
            <w:r w:rsidRPr="00AB680C">
              <w:rPr>
                <w:rFonts w:cs="Times New Roman"/>
                <w:color w:val="000000" w:themeColor="text1"/>
                <w:szCs w:val="32"/>
                <w:lang w:eastAsia="cs-CZ"/>
              </w:rPr>
              <w:t>Varianta 1</w:t>
            </w:r>
          </w:p>
        </w:tc>
        <w:tc>
          <w:tcPr>
            <w:tcW w:w="1404" w:type="pct"/>
            <w:noWrap/>
            <w:vAlign w:val="center"/>
          </w:tcPr>
          <w:p w14:paraId="60077CA3" w14:textId="7B662AE3" w:rsidR="00587FC5" w:rsidRPr="00AB680C" w:rsidRDefault="00182DCA" w:rsidP="00AB680C">
            <w:pPr>
              <w:spacing w:before="0" w:after="0"/>
              <w:ind w:firstLine="0"/>
              <w:jc w:val="center"/>
              <w:cnfStyle w:val="000000000000" w:firstRow="0" w:lastRow="0" w:firstColumn="0" w:lastColumn="0" w:oddVBand="0" w:evenVBand="0" w:oddHBand="0" w:evenHBand="0" w:firstRowFirstColumn="0" w:firstRowLastColumn="0" w:lastRowFirstColumn="0" w:lastRowLastColumn="0"/>
              <w:rPr>
                <w:rFonts w:cs="Times New Roman"/>
                <w:bCs/>
                <w:color w:val="000000" w:themeColor="text1"/>
                <w:szCs w:val="32"/>
                <w:lang w:eastAsia="cs-CZ"/>
              </w:rPr>
            </w:pPr>
            <w:r w:rsidRPr="00AB680C">
              <w:rPr>
                <w:rFonts w:cs="Times New Roman"/>
                <w:bCs/>
                <w:color w:val="000000" w:themeColor="text1"/>
                <w:szCs w:val="32"/>
                <w:lang w:eastAsia="cs-CZ"/>
              </w:rPr>
              <w:t>3</w:t>
            </w:r>
          </w:p>
        </w:tc>
        <w:tc>
          <w:tcPr>
            <w:tcW w:w="1290" w:type="pct"/>
            <w:noWrap/>
            <w:vAlign w:val="center"/>
          </w:tcPr>
          <w:p w14:paraId="1A456E8E" w14:textId="77777777" w:rsidR="00587FC5" w:rsidRPr="00AB680C" w:rsidRDefault="00587FC5" w:rsidP="00AB680C">
            <w:pPr>
              <w:spacing w:before="0" w:after="0"/>
              <w:ind w:firstLine="0"/>
              <w:jc w:val="center"/>
              <w:cnfStyle w:val="000000000000" w:firstRow="0" w:lastRow="0" w:firstColumn="0" w:lastColumn="0" w:oddVBand="0" w:evenVBand="0" w:oddHBand="0" w:evenHBand="0" w:firstRowFirstColumn="0" w:firstRowLastColumn="0" w:lastRowFirstColumn="0" w:lastRowLastColumn="0"/>
              <w:rPr>
                <w:rFonts w:cs="Times New Roman"/>
                <w:b/>
                <w:color w:val="000000" w:themeColor="text1"/>
                <w:szCs w:val="32"/>
                <w:lang w:eastAsia="cs-CZ"/>
              </w:rPr>
            </w:pPr>
            <w:r w:rsidRPr="00AB680C">
              <w:rPr>
                <w:rFonts w:cs="Times New Roman"/>
                <w:b/>
                <w:color w:val="000000" w:themeColor="text1"/>
                <w:szCs w:val="32"/>
                <w:lang w:eastAsia="cs-CZ"/>
              </w:rPr>
              <w:t>1</w:t>
            </w:r>
          </w:p>
        </w:tc>
        <w:tc>
          <w:tcPr>
            <w:tcW w:w="1290" w:type="pct"/>
            <w:vAlign w:val="center"/>
          </w:tcPr>
          <w:p w14:paraId="6532F02A" w14:textId="51BC2E72" w:rsidR="00587FC5" w:rsidRPr="00AB680C" w:rsidRDefault="00D515A3" w:rsidP="00AB680C">
            <w:pPr>
              <w:spacing w:before="0" w:after="0"/>
              <w:ind w:firstLine="0"/>
              <w:jc w:val="center"/>
              <w:cnfStyle w:val="000000000000" w:firstRow="0" w:lastRow="0" w:firstColumn="0" w:lastColumn="0" w:oddVBand="0" w:evenVBand="0" w:oddHBand="0" w:evenHBand="0" w:firstRowFirstColumn="0" w:firstRowLastColumn="0" w:lastRowFirstColumn="0" w:lastRowLastColumn="0"/>
              <w:rPr>
                <w:rFonts w:cs="Times New Roman"/>
                <w:bCs/>
                <w:color w:val="000000" w:themeColor="text1"/>
                <w:szCs w:val="32"/>
                <w:lang w:eastAsia="cs-CZ"/>
              </w:rPr>
            </w:pPr>
            <w:r w:rsidRPr="00AB680C">
              <w:rPr>
                <w:rFonts w:cs="Times New Roman"/>
                <w:bCs/>
                <w:color w:val="000000" w:themeColor="text1"/>
                <w:szCs w:val="32"/>
                <w:lang w:eastAsia="cs-CZ"/>
              </w:rPr>
              <w:t>3</w:t>
            </w:r>
          </w:p>
        </w:tc>
      </w:tr>
      <w:tr w:rsidR="00587FC5" w:rsidRPr="00AB680C" w14:paraId="77641766" w14:textId="7840B439" w:rsidTr="00684322">
        <w:trPr>
          <w:cnfStyle w:val="000000100000" w:firstRow="0" w:lastRow="0" w:firstColumn="0" w:lastColumn="0" w:oddVBand="0" w:evenVBand="0" w:oddHBand="1" w:evenHBand="0" w:firstRowFirstColumn="0" w:firstRowLastColumn="0" w:lastRowFirstColumn="0" w:lastRowLastColumn="0"/>
          <w:trHeight w:val="294"/>
          <w:jc w:val="center"/>
        </w:trPr>
        <w:tc>
          <w:tcPr>
            <w:cnfStyle w:val="001000000000" w:firstRow="0" w:lastRow="0" w:firstColumn="1" w:lastColumn="0" w:oddVBand="0" w:evenVBand="0" w:oddHBand="0" w:evenHBand="0" w:firstRowFirstColumn="0" w:firstRowLastColumn="0" w:lastRowFirstColumn="0" w:lastRowLastColumn="0"/>
            <w:tcW w:w="1016" w:type="pct"/>
            <w:noWrap/>
            <w:vAlign w:val="center"/>
          </w:tcPr>
          <w:p w14:paraId="64A8EB80" w14:textId="2BDE3A5E" w:rsidR="00587FC5" w:rsidRPr="00AB680C" w:rsidRDefault="00587FC5" w:rsidP="00AB680C">
            <w:pPr>
              <w:spacing w:before="0" w:after="0"/>
              <w:ind w:firstLine="0"/>
              <w:jc w:val="center"/>
              <w:rPr>
                <w:rFonts w:cs="Times New Roman"/>
                <w:color w:val="000000" w:themeColor="text1"/>
                <w:szCs w:val="32"/>
                <w:lang w:eastAsia="cs-CZ"/>
              </w:rPr>
            </w:pPr>
            <w:r w:rsidRPr="00AB680C">
              <w:rPr>
                <w:rFonts w:cs="Times New Roman"/>
                <w:color w:val="000000" w:themeColor="text1"/>
                <w:szCs w:val="32"/>
                <w:lang w:eastAsia="cs-CZ"/>
              </w:rPr>
              <w:t>Varianta 2</w:t>
            </w:r>
          </w:p>
        </w:tc>
        <w:tc>
          <w:tcPr>
            <w:tcW w:w="1404" w:type="pct"/>
            <w:noWrap/>
            <w:vAlign w:val="center"/>
          </w:tcPr>
          <w:p w14:paraId="3F5F6731" w14:textId="3E8ACCD3" w:rsidR="00587FC5" w:rsidRPr="00AB680C" w:rsidRDefault="001B136F" w:rsidP="00AB680C">
            <w:pPr>
              <w:spacing w:before="0" w:after="0"/>
              <w:ind w:firstLine="0"/>
              <w:jc w:val="center"/>
              <w:cnfStyle w:val="000000100000" w:firstRow="0" w:lastRow="0" w:firstColumn="0" w:lastColumn="0" w:oddVBand="0" w:evenVBand="0" w:oddHBand="1" w:evenHBand="0" w:firstRowFirstColumn="0" w:firstRowLastColumn="0" w:lastRowFirstColumn="0" w:lastRowLastColumn="0"/>
              <w:rPr>
                <w:rFonts w:cs="Times New Roman"/>
                <w:b/>
                <w:color w:val="000000" w:themeColor="text1"/>
                <w:szCs w:val="32"/>
                <w:lang w:eastAsia="cs-CZ"/>
              </w:rPr>
            </w:pPr>
            <w:r w:rsidRPr="00AB680C">
              <w:rPr>
                <w:rFonts w:cs="Times New Roman"/>
                <w:b/>
                <w:color w:val="000000" w:themeColor="text1"/>
                <w:szCs w:val="32"/>
                <w:lang w:eastAsia="cs-CZ"/>
              </w:rPr>
              <w:t>1</w:t>
            </w:r>
          </w:p>
        </w:tc>
        <w:tc>
          <w:tcPr>
            <w:tcW w:w="1290" w:type="pct"/>
            <w:noWrap/>
            <w:vAlign w:val="center"/>
          </w:tcPr>
          <w:p w14:paraId="4A068689" w14:textId="3294DDC9" w:rsidR="00587FC5" w:rsidRPr="00AB680C" w:rsidRDefault="001B136F" w:rsidP="00AB680C">
            <w:pPr>
              <w:spacing w:before="0" w:after="0"/>
              <w:ind w:firstLine="0"/>
              <w:jc w:val="center"/>
              <w:cnfStyle w:val="000000100000" w:firstRow="0" w:lastRow="0" w:firstColumn="0" w:lastColumn="0" w:oddVBand="0" w:evenVBand="0" w:oddHBand="1" w:evenHBand="0" w:firstRowFirstColumn="0" w:firstRowLastColumn="0" w:lastRowFirstColumn="0" w:lastRowLastColumn="0"/>
              <w:rPr>
                <w:rFonts w:cs="Times New Roman"/>
                <w:bCs/>
                <w:color w:val="000000" w:themeColor="text1"/>
                <w:szCs w:val="32"/>
                <w:lang w:eastAsia="cs-CZ"/>
              </w:rPr>
            </w:pPr>
            <w:r w:rsidRPr="00AB680C">
              <w:rPr>
                <w:rFonts w:cs="Times New Roman"/>
                <w:bCs/>
                <w:color w:val="000000" w:themeColor="text1"/>
                <w:szCs w:val="32"/>
                <w:lang w:eastAsia="cs-CZ"/>
              </w:rPr>
              <w:t>2</w:t>
            </w:r>
          </w:p>
        </w:tc>
        <w:tc>
          <w:tcPr>
            <w:tcW w:w="1290" w:type="pct"/>
            <w:vAlign w:val="center"/>
          </w:tcPr>
          <w:p w14:paraId="654EE026" w14:textId="67A1D2B0" w:rsidR="00587FC5" w:rsidRPr="00AB680C" w:rsidRDefault="00B34591" w:rsidP="00AB680C">
            <w:pPr>
              <w:spacing w:before="0" w:after="0"/>
              <w:ind w:firstLine="0"/>
              <w:jc w:val="center"/>
              <w:cnfStyle w:val="000000100000" w:firstRow="0" w:lastRow="0" w:firstColumn="0" w:lastColumn="0" w:oddVBand="0" w:evenVBand="0" w:oddHBand="1" w:evenHBand="0" w:firstRowFirstColumn="0" w:firstRowLastColumn="0" w:lastRowFirstColumn="0" w:lastRowLastColumn="0"/>
              <w:rPr>
                <w:rFonts w:cs="Times New Roman"/>
                <w:b/>
                <w:color w:val="000000" w:themeColor="text1"/>
                <w:szCs w:val="32"/>
                <w:lang w:eastAsia="cs-CZ"/>
              </w:rPr>
            </w:pPr>
            <w:r w:rsidRPr="00AB680C">
              <w:rPr>
                <w:rFonts w:cs="Times New Roman"/>
                <w:b/>
                <w:color w:val="000000" w:themeColor="text1"/>
                <w:szCs w:val="32"/>
                <w:lang w:eastAsia="cs-CZ"/>
              </w:rPr>
              <w:t>1</w:t>
            </w:r>
          </w:p>
        </w:tc>
      </w:tr>
    </w:tbl>
    <w:p w14:paraId="0D8F3460" w14:textId="32E324F5" w:rsidR="00070A5A" w:rsidRDefault="00070A5A" w:rsidP="00A2506A">
      <w:pPr>
        <w:pStyle w:val="Nadpis2"/>
        <w:keepNext w:val="0"/>
        <w:ind w:left="709"/>
      </w:pPr>
      <w:bookmarkStart w:id="93" w:name="_Toc164761281"/>
      <w:r>
        <w:t>Implementace doporučené varianty a vynucování</w:t>
      </w:r>
      <w:bookmarkEnd w:id="93"/>
    </w:p>
    <w:p w14:paraId="0AA2CDB1" w14:textId="6664C4CC" w:rsidR="00A004E6" w:rsidRPr="00A004E6" w:rsidRDefault="006D17B2" w:rsidP="00AB680C">
      <w:pPr>
        <w:widowControl w:val="0"/>
        <w:tabs>
          <w:tab w:val="left" w:pos="284"/>
        </w:tabs>
        <w:spacing w:before="0"/>
      </w:pPr>
      <w:r w:rsidRPr="00522571">
        <w:rPr>
          <w:color w:val="000000" w:themeColor="text1"/>
        </w:rPr>
        <w:t>Navrhovan</w:t>
      </w:r>
      <w:r>
        <w:rPr>
          <w:color w:val="000000" w:themeColor="text1"/>
        </w:rPr>
        <w:t xml:space="preserve">á varianta bude </w:t>
      </w:r>
      <w:r w:rsidRPr="00522571">
        <w:rPr>
          <w:color w:val="000000" w:themeColor="text1"/>
        </w:rPr>
        <w:t>proveden</w:t>
      </w:r>
      <w:r>
        <w:rPr>
          <w:color w:val="000000" w:themeColor="text1"/>
        </w:rPr>
        <w:t>a novelizací příslušných zákonů.</w:t>
      </w:r>
    </w:p>
    <w:p w14:paraId="4F0DA2F8" w14:textId="2C8CD5ED" w:rsidR="00070A5A" w:rsidRDefault="00070A5A" w:rsidP="00AB680C">
      <w:pPr>
        <w:pStyle w:val="Nadpis2"/>
        <w:keepNext w:val="0"/>
      </w:pPr>
      <w:bookmarkStart w:id="94" w:name="_Toc164761282"/>
      <w:r>
        <w:t>Přezkum účinnosti regulace</w:t>
      </w:r>
      <w:bookmarkEnd w:id="94"/>
    </w:p>
    <w:p w14:paraId="7656AC9E" w14:textId="24E6A877" w:rsidR="00A004E6" w:rsidRPr="006D17B2" w:rsidRDefault="006D17B2" w:rsidP="00AB680C">
      <w:pPr>
        <w:widowControl w:val="0"/>
        <w:spacing w:before="0"/>
        <w:rPr>
          <w:color w:val="000000" w:themeColor="text1"/>
        </w:rPr>
      </w:pPr>
      <w:r w:rsidRPr="00A062A1">
        <w:rPr>
          <w:color w:val="000000" w:themeColor="text1"/>
        </w:rPr>
        <w:t xml:space="preserve">Primárně odpovědným za přezkum účinnosti je </w:t>
      </w:r>
      <w:r w:rsidRPr="00A062A1">
        <w:t>Ministerstvo financí</w:t>
      </w:r>
      <w:r>
        <w:t>.</w:t>
      </w:r>
    </w:p>
    <w:p w14:paraId="31F7BF76" w14:textId="62A6B0A7" w:rsidR="00070A5A" w:rsidRPr="00070A5A" w:rsidRDefault="00070A5A" w:rsidP="00AB680C">
      <w:pPr>
        <w:pStyle w:val="Nadpis2"/>
        <w:keepNext w:val="0"/>
      </w:pPr>
      <w:bookmarkStart w:id="95" w:name="_Toc164761283"/>
      <w:r>
        <w:t>Konzultace a zdroje dat</w:t>
      </w:r>
      <w:bookmarkEnd w:id="95"/>
    </w:p>
    <w:p w14:paraId="4CA16853" w14:textId="0783EE10" w:rsidR="00D27221" w:rsidRDefault="003E76E9" w:rsidP="00AB680C">
      <w:pPr>
        <w:spacing w:before="0"/>
      </w:pPr>
      <w:r>
        <w:t xml:space="preserve">Ministerstvo financí oslovilo dopisem ze dne 30. </w:t>
      </w:r>
      <w:r w:rsidR="00AB351A">
        <w:t xml:space="preserve">listopadu </w:t>
      </w:r>
      <w:r>
        <w:t>2023, č.</w:t>
      </w:r>
      <w:r w:rsidR="008D0522">
        <w:t xml:space="preserve"> </w:t>
      </w:r>
      <w:r>
        <w:t>j. MF-35043/2023-32-2</w:t>
      </w:r>
      <w:r w:rsidR="00AB351A">
        <w:t>,</w:t>
      </w:r>
      <w:r>
        <w:t xml:space="preserve"> níže uvedené resorty </w:t>
      </w:r>
      <w:r w:rsidR="00E10761">
        <w:t>s nabídkou, aby celní správa nově převzala a zabezpečila výběr pokut za</w:t>
      </w:r>
      <w:r w:rsidR="008D0522">
        <w:t> </w:t>
      </w:r>
      <w:r w:rsidR="00E10761">
        <w:t xml:space="preserve">přestupky ukládané v působnosti daného resortu v přestupkovém řízení (s výjimkou pokut uložených příkazovým blokem na pokutu na místě zaplaceným). </w:t>
      </w:r>
    </w:p>
    <w:p w14:paraId="1C4E7F54" w14:textId="5F4EA983" w:rsidR="00D27221" w:rsidRDefault="00736DCD" w:rsidP="00AB680C">
      <w:pPr>
        <w:spacing w:before="0"/>
      </w:pPr>
      <w:r>
        <w:t>Osloveny byly tyto resorty: Ministerstvo dopravy, Ministerstvo kultury, Ministerstvo obrany, Ministerstvo práce a sociálních věcí, Ministerstvo pro místní rozvoj, Ministerstvo průmyslu a</w:t>
      </w:r>
      <w:r w:rsidR="008D0522">
        <w:t> </w:t>
      </w:r>
      <w:r>
        <w:t>obchodu, Ministerstvo spravedlnosti, Ministerstvo školství, mládeže a tělovýchovy, Ministerstvo vnitra, Ministerstvo zemědělství, Ministerstvo zemědělství, Ministerstvo životního prostředí, Český báňský úřad, Český telekomunikační úřad, Digitální a informační agentura. Energetický regulační úřad, Kancelář finančního arbitra, Národní bezpečnostní úřad, Národní úřad pro kybernetickou a informační bezpečnost, Rada pro rozhlasové a televizní vysílání, Státní úřad pro jadernou bezpečnost, Úřad pro ochranu osobních údajů a Úřad pro</w:t>
      </w:r>
      <w:r w:rsidR="008D0522">
        <w:t> </w:t>
      </w:r>
      <w:r>
        <w:t xml:space="preserve">přístup k dopravní infrastruktuře. </w:t>
      </w:r>
    </w:p>
    <w:p w14:paraId="39B1C996" w14:textId="642289EC" w:rsidR="00D27221" w:rsidRDefault="00C76764" w:rsidP="00AB680C">
      <w:pPr>
        <w:spacing w:before="0"/>
      </w:pPr>
      <w:r>
        <w:t>Nesouhlasné stanovisko vyjádřily Český báňský úřad, Český telekomunikační úřad, Ministerstvo školní, mládeže a tělovýchovy, Národní bezpečnostní úřad, Státní úřad pro</w:t>
      </w:r>
      <w:r w:rsidR="008D0522">
        <w:t> </w:t>
      </w:r>
      <w:r>
        <w:t xml:space="preserve">jadernou bezpečnost a částečně i Ministerstvo zemědělství. </w:t>
      </w:r>
    </w:p>
    <w:p w14:paraId="03AB951B" w14:textId="13BA004D" w:rsidR="00B1089B" w:rsidRDefault="00C76764" w:rsidP="00AB680C">
      <w:pPr>
        <w:spacing w:before="0"/>
        <w:rPr>
          <w:rFonts w:eastAsiaTheme="majorEastAsia" w:cstheme="majorBidi"/>
          <w:b/>
          <w:bCs/>
          <w:color w:val="140E96"/>
          <w:sz w:val="28"/>
          <w:szCs w:val="24"/>
        </w:rPr>
      </w:pPr>
      <w:r>
        <w:lastRenderedPageBreak/>
        <w:t>S</w:t>
      </w:r>
      <w:r w:rsidR="003E2985">
        <w:t> některými resorty bylo následně uskutečněno osobní jednání,</w:t>
      </w:r>
      <w:r w:rsidR="00D27221">
        <w:t xml:space="preserve"> na kterém byla problematika podrobněji diskutován, </w:t>
      </w:r>
      <w:r w:rsidR="003E2985">
        <w:t>konkrétně</w:t>
      </w:r>
      <w:r w:rsidR="00D27221">
        <w:t xml:space="preserve"> bylo jednání uskutečněno zejména</w:t>
      </w:r>
      <w:r w:rsidR="003E2985">
        <w:t xml:space="preserve"> s Ministerstvem kultury, Ministerstvem obrany, Kanceláří finančního arbitra, Ministerstvem průmyslu a obchodu a</w:t>
      </w:r>
      <w:r w:rsidR="008D0522">
        <w:t> </w:t>
      </w:r>
      <w:r w:rsidR="003E2985">
        <w:t xml:space="preserve">Ministerstvem životního prostředí. </w:t>
      </w:r>
    </w:p>
    <w:p w14:paraId="5309421E" w14:textId="2666FF6D" w:rsidR="00B1089B" w:rsidRPr="00A2506A" w:rsidRDefault="00431F25" w:rsidP="00AB680C">
      <w:pPr>
        <w:pStyle w:val="Nadpis1"/>
        <w:keepNext w:val="0"/>
      </w:pPr>
      <w:bookmarkStart w:id="96" w:name="_Toc164761284"/>
      <w:r w:rsidRPr="00A2506A">
        <w:t>Zadr</w:t>
      </w:r>
      <w:r w:rsidR="007C580D" w:rsidRPr="00A2506A">
        <w:t xml:space="preserve">žení věci </w:t>
      </w:r>
      <w:r w:rsidR="00A87DE0" w:rsidRPr="00A2506A">
        <w:t xml:space="preserve">orgány </w:t>
      </w:r>
      <w:r w:rsidR="00784598">
        <w:t>c</w:t>
      </w:r>
      <w:r w:rsidR="00A87DE0" w:rsidRPr="00A2506A">
        <w:t>elní správy</w:t>
      </w:r>
      <w:bookmarkEnd w:id="96"/>
    </w:p>
    <w:p w14:paraId="0A19660C" w14:textId="77777777" w:rsidR="00070A5A" w:rsidRPr="00A2506A" w:rsidRDefault="00070A5A" w:rsidP="00AB680C">
      <w:pPr>
        <w:pStyle w:val="Nadpis2"/>
        <w:keepNext w:val="0"/>
        <w:ind w:left="709"/>
      </w:pPr>
      <w:bookmarkStart w:id="97" w:name="_Toc164761285"/>
      <w:r w:rsidRPr="00A2506A">
        <w:t>Důvod předložení a cíle</w:t>
      </w:r>
      <w:bookmarkEnd w:id="97"/>
    </w:p>
    <w:p w14:paraId="68DF4595" w14:textId="58E75271" w:rsidR="00A004E6" w:rsidRPr="00A2506A" w:rsidRDefault="00070A5A" w:rsidP="00AB680C">
      <w:pPr>
        <w:pStyle w:val="Nadpis3"/>
        <w:keepNext w:val="0"/>
      </w:pPr>
      <w:bookmarkStart w:id="98" w:name="_Toc164761286"/>
      <w:r w:rsidRPr="00A2506A">
        <w:t>Definice problému</w:t>
      </w:r>
      <w:bookmarkEnd w:id="98"/>
    </w:p>
    <w:p w14:paraId="0C474142" w14:textId="7533B44A" w:rsidR="00404BCF" w:rsidRDefault="00404BCF" w:rsidP="00AB680C">
      <w:pPr>
        <w:spacing w:before="0"/>
        <w:rPr>
          <w:rFonts w:cs="Times New Roman"/>
          <w:szCs w:val="24"/>
        </w:rPr>
      </w:pPr>
      <w:r w:rsidRPr="00404BCF">
        <w:rPr>
          <w:rFonts w:cs="Times New Roman"/>
          <w:szCs w:val="24"/>
        </w:rPr>
        <w:t xml:space="preserve">Zadržení věci, obalu a dopravního prostředku jako postup orgánů </w:t>
      </w:r>
      <w:r>
        <w:rPr>
          <w:rFonts w:cs="Times New Roman"/>
          <w:szCs w:val="24"/>
        </w:rPr>
        <w:t>c</w:t>
      </w:r>
      <w:r w:rsidRPr="00404BCF">
        <w:rPr>
          <w:rFonts w:cs="Times New Roman"/>
          <w:szCs w:val="24"/>
        </w:rPr>
        <w:t xml:space="preserve">elní správy je v českém právním řádu upraven zčásti neúplnou komplexní právní úpravou zadržení věci a dopravního prostředku v celním zákoně pro oblast celního dohledu. Na tuto právní úpravu se pak odkazují některé jiné zákony, pokud zahrnují působnost orgánů </w:t>
      </w:r>
      <w:r>
        <w:rPr>
          <w:rFonts w:cs="Times New Roman"/>
          <w:szCs w:val="24"/>
        </w:rPr>
        <w:t>c</w:t>
      </w:r>
      <w:r w:rsidRPr="00404BCF">
        <w:rPr>
          <w:rFonts w:cs="Times New Roman"/>
          <w:szCs w:val="24"/>
        </w:rPr>
        <w:t>elní správy, a v rámci této působnosti řeší zadržení věci</w:t>
      </w:r>
      <w:r>
        <w:rPr>
          <w:rFonts w:cs="Times New Roman"/>
          <w:szCs w:val="24"/>
        </w:rPr>
        <w:t>.</w:t>
      </w:r>
      <w:r w:rsidRPr="00404BCF">
        <w:rPr>
          <w:rFonts w:cs="Times New Roman"/>
          <w:szCs w:val="24"/>
        </w:rPr>
        <w:t xml:space="preserve"> Současně pak některé právní úpravy řeší zadržení věci </w:t>
      </w:r>
      <w:r>
        <w:rPr>
          <w:rFonts w:cs="Times New Roman"/>
          <w:szCs w:val="24"/>
        </w:rPr>
        <w:t xml:space="preserve">v působnosti orgánů celní správy </w:t>
      </w:r>
      <w:r w:rsidRPr="00404BCF">
        <w:rPr>
          <w:rFonts w:cs="Times New Roman"/>
          <w:szCs w:val="24"/>
        </w:rPr>
        <w:t>nezávisle a ve větší či menší míře ji speciálně upravují (např. zákon o spotřebních daních</w:t>
      </w:r>
      <w:r>
        <w:rPr>
          <w:rFonts w:cs="Times New Roman"/>
          <w:szCs w:val="24"/>
        </w:rPr>
        <w:t xml:space="preserve"> či</w:t>
      </w:r>
      <w:r w:rsidRPr="00404BCF">
        <w:rPr>
          <w:rFonts w:cs="Times New Roman"/>
          <w:szCs w:val="24"/>
        </w:rPr>
        <w:t xml:space="preserve"> zákon o odpadech</w:t>
      </w:r>
      <w:r>
        <w:rPr>
          <w:rFonts w:cs="Times New Roman"/>
          <w:szCs w:val="24"/>
        </w:rPr>
        <w:t>).</w:t>
      </w:r>
    </w:p>
    <w:p w14:paraId="4A92F12D" w14:textId="40A21948" w:rsidR="00404BCF" w:rsidRPr="00E90DEE" w:rsidRDefault="00D57836" w:rsidP="00404BCF">
      <w:pPr>
        <w:spacing w:before="0"/>
        <w:rPr>
          <w:rFonts w:cs="Times New Roman"/>
          <w:szCs w:val="24"/>
        </w:rPr>
      </w:pPr>
      <w:r>
        <w:rPr>
          <w:rFonts w:cs="Times New Roman"/>
          <w:szCs w:val="24"/>
        </w:rPr>
        <w:t>I</w:t>
      </w:r>
      <w:r w:rsidR="00404BCF" w:rsidRPr="00404BCF">
        <w:rPr>
          <w:rFonts w:cs="Times New Roman"/>
          <w:szCs w:val="24"/>
        </w:rPr>
        <w:t>nstitut</w:t>
      </w:r>
      <w:r>
        <w:rPr>
          <w:rFonts w:cs="Times New Roman"/>
          <w:szCs w:val="24"/>
        </w:rPr>
        <w:t xml:space="preserve"> zadržení věci</w:t>
      </w:r>
      <w:r w:rsidR="00404BCF" w:rsidRPr="00404BCF">
        <w:rPr>
          <w:rFonts w:cs="Times New Roman"/>
          <w:szCs w:val="24"/>
        </w:rPr>
        <w:t xml:space="preserve"> je tak v případě výkonu téměř shodn</w:t>
      </w:r>
      <w:r>
        <w:rPr>
          <w:rFonts w:cs="Times New Roman"/>
          <w:szCs w:val="24"/>
        </w:rPr>
        <w:t>ých</w:t>
      </w:r>
      <w:r w:rsidR="00404BCF" w:rsidRPr="00404BCF">
        <w:rPr>
          <w:rFonts w:cs="Times New Roman"/>
          <w:szCs w:val="24"/>
        </w:rPr>
        <w:t xml:space="preserve"> působnost</w:t>
      </w:r>
      <w:r>
        <w:rPr>
          <w:rFonts w:cs="Times New Roman"/>
          <w:szCs w:val="24"/>
        </w:rPr>
        <w:t>í</w:t>
      </w:r>
      <w:r w:rsidR="00404BCF" w:rsidRPr="00404BCF">
        <w:rPr>
          <w:rFonts w:cs="Times New Roman"/>
          <w:szCs w:val="24"/>
        </w:rPr>
        <w:t xml:space="preserve"> orgánů </w:t>
      </w:r>
      <w:r>
        <w:rPr>
          <w:rFonts w:cs="Times New Roman"/>
          <w:szCs w:val="24"/>
        </w:rPr>
        <w:t>c</w:t>
      </w:r>
      <w:r w:rsidR="00404BCF" w:rsidRPr="00404BCF">
        <w:rPr>
          <w:rFonts w:cs="Times New Roman"/>
          <w:szCs w:val="24"/>
        </w:rPr>
        <w:t xml:space="preserve">elní správy normován roztříštěně a rozdílně i v případech, kdy věcně není pro tyto rozdíly důvod. Rozdílně je také upraveno zadržení dopravního prostředku, které se zadržením věci bezprostředně souvisí. Nadto je zadržení jako postup orgánů </w:t>
      </w:r>
      <w:r>
        <w:rPr>
          <w:rFonts w:cs="Times New Roman"/>
          <w:szCs w:val="24"/>
        </w:rPr>
        <w:t>c</w:t>
      </w:r>
      <w:r w:rsidR="00404BCF" w:rsidRPr="00404BCF">
        <w:rPr>
          <w:rFonts w:cs="Times New Roman"/>
          <w:szCs w:val="24"/>
        </w:rPr>
        <w:t>elní správy uplatňován</w:t>
      </w:r>
      <w:r>
        <w:rPr>
          <w:rFonts w:cs="Times New Roman"/>
          <w:szCs w:val="24"/>
        </w:rPr>
        <w:t>o</w:t>
      </w:r>
      <w:r w:rsidR="00404BCF" w:rsidRPr="00404BCF">
        <w:rPr>
          <w:rFonts w:cs="Times New Roman"/>
          <w:szCs w:val="24"/>
        </w:rPr>
        <w:t xml:space="preserve"> především v souvislosti s oprávněním celníka zastavit vozidlo v případě širokého spektra kontrolních působností v</w:t>
      </w:r>
      <w:r>
        <w:rPr>
          <w:rFonts w:cs="Times New Roman"/>
          <w:szCs w:val="24"/>
        </w:rPr>
        <w:t> </w:t>
      </w:r>
      <w:r w:rsidR="00404BCF" w:rsidRPr="00404BCF">
        <w:rPr>
          <w:rFonts w:cs="Times New Roman"/>
          <w:szCs w:val="24"/>
        </w:rPr>
        <w:t>rámci přepravy věci podle různých zákonů</w:t>
      </w:r>
      <w:r w:rsidR="00404BCF" w:rsidRPr="00E90DEE">
        <w:rPr>
          <w:rFonts w:cs="Times New Roman"/>
          <w:szCs w:val="24"/>
        </w:rPr>
        <w:t>. Až v rámci výkonu kontrolní působnosti je tak zřejmé, k porušení jaké povinnosti podle kterého zákona došlo</w:t>
      </w:r>
      <w:r w:rsidRPr="00E90DEE">
        <w:rPr>
          <w:rFonts w:cs="Times New Roman"/>
          <w:szCs w:val="24"/>
        </w:rPr>
        <w:t>,</w:t>
      </w:r>
      <w:r w:rsidR="00404BCF" w:rsidRPr="00E90DEE">
        <w:rPr>
          <w:rFonts w:cs="Times New Roman"/>
          <w:szCs w:val="24"/>
        </w:rPr>
        <w:t xml:space="preserve"> a průběh kontroly a následné zadržení věci by tak měl</w:t>
      </w:r>
      <w:r w:rsidRPr="00E90DEE">
        <w:rPr>
          <w:rFonts w:cs="Times New Roman"/>
          <w:szCs w:val="24"/>
        </w:rPr>
        <w:t>y</w:t>
      </w:r>
      <w:r w:rsidR="00404BCF" w:rsidRPr="00E90DEE">
        <w:rPr>
          <w:rFonts w:cs="Times New Roman"/>
          <w:szCs w:val="24"/>
        </w:rPr>
        <w:t xml:space="preserve"> být realizován</w:t>
      </w:r>
      <w:r w:rsidRPr="00E90DEE">
        <w:rPr>
          <w:rFonts w:cs="Times New Roman"/>
          <w:szCs w:val="24"/>
        </w:rPr>
        <w:t>y</w:t>
      </w:r>
      <w:r w:rsidR="00404BCF" w:rsidRPr="00E90DEE">
        <w:rPr>
          <w:rFonts w:cs="Times New Roman"/>
          <w:szCs w:val="24"/>
        </w:rPr>
        <w:t xml:space="preserve"> podle stejných procesních principů a postupů. </w:t>
      </w:r>
    </w:p>
    <w:p w14:paraId="023B3B5F" w14:textId="7C7241A4" w:rsidR="00404BCF" w:rsidRPr="00E90DEE" w:rsidRDefault="00404BCF" w:rsidP="00404BCF">
      <w:pPr>
        <w:spacing w:before="0"/>
        <w:rPr>
          <w:rFonts w:cs="Times New Roman"/>
          <w:szCs w:val="24"/>
        </w:rPr>
      </w:pPr>
      <w:r w:rsidRPr="00E90DEE">
        <w:rPr>
          <w:rFonts w:cs="Times New Roman"/>
          <w:szCs w:val="24"/>
        </w:rPr>
        <w:t xml:space="preserve">Současně je problémem i nejednotná terminologie, kdy v některých případech je tento faktický úkon označován jako zadržení a v některých jako zajištění (např. zákon o spotřebních daních). </w:t>
      </w:r>
      <w:r w:rsidR="00D57836" w:rsidRPr="00E90DEE">
        <w:rPr>
          <w:rFonts w:cs="Times New Roman"/>
          <w:szCs w:val="24"/>
        </w:rPr>
        <w:t>Je zde proto potenciál</w:t>
      </w:r>
      <w:r w:rsidRPr="00E90DEE">
        <w:rPr>
          <w:rFonts w:cs="Times New Roman"/>
          <w:szCs w:val="24"/>
        </w:rPr>
        <w:t xml:space="preserve"> sjednotit terminologii tak, aby faktický úkon, při kterém je omezeno nakládání s věcí z důvodu, že osoba, která s ní nakládá, porušuje povinnosti s tímto nakládáním spojené, byl označen jako zadržení. Pojem zajištění by pak byl v postupu orgánů </w:t>
      </w:r>
      <w:r w:rsidR="00D57836" w:rsidRPr="00E90DEE">
        <w:rPr>
          <w:rFonts w:cs="Times New Roman"/>
          <w:szCs w:val="24"/>
        </w:rPr>
        <w:t>c</w:t>
      </w:r>
      <w:r w:rsidRPr="00E90DEE">
        <w:rPr>
          <w:rFonts w:cs="Times New Roman"/>
          <w:szCs w:val="24"/>
        </w:rPr>
        <w:t>elní správy terminologicky nadále vyhrazen jako forma zajištění úhrady peněžitého plnění.</w:t>
      </w:r>
    </w:p>
    <w:p w14:paraId="4274A44C" w14:textId="506DC7C1" w:rsidR="00E9160F" w:rsidRPr="00E90DEE" w:rsidRDefault="003439B9" w:rsidP="00404BCF">
      <w:pPr>
        <w:spacing w:before="0"/>
        <w:rPr>
          <w:rFonts w:cs="Times New Roman"/>
          <w:szCs w:val="24"/>
        </w:rPr>
      </w:pPr>
      <w:r w:rsidRPr="00E90DEE">
        <w:rPr>
          <w:rFonts w:cs="Times New Roman"/>
          <w:szCs w:val="24"/>
        </w:rPr>
        <w:t xml:space="preserve">Druhým klíčovým tématem ve vztahu k </w:t>
      </w:r>
      <w:r w:rsidR="00404BCF" w:rsidRPr="00E90DEE">
        <w:rPr>
          <w:rFonts w:cs="Times New Roman"/>
          <w:szCs w:val="24"/>
        </w:rPr>
        <w:t>nov</w:t>
      </w:r>
      <w:r w:rsidRPr="00E90DEE">
        <w:rPr>
          <w:rFonts w:cs="Times New Roman"/>
          <w:szCs w:val="24"/>
        </w:rPr>
        <w:t>é</w:t>
      </w:r>
      <w:r w:rsidR="00404BCF" w:rsidRPr="00E90DEE">
        <w:rPr>
          <w:rFonts w:cs="Times New Roman"/>
          <w:szCs w:val="24"/>
        </w:rPr>
        <w:t xml:space="preserve"> právní úprav</w:t>
      </w:r>
      <w:r w:rsidRPr="00E90DEE">
        <w:rPr>
          <w:rFonts w:cs="Times New Roman"/>
          <w:szCs w:val="24"/>
        </w:rPr>
        <w:t>ě</w:t>
      </w:r>
      <w:r w:rsidR="00404BCF" w:rsidRPr="00E90DEE">
        <w:rPr>
          <w:rFonts w:cs="Times New Roman"/>
          <w:szCs w:val="24"/>
        </w:rPr>
        <w:t xml:space="preserve"> zadržení je </w:t>
      </w:r>
      <w:r w:rsidRPr="00E90DEE">
        <w:rPr>
          <w:rFonts w:cs="Times New Roman"/>
          <w:szCs w:val="24"/>
        </w:rPr>
        <w:t>otázka, v jakých oblastech má k zadržení docházet a jaká by měla být navazující role orgánů celní správy. Zde je r</w:t>
      </w:r>
      <w:r w:rsidR="00404BCF" w:rsidRPr="00E90DEE">
        <w:rPr>
          <w:rFonts w:cs="Times New Roman"/>
          <w:szCs w:val="24"/>
        </w:rPr>
        <w:t xml:space="preserve">ozhodující, zda orgány </w:t>
      </w:r>
      <w:r w:rsidRPr="00E90DEE">
        <w:rPr>
          <w:rFonts w:cs="Times New Roman"/>
          <w:szCs w:val="24"/>
        </w:rPr>
        <w:t>c</w:t>
      </w:r>
      <w:r w:rsidR="00404BCF" w:rsidRPr="00E90DEE">
        <w:rPr>
          <w:rFonts w:cs="Times New Roman"/>
          <w:szCs w:val="24"/>
        </w:rPr>
        <w:t xml:space="preserve">elní správy zadržují </w:t>
      </w:r>
      <w:r w:rsidRPr="00E90DEE">
        <w:rPr>
          <w:rFonts w:cs="Times New Roman"/>
          <w:szCs w:val="24"/>
        </w:rPr>
        <w:t xml:space="preserve">věc </w:t>
      </w:r>
      <w:r w:rsidR="00404BCF" w:rsidRPr="00E90DEE">
        <w:rPr>
          <w:rFonts w:cs="Times New Roman"/>
          <w:szCs w:val="24"/>
        </w:rPr>
        <w:t>v rámci svých kontrolních postupů, kdy zjistí porušení povinností, k jejichž kontrole mají podle zákona výslovnou primární působnost (celní dohled, kontrola vybraných výrobků, kontrola odpadů), nebo zda při kontrole těchto povinností mají důvodné podezření, že došlo k porušení povinnosti, jejíž kontrol</w:t>
      </w:r>
      <w:r w:rsidR="00E9160F" w:rsidRPr="00E90DEE">
        <w:rPr>
          <w:rFonts w:cs="Times New Roman"/>
          <w:szCs w:val="24"/>
        </w:rPr>
        <w:t>a</w:t>
      </w:r>
      <w:r w:rsidR="00404BCF" w:rsidRPr="00E90DEE">
        <w:rPr>
          <w:rFonts w:cs="Times New Roman"/>
          <w:szCs w:val="24"/>
        </w:rPr>
        <w:t xml:space="preserve"> sice nepředstavuje primární působnost orgánů </w:t>
      </w:r>
      <w:r w:rsidR="00E9160F" w:rsidRPr="00E90DEE">
        <w:rPr>
          <w:rFonts w:cs="Times New Roman"/>
          <w:szCs w:val="24"/>
        </w:rPr>
        <w:t>c</w:t>
      </w:r>
      <w:r w:rsidR="00404BCF" w:rsidRPr="00E90DEE">
        <w:rPr>
          <w:rFonts w:cs="Times New Roman"/>
          <w:szCs w:val="24"/>
        </w:rPr>
        <w:t>elní správy, ale kdy je s ohledem na charakter tohoto porušení žádoucí, aby věc nebyla nadále v moci subjektu, který ve většině případů porušení zákona způsobil.</w:t>
      </w:r>
      <w:r w:rsidR="00E9160F" w:rsidRPr="00E90DEE">
        <w:rPr>
          <w:rFonts w:cs="Times New Roman"/>
          <w:szCs w:val="24"/>
        </w:rPr>
        <w:t xml:space="preserve"> </w:t>
      </w:r>
      <w:r w:rsidR="00404BCF" w:rsidRPr="00E90DEE">
        <w:rPr>
          <w:rFonts w:cs="Times New Roman"/>
          <w:szCs w:val="24"/>
        </w:rPr>
        <w:t xml:space="preserve">V tomto případě jsou orgány </w:t>
      </w:r>
      <w:r w:rsidR="00E9160F" w:rsidRPr="00E90DEE">
        <w:rPr>
          <w:rFonts w:cs="Times New Roman"/>
          <w:szCs w:val="24"/>
        </w:rPr>
        <w:t>c</w:t>
      </w:r>
      <w:r w:rsidR="00404BCF" w:rsidRPr="00E90DEE">
        <w:rPr>
          <w:rFonts w:cs="Times New Roman"/>
          <w:szCs w:val="24"/>
        </w:rPr>
        <w:t xml:space="preserve">elní správy oprávněny věc zadržet, ale posouzení toho, zda došlo či nedošlo k porušení zákonné povinnosti, </w:t>
      </w:r>
      <w:r w:rsidR="00481DC5" w:rsidRPr="00E90DEE">
        <w:rPr>
          <w:rFonts w:cs="Times New Roman"/>
          <w:szCs w:val="24"/>
        </w:rPr>
        <w:t xml:space="preserve">zpravidla </w:t>
      </w:r>
      <w:r w:rsidR="00404BCF" w:rsidRPr="00E90DEE">
        <w:rPr>
          <w:rFonts w:cs="Times New Roman"/>
          <w:szCs w:val="24"/>
        </w:rPr>
        <w:t>p</w:t>
      </w:r>
      <w:r w:rsidR="00E9160F" w:rsidRPr="00E90DEE">
        <w:rPr>
          <w:rFonts w:cs="Times New Roman"/>
          <w:szCs w:val="24"/>
        </w:rPr>
        <w:t>rovádí</w:t>
      </w:r>
      <w:r w:rsidR="00404BCF" w:rsidRPr="00E90DEE">
        <w:rPr>
          <w:rFonts w:cs="Times New Roman"/>
          <w:szCs w:val="24"/>
        </w:rPr>
        <w:t xml:space="preserve"> příslušný orgán odlišný od orgánu </w:t>
      </w:r>
      <w:r w:rsidR="00E9160F" w:rsidRPr="00E90DEE">
        <w:rPr>
          <w:rFonts w:cs="Times New Roman"/>
          <w:szCs w:val="24"/>
        </w:rPr>
        <w:t>c</w:t>
      </w:r>
      <w:r w:rsidR="00404BCF" w:rsidRPr="00E90DEE">
        <w:rPr>
          <w:rFonts w:cs="Times New Roman"/>
          <w:szCs w:val="24"/>
        </w:rPr>
        <w:t>elní správy</w:t>
      </w:r>
      <w:r w:rsidR="00481DC5" w:rsidRPr="00E90DEE">
        <w:rPr>
          <w:rFonts w:cs="Times New Roman"/>
          <w:szCs w:val="24"/>
        </w:rPr>
        <w:t>. Tento jiný orgán</w:t>
      </w:r>
      <w:r w:rsidR="00E9160F" w:rsidRPr="00E90DEE">
        <w:rPr>
          <w:rFonts w:cs="Times New Roman"/>
          <w:szCs w:val="24"/>
        </w:rPr>
        <w:t xml:space="preserve"> je v části případů </w:t>
      </w:r>
      <w:r w:rsidR="00481DC5" w:rsidRPr="00E90DEE">
        <w:rPr>
          <w:rFonts w:cs="Times New Roman"/>
          <w:szCs w:val="24"/>
        </w:rPr>
        <w:t xml:space="preserve">rovněž </w:t>
      </w:r>
      <w:r w:rsidR="00E9160F" w:rsidRPr="00E90DEE">
        <w:rPr>
          <w:rFonts w:cs="Times New Roman"/>
          <w:szCs w:val="24"/>
        </w:rPr>
        <w:t>kompetentní vést v dané věci přestupkové řízení (zatímco v části případů je i tato role svěřena orgánům celní správy, ačkoliv jde o oblast primárně spadající do působnosti jiných orgánů).</w:t>
      </w:r>
      <w:r w:rsidR="00373707" w:rsidRPr="00E90DEE">
        <w:rPr>
          <w:rFonts w:cs="Times New Roman"/>
          <w:szCs w:val="24"/>
        </w:rPr>
        <w:t xml:space="preserve"> Uvedené dvě kategorie kontrolních působností a na ně navazujících pravomocí zadržet věc, obal nebo dopravní prostředek v současnosti nicméně nejsou jednoznačně legislativně a kompetenčně odděleny v rámci příslušných právních úprav. </w:t>
      </w:r>
    </w:p>
    <w:p w14:paraId="4385208F" w14:textId="4F5AC4BB" w:rsidR="009A6442" w:rsidRPr="00E90DEE" w:rsidRDefault="00E9160F" w:rsidP="00404BCF">
      <w:pPr>
        <w:spacing w:before="0"/>
        <w:rPr>
          <w:rFonts w:cs="Times New Roman"/>
          <w:szCs w:val="24"/>
        </w:rPr>
      </w:pPr>
      <w:r w:rsidRPr="00E90DEE">
        <w:rPr>
          <w:rFonts w:cs="Times New Roman"/>
          <w:szCs w:val="24"/>
        </w:rPr>
        <w:lastRenderedPageBreak/>
        <w:t xml:space="preserve">V této </w:t>
      </w:r>
      <w:r w:rsidR="009A6442" w:rsidRPr="00E90DEE">
        <w:rPr>
          <w:rFonts w:cs="Times New Roman"/>
          <w:szCs w:val="24"/>
        </w:rPr>
        <w:t xml:space="preserve">souvislosti existuje potenciál pro zefektivnění spolupráce orgánů celní správy a jiných orgánů, postavený na přiléhavějším </w:t>
      </w:r>
      <w:r w:rsidR="00751EEF" w:rsidRPr="00E90DEE">
        <w:rPr>
          <w:rFonts w:cs="Times New Roman"/>
          <w:szCs w:val="24"/>
        </w:rPr>
        <w:t>pře</w:t>
      </w:r>
      <w:r w:rsidR="009A6442" w:rsidRPr="00E90DEE">
        <w:rPr>
          <w:rFonts w:cs="Times New Roman"/>
          <w:szCs w:val="24"/>
        </w:rPr>
        <w:t xml:space="preserve">rozdělení jejich rolí. </w:t>
      </w:r>
    </w:p>
    <w:p w14:paraId="70FEADBF" w14:textId="7FA12C00" w:rsidR="009A6442" w:rsidRPr="00E90DEE" w:rsidRDefault="009A6442" w:rsidP="00404BCF">
      <w:pPr>
        <w:spacing w:before="0"/>
        <w:rPr>
          <w:rFonts w:cs="Times New Roman"/>
          <w:szCs w:val="24"/>
        </w:rPr>
      </w:pPr>
      <w:r w:rsidRPr="00E90DEE">
        <w:rPr>
          <w:rFonts w:cs="Times New Roman"/>
          <w:szCs w:val="24"/>
        </w:rPr>
        <w:t xml:space="preserve">Toto přerozdělení by mělo být postaveno na </w:t>
      </w:r>
      <w:r w:rsidR="00F53863" w:rsidRPr="00E90DEE">
        <w:rPr>
          <w:rFonts w:cs="Times New Roman"/>
          <w:szCs w:val="24"/>
        </w:rPr>
        <w:t>trojici</w:t>
      </w:r>
      <w:r w:rsidRPr="00E90DEE">
        <w:rPr>
          <w:rFonts w:cs="Times New Roman"/>
          <w:szCs w:val="24"/>
        </w:rPr>
        <w:t xml:space="preserve"> </w:t>
      </w:r>
      <w:r w:rsidR="00C05EB6" w:rsidRPr="00E90DEE">
        <w:rPr>
          <w:rFonts w:cs="Times New Roman"/>
          <w:szCs w:val="24"/>
        </w:rPr>
        <w:t xml:space="preserve">následujících obecných </w:t>
      </w:r>
      <w:r w:rsidR="00F53863" w:rsidRPr="00E90DEE">
        <w:rPr>
          <w:rFonts w:cs="Times New Roman"/>
          <w:szCs w:val="24"/>
        </w:rPr>
        <w:t>principů</w:t>
      </w:r>
      <w:r w:rsidR="00C05EB6" w:rsidRPr="00E90DEE">
        <w:rPr>
          <w:rFonts w:cs="Times New Roman"/>
          <w:szCs w:val="24"/>
        </w:rPr>
        <w:t>.</w:t>
      </w:r>
    </w:p>
    <w:p w14:paraId="7E797C37" w14:textId="77777777" w:rsidR="00951770" w:rsidRPr="00E90DEE" w:rsidRDefault="00F53863" w:rsidP="00C05EB6">
      <w:pPr>
        <w:pStyle w:val="Odstavecseseznamem"/>
        <w:numPr>
          <w:ilvl w:val="0"/>
          <w:numId w:val="43"/>
        </w:numPr>
        <w:spacing w:before="0"/>
        <w:ind w:left="714" w:hanging="357"/>
        <w:contextualSpacing w:val="0"/>
        <w:rPr>
          <w:rFonts w:cs="Times New Roman"/>
          <w:szCs w:val="24"/>
        </w:rPr>
      </w:pPr>
      <w:r w:rsidRPr="00E90DEE">
        <w:rPr>
          <w:rFonts w:cs="Times New Roman"/>
          <w:szCs w:val="24"/>
        </w:rPr>
        <w:t xml:space="preserve">Působnost orgánů celní správy by měla být primárně založena na jejich kmenových agendách odpovídajících základnímu poslání celní správy. Vedle toho by měly orgány celní správy působit </w:t>
      </w:r>
      <w:r w:rsidR="00C05EB6" w:rsidRPr="00E90DEE">
        <w:rPr>
          <w:rFonts w:cs="Times New Roman"/>
          <w:szCs w:val="24"/>
        </w:rPr>
        <w:t xml:space="preserve">pouze </w:t>
      </w:r>
      <w:r w:rsidRPr="00E90DEE">
        <w:rPr>
          <w:rFonts w:cs="Times New Roman"/>
          <w:szCs w:val="24"/>
        </w:rPr>
        <w:t>v takových oblastech a v takovém rozsahu, jak</w:t>
      </w:r>
      <w:r w:rsidR="00C05EB6" w:rsidRPr="00E90DEE">
        <w:rPr>
          <w:rFonts w:cs="Times New Roman"/>
          <w:szCs w:val="24"/>
        </w:rPr>
        <w:t>é</w:t>
      </w:r>
      <w:r w:rsidRPr="00E90DEE">
        <w:rPr>
          <w:rFonts w:cs="Times New Roman"/>
          <w:szCs w:val="24"/>
        </w:rPr>
        <w:t xml:space="preserve"> odpovíd</w:t>
      </w:r>
      <w:r w:rsidR="00C05EB6" w:rsidRPr="00E90DEE">
        <w:rPr>
          <w:rFonts w:cs="Times New Roman"/>
          <w:szCs w:val="24"/>
        </w:rPr>
        <w:t>ají</w:t>
      </w:r>
      <w:r w:rsidRPr="00E90DEE">
        <w:rPr>
          <w:rFonts w:cs="Times New Roman"/>
          <w:szCs w:val="24"/>
        </w:rPr>
        <w:t xml:space="preserve"> proporcionálnímu vztahu mezi požadavkem na efektivitu takové činnosti (který velí spíše </w:t>
      </w:r>
      <w:r w:rsidR="00BB08D3" w:rsidRPr="00E90DEE">
        <w:rPr>
          <w:rFonts w:cs="Times New Roman"/>
          <w:szCs w:val="24"/>
        </w:rPr>
        <w:t xml:space="preserve">působení orgánů celní správy mimo jejich kmenové agendy omezovat) </w:t>
      </w:r>
      <w:r w:rsidRPr="00E90DEE">
        <w:rPr>
          <w:rFonts w:cs="Times New Roman"/>
          <w:szCs w:val="24"/>
        </w:rPr>
        <w:t>a</w:t>
      </w:r>
      <w:r w:rsidR="00C05EB6" w:rsidRPr="00E90DEE">
        <w:rPr>
          <w:rFonts w:cs="Times New Roman"/>
          <w:szCs w:val="24"/>
        </w:rPr>
        <w:t> </w:t>
      </w:r>
      <w:r w:rsidRPr="00E90DEE">
        <w:rPr>
          <w:rFonts w:cs="Times New Roman"/>
          <w:szCs w:val="24"/>
        </w:rPr>
        <w:t xml:space="preserve">požadavkem na využití </w:t>
      </w:r>
      <w:r w:rsidR="00BB08D3" w:rsidRPr="00E90DEE">
        <w:rPr>
          <w:rFonts w:cs="Times New Roman"/>
          <w:szCs w:val="24"/>
        </w:rPr>
        <w:t>speciálních schopností těchto orgánů tam, kde by jinak byla jejich role obtížně zastupitelná při realizaci specifického veřejného zájmu</w:t>
      </w:r>
      <w:r w:rsidR="00951770" w:rsidRPr="00E90DEE">
        <w:rPr>
          <w:rFonts w:cs="Times New Roman"/>
          <w:szCs w:val="24"/>
        </w:rPr>
        <w:t>.</w:t>
      </w:r>
    </w:p>
    <w:p w14:paraId="0C30CC56" w14:textId="684C1A1A" w:rsidR="00C05EB6" w:rsidRPr="00E90DEE" w:rsidRDefault="00C05EB6" w:rsidP="00C05EB6">
      <w:pPr>
        <w:pStyle w:val="Odstavecseseznamem"/>
        <w:numPr>
          <w:ilvl w:val="0"/>
          <w:numId w:val="43"/>
        </w:numPr>
        <w:spacing w:before="0"/>
        <w:ind w:left="714" w:hanging="357"/>
        <w:contextualSpacing w:val="0"/>
        <w:rPr>
          <w:rFonts w:cs="Times New Roman"/>
          <w:szCs w:val="24"/>
        </w:rPr>
      </w:pPr>
      <w:r w:rsidRPr="00E90DEE">
        <w:rPr>
          <w:rFonts w:cs="Times New Roman"/>
          <w:szCs w:val="24"/>
        </w:rPr>
        <w:t>R</w:t>
      </w:r>
      <w:r w:rsidR="00CA2846">
        <w:rPr>
          <w:rFonts w:cs="Times New Roman"/>
          <w:szCs w:val="24"/>
        </w:rPr>
        <w:t>ole</w:t>
      </w:r>
      <w:r w:rsidR="00BB08D3" w:rsidRPr="00E90DEE">
        <w:rPr>
          <w:rFonts w:cs="Times New Roman"/>
          <w:szCs w:val="24"/>
        </w:rPr>
        <w:t xml:space="preserve"> orgánů celní správy, resp. celníků jako příslušníků bezpečnostního sboru, je </w:t>
      </w:r>
      <w:r w:rsidRPr="00E90DEE">
        <w:rPr>
          <w:rFonts w:cs="Times New Roman"/>
          <w:szCs w:val="24"/>
        </w:rPr>
        <w:t xml:space="preserve">mimo jejich kmenovou působnost </w:t>
      </w:r>
      <w:r w:rsidR="00BB08D3" w:rsidRPr="00E90DEE">
        <w:rPr>
          <w:rFonts w:cs="Times New Roman"/>
          <w:szCs w:val="24"/>
        </w:rPr>
        <w:t>nezastupiteln</w:t>
      </w:r>
      <w:r w:rsidR="00951770" w:rsidRPr="00E90DEE">
        <w:rPr>
          <w:rFonts w:cs="Times New Roman"/>
          <w:szCs w:val="24"/>
        </w:rPr>
        <w:t>á</w:t>
      </w:r>
      <w:r w:rsidRPr="00E90DEE">
        <w:rPr>
          <w:rFonts w:cs="Times New Roman"/>
          <w:szCs w:val="24"/>
        </w:rPr>
        <w:t xml:space="preserve"> </w:t>
      </w:r>
      <w:r w:rsidR="00BB08D3" w:rsidRPr="00E90DEE">
        <w:rPr>
          <w:rFonts w:cs="Times New Roman"/>
          <w:szCs w:val="24"/>
        </w:rPr>
        <w:t xml:space="preserve">zejména ve vztahu ke </w:t>
      </w:r>
      <w:r w:rsidR="00F53863" w:rsidRPr="00E90DEE">
        <w:rPr>
          <w:rFonts w:cs="Times New Roman"/>
          <w:szCs w:val="24"/>
        </w:rPr>
        <w:t>klíčové kontrolní schopnosti</w:t>
      </w:r>
      <w:r w:rsidR="00BB08D3" w:rsidRPr="00E90DEE">
        <w:rPr>
          <w:rFonts w:cs="Times New Roman"/>
          <w:szCs w:val="24"/>
        </w:rPr>
        <w:t xml:space="preserve"> </w:t>
      </w:r>
      <w:r w:rsidR="00495BA9" w:rsidRPr="00E90DEE">
        <w:rPr>
          <w:rFonts w:cs="Times New Roman"/>
          <w:szCs w:val="24"/>
        </w:rPr>
        <w:t xml:space="preserve">v podobě </w:t>
      </w:r>
      <w:r w:rsidR="00BB08D3" w:rsidRPr="00E90DEE">
        <w:rPr>
          <w:rFonts w:cs="Times New Roman"/>
          <w:szCs w:val="24"/>
        </w:rPr>
        <w:t xml:space="preserve">prověřování plnění povinností ve vztahu ke zboží </w:t>
      </w:r>
      <w:r w:rsidR="00F53863" w:rsidRPr="00E90DEE">
        <w:rPr>
          <w:rFonts w:cs="Times New Roman"/>
          <w:szCs w:val="24"/>
        </w:rPr>
        <w:t>v</w:t>
      </w:r>
      <w:r w:rsidR="00BB08D3" w:rsidRPr="00E90DEE">
        <w:rPr>
          <w:rFonts w:cs="Times New Roman"/>
          <w:szCs w:val="24"/>
        </w:rPr>
        <w:t> </w:t>
      </w:r>
      <w:r w:rsidR="00F53863" w:rsidRPr="00E90DEE">
        <w:rPr>
          <w:rFonts w:cs="Times New Roman"/>
          <w:szCs w:val="24"/>
        </w:rPr>
        <w:t>terénu</w:t>
      </w:r>
      <w:r w:rsidR="00BB08D3" w:rsidRPr="00E90DEE">
        <w:rPr>
          <w:rFonts w:cs="Times New Roman"/>
          <w:szCs w:val="24"/>
        </w:rPr>
        <w:t xml:space="preserve">, a to </w:t>
      </w:r>
      <w:r w:rsidR="00951770" w:rsidRPr="00E90DEE">
        <w:rPr>
          <w:rFonts w:cs="Times New Roman"/>
          <w:szCs w:val="24"/>
        </w:rPr>
        <w:t>zvláště</w:t>
      </w:r>
      <w:r w:rsidR="00BB08D3" w:rsidRPr="00E90DEE">
        <w:rPr>
          <w:rFonts w:cs="Times New Roman"/>
          <w:szCs w:val="24"/>
        </w:rPr>
        <w:t xml:space="preserve"> v souvislosti se silniční a jinou dopravou</w:t>
      </w:r>
      <w:r w:rsidR="00F53863" w:rsidRPr="00E90DEE">
        <w:rPr>
          <w:rFonts w:cs="Times New Roman"/>
          <w:szCs w:val="24"/>
        </w:rPr>
        <w:t xml:space="preserve"> – </w:t>
      </w:r>
      <w:r w:rsidR="00BB08D3" w:rsidRPr="00E90DEE">
        <w:rPr>
          <w:rFonts w:cs="Times New Roman"/>
          <w:szCs w:val="24"/>
        </w:rPr>
        <w:t>veřejný zájem zde vyžaduje využití nákladnějšího uniformovaného příslušníka bezpečnostního sboru</w:t>
      </w:r>
      <w:r w:rsidRPr="00E90DEE">
        <w:rPr>
          <w:rFonts w:cs="Times New Roman"/>
          <w:szCs w:val="24"/>
        </w:rPr>
        <w:t xml:space="preserve"> vybaveného příslušnými speciálními pravomocemi</w:t>
      </w:r>
      <w:r w:rsidR="00951770" w:rsidRPr="00E90DEE">
        <w:rPr>
          <w:rFonts w:cs="Times New Roman"/>
          <w:szCs w:val="24"/>
        </w:rPr>
        <w:t xml:space="preserve"> nezbytnými v souvislosti se zadržením věci, obalu nebo dopravního prostředku (jimiž jiné orgány zpravidla nedisponují).</w:t>
      </w:r>
    </w:p>
    <w:p w14:paraId="75A45809" w14:textId="7D65F201" w:rsidR="00F53863" w:rsidRPr="00E90DEE" w:rsidRDefault="00951770" w:rsidP="00C05EB6">
      <w:pPr>
        <w:pStyle w:val="Odstavecseseznamem"/>
        <w:numPr>
          <w:ilvl w:val="0"/>
          <w:numId w:val="43"/>
        </w:numPr>
        <w:spacing w:before="0"/>
        <w:ind w:left="714" w:hanging="357"/>
        <w:contextualSpacing w:val="0"/>
        <w:rPr>
          <w:rFonts w:cs="Times New Roman"/>
          <w:szCs w:val="24"/>
        </w:rPr>
      </w:pPr>
      <w:r w:rsidRPr="00E90DEE">
        <w:rPr>
          <w:rFonts w:cs="Times New Roman"/>
          <w:szCs w:val="24"/>
        </w:rPr>
        <w:t>R</w:t>
      </w:r>
      <w:r w:rsidR="00C05EB6" w:rsidRPr="00E90DEE">
        <w:rPr>
          <w:rFonts w:cs="Times New Roman"/>
          <w:szCs w:val="24"/>
        </w:rPr>
        <w:t>ol</w:t>
      </w:r>
      <w:r w:rsidR="00CA2846">
        <w:rPr>
          <w:rFonts w:cs="Times New Roman"/>
          <w:szCs w:val="24"/>
        </w:rPr>
        <w:t>i</w:t>
      </w:r>
      <w:r w:rsidR="00C05EB6" w:rsidRPr="00E90DEE">
        <w:rPr>
          <w:rFonts w:cs="Times New Roman"/>
          <w:szCs w:val="24"/>
        </w:rPr>
        <w:t xml:space="preserve"> orgánů celní správy, resp. celníků jako relativně nákladného personálního substrátu</w:t>
      </w:r>
      <w:r w:rsidRPr="00E90DEE">
        <w:rPr>
          <w:rFonts w:cs="Times New Roman"/>
          <w:szCs w:val="24"/>
        </w:rPr>
        <w:t xml:space="preserve">, s nímž je rovněž </w:t>
      </w:r>
      <w:r w:rsidR="00C05EB6" w:rsidRPr="00E90DEE">
        <w:rPr>
          <w:rFonts w:cs="Times New Roman"/>
          <w:szCs w:val="24"/>
        </w:rPr>
        <w:t>spojen</w:t>
      </w:r>
      <w:r w:rsidRPr="00E90DEE">
        <w:rPr>
          <w:rFonts w:cs="Times New Roman"/>
          <w:szCs w:val="24"/>
        </w:rPr>
        <w:t>o</w:t>
      </w:r>
      <w:r w:rsidR="00C05EB6" w:rsidRPr="00E90DEE">
        <w:rPr>
          <w:rFonts w:cs="Times New Roman"/>
          <w:szCs w:val="24"/>
        </w:rPr>
        <w:t xml:space="preserve"> </w:t>
      </w:r>
      <w:r w:rsidRPr="00E90DEE">
        <w:rPr>
          <w:rFonts w:cs="Times New Roman"/>
          <w:szCs w:val="24"/>
        </w:rPr>
        <w:t xml:space="preserve">relativně </w:t>
      </w:r>
      <w:r w:rsidR="00C05EB6" w:rsidRPr="00E90DEE">
        <w:rPr>
          <w:rFonts w:cs="Times New Roman"/>
          <w:szCs w:val="24"/>
        </w:rPr>
        <w:t>nákladn</w:t>
      </w:r>
      <w:r w:rsidRPr="00E90DEE">
        <w:rPr>
          <w:rFonts w:cs="Times New Roman"/>
          <w:szCs w:val="24"/>
        </w:rPr>
        <w:t>é a sofistikované</w:t>
      </w:r>
      <w:r w:rsidR="00C05EB6" w:rsidRPr="00E90DEE">
        <w:rPr>
          <w:rFonts w:cs="Times New Roman"/>
          <w:szCs w:val="24"/>
        </w:rPr>
        <w:t xml:space="preserve"> provozní zabezpečení bezpečnostního sboru</w:t>
      </w:r>
      <w:r w:rsidRPr="00E90DEE">
        <w:rPr>
          <w:rFonts w:cs="Times New Roman"/>
          <w:szCs w:val="24"/>
        </w:rPr>
        <w:t>,</w:t>
      </w:r>
      <w:r w:rsidR="00C05EB6" w:rsidRPr="00E90DEE">
        <w:rPr>
          <w:rFonts w:cs="Times New Roman"/>
          <w:szCs w:val="24"/>
        </w:rPr>
        <w:t xml:space="preserve"> není na místě využívat ve vztahu k činnostem, které mohou bez dalšího realizovat běžné orgány státní správy</w:t>
      </w:r>
      <w:r w:rsidRPr="00E90DEE">
        <w:rPr>
          <w:rFonts w:cs="Times New Roman"/>
          <w:szCs w:val="24"/>
        </w:rPr>
        <w:t xml:space="preserve">. To platí i v případě, kdy se jedná o navazující procesní fáze, které následují po zadržení věci, obalu nebo dopravního prostředku orgánem celní správy, pokud jde jinak o oblast stojící mimo kmenovou agendu těchto orgánů. </w:t>
      </w:r>
      <w:r w:rsidR="00C05EB6" w:rsidRPr="00E90DEE">
        <w:rPr>
          <w:rFonts w:cs="Times New Roman"/>
          <w:szCs w:val="24"/>
        </w:rPr>
        <w:t xml:space="preserve">   </w:t>
      </w:r>
    </w:p>
    <w:p w14:paraId="1CD31F02" w14:textId="349E122B" w:rsidR="009A6442" w:rsidRPr="00E90DEE" w:rsidRDefault="00751EEF" w:rsidP="00404BCF">
      <w:pPr>
        <w:spacing w:before="0"/>
        <w:rPr>
          <w:rFonts w:cs="Times New Roman"/>
          <w:szCs w:val="24"/>
        </w:rPr>
      </w:pPr>
      <w:r w:rsidRPr="00E90DEE">
        <w:rPr>
          <w:rFonts w:cs="Times New Roman"/>
          <w:szCs w:val="24"/>
        </w:rPr>
        <w:t xml:space="preserve">Lze tedy shrnout, že by měla být respektována </w:t>
      </w:r>
      <w:r w:rsidR="009A6442" w:rsidRPr="00E90DEE">
        <w:rPr>
          <w:rFonts w:cs="Times New Roman"/>
          <w:szCs w:val="24"/>
        </w:rPr>
        <w:t>profilace orgánů celní správy tak, aby se tyto orgány primárně věnovaly svým kmenovým agendám, zatímco podpůrnou roli vůči oblastem v gesci jiných rezortů by plnily pouze v proporcionální míře, tedy v</w:t>
      </w:r>
      <w:r w:rsidRPr="00E90DEE">
        <w:rPr>
          <w:rFonts w:cs="Times New Roman"/>
          <w:szCs w:val="24"/>
        </w:rPr>
        <w:t> </w:t>
      </w:r>
      <w:r w:rsidR="009A6442" w:rsidRPr="00E90DEE">
        <w:rPr>
          <w:rFonts w:cs="Times New Roman"/>
          <w:szCs w:val="24"/>
        </w:rPr>
        <w:t>oblastech</w:t>
      </w:r>
      <w:r w:rsidRPr="00E90DEE">
        <w:rPr>
          <w:rFonts w:cs="Times New Roman"/>
          <w:szCs w:val="24"/>
        </w:rPr>
        <w:t xml:space="preserve"> a</w:t>
      </w:r>
      <w:r w:rsidR="009A6442" w:rsidRPr="00E90DEE">
        <w:rPr>
          <w:rFonts w:cs="Times New Roman"/>
          <w:szCs w:val="24"/>
        </w:rPr>
        <w:t xml:space="preserve"> v rozsahu, kde je jejich role obtížně zastupitelná a veřejný zájem nesporně vyžaduje jejich zapojení.</w:t>
      </w:r>
    </w:p>
    <w:p w14:paraId="05EA0494" w14:textId="6285CAAD" w:rsidR="00D80801" w:rsidRPr="00E90DEE" w:rsidRDefault="00070A5A" w:rsidP="00AB680C">
      <w:pPr>
        <w:pStyle w:val="Nadpis3"/>
        <w:keepNext w:val="0"/>
      </w:pPr>
      <w:bookmarkStart w:id="99" w:name="_Toc164761287"/>
      <w:r w:rsidRPr="00E90DEE">
        <w:t>Popis existujícího právního stavu v dané oblasti</w:t>
      </w:r>
      <w:bookmarkEnd w:id="99"/>
    </w:p>
    <w:p w14:paraId="5FC7B01A" w14:textId="77777777" w:rsidR="00993198" w:rsidRPr="00E90DEE" w:rsidRDefault="006C5117" w:rsidP="00AB680C">
      <w:pPr>
        <w:spacing w:before="0"/>
      </w:pPr>
      <w:r w:rsidRPr="00E90DEE">
        <w:t xml:space="preserve">Jde-li o prvý aspekt problému, pak je nutno </w:t>
      </w:r>
      <w:r w:rsidR="006F38D3" w:rsidRPr="00E90DEE">
        <w:t>po</w:t>
      </w:r>
      <w:r w:rsidRPr="00E90DEE">
        <w:t>rovnat procedurální pravidla zadržení věci stanovená v jednotlivých právních předpisech</w:t>
      </w:r>
      <w:r w:rsidR="00993198" w:rsidRPr="00E90DEE">
        <w:t>, zejména jde o zákon o spotřebních daních a celní zákon.</w:t>
      </w:r>
    </w:p>
    <w:p w14:paraId="5D76F2BC" w14:textId="1ECA178A" w:rsidR="00993198" w:rsidRPr="00E90DEE" w:rsidRDefault="000A4C05" w:rsidP="00AB680C">
      <w:pPr>
        <w:spacing w:before="0"/>
      </w:pPr>
      <w:r w:rsidRPr="00E90DEE">
        <w:t>Zákon o spotřebních daních upravuje</w:t>
      </w:r>
      <w:r w:rsidR="00237673" w:rsidRPr="00E90DEE">
        <w:t xml:space="preserve"> </w:t>
      </w:r>
      <w:r w:rsidR="00237673" w:rsidRPr="00E90DEE">
        <w:rPr>
          <w:i/>
          <w:iCs/>
        </w:rPr>
        <w:t>de lege lata</w:t>
      </w:r>
      <w:r w:rsidRPr="00E90DEE">
        <w:t xml:space="preserve"> z</w:t>
      </w:r>
      <w:r w:rsidR="00237673" w:rsidRPr="00E90DEE">
        <w:t xml:space="preserve">ajištění </w:t>
      </w:r>
      <w:r w:rsidRPr="00E90DEE">
        <w:t>věci na několika místech, jde o</w:t>
      </w:r>
      <w:r w:rsidR="00160B4A" w:rsidRPr="00E90DEE">
        <w:t> </w:t>
      </w:r>
      <w:r w:rsidRPr="00E90DEE">
        <w:t>ustanovení § 42</w:t>
      </w:r>
      <w:r w:rsidR="00084C2D" w:rsidRPr="00E90DEE">
        <w:t xml:space="preserve"> (</w:t>
      </w:r>
      <w:r w:rsidR="00237673" w:rsidRPr="00E90DEE">
        <w:t xml:space="preserve">zajištění </w:t>
      </w:r>
      <w:r w:rsidR="00084C2D" w:rsidRPr="00E90DEE">
        <w:t>vybran</w:t>
      </w:r>
      <w:r w:rsidR="00237673" w:rsidRPr="00E90DEE">
        <w:t>ých</w:t>
      </w:r>
      <w:r w:rsidR="00084C2D" w:rsidRPr="00E90DEE">
        <w:t xml:space="preserve"> výrobk</w:t>
      </w:r>
      <w:r w:rsidR="00237673" w:rsidRPr="00E90DEE">
        <w:t>ů</w:t>
      </w:r>
      <w:r w:rsidR="00084C2D" w:rsidRPr="00E90DEE">
        <w:t>)</w:t>
      </w:r>
      <w:r w:rsidRPr="00E90DEE">
        <w:t xml:space="preserve">, § 115 odst. </w:t>
      </w:r>
      <w:r w:rsidR="00F05FD7" w:rsidRPr="00E90DEE">
        <w:t>3</w:t>
      </w:r>
      <w:r w:rsidR="00200410" w:rsidRPr="00E90DEE">
        <w:t xml:space="preserve"> (</w:t>
      </w:r>
      <w:r w:rsidR="00237673" w:rsidRPr="00E90DEE">
        <w:t xml:space="preserve">zajištění </w:t>
      </w:r>
      <w:r w:rsidR="00084C2D" w:rsidRPr="00E90DEE">
        <w:t>tabákov</w:t>
      </w:r>
      <w:r w:rsidR="00237673" w:rsidRPr="00E90DEE">
        <w:t>ých</w:t>
      </w:r>
      <w:r w:rsidR="00084C2D" w:rsidRPr="00E90DEE">
        <w:t xml:space="preserve"> výrobk</w:t>
      </w:r>
      <w:r w:rsidR="00237673" w:rsidRPr="00E90DEE">
        <w:t>ů neznačených nebo značených nesprávným způsobem</w:t>
      </w:r>
      <w:r w:rsidR="00084C2D" w:rsidRPr="00E90DEE">
        <w:t>)</w:t>
      </w:r>
      <w:r w:rsidR="00F05FD7" w:rsidRPr="00E90DEE">
        <w:t xml:space="preserve">, </w:t>
      </w:r>
      <w:r w:rsidR="00200410" w:rsidRPr="00E90DEE">
        <w:t>§ 134zg (</w:t>
      </w:r>
      <w:r w:rsidR="00237673" w:rsidRPr="00E90DEE">
        <w:t xml:space="preserve">zajištění </w:t>
      </w:r>
      <w:r w:rsidR="00200410" w:rsidRPr="00E90DEE">
        <w:t>zvláštní</w:t>
      </w:r>
      <w:r w:rsidR="00237673" w:rsidRPr="00E90DEE">
        <w:t>ch</w:t>
      </w:r>
      <w:r w:rsidR="00200410" w:rsidRPr="00E90DEE">
        <w:t xml:space="preserve"> minerální</w:t>
      </w:r>
      <w:r w:rsidR="00237673" w:rsidRPr="00E90DEE">
        <w:t>ch</w:t>
      </w:r>
      <w:r w:rsidR="00200410" w:rsidRPr="00E90DEE">
        <w:t xml:space="preserve"> olej</w:t>
      </w:r>
      <w:r w:rsidR="00237673" w:rsidRPr="00E90DEE">
        <w:t>ů</w:t>
      </w:r>
      <w:r w:rsidR="00200410" w:rsidRPr="00E90DEE">
        <w:t>) a § 134zzc (</w:t>
      </w:r>
      <w:r w:rsidR="00237673" w:rsidRPr="00E90DEE">
        <w:t xml:space="preserve">zajištění </w:t>
      </w:r>
      <w:r w:rsidR="00200410" w:rsidRPr="00E90DEE">
        <w:t>surov</w:t>
      </w:r>
      <w:r w:rsidR="00237673" w:rsidRPr="00E90DEE">
        <w:t>ého</w:t>
      </w:r>
      <w:r w:rsidR="00200410" w:rsidRPr="00E90DEE">
        <w:t xml:space="preserve"> tabák</w:t>
      </w:r>
      <w:r w:rsidR="00237673" w:rsidRPr="00E90DEE">
        <w:t>u</w:t>
      </w:r>
      <w:r w:rsidR="00200410" w:rsidRPr="00E90DEE">
        <w:t>)</w:t>
      </w:r>
      <w:r w:rsidR="00084C2D" w:rsidRPr="00E90DEE">
        <w:t xml:space="preserve">. </w:t>
      </w:r>
      <w:r w:rsidR="00625082" w:rsidRPr="00E90DEE">
        <w:t>U za</w:t>
      </w:r>
      <w:r w:rsidR="00237673" w:rsidRPr="00E90DEE">
        <w:t xml:space="preserve">jištění </w:t>
      </w:r>
      <w:r w:rsidR="00625082" w:rsidRPr="00E90DEE">
        <w:t>věci podle § 134zg a</w:t>
      </w:r>
      <w:r w:rsidR="00160B4A" w:rsidRPr="00E90DEE">
        <w:t> </w:t>
      </w:r>
      <w:r w:rsidR="00625082" w:rsidRPr="00E90DEE">
        <w:t>§</w:t>
      </w:r>
      <w:r w:rsidR="00237673" w:rsidRPr="00E90DEE">
        <w:t> </w:t>
      </w:r>
      <w:r w:rsidR="00625082" w:rsidRPr="00E90DEE">
        <w:t>134zzc se explicitně odkazuje na procesní postup podle § 42, naproti tomu v případě za</w:t>
      </w:r>
      <w:r w:rsidR="00237673" w:rsidRPr="00E90DEE">
        <w:t>jištění</w:t>
      </w:r>
      <w:r w:rsidR="00625082" w:rsidRPr="00E90DEE">
        <w:t xml:space="preserve"> podle § 115 odst. 3 </w:t>
      </w:r>
      <w:r w:rsidR="00237673" w:rsidRPr="00E90DEE">
        <w:t xml:space="preserve">je </w:t>
      </w:r>
      <w:r w:rsidR="009910B0" w:rsidRPr="00E90DEE">
        <w:t>stanov</w:t>
      </w:r>
      <w:r w:rsidR="00237673" w:rsidRPr="00E90DEE">
        <w:t>en</w:t>
      </w:r>
      <w:r w:rsidR="009910B0" w:rsidRPr="00E90DEE">
        <w:t xml:space="preserve"> samostatný postup (</w:t>
      </w:r>
      <w:r w:rsidR="00D17BF2" w:rsidRPr="00E90DEE">
        <w:t>rozhodnutí o zajištění se předává držiteli neznačených tabákových výrobků nebo tabákových výrobků značených nesprávným způsobem, není-li ho</w:t>
      </w:r>
      <w:r w:rsidR="00D57836" w:rsidRPr="00E90DEE">
        <w:t>,</w:t>
      </w:r>
      <w:r w:rsidR="00D17BF2" w:rsidRPr="00E90DEE">
        <w:t xml:space="preserve"> zakládá se jako nedoručitelné ve spise). </w:t>
      </w:r>
      <w:r w:rsidR="00237673" w:rsidRPr="00E90DEE">
        <w:t xml:space="preserve">Zajištění věci podle § 42 je řazeno v části první </w:t>
      </w:r>
      <w:r w:rsidR="00CF3BD8" w:rsidRPr="00E90DEE">
        <w:t>obecná ustanovení</w:t>
      </w:r>
      <w:r w:rsidR="00A544D1" w:rsidRPr="00E90DEE">
        <w:t>. O zajištění věci podle § 42 zákona o spotřebních daních se sepisuje protokol, který se předává osobě, u které byly vybrané výrobky zajištěny</w:t>
      </w:r>
      <w:r w:rsidR="00E33D35" w:rsidRPr="00E90DEE">
        <w:t>; zajištění je faktickým úkonem. Následně má být</w:t>
      </w:r>
      <w:r w:rsidR="00D81BF6" w:rsidRPr="00E90DEE">
        <w:t xml:space="preserve"> do 3 pracovních dnů od vyhotovení protokolu vydáno rozhodnutí o zajištění </w:t>
      </w:r>
      <w:r w:rsidR="00487C10" w:rsidRPr="00E90DEE">
        <w:t>věci, ve kterém se právně uloží zákaz se zajištěnými vybranými výrobky nebo dopravním prostředkem jakýmkoli způsobem nakládat (jedná se o řízení o zajištění vybraných výrobků)</w:t>
      </w:r>
      <w:r w:rsidR="00F908B5" w:rsidRPr="00E90DEE">
        <w:t xml:space="preserve">; lhůta pro podání odvolání činí 7 pracovních dní od doručení rozhodnutí. </w:t>
      </w:r>
      <w:r w:rsidR="00F908B5" w:rsidRPr="00E90DEE">
        <w:lastRenderedPageBreak/>
        <w:t>Správce daně je povinen bezodkladně po vydání rozhodnutí o zajištění vybraných výrobků povinen zahájit řízení o zajištěných vybraných výrobcích, jehož cílem je prokázání, zda s vybranými výrobky bylo nakládáno způsoby uvedenými v § 42 odst. 1 nebo 2</w:t>
      </w:r>
      <w:r w:rsidR="004E17FC" w:rsidRPr="00E90DEE">
        <w:t xml:space="preserve"> nebo zda dopravní prostředek takové výrobky dopravoval. Účastníci řízení o zajištění vybraných výrobků a řízení o zajištěných vybraných </w:t>
      </w:r>
      <w:r w:rsidR="00B769F1" w:rsidRPr="00E90DEE">
        <w:t xml:space="preserve">výrobcích jsou právně shodní. Nedojde-li k propadnutí nebo zabrání věci, </w:t>
      </w:r>
      <w:r w:rsidR="00360627" w:rsidRPr="00E90DEE">
        <w:t xml:space="preserve">vrací se zajištěné věci osobě, u níž byly zjištěny; není-li to možné, vrací se vlastníkovi. </w:t>
      </w:r>
    </w:p>
    <w:p w14:paraId="2B372D59" w14:textId="028C09D2" w:rsidR="006C5117" w:rsidRPr="00E90DEE" w:rsidRDefault="0085052B" w:rsidP="00AB680C">
      <w:pPr>
        <w:spacing w:before="0"/>
      </w:pPr>
      <w:r w:rsidRPr="00E90DEE">
        <w:t>Celní zákon upravuje zadržení</w:t>
      </w:r>
      <w:r w:rsidR="0016267F" w:rsidRPr="00E90DEE">
        <w:t xml:space="preserve"> zboží a dopravního prostředku (dále zjednodušeně jen „</w:t>
      </w:r>
      <w:r w:rsidRPr="00E90DEE">
        <w:t>věci</w:t>
      </w:r>
      <w:r w:rsidR="0016267F" w:rsidRPr="00E90DEE">
        <w:t>“)</w:t>
      </w:r>
      <w:r w:rsidRPr="00E90DEE">
        <w:t xml:space="preserve"> uceleně v části sedmé, která nese název </w:t>
      </w:r>
      <w:r w:rsidR="00BA3FD2" w:rsidRPr="00E90DEE">
        <w:t xml:space="preserve">Zadržení, přenechání, prodej a zničení věci, </w:t>
      </w:r>
      <w:r w:rsidR="00010432" w:rsidRPr="00E90DEE">
        <w:t xml:space="preserve">přičemž se </w:t>
      </w:r>
      <w:r w:rsidR="00BA3FD2" w:rsidRPr="00E90DEE">
        <w:t xml:space="preserve">jedná o ustanovení § 39 </w:t>
      </w:r>
      <w:r w:rsidR="00A2506A" w:rsidRPr="00E90DEE">
        <w:t>až</w:t>
      </w:r>
      <w:r w:rsidR="00BA3FD2" w:rsidRPr="00E90DEE">
        <w:t xml:space="preserve"> 46. Jsou-li dány důvody pro zadržení věci, </w:t>
      </w:r>
      <w:r w:rsidR="00D57954" w:rsidRPr="00E90DEE">
        <w:t>správce cla věc zadrží a</w:t>
      </w:r>
      <w:r w:rsidR="006E1585" w:rsidRPr="00E90DEE">
        <w:t> </w:t>
      </w:r>
      <w:r w:rsidR="00D57954" w:rsidRPr="00E90DEE">
        <w:t>sepíše o zadržení úřední záznam, jehož stejnopis předá osobě, která má zboží v době zadržení u sebe.</w:t>
      </w:r>
      <w:r w:rsidR="00676F76" w:rsidRPr="00E90DEE">
        <w:t xml:space="preserve"> Pokud dotčená osoba se zadržením nesouhlasí, je oprávněna uplatnit námitku ve lhůtě 3 pracovních dnů od zadržení věci.</w:t>
      </w:r>
      <w:r w:rsidR="0016267F" w:rsidRPr="00E90DEE">
        <w:t xml:space="preserve"> Má-li dojít k vrácení věci, vrací se tato primárně vlastníkovi, a není-li znám, </w:t>
      </w:r>
      <w:r w:rsidR="005238EC">
        <w:t xml:space="preserve">tak </w:t>
      </w:r>
      <w:r w:rsidR="0016267F" w:rsidRPr="00E90DEE">
        <w:t xml:space="preserve">osobě, </w:t>
      </w:r>
      <w:r w:rsidR="00990BD9" w:rsidRPr="00E90DEE">
        <w:t>které byly věci zadrženy.</w:t>
      </w:r>
    </w:p>
    <w:p w14:paraId="1F6A1E49" w14:textId="00D2FFB8" w:rsidR="00481E93" w:rsidRPr="00E90DEE" w:rsidRDefault="00C574AC" w:rsidP="00AB680C">
      <w:pPr>
        <w:spacing w:before="0"/>
      </w:pPr>
      <w:r w:rsidRPr="00E90DEE">
        <w:t>Jde-li o druhý aspekt problému, pak je třeba konstatovat, že</w:t>
      </w:r>
      <w:r w:rsidR="00D96679" w:rsidRPr="00E90DEE">
        <w:t xml:space="preserve"> současné kompetenční nastavení předpokládá roli o</w:t>
      </w:r>
      <w:r w:rsidR="00C17D66" w:rsidRPr="00E90DEE">
        <w:t>rgán</w:t>
      </w:r>
      <w:r w:rsidR="00D96679" w:rsidRPr="00E90DEE">
        <w:t>u</w:t>
      </w:r>
      <w:r w:rsidR="00C17D66" w:rsidRPr="00E90DEE">
        <w:t xml:space="preserve"> celní správy </w:t>
      </w:r>
      <w:r w:rsidR="00D96679" w:rsidRPr="00E90DEE">
        <w:t xml:space="preserve">spočívající v zadržení věci, obalu nebo dopravního prostředku ve stanovených případech porušení právních předpisů na principu komplexity, kdy orgán celní správy věc nejen zadrží, ale činí ve vztahu k ní také </w:t>
      </w:r>
      <w:r w:rsidR="00255D78" w:rsidRPr="00E90DEE">
        <w:t xml:space="preserve">v zásadě </w:t>
      </w:r>
      <w:r w:rsidR="00D96679" w:rsidRPr="00E90DEE">
        <w:t>vešker</w:t>
      </w:r>
      <w:r w:rsidR="00255D78" w:rsidRPr="00E90DEE">
        <w:t>é</w:t>
      </w:r>
      <w:r w:rsidR="00D96679" w:rsidRPr="00E90DEE">
        <w:t xml:space="preserve"> navazující procesní kroky (správa dané věci, její vracení či naopak propadnutí či zabrání, nezřídka též správní trestání atd.). To vše nastupuje navzdory tomu, že v řadě případů se nejedná o</w:t>
      </w:r>
      <w:r w:rsidR="00255D78" w:rsidRPr="00E90DEE">
        <w:t> </w:t>
      </w:r>
      <w:r w:rsidR="00D96679" w:rsidRPr="00E90DEE">
        <w:t xml:space="preserve">kmenovou oblast působnosti orgánů celní správy, kdy roli těchto orgánů lze ve vztahu k roli jiných orgánů, pro které je daná oblast klíčovým polem působnosti, považovat za disproporční a ne zcela </w:t>
      </w:r>
      <w:r w:rsidR="00255D78" w:rsidRPr="00E90DEE">
        <w:t>e</w:t>
      </w:r>
      <w:r w:rsidR="00D96679" w:rsidRPr="00E90DEE">
        <w:t>fektivní</w:t>
      </w:r>
      <w:r w:rsidR="00255D78" w:rsidRPr="00E90DEE">
        <w:t>.</w:t>
      </w:r>
      <w:r w:rsidR="00D96679" w:rsidRPr="00E90DEE">
        <w:t xml:space="preserve"> </w:t>
      </w:r>
    </w:p>
    <w:p w14:paraId="16C4F703" w14:textId="77777777" w:rsidR="00070A5A" w:rsidRPr="00E90DEE" w:rsidRDefault="00070A5A" w:rsidP="00AB680C">
      <w:pPr>
        <w:pStyle w:val="Nadpis3"/>
        <w:keepNext w:val="0"/>
      </w:pPr>
      <w:bookmarkStart w:id="100" w:name="_Toc164761288"/>
      <w:r w:rsidRPr="00E90DEE">
        <w:t>Identifikace dotčených subjektů</w:t>
      </w:r>
      <w:bookmarkEnd w:id="100"/>
    </w:p>
    <w:p w14:paraId="6213043D" w14:textId="4E7444BC" w:rsidR="005A584B" w:rsidRPr="00E90DEE" w:rsidRDefault="005A584B" w:rsidP="00AB680C">
      <w:pPr>
        <w:pStyle w:val="Nadpis4"/>
        <w:keepNext w:val="0"/>
        <w:spacing w:line="276" w:lineRule="auto"/>
        <w:rPr>
          <w:color w:val="140E96"/>
        </w:rPr>
      </w:pPr>
      <w:r w:rsidRPr="00E90DEE">
        <w:rPr>
          <w:color w:val="140E96"/>
        </w:rPr>
        <w:t xml:space="preserve">Orgány </w:t>
      </w:r>
      <w:r w:rsidR="00EB4E5A" w:rsidRPr="00E90DEE">
        <w:rPr>
          <w:color w:val="140E96"/>
        </w:rPr>
        <w:t>c</w:t>
      </w:r>
      <w:r w:rsidRPr="00E90DEE">
        <w:rPr>
          <w:color w:val="140E96"/>
        </w:rPr>
        <w:t>elní správy</w:t>
      </w:r>
    </w:p>
    <w:p w14:paraId="0E967021" w14:textId="1ACF3266" w:rsidR="005A584B" w:rsidRPr="00E90DEE" w:rsidRDefault="005A584B" w:rsidP="00AB680C">
      <w:pPr>
        <w:spacing w:before="0"/>
      </w:pPr>
      <w:r w:rsidRPr="00E90DEE">
        <w:t>Dotčeným orgánem jsou primárně orgány celní správy, v rámci jejichž působnosti jsou změny navrhovány</w:t>
      </w:r>
      <w:r w:rsidR="00765B3A" w:rsidRPr="00E90DEE">
        <w:t xml:space="preserve">. Tyto změny </w:t>
      </w:r>
      <w:r w:rsidR="00FD7491" w:rsidRPr="00E90DEE">
        <w:t xml:space="preserve">budou mít dopad na aplikační </w:t>
      </w:r>
      <w:r w:rsidR="00D42EE8" w:rsidRPr="00E90DEE">
        <w:t>praxi</w:t>
      </w:r>
      <w:r w:rsidR="00030554" w:rsidRPr="00E90DEE">
        <w:t xml:space="preserve"> v rámci jednotlivých </w:t>
      </w:r>
      <w:r w:rsidR="00973604" w:rsidRPr="00E90DEE">
        <w:t>vykonávaných kompetencí</w:t>
      </w:r>
      <w:r w:rsidR="004B1206" w:rsidRPr="00E90DEE">
        <w:t xml:space="preserve"> ve vztahu k institutu zadržení</w:t>
      </w:r>
      <w:r w:rsidR="00BF7126" w:rsidRPr="00E90DEE">
        <w:t xml:space="preserve"> věci</w:t>
      </w:r>
      <w:r w:rsidR="004B1206" w:rsidRPr="00E90DEE">
        <w:t>.</w:t>
      </w:r>
    </w:p>
    <w:p w14:paraId="3C585EE8" w14:textId="77777777" w:rsidR="005A584B" w:rsidRPr="00E90DEE" w:rsidRDefault="005A584B" w:rsidP="00AB680C">
      <w:pPr>
        <w:pStyle w:val="Nadpis4"/>
        <w:keepNext w:val="0"/>
        <w:spacing w:line="276" w:lineRule="auto"/>
        <w:rPr>
          <w:color w:val="140E96"/>
        </w:rPr>
      </w:pPr>
      <w:r w:rsidRPr="00E90DEE">
        <w:rPr>
          <w:color w:val="140E96"/>
        </w:rPr>
        <w:t>Hospodářské subjekty</w:t>
      </w:r>
    </w:p>
    <w:p w14:paraId="253DB79C" w14:textId="0FB98B65" w:rsidR="005A584B" w:rsidRPr="00E90DEE" w:rsidRDefault="005A584B" w:rsidP="00AB680C">
      <w:pPr>
        <w:spacing w:before="0"/>
      </w:pPr>
      <w:r w:rsidRPr="00E90DEE">
        <w:t>Z pohledu hospodářských subjektů lze předpokládat v případě provedení změn pozitivní přínos zejména ve věci</w:t>
      </w:r>
      <w:r w:rsidR="00BF7126" w:rsidRPr="00E90DEE">
        <w:t xml:space="preserve"> zvýšení</w:t>
      </w:r>
      <w:r w:rsidR="0099352E" w:rsidRPr="00E90DEE">
        <w:t xml:space="preserve"> přehlednosti</w:t>
      </w:r>
      <w:r w:rsidR="00BF7126" w:rsidRPr="00E90DEE">
        <w:t xml:space="preserve"> právní</w:t>
      </w:r>
      <w:r w:rsidR="0099352E" w:rsidRPr="00E90DEE">
        <w:t xml:space="preserve"> </w:t>
      </w:r>
      <w:r w:rsidR="00AD25BB" w:rsidRPr="00E90DEE">
        <w:t>úpravy</w:t>
      </w:r>
      <w:r w:rsidR="00BF7126" w:rsidRPr="00E90DEE">
        <w:t>.</w:t>
      </w:r>
    </w:p>
    <w:p w14:paraId="4BB9A088" w14:textId="77777777" w:rsidR="005A584B" w:rsidRPr="00E90DEE" w:rsidRDefault="005A584B" w:rsidP="00AB680C">
      <w:pPr>
        <w:pStyle w:val="Nadpis4"/>
        <w:keepNext w:val="0"/>
        <w:spacing w:line="276" w:lineRule="auto"/>
        <w:rPr>
          <w:color w:val="140E96"/>
        </w:rPr>
      </w:pPr>
      <w:r w:rsidRPr="00E90DEE">
        <w:rPr>
          <w:color w:val="140E96"/>
        </w:rPr>
        <w:t>Orgány státní správy</w:t>
      </w:r>
    </w:p>
    <w:p w14:paraId="03F39A32" w14:textId="1B3FA54E" w:rsidR="00A004E6" w:rsidRPr="00E90DEE" w:rsidRDefault="00FB173C" w:rsidP="00AB680C">
      <w:pPr>
        <w:spacing w:before="0"/>
      </w:pPr>
      <w:r w:rsidRPr="00E90DEE">
        <w:t xml:space="preserve">U </w:t>
      </w:r>
      <w:r w:rsidR="00734472" w:rsidRPr="00E90DEE">
        <w:t>dotčen</w:t>
      </w:r>
      <w:r w:rsidRPr="00E90DEE">
        <w:t>ých</w:t>
      </w:r>
      <w:r w:rsidR="00734472" w:rsidRPr="00E90DEE">
        <w:t xml:space="preserve"> orgán</w:t>
      </w:r>
      <w:r w:rsidRPr="00E90DEE">
        <w:t>ů</w:t>
      </w:r>
      <w:r w:rsidR="00734472" w:rsidRPr="00E90DEE">
        <w:t xml:space="preserve"> státní správy </w:t>
      </w:r>
      <w:r w:rsidR="0094088A" w:rsidRPr="00E90DEE">
        <w:t xml:space="preserve">lze v </w:t>
      </w:r>
      <w:r w:rsidR="005A584B" w:rsidRPr="00E90DEE">
        <w:t xml:space="preserve">rámci změny </w:t>
      </w:r>
      <w:r w:rsidR="0003340D" w:rsidRPr="00E90DEE">
        <w:t>institutu zadržení</w:t>
      </w:r>
      <w:r w:rsidR="00BF7126" w:rsidRPr="00E90DEE">
        <w:t xml:space="preserve"> věci</w:t>
      </w:r>
      <w:r w:rsidR="009E3A38" w:rsidRPr="00E90DEE">
        <w:t xml:space="preserve"> aplikovaného </w:t>
      </w:r>
      <w:r w:rsidR="00C45B69" w:rsidRPr="00E90DEE">
        <w:t>při</w:t>
      </w:r>
      <w:r w:rsidR="006E1585" w:rsidRPr="00E90DEE">
        <w:t> </w:t>
      </w:r>
      <w:r w:rsidR="00C45B69" w:rsidRPr="00E90DEE">
        <w:t xml:space="preserve">výkonu jiné působnosti </w:t>
      </w:r>
      <w:r w:rsidR="006F58FC" w:rsidRPr="00E90DEE">
        <w:t xml:space="preserve">orgány </w:t>
      </w:r>
      <w:r w:rsidR="007D0E0D" w:rsidRPr="00E90DEE">
        <w:t>c</w:t>
      </w:r>
      <w:r w:rsidR="006F58FC" w:rsidRPr="00E90DEE">
        <w:t>elní správy</w:t>
      </w:r>
      <w:r w:rsidR="0003340D" w:rsidRPr="00E90DEE">
        <w:t xml:space="preserve"> </w:t>
      </w:r>
      <w:r w:rsidR="00580FFD" w:rsidRPr="00E90DEE">
        <w:t>spatřovat</w:t>
      </w:r>
      <w:r w:rsidR="001257A9" w:rsidRPr="00E90DEE">
        <w:t xml:space="preserve"> </w:t>
      </w:r>
      <w:r w:rsidR="001200BE" w:rsidRPr="00E90DEE">
        <w:t>pozitivn</w:t>
      </w:r>
      <w:r w:rsidR="0096222D" w:rsidRPr="00E90DEE">
        <w:t xml:space="preserve">í </w:t>
      </w:r>
      <w:r w:rsidR="00FD4E2A" w:rsidRPr="00E90DEE">
        <w:t>přínos</w:t>
      </w:r>
      <w:r w:rsidR="00EE0062" w:rsidRPr="00E90DEE">
        <w:t xml:space="preserve"> </w:t>
      </w:r>
      <w:r w:rsidR="00A75A2F" w:rsidRPr="00E90DEE">
        <w:t xml:space="preserve">zejména </w:t>
      </w:r>
      <w:r w:rsidR="0065291C" w:rsidRPr="00E90DEE">
        <w:t>v</w:t>
      </w:r>
      <w:r w:rsidR="00D554CF" w:rsidRPr="00E90DEE">
        <w:t> </w:t>
      </w:r>
      <w:r w:rsidR="00A75A2F" w:rsidRPr="00E90DEE">
        <w:t>hospodárnosti</w:t>
      </w:r>
      <w:r w:rsidR="00D554CF" w:rsidRPr="00E90DEE">
        <w:t xml:space="preserve"> a </w:t>
      </w:r>
      <w:r w:rsidR="00F92A47" w:rsidRPr="00E90DEE">
        <w:t xml:space="preserve">kvalitnější </w:t>
      </w:r>
      <w:r w:rsidR="005D5582" w:rsidRPr="00E90DEE">
        <w:t>spolupráci</w:t>
      </w:r>
      <w:r w:rsidR="005E4DDE" w:rsidRPr="00E90DEE">
        <w:t xml:space="preserve"> </w:t>
      </w:r>
      <w:r w:rsidR="0059755F" w:rsidRPr="00E90DEE">
        <w:t xml:space="preserve">v aplikační praxi </w:t>
      </w:r>
      <w:r w:rsidR="005E4DDE" w:rsidRPr="00E90DEE">
        <w:t>těchto orgánů</w:t>
      </w:r>
      <w:r w:rsidR="00966645" w:rsidRPr="00E90DEE">
        <w:t xml:space="preserve"> </w:t>
      </w:r>
      <w:r w:rsidR="0059755F" w:rsidRPr="00E90DEE">
        <w:t>a</w:t>
      </w:r>
      <w:r w:rsidR="007D0E0D" w:rsidRPr="00E90DEE">
        <w:t> orgán</w:t>
      </w:r>
      <w:r w:rsidR="0059755F" w:rsidRPr="00E90DEE">
        <w:t>ů</w:t>
      </w:r>
      <w:r w:rsidR="007D0E0D" w:rsidRPr="00E90DEE">
        <w:t xml:space="preserve"> celní správy.</w:t>
      </w:r>
    </w:p>
    <w:p w14:paraId="1D44ED8E" w14:textId="77777777" w:rsidR="00070A5A" w:rsidRPr="00E90DEE" w:rsidRDefault="00070A5A" w:rsidP="00AB680C">
      <w:pPr>
        <w:pStyle w:val="Nadpis3"/>
        <w:keepNext w:val="0"/>
      </w:pPr>
      <w:bookmarkStart w:id="101" w:name="_Toc164761289"/>
      <w:r w:rsidRPr="00E90DEE">
        <w:t>Popis cílového stavu</w:t>
      </w:r>
      <w:bookmarkEnd w:id="101"/>
    </w:p>
    <w:p w14:paraId="0A8C48F0" w14:textId="356AE857" w:rsidR="006E1585" w:rsidRPr="00E90DEE" w:rsidRDefault="003A3AE7" w:rsidP="00AB680C">
      <w:pPr>
        <w:spacing w:before="0"/>
      </w:pPr>
      <w:r w:rsidRPr="00E90DEE">
        <w:t>Cílovým stavem je</w:t>
      </w:r>
      <w:r w:rsidR="00040539" w:rsidRPr="00E90DEE">
        <w:t xml:space="preserve"> co nejširší</w:t>
      </w:r>
      <w:r w:rsidRPr="00E90DEE">
        <w:t xml:space="preserve"> </w:t>
      </w:r>
      <w:r w:rsidR="00040539" w:rsidRPr="00E90DEE">
        <w:t xml:space="preserve">sjednocení pravidel pro zadržení věci orgány </w:t>
      </w:r>
      <w:r w:rsidR="00EB4E5A" w:rsidRPr="00E90DEE">
        <w:t>c</w:t>
      </w:r>
      <w:r w:rsidR="00040539" w:rsidRPr="00E90DEE">
        <w:t>elní správy</w:t>
      </w:r>
      <w:r w:rsidR="00EB4E5A" w:rsidRPr="00E90DEE">
        <w:t>,</w:t>
      </w:r>
      <w:r w:rsidR="00040539" w:rsidRPr="00E90DEE">
        <w:t xml:space="preserve"> s výjimkou zadržení věci realizovaného v procesním režimu správního řádu. </w:t>
      </w:r>
      <w:r w:rsidR="006E1585" w:rsidRPr="00E90DEE">
        <w:rPr>
          <w:rFonts w:cs="Times New Roman"/>
          <w:szCs w:val="24"/>
        </w:rPr>
        <w:t>Úprava komplexního postupu zadržení orgány celní správy by obsahovala jak základní postup pro</w:t>
      </w:r>
      <w:r w:rsidR="0081634D" w:rsidRPr="00E90DEE">
        <w:rPr>
          <w:rFonts w:cs="Times New Roman"/>
          <w:szCs w:val="24"/>
        </w:rPr>
        <w:t> </w:t>
      </w:r>
      <w:r w:rsidR="006E1585" w:rsidRPr="00E90DEE">
        <w:rPr>
          <w:rFonts w:cs="Times New Roman"/>
          <w:szCs w:val="24"/>
        </w:rPr>
        <w:t>zadržení věci, tak s tím související zadržení obalu a dopravního prostředku. Na tuto právní úpravu by pak navazovaly právní úpravy zadržení v jiných zákonech, kde by zadržení v</w:t>
      </w:r>
      <w:r w:rsidR="0081634D" w:rsidRPr="00E90DEE">
        <w:rPr>
          <w:rFonts w:cs="Times New Roman"/>
          <w:szCs w:val="24"/>
        </w:rPr>
        <w:t> </w:t>
      </w:r>
      <w:r w:rsidR="006E1585" w:rsidRPr="00E90DEE">
        <w:rPr>
          <w:rFonts w:cs="Times New Roman"/>
          <w:szCs w:val="24"/>
        </w:rPr>
        <w:t xml:space="preserve">souvislosti s konkrétním výkonem působnosti orgánu celní správy podle tohoto zákona bylo pro danou situaci aktivováno. Takový zvláštní zákon by pak již upravoval pouze speciální ustanovení oproti obecné právní úpravě v zákoně o Celní správě ČR. Jednalo by se především </w:t>
      </w:r>
      <w:r w:rsidR="006E1585" w:rsidRPr="00E90DEE">
        <w:rPr>
          <w:rFonts w:cs="Times New Roman"/>
          <w:szCs w:val="24"/>
        </w:rPr>
        <w:lastRenderedPageBreak/>
        <w:t>o speciální důvody zadržení popř. vrácení věci, které by vycházely z charakteru povinností upravovaných těmito jinými zákony. Současně by pak obsahoval speciální postupy s ohledem na charakter zadržované věci (např. živá zvířata).</w:t>
      </w:r>
      <w:r w:rsidR="0081634D" w:rsidRPr="00E90DEE">
        <w:rPr>
          <w:rFonts w:cs="Times New Roman"/>
          <w:szCs w:val="24"/>
        </w:rPr>
        <w:t xml:space="preserve"> Zadržení věci, obalu nebo dopravního prostředku by nastoupilo rovněž v případě, že tak stanoví</w:t>
      </w:r>
      <w:r w:rsidR="006E1585" w:rsidRPr="00E90DEE">
        <w:rPr>
          <w:rFonts w:cs="Times New Roman"/>
          <w:szCs w:val="24"/>
        </w:rPr>
        <w:t xml:space="preserve"> </w:t>
      </w:r>
      <w:r w:rsidR="0081634D" w:rsidRPr="00E90DEE">
        <w:t>přímo použitelný předpis Evropské unie.</w:t>
      </w:r>
    </w:p>
    <w:p w14:paraId="7737A2DD" w14:textId="7F9E17F4" w:rsidR="00BD7FC9" w:rsidRPr="00E90DEE" w:rsidRDefault="003B2B16" w:rsidP="00AB680C">
      <w:pPr>
        <w:spacing w:before="0"/>
      </w:pPr>
      <w:r w:rsidRPr="00E90DEE">
        <w:t>Dále je cílovým stavem</w:t>
      </w:r>
      <w:r w:rsidR="00751EEF" w:rsidRPr="00E90DEE">
        <w:t xml:space="preserve"> provést revizi a přenastavení vztahu mezi orgány celní správy a jinými orgány v případě zadržení věci v oblastech veřejné správy, které nepatří do kmenové působnosti orgánů celní správy</w:t>
      </w:r>
      <w:r w:rsidR="00160B4A" w:rsidRPr="00E90DEE">
        <w:t>, a to včetně ostřejšího legislativního oddělení</w:t>
      </w:r>
      <w:r w:rsidR="00751EEF" w:rsidRPr="00E90DEE">
        <w:t xml:space="preserve">. </w:t>
      </w:r>
      <w:r w:rsidR="00723508" w:rsidRPr="00E90DEE">
        <w:t>Cílem je zde</w:t>
      </w:r>
      <w:r w:rsidRPr="00E90DEE">
        <w:t xml:space="preserve"> normovat </w:t>
      </w:r>
      <w:r w:rsidR="00723508" w:rsidRPr="00E90DEE">
        <w:t xml:space="preserve">tzv. </w:t>
      </w:r>
      <w:r w:rsidRPr="00E90DEE">
        <w:t>zadržení věci při výkonu jiné působnosti orgánů celní správy (§ 11</w:t>
      </w:r>
      <w:r w:rsidR="00784598" w:rsidRPr="00E90DEE">
        <w:t>k</w:t>
      </w:r>
      <w:r w:rsidRPr="00E90DEE">
        <w:t xml:space="preserve"> zákona o</w:t>
      </w:r>
      <w:r w:rsidR="00160B4A" w:rsidRPr="00E90DEE">
        <w:t> </w:t>
      </w:r>
      <w:r w:rsidRPr="00E90DEE">
        <w:t>Celní správ</w:t>
      </w:r>
      <w:r w:rsidR="00EB4E5A" w:rsidRPr="00E90DEE">
        <w:t>ě</w:t>
      </w:r>
      <w:r w:rsidRPr="00E90DEE">
        <w:t xml:space="preserve"> Č</w:t>
      </w:r>
      <w:r w:rsidR="00784598" w:rsidRPr="00E90DEE">
        <w:t>R</w:t>
      </w:r>
      <w:r w:rsidRPr="00E90DEE">
        <w:t xml:space="preserve">). Podstatou </w:t>
      </w:r>
      <w:r w:rsidR="00EC0CF2" w:rsidRPr="00E90DEE">
        <w:t xml:space="preserve">tohoto institutu </w:t>
      </w:r>
      <w:r w:rsidR="00B3070D" w:rsidRPr="00E90DEE">
        <w:t>má být</w:t>
      </w:r>
      <w:r w:rsidR="00EC0CF2" w:rsidRPr="00E90DEE">
        <w:t xml:space="preserve"> to, že </w:t>
      </w:r>
      <w:r w:rsidR="00203F92" w:rsidRPr="00E90DEE">
        <w:t>orgán celní správy zadrž</w:t>
      </w:r>
      <w:r w:rsidR="00B3070D" w:rsidRPr="00E90DEE">
        <w:t xml:space="preserve">í </w:t>
      </w:r>
      <w:r w:rsidR="00203F92" w:rsidRPr="00E90DEE">
        <w:t xml:space="preserve">věc </w:t>
      </w:r>
      <w:r w:rsidR="007E4607" w:rsidRPr="00E90DEE">
        <w:t>nikoli pro výkon své</w:t>
      </w:r>
      <w:r w:rsidR="00194542" w:rsidRPr="00E90DEE">
        <w:t xml:space="preserve"> vlastní</w:t>
      </w:r>
      <w:r w:rsidR="007E4607" w:rsidRPr="00E90DEE">
        <w:t xml:space="preserve"> působnosti (</w:t>
      </w:r>
      <w:r w:rsidR="00B3070D" w:rsidRPr="00E90DEE">
        <w:t xml:space="preserve">zejména </w:t>
      </w:r>
      <w:r w:rsidR="007E4607" w:rsidRPr="00E90DEE">
        <w:t>v</w:t>
      </w:r>
      <w:r w:rsidR="00723508" w:rsidRPr="00E90DEE">
        <w:t> </w:t>
      </w:r>
      <w:r w:rsidR="007E4607" w:rsidRPr="00E90DEE">
        <w:t>da</w:t>
      </w:r>
      <w:r w:rsidR="000043D0" w:rsidRPr="00E90DEE">
        <w:t>ňové či celní oblasti), ale zadržuje</w:t>
      </w:r>
      <w:r w:rsidR="00194542" w:rsidRPr="00E90DEE">
        <w:t xml:space="preserve"> věc </w:t>
      </w:r>
      <w:r w:rsidR="000043D0" w:rsidRPr="00E90DEE">
        <w:t xml:space="preserve">pro jiný příslušný orgán veřejné moci, kterému </w:t>
      </w:r>
      <w:r w:rsidR="00B3070D" w:rsidRPr="00E90DEE">
        <w:t>zadrženou</w:t>
      </w:r>
      <w:r w:rsidR="000043D0" w:rsidRPr="00E90DEE">
        <w:t xml:space="preserve"> věc do 10 pracovních dnů předá. </w:t>
      </w:r>
      <w:r w:rsidR="00255D78" w:rsidRPr="00E90DEE">
        <w:t xml:space="preserve">Navazující procesní fáze týkající se zadržené věci jsou již v rukou tohoto příslušného orgánu. </w:t>
      </w:r>
      <w:r w:rsidR="00B3070D" w:rsidRPr="00E90DEE">
        <w:t>Daná kompetence se nicméně použije pouze tehdy, kdy jiný zákon výslovně st</w:t>
      </w:r>
      <w:r w:rsidR="004E04BC" w:rsidRPr="00E90DEE">
        <w:t>a</w:t>
      </w:r>
      <w:r w:rsidR="00B3070D" w:rsidRPr="00E90DEE">
        <w:t xml:space="preserve">noví, že </w:t>
      </w:r>
      <w:r w:rsidR="004E04BC" w:rsidRPr="00E90DEE">
        <w:t>orgán celní správy toto zadržení provádí při výkonu jiné působnosti z důvodu zjištění skutečnosti nasvědčující tomu, že věc je předmětem porušení povinnosti podle tohoto jiného zákona. Nejedná se proto o obecné oprávnění zadržet vě</w:t>
      </w:r>
      <w:r w:rsidR="00160813" w:rsidRPr="00E90DEE">
        <w:t>c</w:t>
      </w:r>
      <w:r w:rsidR="006F741F" w:rsidRPr="00E90DEE">
        <w:t xml:space="preserve"> v případě zjištění skutečnosti nasvědčující tomu, že věc je předmětem porušení povinnosti podle jiného zákona</w:t>
      </w:r>
      <w:r w:rsidR="00854561" w:rsidRPr="00E90DEE">
        <w:t>.</w:t>
      </w:r>
      <w:r w:rsidR="00723508" w:rsidRPr="00E90DEE">
        <w:t xml:space="preserve"> </w:t>
      </w:r>
      <w:r w:rsidR="00723508" w:rsidRPr="00E90DEE">
        <w:rPr>
          <w:rFonts w:cs="Times New Roman"/>
          <w:szCs w:val="24"/>
        </w:rPr>
        <w:t xml:space="preserve">Příslušnému orgánu musí vždy být předána informace o zadržení věci orgánem celní správy spolu s podklady a důkazními prostředky nezbytnými pro pozdější dokazování v řízení před tímto příslušným orgánem. </w:t>
      </w:r>
    </w:p>
    <w:p w14:paraId="785A34A7" w14:textId="77777777" w:rsidR="00070A5A" w:rsidRPr="00E90DEE" w:rsidRDefault="00070A5A" w:rsidP="00AB680C">
      <w:pPr>
        <w:pStyle w:val="Nadpis3"/>
        <w:keepNext w:val="0"/>
      </w:pPr>
      <w:bookmarkStart w:id="102" w:name="_Toc164761290"/>
      <w:r w:rsidRPr="00E90DEE">
        <w:t>Zhodnocení rizika</w:t>
      </w:r>
      <w:bookmarkEnd w:id="102"/>
    </w:p>
    <w:p w14:paraId="7819626F" w14:textId="77777777" w:rsidR="00C9457A" w:rsidRDefault="00F11AFB" w:rsidP="00AB680C">
      <w:pPr>
        <w:spacing w:before="0"/>
        <w:rPr>
          <w:rFonts w:cs="Times New Roman"/>
          <w:color w:val="000000" w:themeColor="text1"/>
          <w:szCs w:val="24"/>
        </w:rPr>
      </w:pPr>
      <w:r w:rsidRPr="00E90DEE">
        <w:rPr>
          <w:rFonts w:cs="Times New Roman"/>
          <w:color w:val="000000" w:themeColor="text1"/>
          <w:szCs w:val="24"/>
        </w:rPr>
        <w:t>V případě přijetí změn existuje rizi</w:t>
      </w:r>
      <w:r w:rsidR="00A83FA6" w:rsidRPr="00E90DEE">
        <w:rPr>
          <w:rFonts w:cs="Times New Roman"/>
          <w:color w:val="000000" w:themeColor="text1"/>
          <w:szCs w:val="24"/>
        </w:rPr>
        <w:t>ko ve smyslu</w:t>
      </w:r>
      <w:r w:rsidR="00C00471" w:rsidRPr="00E90DEE">
        <w:rPr>
          <w:rFonts w:cs="Times New Roman"/>
          <w:color w:val="000000" w:themeColor="text1"/>
          <w:szCs w:val="24"/>
        </w:rPr>
        <w:t xml:space="preserve"> nesprávn</w:t>
      </w:r>
      <w:r w:rsidR="00210A6D" w:rsidRPr="00E90DEE">
        <w:rPr>
          <w:rFonts w:cs="Times New Roman"/>
          <w:color w:val="000000" w:themeColor="text1"/>
          <w:szCs w:val="24"/>
        </w:rPr>
        <w:t>é aplikace zadržení věci v důsledku neosvojení si nových, sjednocených pravidel pro zadržení</w:t>
      </w:r>
      <w:r w:rsidR="00210A6D">
        <w:rPr>
          <w:rFonts w:cs="Times New Roman"/>
          <w:color w:val="000000" w:themeColor="text1"/>
          <w:szCs w:val="24"/>
        </w:rPr>
        <w:t xml:space="preserve"> věci (tomuto riziku lze předejít </w:t>
      </w:r>
      <w:r w:rsidR="00185EE0">
        <w:rPr>
          <w:rFonts w:cs="Times New Roman"/>
          <w:color w:val="000000" w:themeColor="text1"/>
          <w:szCs w:val="24"/>
        </w:rPr>
        <w:t>nastavení</w:t>
      </w:r>
      <w:r w:rsidR="00210A6D">
        <w:rPr>
          <w:rFonts w:cs="Times New Roman"/>
          <w:color w:val="000000" w:themeColor="text1"/>
          <w:szCs w:val="24"/>
        </w:rPr>
        <w:t>m</w:t>
      </w:r>
      <w:r w:rsidR="00185EE0">
        <w:rPr>
          <w:rFonts w:cs="Times New Roman"/>
          <w:color w:val="000000" w:themeColor="text1"/>
          <w:szCs w:val="24"/>
        </w:rPr>
        <w:t xml:space="preserve"> nových aplikačních postupů</w:t>
      </w:r>
      <w:r w:rsidR="00210A6D">
        <w:rPr>
          <w:rFonts w:cs="Times New Roman"/>
          <w:color w:val="000000" w:themeColor="text1"/>
          <w:szCs w:val="24"/>
        </w:rPr>
        <w:t xml:space="preserve"> a řádným proškolením </w:t>
      </w:r>
      <w:r w:rsidR="00C9457A">
        <w:rPr>
          <w:rFonts w:cs="Times New Roman"/>
          <w:color w:val="000000" w:themeColor="text1"/>
          <w:szCs w:val="24"/>
        </w:rPr>
        <w:t xml:space="preserve">příslušníků celní správy). </w:t>
      </w:r>
    </w:p>
    <w:p w14:paraId="095B86D0" w14:textId="2CD61C0B" w:rsidR="00A004E6" w:rsidRPr="00BF7126" w:rsidRDefault="00F11AFB" w:rsidP="00AB680C">
      <w:pPr>
        <w:spacing w:before="0"/>
        <w:rPr>
          <w:rFonts w:cs="Times New Roman"/>
          <w:color w:val="000000" w:themeColor="text1"/>
          <w:szCs w:val="24"/>
        </w:rPr>
      </w:pPr>
      <w:r w:rsidRPr="00A963B6">
        <w:rPr>
          <w:rFonts w:cs="Times New Roman"/>
          <w:color w:val="000000" w:themeColor="text1"/>
          <w:szCs w:val="24"/>
        </w:rPr>
        <w:t xml:space="preserve">V případě nepřijetí změn </w:t>
      </w:r>
      <w:r w:rsidR="00E26A41">
        <w:rPr>
          <w:rFonts w:cs="Times New Roman"/>
          <w:color w:val="000000" w:themeColor="text1"/>
          <w:szCs w:val="24"/>
        </w:rPr>
        <w:t xml:space="preserve">bude i nadále právní úprava zadržení v obecné rovině </w:t>
      </w:r>
      <w:r w:rsidR="00ED3EA3" w:rsidRPr="00C9457A">
        <w:rPr>
          <w:rFonts w:cs="Times New Roman"/>
          <w:color w:val="000000" w:themeColor="text1"/>
          <w:szCs w:val="24"/>
        </w:rPr>
        <w:t>nedokonalá</w:t>
      </w:r>
      <w:r w:rsidR="0079330D" w:rsidRPr="00C9457A">
        <w:rPr>
          <w:rFonts w:cs="Times New Roman"/>
          <w:color w:val="000000" w:themeColor="text1"/>
          <w:szCs w:val="24"/>
        </w:rPr>
        <w:t xml:space="preserve"> a</w:t>
      </w:r>
      <w:r w:rsidR="00255D78">
        <w:rPr>
          <w:rFonts w:cs="Times New Roman"/>
          <w:color w:val="000000" w:themeColor="text1"/>
          <w:szCs w:val="24"/>
        </w:rPr>
        <w:t> </w:t>
      </w:r>
      <w:r w:rsidR="0079330D" w:rsidRPr="00C9457A">
        <w:rPr>
          <w:rFonts w:cs="Times New Roman"/>
          <w:color w:val="000000" w:themeColor="text1"/>
          <w:szCs w:val="24"/>
        </w:rPr>
        <w:t>v</w:t>
      </w:r>
      <w:r w:rsidR="00C9457A">
        <w:rPr>
          <w:rFonts w:cs="Times New Roman"/>
          <w:color w:val="000000" w:themeColor="text1"/>
          <w:szCs w:val="24"/>
        </w:rPr>
        <w:t xml:space="preserve"> některých případech </w:t>
      </w:r>
      <w:r w:rsidR="0079330D" w:rsidRPr="00C9457A">
        <w:rPr>
          <w:rFonts w:cs="Times New Roman"/>
          <w:color w:val="000000" w:themeColor="text1"/>
          <w:szCs w:val="24"/>
        </w:rPr>
        <w:t xml:space="preserve">bude </w:t>
      </w:r>
      <w:r w:rsidR="00255D78">
        <w:rPr>
          <w:rFonts w:cs="Times New Roman"/>
          <w:color w:val="000000" w:themeColor="text1"/>
          <w:szCs w:val="24"/>
        </w:rPr>
        <w:t xml:space="preserve">role </w:t>
      </w:r>
      <w:r w:rsidR="00680CB2" w:rsidRPr="00C9457A">
        <w:rPr>
          <w:rFonts w:cs="Times New Roman"/>
          <w:color w:val="000000" w:themeColor="text1"/>
          <w:szCs w:val="24"/>
        </w:rPr>
        <w:t xml:space="preserve">orgánů celním správy </w:t>
      </w:r>
      <w:r w:rsidR="00255D78">
        <w:rPr>
          <w:rFonts w:cs="Times New Roman"/>
          <w:color w:val="000000" w:themeColor="text1"/>
          <w:szCs w:val="24"/>
        </w:rPr>
        <w:t>méně efektivní a více disproporční</w:t>
      </w:r>
      <w:r w:rsidR="00066D5E">
        <w:rPr>
          <w:rFonts w:cs="Times New Roman"/>
          <w:color w:val="000000" w:themeColor="text1"/>
          <w:szCs w:val="24"/>
        </w:rPr>
        <w:t>.</w:t>
      </w:r>
    </w:p>
    <w:p w14:paraId="37A2E33A" w14:textId="77777777" w:rsidR="00070A5A" w:rsidRPr="00A2506A" w:rsidRDefault="00070A5A" w:rsidP="00AB680C">
      <w:pPr>
        <w:pStyle w:val="Nadpis2"/>
        <w:keepNext w:val="0"/>
        <w:ind w:left="709"/>
      </w:pPr>
      <w:bookmarkStart w:id="103" w:name="_Toc164761291"/>
      <w:r w:rsidRPr="00A2506A">
        <w:t>Návrh variant řešení</w:t>
      </w:r>
      <w:bookmarkEnd w:id="103"/>
    </w:p>
    <w:p w14:paraId="1240BA83" w14:textId="6D29CA20" w:rsidR="00AF3BD5" w:rsidRDefault="00AF3BD5" w:rsidP="00AB680C">
      <w:pPr>
        <w:spacing w:before="0"/>
        <w:rPr>
          <w:szCs w:val="24"/>
        </w:rPr>
      </w:pPr>
      <w:r w:rsidRPr="008C677D">
        <w:rPr>
          <w:rFonts w:cs="Times New Roman"/>
          <w:color w:val="000000" w:themeColor="text1"/>
          <w:szCs w:val="24"/>
        </w:rPr>
        <w:t xml:space="preserve">Jako výchozí </w:t>
      </w:r>
      <w:r w:rsidRPr="008C677D">
        <w:rPr>
          <w:rFonts w:cs="Times New Roman"/>
          <w:b/>
          <w:bCs/>
          <w:color w:val="000000" w:themeColor="text1"/>
          <w:szCs w:val="24"/>
        </w:rPr>
        <w:t>variantu 0</w:t>
      </w:r>
      <w:r w:rsidRPr="008C677D">
        <w:rPr>
          <w:rFonts w:cs="Times New Roman"/>
          <w:color w:val="000000" w:themeColor="text1"/>
          <w:szCs w:val="24"/>
        </w:rPr>
        <w:t xml:space="preserve"> lze obecně uvést situaci, kdy by nebyla provedena </w:t>
      </w:r>
      <w:r w:rsidR="006E7F73">
        <w:rPr>
          <w:rFonts w:cs="Times New Roman"/>
          <w:color w:val="000000" w:themeColor="text1"/>
          <w:szCs w:val="24"/>
        </w:rPr>
        <w:t xml:space="preserve">žádná úprava institutu </w:t>
      </w:r>
      <w:proofErr w:type="gramStart"/>
      <w:r w:rsidR="006E7F73">
        <w:rPr>
          <w:rFonts w:cs="Times New Roman"/>
          <w:color w:val="000000" w:themeColor="text1"/>
          <w:szCs w:val="24"/>
        </w:rPr>
        <w:t>zadržení</w:t>
      </w:r>
      <w:r w:rsidR="000B4E13">
        <w:rPr>
          <w:rFonts w:cs="Times New Roman"/>
          <w:szCs w:val="24"/>
        </w:rPr>
        <w:t xml:space="preserve"> a </w:t>
      </w:r>
      <w:r>
        <w:rPr>
          <w:rFonts w:cs="Times New Roman"/>
          <w:szCs w:val="24"/>
        </w:rPr>
        <w:t>nedošlo</w:t>
      </w:r>
      <w:proofErr w:type="gramEnd"/>
      <w:r>
        <w:rPr>
          <w:rFonts w:cs="Times New Roman"/>
          <w:szCs w:val="24"/>
        </w:rPr>
        <w:t xml:space="preserve"> by k žádným změnám.</w:t>
      </w:r>
    </w:p>
    <w:p w14:paraId="29D4C337" w14:textId="75ACD8F4" w:rsidR="00AF3BD5" w:rsidRPr="007435EB" w:rsidRDefault="00AF3BD5" w:rsidP="00AB680C">
      <w:pPr>
        <w:spacing w:before="0"/>
        <w:rPr>
          <w:rFonts w:cs="Times New Roman"/>
          <w:szCs w:val="24"/>
        </w:rPr>
      </w:pPr>
      <w:r w:rsidRPr="008C677D">
        <w:rPr>
          <w:rFonts w:cs="Times New Roman"/>
          <w:b/>
          <w:bCs/>
          <w:color w:val="000000" w:themeColor="text1"/>
          <w:szCs w:val="24"/>
        </w:rPr>
        <w:t>Variantou 1</w:t>
      </w:r>
      <w:r w:rsidRPr="008C677D">
        <w:rPr>
          <w:rFonts w:cs="Times New Roman"/>
          <w:color w:val="000000" w:themeColor="text1"/>
          <w:szCs w:val="24"/>
        </w:rPr>
        <w:t xml:space="preserve"> je stav, kdy </w:t>
      </w:r>
      <w:r>
        <w:rPr>
          <w:rFonts w:cs="Times New Roman"/>
          <w:color w:val="000000" w:themeColor="text1"/>
          <w:szCs w:val="24"/>
        </w:rPr>
        <w:t xml:space="preserve">úpravou </w:t>
      </w:r>
      <w:r w:rsidR="000B4E13">
        <w:rPr>
          <w:rFonts w:cs="Times New Roman"/>
          <w:color w:val="000000" w:themeColor="text1"/>
          <w:szCs w:val="24"/>
        </w:rPr>
        <w:t xml:space="preserve">zákona </w:t>
      </w:r>
      <w:r w:rsidR="003E4FDA">
        <w:rPr>
          <w:rFonts w:cs="Times New Roman"/>
          <w:color w:val="000000" w:themeColor="text1"/>
          <w:szCs w:val="24"/>
        </w:rPr>
        <w:t>o Celní správě</w:t>
      </w:r>
      <w:r w:rsidR="00C9457A">
        <w:rPr>
          <w:rFonts w:cs="Times New Roman"/>
          <w:color w:val="000000" w:themeColor="text1"/>
          <w:szCs w:val="24"/>
        </w:rPr>
        <w:t xml:space="preserve"> Č</w:t>
      </w:r>
      <w:r w:rsidR="00784598">
        <w:rPr>
          <w:rFonts w:cs="Times New Roman"/>
          <w:color w:val="000000" w:themeColor="text1"/>
          <w:szCs w:val="24"/>
        </w:rPr>
        <w:t>R</w:t>
      </w:r>
      <w:r w:rsidR="00BB341C">
        <w:rPr>
          <w:rFonts w:cs="Times New Roman"/>
          <w:color w:val="000000" w:themeColor="text1"/>
          <w:szCs w:val="24"/>
        </w:rPr>
        <w:t xml:space="preserve"> dojde ke komplexní úpravě institutu zadržení</w:t>
      </w:r>
      <w:r w:rsidR="001D5406">
        <w:rPr>
          <w:rFonts w:cs="Times New Roman"/>
          <w:color w:val="000000" w:themeColor="text1"/>
          <w:szCs w:val="24"/>
        </w:rPr>
        <w:t xml:space="preserve">, a to jak </w:t>
      </w:r>
      <w:r w:rsidR="00D02A37">
        <w:rPr>
          <w:rFonts w:cs="Times New Roman"/>
          <w:color w:val="000000" w:themeColor="text1"/>
          <w:szCs w:val="24"/>
        </w:rPr>
        <w:t xml:space="preserve">obecnou úpravou </w:t>
      </w:r>
      <w:r w:rsidR="003E5DF6">
        <w:rPr>
          <w:rFonts w:cs="Times New Roman"/>
          <w:color w:val="000000" w:themeColor="text1"/>
          <w:szCs w:val="24"/>
        </w:rPr>
        <w:t>zadržení věci</w:t>
      </w:r>
      <w:r w:rsidR="0063010D">
        <w:rPr>
          <w:rFonts w:cs="Times New Roman"/>
          <w:color w:val="000000" w:themeColor="text1"/>
          <w:szCs w:val="24"/>
        </w:rPr>
        <w:t xml:space="preserve">, tak zadržením </w:t>
      </w:r>
      <w:r w:rsidR="002857CD">
        <w:rPr>
          <w:rFonts w:cs="Times New Roman"/>
          <w:color w:val="000000" w:themeColor="text1"/>
          <w:szCs w:val="24"/>
        </w:rPr>
        <w:t>věci při výkonu jiné působnosti.</w:t>
      </w:r>
    </w:p>
    <w:p w14:paraId="6251E467" w14:textId="77777777" w:rsidR="00AF3BD5" w:rsidRPr="008C677D" w:rsidRDefault="00AF3BD5" w:rsidP="00AB680C">
      <w:pPr>
        <w:pStyle w:val="Nadpisyvtextu"/>
        <w:keepNext w:val="0"/>
        <w:spacing w:before="0"/>
        <w:rPr>
          <w:rFonts w:cs="Times New Roman"/>
          <w:color w:val="000000" w:themeColor="text1"/>
          <w:szCs w:val="24"/>
          <w:u w:val="none"/>
        </w:rPr>
      </w:pPr>
      <w:r w:rsidRPr="008C677D">
        <w:rPr>
          <w:rFonts w:cs="Times New Roman"/>
          <w:color w:val="000000" w:themeColor="text1"/>
          <w:szCs w:val="24"/>
          <w:u w:val="none"/>
        </w:rPr>
        <w:t xml:space="preserve">Výčet zvažovaných variant tak zní: </w:t>
      </w:r>
    </w:p>
    <w:p w14:paraId="7AB431EF" w14:textId="77777777" w:rsidR="00AF3BD5" w:rsidRPr="008C677D" w:rsidRDefault="00AF3BD5" w:rsidP="00AB680C">
      <w:pPr>
        <w:pStyle w:val="Odstavecseseznamem"/>
        <w:numPr>
          <w:ilvl w:val="0"/>
          <w:numId w:val="22"/>
        </w:numPr>
        <w:spacing w:before="0"/>
        <w:contextualSpacing w:val="0"/>
        <w:rPr>
          <w:rFonts w:cs="Times New Roman"/>
          <w:szCs w:val="24"/>
        </w:rPr>
      </w:pPr>
      <w:r w:rsidRPr="008C677D">
        <w:rPr>
          <w:rFonts w:cs="Times New Roman"/>
          <w:szCs w:val="24"/>
        </w:rPr>
        <w:t xml:space="preserve">Varianta </w:t>
      </w:r>
      <w:r>
        <w:rPr>
          <w:rFonts w:cs="Times New Roman"/>
          <w:szCs w:val="24"/>
        </w:rPr>
        <w:t>0</w:t>
      </w:r>
      <w:r w:rsidRPr="008C677D">
        <w:rPr>
          <w:rFonts w:cs="Times New Roman"/>
          <w:szCs w:val="24"/>
        </w:rPr>
        <w:t xml:space="preserve"> – zůstane zachován </w:t>
      </w:r>
      <w:r w:rsidRPr="007435EB">
        <w:rPr>
          <w:rFonts w:cs="Times New Roman"/>
          <w:szCs w:val="24"/>
        </w:rPr>
        <w:t>stávající stav</w:t>
      </w:r>
    </w:p>
    <w:p w14:paraId="30022285" w14:textId="6785BADF" w:rsidR="00186C86" w:rsidRPr="00544046" w:rsidRDefault="00AF3BD5" w:rsidP="00AB680C">
      <w:pPr>
        <w:pStyle w:val="Odstavecseseznamem"/>
        <w:numPr>
          <w:ilvl w:val="0"/>
          <w:numId w:val="22"/>
        </w:numPr>
        <w:spacing w:before="0"/>
        <w:contextualSpacing w:val="0"/>
        <w:rPr>
          <w:rFonts w:cs="Times New Roman"/>
          <w:szCs w:val="24"/>
        </w:rPr>
      </w:pPr>
      <w:r w:rsidRPr="008C677D">
        <w:rPr>
          <w:rFonts w:cs="Times New Roman"/>
          <w:szCs w:val="24"/>
        </w:rPr>
        <w:t xml:space="preserve">Varianta </w:t>
      </w:r>
      <w:r>
        <w:rPr>
          <w:rFonts w:cs="Times New Roman"/>
          <w:szCs w:val="24"/>
        </w:rPr>
        <w:t>1</w:t>
      </w:r>
      <w:r w:rsidRPr="008C677D">
        <w:rPr>
          <w:rFonts w:cs="Times New Roman"/>
          <w:szCs w:val="24"/>
        </w:rPr>
        <w:t xml:space="preserve"> – </w:t>
      </w:r>
      <w:r>
        <w:rPr>
          <w:rFonts w:cs="Times New Roman"/>
          <w:szCs w:val="24"/>
        </w:rPr>
        <w:t xml:space="preserve">úprava </w:t>
      </w:r>
      <w:r w:rsidR="002857CD">
        <w:rPr>
          <w:rFonts w:cs="Times New Roman"/>
          <w:szCs w:val="24"/>
        </w:rPr>
        <w:t>institutu zadržení</w:t>
      </w:r>
    </w:p>
    <w:p w14:paraId="7EF40BF2" w14:textId="77777777" w:rsidR="00070A5A" w:rsidRPr="00A2506A" w:rsidRDefault="00070A5A" w:rsidP="00AB680C">
      <w:pPr>
        <w:pStyle w:val="Nadpis2"/>
        <w:keepNext w:val="0"/>
        <w:ind w:left="709"/>
      </w:pPr>
      <w:bookmarkStart w:id="104" w:name="_Toc164761292"/>
      <w:r w:rsidRPr="00A2506A">
        <w:t>Vyhodnocení nákladů a přínosů</w:t>
      </w:r>
      <w:bookmarkEnd w:id="104"/>
    </w:p>
    <w:p w14:paraId="737B47FC" w14:textId="77777777" w:rsidR="00070A5A" w:rsidRPr="00A2506A" w:rsidRDefault="00070A5A" w:rsidP="00AB680C">
      <w:pPr>
        <w:pStyle w:val="Nadpis3"/>
        <w:keepNext w:val="0"/>
      </w:pPr>
      <w:bookmarkStart w:id="105" w:name="_Toc164761293"/>
      <w:r w:rsidRPr="00A2506A">
        <w:t>Identifikace nákladů a přínosů</w:t>
      </w:r>
      <w:bookmarkEnd w:id="105"/>
    </w:p>
    <w:p w14:paraId="6D5B5831" w14:textId="77777777" w:rsidR="00913ADD" w:rsidRPr="0090043B" w:rsidRDefault="00913ADD" w:rsidP="00AB680C">
      <w:pPr>
        <w:widowControl w:val="0"/>
        <w:tabs>
          <w:tab w:val="left" w:pos="284"/>
        </w:tabs>
        <w:spacing w:before="0"/>
        <w:rPr>
          <w:rFonts w:eastAsia="Calibri" w:cs="Times New Roman"/>
          <w:color w:val="000000" w:themeColor="text1"/>
          <w:szCs w:val="24"/>
        </w:rPr>
      </w:pPr>
      <w:r w:rsidRPr="0090043B">
        <w:rPr>
          <w:rFonts w:eastAsia="Calibri" w:cs="Times New Roman"/>
          <w:color w:val="000000" w:themeColor="text1"/>
          <w:szCs w:val="24"/>
        </w:rPr>
        <w:t>Výše uvedené varianty byly vyhodnoceny podle</w:t>
      </w:r>
      <w:r>
        <w:rPr>
          <w:rFonts w:eastAsia="Calibri" w:cs="Times New Roman"/>
          <w:color w:val="000000" w:themeColor="text1"/>
          <w:szCs w:val="24"/>
        </w:rPr>
        <w:t xml:space="preserve"> stěžejních </w:t>
      </w:r>
      <w:r w:rsidRPr="0090043B">
        <w:rPr>
          <w:rFonts w:eastAsia="Calibri" w:cs="Times New Roman"/>
          <w:color w:val="000000" w:themeColor="text1"/>
          <w:szCs w:val="24"/>
        </w:rPr>
        <w:t xml:space="preserve">kritérií, která pokrývají </w:t>
      </w:r>
      <w:r w:rsidRPr="001B5D9F">
        <w:rPr>
          <w:rFonts w:eastAsia="Calibri" w:cs="Times New Roman"/>
          <w:color w:val="000000" w:themeColor="text1"/>
          <w:szCs w:val="24"/>
        </w:rPr>
        <w:t>klady a zápory</w:t>
      </w:r>
      <w:r w:rsidRPr="0090043B">
        <w:rPr>
          <w:rFonts w:eastAsia="Calibri" w:cs="Times New Roman"/>
          <w:color w:val="000000" w:themeColor="text1"/>
          <w:szCs w:val="24"/>
        </w:rPr>
        <w:t xml:space="preserve"> (resp.</w:t>
      </w:r>
      <w:r>
        <w:rPr>
          <w:rFonts w:eastAsia="Calibri" w:cs="Times New Roman"/>
          <w:color w:val="000000" w:themeColor="text1"/>
          <w:szCs w:val="24"/>
        </w:rPr>
        <w:t> </w:t>
      </w:r>
      <w:r w:rsidRPr="0090043B">
        <w:rPr>
          <w:rFonts w:eastAsia="Calibri" w:cs="Times New Roman"/>
          <w:color w:val="000000" w:themeColor="text1"/>
          <w:szCs w:val="24"/>
        </w:rPr>
        <w:t>přínosy a náklady) jednotlivých navržených variant.</w:t>
      </w:r>
      <w:r>
        <w:rPr>
          <w:rFonts w:eastAsia="Calibri" w:cs="Times New Roman"/>
          <w:color w:val="000000" w:themeColor="text1"/>
          <w:szCs w:val="24"/>
        </w:rPr>
        <w:t xml:space="preserve"> </w:t>
      </w:r>
      <w:r w:rsidRPr="0090043B">
        <w:rPr>
          <w:rFonts w:eastAsia="Calibri" w:cs="Times New Roman"/>
          <w:color w:val="000000" w:themeColor="text1"/>
          <w:szCs w:val="24"/>
        </w:rPr>
        <w:t>Jako hodnotící kritéria byla identifikována:</w:t>
      </w:r>
    </w:p>
    <w:p w14:paraId="64533687" w14:textId="5D52EC0A" w:rsidR="00913ADD" w:rsidRPr="00AA087A" w:rsidRDefault="00913ADD" w:rsidP="00AB680C">
      <w:pPr>
        <w:pStyle w:val="Odrky"/>
        <w:spacing w:after="120"/>
        <w:rPr>
          <w:rFonts w:eastAsia="Calibri"/>
          <w:color w:val="000000" w:themeColor="text1"/>
        </w:rPr>
      </w:pPr>
      <w:r>
        <w:rPr>
          <w:rFonts w:eastAsia="Calibri"/>
          <w:color w:val="000000" w:themeColor="text1"/>
          <w:u w:val="single"/>
        </w:rPr>
        <w:lastRenderedPageBreak/>
        <w:t>e</w:t>
      </w:r>
      <w:r w:rsidRPr="005568EF">
        <w:rPr>
          <w:rFonts w:eastAsia="Calibri"/>
          <w:color w:val="000000" w:themeColor="text1"/>
          <w:u w:val="single"/>
        </w:rPr>
        <w:t xml:space="preserve">fektivita a výkonnost </w:t>
      </w:r>
      <w:r w:rsidR="00992942">
        <w:rPr>
          <w:rFonts w:eastAsia="Calibri"/>
          <w:color w:val="000000" w:themeColor="text1"/>
          <w:u w:val="single"/>
        </w:rPr>
        <w:t xml:space="preserve">působnosti </w:t>
      </w:r>
      <w:r w:rsidRPr="005568EF">
        <w:rPr>
          <w:rFonts w:eastAsia="Calibri"/>
          <w:color w:val="000000" w:themeColor="text1"/>
          <w:u w:val="single"/>
        </w:rPr>
        <w:t>celní správy a jiných orgánů veřejné moci</w:t>
      </w:r>
      <w:r>
        <w:rPr>
          <w:rFonts w:eastAsia="Calibri"/>
          <w:color w:val="000000" w:themeColor="text1"/>
        </w:rPr>
        <w:t xml:space="preserve"> – v</w:t>
      </w:r>
      <w:r w:rsidR="00D0127B">
        <w:rPr>
          <w:rFonts w:eastAsia="Calibri"/>
          <w:color w:val="000000" w:themeColor="text1"/>
        </w:rPr>
        <w:t> </w:t>
      </w:r>
      <w:r w:rsidRPr="005568EF">
        <w:rPr>
          <w:rFonts w:eastAsia="Calibri"/>
          <w:color w:val="000000" w:themeColor="text1"/>
        </w:rPr>
        <w:t>rámci tohoto kritéria by měla být posouzena činnost celní správy</w:t>
      </w:r>
      <w:r>
        <w:rPr>
          <w:rFonts w:eastAsia="Calibri"/>
          <w:color w:val="000000" w:themeColor="text1"/>
        </w:rPr>
        <w:t xml:space="preserve"> a jiných</w:t>
      </w:r>
      <w:r w:rsidRPr="005568EF">
        <w:rPr>
          <w:rFonts w:eastAsia="Calibri"/>
          <w:color w:val="000000" w:themeColor="text1"/>
        </w:rPr>
        <w:t xml:space="preserve"> orgánů veřejné moci</w:t>
      </w:r>
      <w:r w:rsidR="00D31977">
        <w:rPr>
          <w:rFonts w:eastAsia="Calibri"/>
          <w:color w:val="000000" w:themeColor="text1"/>
        </w:rPr>
        <w:t xml:space="preserve"> v rámci institutu zadržení</w:t>
      </w:r>
      <w:r w:rsidR="00625C86">
        <w:rPr>
          <w:rFonts w:eastAsia="Calibri"/>
          <w:color w:val="000000" w:themeColor="text1"/>
        </w:rPr>
        <w:t>,</w:t>
      </w:r>
    </w:p>
    <w:p w14:paraId="2E42C648" w14:textId="12A74707" w:rsidR="00186C86" w:rsidRPr="00357CC6" w:rsidRDefault="00C44061" w:rsidP="00AB680C">
      <w:pPr>
        <w:pStyle w:val="Odrky"/>
        <w:spacing w:after="120"/>
        <w:rPr>
          <w:rFonts w:eastAsia="Calibri"/>
          <w:color w:val="000000" w:themeColor="text1"/>
        </w:rPr>
      </w:pPr>
      <w:r>
        <w:rPr>
          <w:rFonts w:eastAsia="Calibri"/>
          <w:color w:val="000000" w:themeColor="text1"/>
          <w:u w:val="single"/>
        </w:rPr>
        <w:t xml:space="preserve">hospodárnost </w:t>
      </w:r>
      <w:r w:rsidR="00944C68">
        <w:rPr>
          <w:rFonts w:eastAsia="Calibri"/>
          <w:color w:val="000000" w:themeColor="text1"/>
          <w:u w:val="single"/>
        </w:rPr>
        <w:t>orgánů státní správy</w:t>
      </w:r>
      <w:r w:rsidR="00944C68" w:rsidRPr="00587FC5">
        <w:rPr>
          <w:rFonts w:eastAsia="Calibri"/>
          <w:color w:val="000000" w:themeColor="text1"/>
        </w:rPr>
        <w:t xml:space="preserve"> </w:t>
      </w:r>
      <w:r w:rsidR="00913ADD">
        <w:rPr>
          <w:rFonts w:eastAsia="Calibri"/>
          <w:color w:val="000000" w:themeColor="text1"/>
        </w:rPr>
        <w:t>– v</w:t>
      </w:r>
      <w:r w:rsidR="00913ADD" w:rsidRPr="00E611E3">
        <w:rPr>
          <w:rFonts w:eastAsia="Calibri"/>
          <w:color w:val="000000" w:themeColor="text1"/>
        </w:rPr>
        <w:t xml:space="preserve"> rámci tohoto kritéria by </w:t>
      </w:r>
      <w:r w:rsidR="00944C68" w:rsidRPr="00587FC5">
        <w:rPr>
          <w:rFonts w:eastAsia="Calibri"/>
          <w:color w:val="000000" w:themeColor="text1"/>
        </w:rPr>
        <w:t>měl</w:t>
      </w:r>
      <w:r>
        <w:rPr>
          <w:rFonts w:eastAsia="Calibri"/>
          <w:color w:val="000000" w:themeColor="text1"/>
        </w:rPr>
        <w:t>a</w:t>
      </w:r>
      <w:r w:rsidR="00913ADD" w:rsidRPr="00E611E3">
        <w:rPr>
          <w:rFonts w:eastAsia="Calibri"/>
          <w:color w:val="000000" w:themeColor="text1"/>
        </w:rPr>
        <w:t xml:space="preserve"> být posouzen</w:t>
      </w:r>
      <w:r w:rsidR="00BF3B1D">
        <w:rPr>
          <w:rFonts w:eastAsia="Calibri"/>
          <w:color w:val="000000" w:themeColor="text1"/>
        </w:rPr>
        <w:t xml:space="preserve">a </w:t>
      </w:r>
      <w:r>
        <w:rPr>
          <w:rFonts w:eastAsia="Calibri"/>
          <w:color w:val="000000" w:themeColor="text1"/>
        </w:rPr>
        <w:t>hospodárnost</w:t>
      </w:r>
      <w:r w:rsidR="00944C68" w:rsidRPr="00587FC5">
        <w:rPr>
          <w:rFonts w:eastAsia="Calibri"/>
          <w:color w:val="000000" w:themeColor="text1"/>
        </w:rPr>
        <w:t xml:space="preserve"> </w:t>
      </w:r>
      <w:r w:rsidR="00944C68">
        <w:rPr>
          <w:rFonts w:eastAsia="Calibri"/>
          <w:color w:val="000000" w:themeColor="text1"/>
        </w:rPr>
        <w:t>orgánů</w:t>
      </w:r>
      <w:r w:rsidR="00944C68" w:rsidRPr="00587FC5">
        <w:rPr>
          <w:rFonts w:eastAsia="Calibri"/>
          <w:color w:val="000000" w:themeColor="text1"/>
        </w:rPr>
        <w:t xml:space="preserve"> státní správy</w:t>
      </w:r>
      <w:r w:rsidR="00944C68">
        <w:rPr>
          <w:rFonts w:eastAsia="Calibri"/>
          <w:color w:val="000000" w:themeColor="text1"/>
        </w:rPr>
        <w:t xml:space="preserve"> </w:t>
      </w:r>
      <w:r w:rsidR="00D0127B">
        <w:rPr>
          <w:rFonts w:eastAsia="Calibri"/>
          <w:color w:val="000000" w:themeColor="text1"/>
        </w:rPr>
        <w:t>ve vztahu ke</w:t>
      </w:r>
      <w:r w:rsidR="003B5F2F">
        <w:rPr>
          <w:rFonts w:eastAsia="Calibri"/>
          <w:color w:val="000000" w:themeColor="text1"/>
        </w:rPr>
        <w:t xml:space="preserve"> změn</w:t>
      </w:r>
      <w:r w:rsidR="00D0127B">
        <w:rPr>
          <w:rFonts w:eastAsia="Calibri"/>
          <w:color w:val="000000" w:themeColor="text1"/>
        </w:rPr>
        <w:t>ě</w:t>
      </w:r>
      <w:r w:rsidR="003B5F2F">
        <w:rPr>
          <w:rFonts w:eastAsia="Calibri"/>
          <w:color w:val="000000" w:themeColor="text1"/>
        </w:rPr>
        <w:t xml:space="preserve"> </w:t>
      </w:r>
      <w:r w:rsidR="00F2107A">
        <w:rPr>
          <w:rFonts w:eastAsia="Calibri"/>
          <w:color w:val="000000" w:themeColor="text1"/>
        </w:rPr>
        <w:t>institutu zadržení</w:t>
      </w:r>
      <w:r w:rsidR="00944C68" w:rsidRPr="00587FC5">
        <w:rPr>
          <w:rFonts w:eastAsia="Calibri"/>
          <w:color w:val="000000" w:themeColor="text1"/>
        </w:rPr>
        <w:t>.</w:t>
      </w:r>
    </w:p>
    <w:p w14:paraId="5B857F2A" w14:textId="77777777" w:rsidR="00070A5A" w:rsidRPr="00A2506A" w:rsidRDefault="00070A5A" w:rsidP="00AB680C">
      <w:pPr>
        <w:pStyle w:val="Nadpis3"/>
        <w:keepNext w:val="0"/>
      </w:pPr>
      <w:bookmarkStart w:id="106" w:name="_Toc164761294"/>
      <w:r w:rsidRPr="00A2506A">
        <w:t>Náklady</w:t>
      </w:r>
      <w:bookmarkEnd w:id="106"/>
    </w:p>
    <w:p w14:paraId="083DEFD2" w14:textId="74C98F62" w:rsidR="00AE1AF3" w:rsidRPr="00716947" w:rsidRDefault="00AE1AF3" w:rsidP="00AB680C">
      <w:pPr>
        <w:pStyle w:val="Odrky"/>
        <w:numPr>
          <w:ilvl w:val="0"/>
          <w:numId w:val="0"/>
        </w:numPr>
        <w:spacing w:after="120"/>
        <w:rPr>
          <w:rFonts w:eastAsia="Calibri"/>
          <w:color w:val="000000" w:themeColor="text1"/>
          <w:u w:val="single"/>
        </w:rPr>
      </w:pPr>
      <w:r>
        <w:rPr>
          <w:rFonts w:eastAsia="Calibri"/>
          <w:color w:val="000000" w:themeColor="text1"/>
          <w:u w:val="single"/>
        </w:rPr>
        <w:t xml:space="preserve">Efektivita a výkonnost zákonných kompetencí celní správy </w:t>
      </w:r>
      <w:r w:rsidRPr="00716947">
        <w:rPr>
          <w:rFonts w:eastAsia="Calibri"/>
          <w:color w:val="000000" w:themeColor="text1"/>
          <w:u w:val="single"/>
        </w:rPr>
        <w:t>a jiných orgánů veřejné moci</w:t>
      </w:r>
    </w:p>
    <w:p w14:paraId="7F2E4DBC" w14:textId="2DF05661" w:rsidR="00311146" w:rsidRPr="007E5EB1" w:rsidRDefault="00C03E3A" w:rsidP="00AB680C">
      <w:pPr>
        <w:spacing w:before="0"/>
        <w:rPr>
          <w:rFonts w:cs="Times New Roman"/>
          <w:szCs w:val="24"/>
        </w:rPr>
      </w:pPr>
      <w:r>
        <w:rPr>
          <w:rFonts w:cs="Times New Roman"/>
          <w:szCs w:val="24"/>
        </w:rPr>
        <w:t>M</w:t>
      </w:r>
      <w:r w:rsidR="00C71944">
        <w:rPr>
          <w:rFonts w:cs="Times New Roman"/>
          <w:szCs w:val="24"/>
        </w:rPr>
        <w:t>ožným záporem (nákladem) n</w:t>
      </w:r>
      <w:r w:rsidR="00AE1AF3" w:rsidRPr="007E5EB1">
        <w:rPr>
          <w:rFonts w:cs="Times New Roman"/>
          <w:szCs w:val="24"/>
        </w:rPr>
        <w:t>avržené změny by m</w:t>
      </w:r>
      <w:r w:rsidR="00440440">
        <w:rPr>
          <w:rFonts w:cs="Times New Roman"/>
          <w:szCs w:val="24"/>
        </w:rPr>
        <w:t xml:space="preserve">ohly být </w:t>
      </w:r>
      <w:r w:rsidR="00F22150">
        <w:rPr>
          <w:rFonts w:cs="Times New Roman"/>
          <w:szCs w:val="24"/>
        </w:rPr>
        <w:t>nové postupy</w:t>
      </w:r>
      <w:r w:rsidR="004444EB">
        <w:rPr>
          <w:rFonts w:cs="Times New Roman"/>
          <w:szCs w:val="24"/>
        </w:rPr>
        <w:t xml:space="preserve"> </w:t>
      </w:r>
      <w:r w:rsidR="00AE1AF3" w:rsidRPr="007E5EB1">
        <w:rPr>
          <w:rFonts w:cs="Times New Roman"/>
          <w:szCs w:val="24"/>
        </w:rPr>
        <w:t xml:space="preserve">celní správy </w:t>
      </w:r>
      <w:r w:rsidR="00F22150">
        <w:rPr>
          <w:rFonts w:cs="Times New Roman"/>
          <w:szCs w:val="24"/>
        </w:rPr>
        <w:t>v aplikační praxi</w:t>
      </w:r>
      <w:r w:rsidR="004444EB">
        <w:rPr>
          <w:rFonts w:cs="Times New Roman"/>
          <w:szCs w:val="24"/>
        </w:rPr>
        <w:t>, které</w:t>
      </w:r>
      <w:r w:rsidR="00F22150">
        <w:rPr>
          <w:rFonts w:cs="Times New Roman"/>
          <w:szCs w:val="24"/>
        </w:rPr>
        <w:t xml:space="preserve"> dosud </w:t>
      </w:r>
      <w:r w:rsidR="000D00F4">
        <w:rPr>
          <w:rFonts w:cs="Times New Roman"/>
          <w:szCs w:val="24"/>
        </w:rPr>
        <w:t xml:space="preserve">nejsou </w:t>
      </w:r>
      <w:r w:rsidR="00CA5A84">
        <w:rPr>
          <w:rFonts w:cs="Times New Roman"/>
          <w:szCs w:val="24"/>
        </w:rPr>
        <w:t>využívané</w:t>
      </w:r>
      <w:r w:rsidR="00020D48">
        <w:rPr>
          <w:rFonts w:cs="Times New Roman"/>
          <w:szCs w:val="24"/>
        </w:rPr>
        <w:t xml:space="preserve">, </w:t>
      </w:r>
      <w:r w:rsidR="00AE1AF3" w:rsidRPr="007E5EB1">
        <w:rPr>
          <w:rFonts w:cs="Times New Roman"/>
          <w:szCs w:val="24"/>
        </w:rPr>
        <w:t xml:space="preserve">a </w:t>
      </w:r>
      <w:r w:rsidR="000D00F4">
        <w:rPr>
          <w:rFonts w:cs="Times New Roman"/>
          <w:szCs w:val="24"/>
        </w:rPr>
        <w:t>to</w:t>
      </w:r>
      <w:r w:rsidR="00311146" w:rsidRPr="007E5EB1">
        <w:rPr>
          <w:rFonts w:cs="Times New Roman"/>
          <w:szCs w:val="24"/>
        </w:rPr>
        <w:t xml:space="preserve"> </w:t>
      </w:r>
      <w:r w:rsidR="00C10437" w:rsidRPr="007E5EB1">
        <w:rPr>
          <w:rFonts w:cs="Times New Roman"/>
          <w:szCs w:val="24"/>
        </w:rPr>
        <w:t>v</w:t>
      </w:r>
      <w:r w:rsidR="00D0127B">
        <w:rPr>
          <w:rFonts w:cs="Times New Roman"/>
          <w:szCs w:val="24"/>
        </w:rPr>
        <w:t> případě,</w:t>
      </w:r>
      <w:r w:rsidR="00C10437" w:rsidRPr="007E5EB1">
        <w:rPr>
          <w:rFonts w:cs="Times New Roman"/>
          <w:szCs w:val="24"/>
        </w:rPr>
        <w:t xml:space="preserve"> </w:t>
      </w:r>
      <w:r w:rsidR="007E5EB1" w:rsidRPr="007E5EB1">
        <w:t xml:space="preserve">zjistí-li orgán </w:t>
      </w:r>
      <w:r w:rsidR="00784598">
        <w:t>c</w:t>
      </w:r>
      <w:r w:rsidR="007E5EB1" w:rsidRPr="007E5EB1">
        <w:t>elní správy při</w:t>
      </w:r>
      <w:r w:rsidR="00D0127B">
        <w:t> </w:t>
      </w:r>
      <w:r w:rsidR="007E5EB1" w:rsidRPr="007E5EB1">
        <w:t>výkonu své jiné působnosti skutečnost nasvědčující tomu, že věc je předmětem porušení povinnosti podle</w:t>
      </w:r>
      <w:r w:rsidR="007E5EB1">
        <w:t xml:space="preserve"> příslušného zákona</w:t>
      </w:r>
      <w:r w:rsidR="0088352C">
        <w:t>.</w:t>
      </w:r>
      <w:r w:rsidR="006E6EB6">
        <w:t xml:space="preserve"> Zároveň </w:t>
      </w:r>
      <w:r w:rsidR="009372C5">
        <w:t>by mohlo dojít k nárůstu činnosti spojené s</w:t>
      </w:r>
      <w:r w:rsidR="00B904BF">
        <w:t>e</w:t>
      </w:r>
      <w:r w:rsidR="001610D6">
        <w:t xml:space="preserve"> zadržením věci a předáním </w:t>
      </w:r>
      <w:r w:rsidR="00610B4F">
        <w:t>jinému orgánu státní správy.</w:t>
      </w:r>
    </w:p>
    <w:p w14:paraId="4596997F" w14:textId="5FEC1B85" w:rsidR="00E7588A" w:rsidRDefault="001D69B8" w:rsidP="00AB680C">
      <w:pPr>
        <w:spacing w:before="0"/>
        <w:rPr>
          <w:rFonts w:eastAsia="Calibri"/>
          <w:color w:val="000000" w:themeColor="text1"/>
          <w:u w:val="single"/>
        </w:rPr>
      </w:pPr>
      <w:r>
        <w:rPr>
          <w:rFonts w:eastAsia="Calibri"/>
          <w:color w:val="000000" w:themeColor="text1"/>
          <w:u w:val="single"/>
        </w:rPr>
        <w:t>Hospodárnost orgánů státní správy</w:t>
      </w:r>
    </w:p>
    <w:p w14:paraId="4EFBA639" w14:textId="0E26A5A8" w:rsidR="00186C86" w:rsidRPr="00357CC6" w:rsidRDefault="007E26D8" w:rsidP="00AB680C">
      <w:pPr>
        <w:spacing w:before="0"/>
        <w:rPr>
          <w:rFonts w:eastAsia="Calibri"/>
          <w:color w:val="000000" w:themeColor="text1"/>
          <w:u w:val="single"/>
        </w:rPr>
      </w:pPr>
      <w:r>
        <w:t xml:space="preserve">Negativním jevem </w:t>
      </w:r>
      <w:r w:rsidR="00AE1AF3">
        <w:t>navržené změny</w:t>
      </w:r>
      <w:r w:rsidR="008C76C2">
        <w:t xml:space="preserve"> by moh</w:t>
      </w:r>
      <w:r w:rsidR="00C32D6B">
        <w:t xml:space="preserve">ly být </w:t>
      </w:r>
      <w:r w:rsidR="00076B02">
        <w:t>finanční náklady u orgánů státní správy</w:t>
      </w:r>
      <w:r w:rsidR="00BA5E88">
        <w:t xml:space="preserve">, které aktuálně institut zadržení </w:t>
      </w:r>
      <w:r w:rsidR="00D0127B">
        <w:t xml:space="preserve">(resp. navazující procesní kroky) </w:t>
      </w:r>
      <w:r w:rsidR="00D64537">
        <w:t>neaplikují.</w:t>
      </w:r>
    </w:p>
    <w:p w14:paraId="2B6C4866" w14:textId="77777777" w:rsidR="00070A5A" w:rsidRPr="00A2506A" w:rsidRDefault="00070A5A" w:rsidP="00AB680C">
      <w:pPr>
        <w:pStyle w:val="Nadpis3"/>
        <w:keepNext w:val="0"/>
      </w:pPr>
      <w:bookmarkStart w:id="107" w:name="_Toc164761295"/>
      <w:r w:rsidRPr="00A2506A">
        <w:t>Přínosy</w:t>
      </w:r>
      <w:bookmarkEnd w:id="107"/>
    </w:p>
    <w:p w14:paraId="4CF0E4E2" w14:textId="77777777" w:rsidR="0034328A" w:rsidRPr="00716947" w:rsidRDefault="0034328A" w:rsidP="00AB680C">
      <w:pPr>
        <w:pStyle w:val="Odrky"/>
        <w:numPr>
          <w:ilvl w:val="0"/>
          <w:numId w:val="0"/>
        </w:numPr>
        <w:spacing w:after="120"/>
        <w:rPr>
          <w:rFonts w:eastAsia="Calibri"/>
          <w:color w:val="000000" w:themeColor="text1"/>
          <w:u w:val="single"/>
        </w:rPr>
      </w:pPr>
      <w:r>
        <w:rPr>
          <w:rFonts w:eastAsia="Calibri"/>
          <w:color w:val="000000" w:themeColor="text1"/>
          <w:u w:val="single"/>
        </w:rPr>
        <w:t xml:space="preserve">Efektivita a výkonnost zákonných kompetencí celní správy </w:t>
      </w:r>
      <w:r w:rsidRPr="00716947">
        <w:rPr>
          <w:rFonts w:eastAsia="Calibri"/>
          <w:color w:val="000000" w:themeColor="text1"/>
          <w:u w:val="single"/>
        </w:rPr>
        <w:t>a jiných orgánů veřejné moci</w:t>
      </w:r>
    </w:p>
    <w:p w14:paraId="7C1D1B48" w14:textId="0A8B057F" w:rsidR="0000780B" w:rsidRDefault="0000780B" w:rsidP="00AB680C">
      <w:pPr>
        <w:spacing w:before="0"/>
        <w:rPr>
          <w:rFonts w:eastAsia="Calibri"/>
          <w:color w:val="000000" w:themeColor="text1"/>
        </w:rPr>
      </w:pPr>
      <w:r w:rsidRPr="00B03F03">
        <w:rPr>
          <w:rFonts w:eastAsia="Calibri"/>
          <w:color w:val="000000" w:themeColor="text1"/>
        </w:rPr>
        <w:t xml:space="preserve">Možným přínosem navrhované změny je </w:t>
      </w:r>
      <w:r w:rsidR="004715D3">
        <w:rPr>
          <w:rFonts w:eastAsia="Calibri"/>
          <w:color w:val="000000" w:themeColor="text1"/>
        </w:rPr>
        <w:t>zlepšení aplikační praxe</w:t>
      </w:r>
      <w:r w:rsidR="00036202">
        <w:rPr>
          <w:rFonts w:eastAsia="Calibri"/>
          <w:color w:val="000000" w:themeColor="text1"/>
        </w:rPr>
        <w:t xml:space="preserve"> a zkvalitnění </w:t>
      </w:r>
      <w:r w:rsidR="00122247">
        <w:rPr>
          <w:rFonts w:eastAsia="Calibri"/>
          <w:color w:val="000000" w:themeColor="text1"/>
        </w:rPr>
        <w:t>kontrolní činnosti</w:t>
      </w:r>
      <w:r w:rsidR="00A80474">
        <w:rPr>
          <w:rFonts w:eastAsia="Calibri"/>
          <w:color w:val="000000" w:themeColor="text1"/>
        </w:rPr>
        <w:t>,</w:t>
      </w:r>
      <w:r w:rsidR="0028058B">
        <w:rPr>
          <w:rFonts w:eastAsia="Calibri"/>
          <w:color w:val="000000" w:themeColor="text1"/>
        </w:rPr>
        <w:t xml:space="preserve"> kdy</w:t>
      </w:r>
      <w:r w:rsidR="00AB44A9">
        <w:rPr>
          <w:rFonts w:eastAsia="Calibri"/>
          <w:color w:val="000000" w:themeColor="text1"/>
        </w:rPr>
        <w:t xml:space="preserve"> </w:t>
      </w:r>
      <w:r w:rsidR="004F64ED">
        <w:t xml:space="preserve">orgán celní správy </w:t>
      </w:r>
      <w:r w:rsidR="009F3070">
        <w:t xml:space="preserve">v rámci </w:t>
      </w:r>
      <w:proofErr w:type="spellStart"/>
      <w:r w:rsidR="009F3070">
        <w:t>správněprávní</w:t>
      </w:r>
      <w:proofErr w:type="spellEnd"/>
      <w:r w:rsidR="00FD56B6">
        <w:t xml:space="preserve"> </w:t>
      </w:r>
      <w:r w:rsidR="006031E3">
        <w:t xml:space="preserve">kontroly </w:t>
      </w:r>
      <w:r w:rsidR="00CB7934">
        <w:t xml:space="preserve">a navazujících procesních fází </w:t>
      </w:r>
      <w:r w:rsidR="00FD56B6">
        <w:t xml:space="preserve">získá </w:t>
      </w:r>
      <w:r w:rsidR="00D0127B">
        <w:t>oporu v podobě precizované a jednotné právní úpravy</w:t>
      </w:r>
      <w:r w:rsidR="00D250E2">
        <w:t xml:space="preserve"> zadržení věci, obalu nebo dopravního prostředku</w:t>
      </w:r>
      <w:r w:rsidR="00D0127B">
        <w:t>. Rovněž dojde k posílení efektivit</w:t>
      </w:r>
      <w:r w:rsidR="00CB7934">
        <w:t>y</w:t>
      </w:r>
      <w:r w:rsidR="00D0127B">
        <w:t xml:space="preserve"> činnosti orgánů celní správy v důsledku jejich profilace na kmenové působnosti a na takový rozsah podpůrné role vůči agendám v působnosti jiných orgá</w:t>
      </w:r>
      <w:r w:rsidR="00CB7934">
        <w:t>nů, který plně využívá specifické a nezastupitelné schopnosti příslušníků tohoto bezpečnostního sboru. Současně takový koncept nerozmělňuje toto využití skrze výkon těch pravomocí, které mohou realizovat věcně zaměřené oborové orgány, pro něž jde o jejich kmenovou agendu.</w:t>
      </w:r>
    </w:p>
    <w:p w14:paraId="03AC91CC" w14:textId="1FA48F21" w:rsidR="0000780B" w:rsidRDefault="002426C4" w:rsidP="00AB680C">
      <w:pPr>
        <w:pStyle w:val="Odrky"/>
        <w:numPr>
          <w:ilvl w:val="0"/>
          <w:numId w:val="0"/>
        </w:numPr>
        <w:spacing w:after="120"/>
        <w:rPr>
          <w:rFonts w:eastAsia="Calibri"/>
          <w:color w:val="000000" w:themeColor="text1"/>
        </w:rPr>
      </w:pPr>
      <w:r>
        <w:rPr>
          <w:rFonts w:eastAsia="Calibri"/>
          <w:color w:val="000000" w:themeColor="text1"/>
          <w:u w:val="single"/>
        </w:rPr>
        <w:t>Hospodárnost or</w:t>
      </w:r>
      <w:r w:rsidR="007F7E61">
        <w:rPr>
          <w:rFonts w:eastAsia="Calibri"/>
          <w:color w:val="000000" w:themeColor="text1"/>
          <w:u w:val="single"/>
        </w:rPr>
        <w:t>g</w:t>
      </w:r>
      <w:r>
        <w:rPr>
          <w:rFonts w:eastAsia="Calibri"/>
          <w:color w:val="000000" w:themeColor="text1"/>
          <w:u w:val="single"/>
        </w:rPr>
        <w:t>ánů státní správy</w:t>
      </w:r>
    </w:p>
    <w:p w14:paraId="71241D6C" w14:textId="7FE7D364" w:rsidR="00186C86" w:rsidRPr="00186C86" w:rsidRDefault="0000780B" w:rsidP="00AB680C">
      <w:pPr>
        <w:spacing w:before="0"/>
      </w:pPr>
      <w:r>
        <w:t xml:space="preserve">Kladem </w:t>
      </w:r>
      <w:r w:rsidR="00744034">
        <w:t>navržené právní úpravy bude časová</w:t>
      </w:r>
      <w:r w:rsidR="00CB7934">
        <w:t xml:space="preserve">, kapacitní i věcná </w:t>
      </w:r>
      <w:r w:rsidR="005E0C58">
        <w:t>úspora</w:t>
      </w:r>
      <w:r w:rsidR="00D07BB6">
        <w:t xml:space="preserve"> při výkonu </w:t>
      </w:r>
      <w:r w:rsidR="00C50AF9">
        <w:t>působnosti</w:t>
      </w:r>
      <w:r w:rsidR="00D07BB6">
        <w:t xml:space="preserve"> na straně </w:t>
      </w:r>
      <w:r w:rsidR="00CB7934">
        <w:t xml:space="preserve">orgánů </w:t>
      </w:r>
      <w:r w:rsidR="00AE12A1">
        <w:t>celní správy</w:t>
      </w:r>
      <w:r w:rsidR="00774B37">
        <w:t xml:space="preserve">, kdy </w:t>
      </w:r>
      <w:r w:rsidR="00CB7934">
        <w:t>nově nebude nutné vykonávat část procesních kroků navazujících na zadržení věci, obalu nebo dopravního prostředku (</w:t>
      </w:r>
      <w:r w:rsidR="00D250E2">
        <w:t xml:space="preserve">zejména jejich fyzickou správu), která nespadá do oblasti profilované působnosti bezpečnostního sboru, jehož využití na tomto poli se jeví jako zbytečně nákladné. </w:t>
      </w:r>
    </w:p>
    <w:p w14:paraId="7422383C" w14:textId="77777777" w:rsidR="00070A5A" w:rsidRDefault="00070A5A" w:rsidP="00AB680C">
      <w:pPr>
        <w:pStyle w:val="Nadpis3"/>
        <w:keepNext w:val="0"/>
      </w:pPr>
      <w:bookmarkStart w:id="108" w:name="_Toc164761296"/>
      <w:r>
        <w:t>Vyhodnocení nákladů a přínosů variant</w:t>
      </w:r>
      <w:bookmarkEnd w:id="108"/>
    </w:p>
    <w:p w14:paraId="27CAD172" w14:textId="61D9B544" w:rsidR="0000780B" w:rsidRPr="00292E96" w:rsidRDefault="0000780B" w:rsidP="00AB680C">
      <w:pPr>
        <w:pStyle w:val="Odrky"/>
        <w:numPr>
          <w:ilvl w:val="0"/>
          <w:numId w:val="0"/>
        </w:numPr>
        <w:spacing w:after="120"/>
        <w:rPr>
          <w:rFonts w:eastAsia="Calibri"/>
          <w:color w:val="000000" w:themeColor="text1"/>
          <w:u w:val="single"/>
        </w:rPr>
      </w:pPr>
      <w:r>
        <w:rPr>
          <w:rFonts w:eastAsia="Calibri"/>
          <w:color w:val="000000" w:themeColor="text1"/>
          <w:u w:val="single"/>
        </w:rPr>
        <w:t>Vyhodnocení variant z</w:t>
      </w:r>
      <w:r w:rsidR="001E287C">
        <w:rPr>
          <w:rFonts w:eastAsia="Calibri"/>
          <w:color w:val="000000" w:themeColor="text1"/>
          <w:u w:val="single"/>
        </w:rPr>
        <w:t xml:space="preserve"> hlediska efektivity a výkonnosti zákonných kompetencí celní správy </w:t>
      </w:r>
      <w:r w:rsidR="00D0127B">
        <w:rPr>
          <w:rFonts w:eastAsia="Calibri"/>
          <w:color w:val="000000" w:themeColor="text1"/>
          <w:u w:val="single"/>
        </w:rPr>
        <w:t>a j</w:t>
      </w:r>
      <w:r w:rsidR="001E287C" w:rsidRPr="00716947">
        <w:rPr>
          <w:rFonts w:eastAsia="Calibri"/>
          <w:color w:val="000000" w:themeColor="text1"/>
          <w:u w:val="single"/>
        </w:rPr>
        <w:t>iných orgánů veřejné moci</w:t>
      </w:r>
    </w:p>
    <w:p w14:paraId="2AD1D73C" w14:textId="116161BF" w:rsidR="0000780B" w:rsidRPr="00D67547" w:rsidRDefault="0000780B" w:rsidP="00AB680C">
      <w:pPr>
        <w:pStyle w:val="Odrky"/>
        <w:numPr>
          <w:ilvl w:val="0"/>
          <w:numId w:val="0"/>
        </w:numPr>
        <w:spacing w:after="120"/>
        <w:rPr>
          <w:rFonts w:eastAsia="Calibri"/>
          <w:color w:val="000000" w:themeColor="text1"/>
        </w:rPr>
      </w:pPr>
      <w:r>
        <w:rPr>
          <w:rFonts w:eastAsia="Calibri"/>
          <w:color w:val="000000" w:themeColor="text1"/>
        </w:rPr>
        <w:t xml:space="preserve">Za příznivější lze u tohoto kritéria považovat </w:t>
      </w:r>
      <w:r w:rsidRPr="005039E7">
        <w:rPr>
          <w:rFonts w:eastAsia="Calibri"/>
          <w:b/>
          <w:color w:val="000000" w:themeColor="text1"/>
        </w:rPr>
        <w:t xml:space="preserve">variantu </w:t>
      </w:r>
      <w:r w:rsidR="00C75A52">
        <w:rPr>
          <w:rFonts w:eastAsia="Calibri"/>
          <w:b/>
          <w:color w:val="000000" w:themeColor="text1"/>
        </w:rPr>
        <w:t>1</w:t>
      </w:r>
      <w:r>
        <w:rPr>
          <w:rFonts w:eastAsia="Calibri"/>
          <w:color w:val="000000" w:themeColor="text1"/>
        </w:rPr>
        <w:t xml:space="preserve">, která představuje </w:t>
      </w:r>
      <w:r w:rsidR="001540C5">
        <w:rPr>
          <w:rFonts w:eastAsia="Calibri"/>
          <w:color w:val="000000" w:themeColor="text1"/>
        </w:rPr>
        <w:t xml:space="preserve">úpravu </w:t>
      </w:r>
      <w:r w:rsidR="00FD7FBC">
        <w:rPr>
          <w:rFonts w:eastAsia="Calibri"/>
          <w:color w:val="000000" w:themeColor="text1"/>
        </w:rPr>
        <w:t xml:space="preserve">institutu zadržení </w:t>
      </w:r>
      <w:r w:rsidR="00A05C28">
        <w:rPr>
          <w:rFonts w:eastAsia="Calibri"/>
          <w:color w:val="000000" w:themeColor="text1"/>
        </w:rPr>
        <w:t xml:space="preserve">co do </w:t>
      </w:r>
      <w:r w:rsidR="00F961AD">
        <w:rPr>
          <w:rFonts w:eastAsia="Calibri"/>
          <w:color w:val="000000" w:themeColor="text1"/>
        </w:rPr>
        <w:t>zlepšení aplikační praxe a využití potenciálu</w:t>
      </w:r>
      <w:r w:rsidR="00FC0D92">
        <w:rPr>
          <w:rFonts w:eastAsia="Calibri"/>
          <w:color w:val="000000" w:themeColor="text1"/>
        </w:rPr>
        <w:t xml:space="preserve"> celní správy při</w:t>
      </w:r>
      <w:r w:rsidR="00A67BE1">
        <w:rPr>
          <w:rFonts w:eastAsia="Calibri"/>
          <w:color w:val="000000" w:themeColor="text1"/>
        </w:rPr>
        <w:t xml:space="preserve"> </w:t>
      </w:r>
      <w:r w:rsidR="00620EF8">
        <w:rPr>
          <w:rFonts w:eastAsia="Calibri"/>
          <w:color w:val="000000" w:themeColor="text1"/>
        </w:rPr>
        <w:t xml:space="preserve">výkonu </w:t>
      </w:r>
      <w:r w:rsidR="0020769C">
        <w:rPr>
          <w:rFonts w:eastAsia="Calibri"/>
          <w:color w:val="000000" w:themeColor="text1"/>
        </w:rPr>
        <w:t>kontroly.</w:t>
      </w:r>
      <w:r w:rsidR="007D7D7B">
        <w:rPr>
          <w:rFonts w:eastAsia="Calibri"/>
          <w:color w:val="000000" w:themeColor="text1"/>
        </w:rPr>
        <w:t xml:space="preserve"> </w:t>
      </w:r>
      <w:r>
        <w:rPr>
          <w:rFonts w:eastAsia="Calibri"/>
          <w:color w:val="000000" w:themeColor="text1"/>
        </w:rPr>
        <w:t xml:space="preserve">Na druhém místě je </w:t>
      </w:r>
      <w:r w:rsidRPr="00182DCA">
        <w:rPr>
          <w:rFonts w:eastAsia="Calibri"/>
          <w:b/>
          <w:bCs/>
          <w:color w:val="000000" w:themeColor="text1"/>
        </w:rPr>
        <w:t>variant 0</w:t>
      </w:r>
      <w:r>
        <w:rPr>
          <w:rFonts w:eastAsia="Calibri"/>
          <w:color w:val="000000" w:themeColor="text1"/>
        </w:rPr>
        <w:t xml:space="preserve">, která </w:t>
      </w:r>
      <w:r w:rsidR="007D7D7B">
        <w:rPr>
          <w:rFonts w:eastAsia="Calibri"/>
          <w:color w:val="000000" w:themeColor="text1"/>
        </w:rPr>
        <w:t>nepřestavuje změnu oproti stávajícímu stavu</w:t>
      </w:r>
      <w:r w:rsidR="006C262F">
        <w:rPr>
          <w:rFonts w:eastAsia="Calibri"/>
          <w:color w:val="000000" w:themeColor="text1"/>
        </w:rPr>
        <w:t xml:space="preserve">, tj. </w:t>
      </w:r>
      <w:r w:rsidR="000B4CC7">
        <w:rPr>
          <w:rFonts w:eastAsia="Calibri"/>
          <w:color w:val="000000" w:themeColor="text1"/>
        </w:rPr>
        <w:t xml:space="preserve">budou zachovány </w:t>
      </w:r>
      <w:r w:rsidR="0048665B">
        <w:rPr>
          <w:rFonts w:eastAsia="Calibri"/>
          <w:color w:val="000000" w:themeColor="text1"/>
        </w:rPr>
        <w:t>současné postupy</w:t>
      </w:r>
      <w:r w:rsidR="00FE7D70">
        <w:rPr>
          <w:rFonts w:eastAsia="Calibri"/>
          <w:color w:val="000000" w:themeColor="text1"/>
        </w:rPr>
        <w:t xml:space="preserve">, které se ukazují jako </w:t>
      </w:r>
      <w:r w:rsidR="008F4E48">
        <w:rPr>
          <w:rFonts w:eastAsia="Calibri"/>
          <w:color w:val="000000" w:themeColor="text1"/>
        </w:rPr>
        <w:t>aplikačně</w:t>
      </w:r>
      <w:r w:rsidR="002F206F">
        <w:rPr>
          <w:rFonts w:eastAsia="Calibri"/>
          <w:color w:val="000000" w:themeColor="text1"/>
        </w:rPr>
        <w:t xml:space="preserve"> </w:t>
      </w:r>
      <w:r w:rsidR="002A6B10">
        <w:rPr>
          <w:rFonts w:eastAsia="Calibri"/>
          <w:color w:val="000000" w:themeColor="text1"/>
        </w:rPr>
        <w:t>problematické.</w:t>
      </w:r>
    </w:p>
    <w:p w14:paraId="4F3AE3F3" w14:textId="265A0AD6" w:rsidR="0000780B" w:rsidRDefault="0000780B" w:rsidP="00AB680C">
      <w:pPr>
        <w:pStyle w:val="Odrky"/>
        <w:numPr>
          <w:ilvl w:val="0"/>
          <w:numId w:val="0"/>
        </w:numPr>
        <w:spacing w:after="120"/>
        <w:rPr>
          <w:rFonts w:eastAsia="Calibri"/>
          <w:color w:val="000000" w:themeColor="text1"/>
        </w:rPr>
      </w:pPr>
      <w:r>
        <w:rPr>
          <w:rFonts w:eastAsia="Calibri"/>
          <w:color w:val="000000" w:themeColor="text1"/>
          <w:u w:val="single"/>
        </w:rPr>
        <w:t>Vyhodnocení variant z</w:t>
      </w:r>
      <w:r w:rsidR="001C354E">
        <w:rPr>
          <w:rFonts w:eastAsia="Calibri"/>
          <w:color w:val="000000" w:themeColor="text1"/>
          <w:u w:val="single"/>
        </w:rPr>
        <w:t> </w:t>
      </w:r>
      <w:r>
        <w:rPr>
          <w:rFonts w:eastAsia="Calibri"/>
          <w:color w:val="000000" w:themeColor="text1"/>
          <w:u w:val="single"/>
        </w:rPr>
        <w:t>hledi</w:t>
      </w:r>
      <w:r w:rsidR="001C354E">
        <w:rPr>
          <w:rFonts w:eastAsia="Calibri"/>
          <w:color w:val="000000" w:themeColor="text1"/>
          <w:u w:val="single"/>
        </w:rPr>
        <w:t xml:space="preserve">ska </w:t>
      </w:r>
      <w:r w:rsidR="005347B3">
        <w:rPr>
          <w:rFonts w:eastAsia="Calibri"/>
          <w:color w:val="000000" w:themeColor="text1"/>
          <w:u w:val="single"/>
        </w:rPr>
        <w:t xml:space="preserve">hospodárnosti </w:t>
      </w:r>
      <w:r w:rsidR="007F1CE4">
        <w:rPr>
          <w:rFonts w:eastAsia="Calibri"/>
          <w:color w:val="000000" w:themeColor="text1"/>
          <w:u w:val="single"/>
        </w:rPr>
        <w:t>orgánů státní správy</w:t>
      </w:r>
    </w:p>
    <w:p w14:paraId="0C60FBED" w14:textId="1B53E808" w:rsidR="00186C86" w:rsidRPr="00186C86" w:rsidRDefault="0000780B" w:rsidP="00AB680C">
      <w:pPr>
        <w:spacing w:before="0"/>
      </w:pPr>
      <w:r>
        <w:t xml:space="preserve">Za příznivější lze u tohoto kritéria považovat </w:t>
      </w:r>
      <w:r>
        <w:rPr>
          <w:b/>
          <w:bCs/>
        </w:rPr>
        <w:t>variantu 1</w:t>
      </w:r>
      <w:r>
        <w:t xml:space="preserve">, kdy </w:t>
      </w:r>
      <w:r w:rsidR="00503D67">
        <w:t xml:space="preserve">dojde </w:t>
      </w:r>
      <w:r w:rsidR="00247E55">
        <w:t>k</w:t>
      </w:r>
      <w:r w:rsidR="00A07017">
        <w:t xml:space="preserve">e změně </w:t>
      </w:r>
      <w:r w:rsidR="002C1761">
        <w:t xml:space="preserve">v rámci </w:t>
      </w:r>
      <w:r w:rsidR="00296081">
        <w:t>procesních postupů</w:t>
      </w:r>
      <w:r w:rsidR="00732721">
        <w:t xml:space="preserve"> v aplikační praxi</w:t>
      </w:r>
      <w:r w:rsidR="004020B3">
        <w:t xml:space="preserve"> </w:t>
      </w:r>
      <w:r w:rsidR="00543D80">
        <w:t>tak</w:t>
      </w:r>
      <w:r w:rsidR="00FB56D9">
        <w:t xml:space="preserve">, že </w:t>
      </w:r>
      <w:r w:rsidR="00865303">
        <w:t xml:space="preserve">bude </w:t>
      </w:r>
      <w:r w:rsidR="00886A0B">
        <w:t>nově postupováno hospodárněji</w:t>
      </w:r>
      <w:r w:rsidR="00F2517C">
        <w:t xml:space="preserve">, a </w:t>
      </w:r>
      <w:r w:rsidR="00A2506A">
        <w:t xml:space="preserve">to </w:t>
      </w:r>
      <w:r w:rsidR="00A2506A">
        <w:lastRenderedPageBreak/>
        <w:t>zadržením</w:t>
      </w:r>
      <w:r w:rsidR="00C62775">
        <w:t xml:space="preserve"> </w:t>
      </w:r>
      <w:r w:rsidR="00337251">
        <w:t>ze strany orgánů celní správy</w:t>
      </w:r>
      <w:r w:rsidR="00331F0C">
        <w:t xml:space="preserve">, </w:t>
      </w:r>
      <w:r w:rsidR="00D250E2">
        <w:t>po kterém bude následovat předání věci a</w:t>
      </w:r>
      <w:r w:rsidR="0067211F">
        <w:t> </w:t>
      </w:r>
      <w:r w:rsidR="00D250E2">
        <w:t xml:space="preserve">dokumentace </w:t>
      </w:r>
      <w:r w:rsidR="00BD6B54">
        <w:t>příslušn</w:t>
      </w:r>
      <w:r w:rsidR="00D250E2">
        <w:t>ému</w:t>
      </w:r>
      <w:r w:rsidR="00BD6B54">
        <w:t xml:space="preserve"> orgán</w:t>
      </w:r>
      <w:r w:rsidR="00D250E2">
        <w:t>u</w:t>
      </w:r>
      <w:r w:rsidR="00346F0A">
        <w:t xml:space="preserve">. </w:t>
      </w:r>
      <w:r>
        <w:t xml:space="preserve">Na druhém místě je </w:t>
      </w:r>
      <w:r>
        <w:rPr>
          <w:b/>
          <w:bCs/>
        </w:rPr>
        <w:t xml:space="preserve">varianta </w:t>
      </w:r>
      <w:r w:rsidR="00346F0A">
        <w:rPr>
          <w:b/>
          <w:bCs/>
        </w:rPr>
        <w:t>0</w:t>
      </w:r>
      <w:r>
        <w:t>,</w:t>
      </w:r>
      <w:r w:rsidR="005F6285">
        <w:t xml:space="preserve"> </w:t>
      </w:r>
      <w:r w:rsidR="00D073EB">
        <w:t xml:space="preserve">kdy budou zachovány stávající </w:t>
      </w:r>
      <w:r w:rsidR="004F6066">
        <w:t>postupy</w:t>
      </w:r>
      <w:r w:rsidR="003468A4">
        <w:t>.</w:t>
      </w:r>
      <w:r>
        <w:t xml:space="preserve"> </w:t>
      </w:r>
    </w:p>
    <w:p w14:paraId="5FD44510" w14:textId="4AE50401" w:rsidR="00070A5A" w:rsidRPr="00A2506A" w:rsidRDefault="00070A5A" w:rsidP="00AB680C">
      <w:pPr>
        <w:pStyle w:val="Nadpis2"/>
        <w:keepNext w:val="0"/>
        <w:ind w:left="709"/>
      </w:pPr>
      <w:bookmarkStart w:id="109" w:name="_Toc164761297"/>
      <w:r w:rsidRPr="00A2506A">
        <w:t>Stanovení pořadí variant a výběr nejvhodnějšího řešení</w:t>
      </w:r>
      <w:bookmarkEnd w:id="109"/>
    </w:p>
    <w:p w14:paraId="230BE0EF" w14:textId="20E8B989" w:rsidR="0000780B" w:rsidRDefault="0000780B" w:rsidP="00AB680C">
      <w:pPr>
        <w:widowControl w:val="0"/>
        <w:tabs>
          <w:tab w:val="left" w:pos="284"/>
        </w:tabs>
        <w:spacing w:before="0"/>
        <w:rPr>
          <w:color w:val="000000" w:themeColor="text1"/>
        </w:rPr>
      </w:pPr>
      <w:r w:rsidRPr="0090043B">
        <w:rPr>
          <w:color w:val="000000" w:themeColor="text1"/>
        </w:rPr>
        <w:t xml:space="preserve">Na základě vzájemného porovnání jednotlivých variant optikou zvolených kritérií a identifikovaných rizik vyplynula jako </w:t>
      </w:r>
      <w:r w:rsidRPr="0090043B">
        <w:rPr>
          <w:b/>
          <w:color w:val="000000" w:themeColor="text1"/>
        </w:rPr>
        <w:t>nejvhodnější varianta</w:t>
      </w:r>
      <w:r w:rsidRPr="0090043B">
        <w:rPr>
          <w:color w:val="000000" w:themeColor="text1"/>
        </w:rPr>
        <w:t xml:space="preserve"> </w:t>
      </w:r>
      <w:r w:rsidR="00D073EB">
        <w:rPr>
          <w:b/>
          <w:color w:val="000000" w:themeColor="text1"/>
        </w:rPr>
        <w:t>1</w:t>
      </w:r>
      <w:r w:rsidRPr="0090043B">
        <w:rPr>
          <w:color w:val="000000" w:themeColor="text1"/>
        </w:rPr>
        <w:t>.</w:t>
      </w:r>
    </w:p>
    <w:p w14:paraId="19C0FC94" w14:textId="047F6BD3" w:rsidR="0000780B" w:rsidRPr="00AB680C" w:rsidRDefault="0000780B" w:rsidP="00AB680C">
      <w:pPr>
        <w:pStyle w:val="Tabulka"/>
        <w:spacing w:line="276" w:lineRule="auto"/>
        <w:jc w:val="both"/>
        <w:rPr>
          <w:sz w:val="24"/>
          <w:szCs w:val="32"/>
        </w:rPr>
      </w:pPr>
      <w:r w:rsidRPr="00AB680C">
        <w:rPr>
          <w:sz w:val="24"/>
          <w:szCs w:val="32"/>
        </w:rPr>
        <w:t xml:space="preserve">Tabulka č. </w:t>
      </w:r>
      <w:r w:rsidR="00EA5832" w:rsidRPr="00AB680C">
        <w:rPr>
          <w:sz w:val="24"/>
          <w:szCs w:val="32"/>
        </w:rPr>
        <w:t>3</w:t>
      </w:r>
      <w:r w:rsidRPr="00AB680C">
        <w:rPr>
          <w:sz w:val="24"/>
          <w:szCs w:val="32"/>
        </w:rPr>
        <w:t xml:space="preserve"> – Vyhodnocení navržených variant</w:t>
      </w:r>
    </w:p>
    <w:tbl>
      <w:tblPr>
        <w:tblStyle w:val="Svtlstnovnzvraznn4"/>
        <w:tblW w:w="5000" w:type="pct"/>
        <w:jc w:val="center"/>
        <w:tblLayout w:type="fixed"/>
        <w:tblLook w:val="04A0" w:firstRow="1" w:lastRow="0" w:firstColumn="1" w:lastColumn="0" w:noHBand="0" w:noVBand="1"/>
      </w:tblPr>
      <w:tblGrid>
        <w:gridCol w:w="1701"/>
        <w:gridCol w:w="4218"/>
        <w:gridCol w:w="3151"/>
      </w:tblGrid>
      <w:tr w:rsidR="0000780B" w:rsidRPr="00AB680C" w14:paraId="375A8A0D" w14:textId="77777777" w:rsidTr="00AC70FE">
        <w:trPr>
          <w:cnfStyle w:val="100000000000" w:firstRow="1" w:lastRow="0" w:firstColumn="0" w:lastColumn="0" w:oddVBand="0" w:evenVBand="0" w:oddHBand="0" w:evenHBand="0" w:firstRowFirstColumn="0" w:firstRowLastColumn="0" w:lastRowFirstColumn="0" w:lastRowLastColumn="0"/>
          <w:trHeight w:val="857"/>
          <w:jc w:val="center"/>
        </w:trPr>
        <w:tc>
          <w:tcPr>
            <w:cnfStyle w:val="001000000000" w:firstRow="0" w:lastRow="0" w:firstColumn="1" w:lastColumn="0" w:oddVBand="0" w:evenVBand="0" w:oddHBand="0" w:evenHBand="0" w:firstRowFirstColumn="0" w:firstRowLastColumn="0" w:lastRowFirstColumn="0" w:lastRowLastColumn="0"/>
            <w:tcW w:w="938" w:type="pct"/>
            <w:noWrap/>
            <w:vAlign w:val="center"/>
            <w:hideMark/>
          </w:tcPr>
          <w:p w14:paraId="1BA685BF" w14:textId="77777777" w:rsidR="0000780B" w:rsidRPr="00AB680C" w:rsidRDefault="0000780B" w:rsidP="00684322">
            <w:pPr>
              <w:spacing w:before="0" w:after="0"/>
              <w:ind w:firstLine="0"/>
              <w:rPr>
                <w:rFonts w:cs="Times New Roman"/>
                <w:color w:val="000000" w:themeColor="text1"/>
                <w:szCs w:val="32"/>
                <w:lang w:eastAsia="cs-CZ"/>
              </w:rPr>
            </w:pPr>
          </w:p>
        </w:tc>
        <w:tc>
          <w:tcPr>
            <w:tcW w:w="2325" w:type="pct"/>
            <w:vAlign w:val="center"/>
            <w:hideMark/>
          </w:tcPr>
          <w:p w14:paraId="5E65AAE7" w14:textId="4D6B2F43" w:rsidR="0000780B" w:rsidRPr="00AB680C" w:rsidRDefault="00A44797" w:rsidP="00684322">
            <w:pPr>
              <w:spacing w:before="0" w:after="0"/>
              <w:ind w:firstLine="0"/>
              <w:jc w:val="center"/>
              <w:cnfStyle w:val="100000000000" w:firstRow="1" w:lastRow="0" w:firstColumn="0" w:lastColumn="0" w:oddVBand="0" w:evenVBand="0" w:oddHBand="0" w:evenHBand="0" w:firstRowFirstColumn="0" w:firstRowLastColumn="0" w:lastRowFirstColumn="0" w:lastRowLastColumn="0"/>
              <w:rPr>
                <w:rFonts w:cs="Times New Roman"/>
                <w:color w:val="000000" w:themeColor="text1"/>
                <w:szCs w:val="32"/>
                <w:lang w:eastAsia="cs-CZ"/>
              </w:rPr>
            </w:pPr>
            <w:r w:rsidRPr="00AB680C">
              <w:rPr>
                <w:rFonts w:cs="Times New Roman"/>
                <w:color w:val="000000" w:themeColor="text1"/>
                <w:szCs w:val="32"/>
                <w:lang w:eastAsia="cs-CZ"/>
              </w:rPr>
              <w:t>Efektivita a výkonnost zákonných kompetencí celní správy a jiných orgánů veřejné moci</w:t>
            </w:r>
          </w:p>
        </w:tc>
        <w:tc>
          <w:tcPr>
            <w:tcW w:w="1737" w:type="pct"/>
            <w:vAlign w:val="center"/>
            <w:hideMark/>
          </w:tcPr>
          <w:p w14:paraId="7D5A5ACC" w14:textId="4EF8BE91" w:rsidR="0000780B" w:rsidRPr="00AB680C" w:rsidRDefault="00A44797" w:rsidP="00684322">
            <w:pPr>
              <w:spacing w:before="0" w:after="0"/>
              <w:ind w:firstLine="0"/>
              <w:jc w:val="center"/>
              <w:cnfStyle w:val="100000000000" w:firstRow="1" w:lastRow="0" w:firstColumn="0" w:lastColumn="0" w:oddVBand="0" w:evenVBand="0" w:oddHBand="0" w:evenHBand="0" w:firstRowFirstColumn="0" w:firstRowLastColumn="0" w:lastRowFirstColumn="0" w:lastRowLastColumn="0"/>
              <w:rPr>
                <w:rFonts w:cs="Times New Roman"/>
                <w:color w:val="000000" w:themeColor="text1"/>
                <w:szCs w:val="32"/>
                <w:lang w:eastAsia="cs-CZ"/>
              </w:rPr>
            </w:pPr>
            <w:r w:rsidRPr="00AB680C">
              <w:rPr>
                <w:rFonts w:cs="Times New Roman"/>
                <w:color w:val="000000" w:themeColor="text1"/>
                <w:szCs w:val="32"/>
                <w:lang w:eastAsia="cs-CZ"/>
              </w:rPr>
              <w:t>Hospodárnost orgánů státní správy</w:t>
            </w:r>
          </w:p>
        </w:tc>
      </w:tr>
      <w:tr w:rsidR="0000780B" w:rsidRPr="00AB680C" w14:paraId="0390EE65" w14:textId="77777777" w:rsidTr="00AC70FE">
        <w:trPr>
          <w:cnfStyle w:val="000000100000" w:firstRow="0" w:lastRow="0" w:firstColumn="0" w:lastColumn="0" w:oddVBand="0" w:evenVBand="0" w:oddHBand="1" w:evenHBand="0" w:firstRowFirstColumn="0" w:firstRowLastColumn="0" w:lastRowFirstColumn="0" w:lastRowLastColumn="0"/>
          <w:trHeight w:val="235"/>
          <w:jc w:val="center"/>
        </w:trPr>
        <w:tc>
          <w:tcPr>
            <w:cnfStyle w:val="001000000000" w:firstRow="0" w:lastRow="0" w:firstColumn="1" w:lastColumn="0" w:oddVBand="0" w:evenVBand="0" w:oddHBand="0" w:evenHBand="0" w:firstRowFirstColumn="0" w:firstRowLastColumn="0" w:lastRowFirstColumn="0" w:lastRowLastColumn="0"/>
            <w:tcW w:w="938" w:type="pct"/>
            <w:noWrap/>
            <w:vAlign w:val="center"/>
            <w:hideMark/>
          </w:tcPr>
          <w:p w14:paraId="276EF5AF" w14:textId="77777777" w:rsidR="0000780B" w:rsidRPr="00AB680C" w:rsidRDefault="0000780B" w:rsidP="00684322">
            <w:pPr>
              <w:spacing w:before="0" w:after="0"/>
              <w:ind w:firstLine="0"/>
              <w:jc w:val="center"/>
              <w:rPr>
                <w:rFonts w:cs="Times New Roman"/>
                <w:color w:val="000000" w:themeColor="text1"/>
                <w:szCs w:val="32"/>
                <w:lang w:eastAsia="cs-CZ"/>
              </w:rPr>
            </w:pPr>
            <w:r w:rsidRPr="00AB680C">
              <w:rPr>
                <w:rFonts w:cs="Times New Roman"/>
                <w:color w:val="000000" w:themeColor="text1"/>
                <w:szCs w:val="32"/>
                <w:lang w:eastAsia="cs-CZ"/>
              </w:rPr>
              <w:t>Varianta 0</w:t>
            </w:r>
          </w:p>
        </w:tc>
        <w:tc>
          <w:tcPr>
            <w:tcW w:w="2325" w:type="pct"/>
            <w:noWrap/>
            <w:vAlign w:val="center"/>
          </w:tcPr>
          <w:p w14:paraId="66D3EFB2" w14:textId="386E72B2" w:rsidR="0000780B" w:rsidRPr="00AB680C" w:rsidRDefault="0000780B" w:rsidP="00684322">
            <w:pPr>
              <w:spacing w:before="0" w:after="0"/>
              <w:ind w:firstLine="0"/>
              <w:jc w:val="center"/>
              <w:cnfStyle w:val="000000100000" w:firstRow="0" w:lastRow="0" w:firstColumn="0" w:lastColumn="0" w:oddVBand="0" w:evenVBand="0" w:oddHBand="1" w:evenHBand="0" w:firstRowFirstColumn="0" w:firstRowLastColumn="0" w:lastRowFirstColumn="0" w:lastRowLastColumn="0"/>
              <w:rPr>
                <w:rFonts w:cs="Times New Roman"/>
                <w:bCs/>
                <w:color w:val="000000" w:themeColor="text1"/>
                <w:szCs w:val="32"/>
                <w:lang w:eastAsia="cs-CZ"/>
              </w:rPr>
            </w:pPr>
            <w:r w:rsidRPr="00AB680C">
              <w:rPr>
                <w:rFonts w:cs="Times New Roman"/>
                <w:bCs/>
                <w:color w:val="000000" w:themeColor="text1"/>
                <w:szCs w:val="32"/>
                <w:lang w:eastAsia="cs-CZ"/>
              </w:rPr>
              <w:t>2</w:t>
            </w:r>
          </w:p>
        </w:tc>
        <w:tc>
          <w:tcPr>
            <w:tcW w:w="1737" w:type="pct"/>
            <w:noWrap/>
            <w:vAlign w:val="center"/>
          </w:tcPr>
          <w:p w14:paraId="6B9F778C" w14:textId="4870A815" w:rsidR="0000780B" w:rsidRPr="00AB680C" w:rsidRDefault="00F616B1" w:rsidP="00684322">
            <w:pPr>
              <w:spacing w:before="0" w:after="0"/>
              <w:ind w:firstLine="0"/>
              <w:jc w:val="center"/>
              <w:cnfStyle w:val="000000100000" w:firstRow="0" w:lastRow="0" w:firstColumn="0" w:lastColumn="0" w:oddVBand="0" w:evenVBand="0" w:oddHBand="1" w:evenHBand="0" w:firstRowFirstColumn="0" w:firstRowLastColumn="0" w:lastRowFirstColumn="0" w:lastRowLastColumn="0"/>
              <w:rPr>
                <w:rFonts w:cs="Times New Roman"/>
                <w:bCs/>
                <w:color w:val="000000" w:themeColor="text1"/>
                <w:szCs w:val="32"/>
                <w:lang w:eastAsia="cs-CZ"/>
              </w:rPr>
            </w:pPr>
            <w:r w:rsidRPr="00AB680C">
              <w:rPr>
                <w:rFonts w:cs="Times New Roman"/>
                <w:bCs/>
                <w:color w:val="000000" w:themeColor="text1"/>
                <w:szCs w:val="32"/>
                <w:lang w:eastAsia="cs-CZ"/>
              </w:rPr>
              <w:t>2</w:t>
            </w:r>
          </w:p>
        </w:tc>
      </w:tr>
      <w:tr w:rsidR="0000780B" w:rsidRPr="00AB680C" w14:paraId="20157510" w14:textId="77777777" w:rsidTr="00AC70FE">
        <w:trPr>
          <w:trHeight w:val="245"/>
          <w:jc w:val="center"/>
        </w:trPr>
        <w:tc>
          <w:tcPr>
            <w:cnfStyle w:val="001000000000" w:firstRow="0" w:lastRow="0" w:firstColumn="1" w:lastColumn="0" w:oddVBand="0" w:evenVBand="0" w:oddHBand="0" w:evenHBand="0" w:firstRowFirstColumn="0" w:firstRowLastColumn="0" w:lastRowFirstColumn="0" w:lastRowLastColumn="0"/>
            <w:tcW w:w="938" w:type="pct"/>
            <w:noWrap/>
            <w:vAlign w:val="center"/>
          </w:tcPr>
          <w:p w14:paraId="6A16444C" w14:textId="77777777" w:rsidR="0000780B" w:rsidRPr="00AB680C" w:rsidRDefault="0000780B" w:rsidP="00684322">
            <w:pPr>
              <w:spacing w:before="0" w:after="0"/>
              <w:ind w:firstLine="0"/>
              <w:jc w:val="center"/>
              <w:rPr>
                <w:rFonts w:cs="Times New Roman"/>
                <w:color w:val="000000" w:themeColor="text1"/>
                <w:szCs w:val="32"/>
                <w:lang w:eastAsia="cs-CZ"/>
              </w:rPr>
            </w:pPr>
            <w:r w:rsidRPr="00AB680C">
              <w:rPr>
                <w:rFonts w:cs="Times New Roman"/>
                <w:color w:val="000000" w:themeColor="text1"/>
                <w:szCs w:val="32"/>
                <w:lang w:eastAsia="cs-CZ"/>
              </w:rPr>
              <w:t>Varianta 1</w:t>
            </w:r>
          </w:p>
        </w:tc>
        <w:tc>
          <w:tcPr>
            <w:tcW w:w="2325" w:type="pct"/>
            <w:noWrap/>
            <w:vAlign w:val="center"/>
          </w:tcPr>
          <w:p w14:paraId="73470CDF" w14:textId="3671FF2D" w:rsidR="0000780B" w:rsidRPr="00AB680C" w:rsidRDefault="00F616B1" w:rsidP="00684322">
            <w:pPr>
              <w:spacing w:before="0" w:after="0"/>
              <w:ind w:firstLine="0"/>
              <w:jc w:val="center"/>
              <w:cnfStyle w:val="000000000000" w:firstRow="0" w:lastRow="0" w:firstColumn="0" w:lastColumn="0" w:oddVBand="0" w:evenVBand="0" w:oddHBand="0" w:evenHBand="0" w:firstRowFirstColumn="0" w:firstRowLastColumn="0" w:lastRowFirstColumn="0" w:lastRowLastColumn="0"/>
              <w:rPr>
                <w:rFonts w:cs="Times New Roman"/>
                <w:bCs/>
                <w:color w:val="000000" w:themeColor="text1"/>
                <w:szCs w:val="32"/>
                <w:lang w:eastAsia="cs-CZ"/>
              </w:rPr>
            </w:pPr>
            <w:r w:rsidRPr="00AB680C">
              <w:rPr>
                <w:rFonts w:cs="Times New Roman"/>
                <w:bCs/>
                <w:color w:val="000000" w:themeColor="text1"/>
                <w:szCs w:val="32"/>
                <w:lang w:eastAsia="cs-CZ"/>
              </w:rPr>
              <w:t>1</w:t>
            </w:r>
          </w:p>
        </w:tc>
        <w:tc>
          <w:tcPr>
            <w:tcW w:w="1737" w:type="pct"/>
            <w:noWrap/>
            <w:vAlign w:val="center"/>
          </w:tcPr>
          <w:p w14:paraId="07C5AB1F" w14:textId="0460E849" w:rsidR="0000780B" w:rsidRPr="00AB680C" w:rsidRDefault="0000780B" w:rsidP="00684322">
            <w:pPr>
              <w:spacing w:before="0" w:after="0"/>
              <w:ind w:firstLine="0"/>
              <w:jc w:val="center"/>
              <w:cnfStyle w:val="000000000000" w:firstRow="0" w:lastRow="0" w:firstColumn="0" w:lastColumn="0" w:oddVBand="0" w:evenVBand="0" w:oddHBand="0" w:evenHBand="0" w:firstRowFirstColumn="0" w:firstRowLastColumn="0" w:lastRowFirstColumn="0" w:lastRowLastColumn="0"/>
              <w:rPr>
                <w:rFonts w:cs="Times New Roman"/>
                <w:color w:val="000000" w:themeColor="text1"/>
                <w:szCs w:val="32"/>
                <w:lang w:eastAsia="cs-CZ"/>
              </w:rPr>
            </w:pPr>
            <w:r w:rsidRPr="00AB680C">
              <w:rPr>
                <w:rFonts w:cs="Times New Roman"/>
                <w:color w:val="000000" w:themeColor="text1"/>
                <w:szCs w:val="32"/>
                <w:lang w:eastAsia="cs-CZ"/>
              </w:rPr>
              <w:t>1</w:t>
            </w:r>
          </w:p>
        </w:tc>
      </w:tr>
    </w:tbl>
    <w:p w14:paraId="6D6A6CF9" w14:textId="77777777" w:rsidR="00070A5A" w:rsidRPr="00A2506A" w:rsidRDefault="00070A5A" w:rsidP="00AB680C">
      <w:pPr>
        <w:pStyle w:val="Nadpis2"/>
        <w:keepNext w:val="0"/>
        <w:ind w:left="709"/>
      </w:pPr>
      <w:bookmarkStart w:id="110" w:name="_Toc164761298"/>
      <w:r w:rsidRPr="00A2506A">
        <w:t>Implementace doporučené varianty a vynucování</w:t>
      </w:r>
      <w:bookmarkEnd w:id="110"/>
    </w:p>
    <w:p w14:paraId="7E4A37A3" w14:textId="6E87D2F8" w:rsidR="00186C86" w:rsidRPr="00186C86" w:rsidRDefault="0000780B" w:rsidP="00AB680C">
      <w:pPr>
        <w:widowControl w:val="0"/>
        <w:tabs>
          <w:tab w:val="left" w:pos="284"/>
        </w:tabs>
        <w:spacing w:before="0"/>
      </w:pPr>
      <w:r w:rsidRPr="00522571">
        <w:rPr>
          <w:color w:val="000000" w:themeColor="text1"/>
        </w:rPr>
        <w:t>Navrhovan</w:t>
      </w:r>
      <w:r>
        <w:rPr>
          <w:color w:val="000000" w:themeColor="text1"/>
        </w:rPr>
        <w:t xml:space="preserve">á varianta bude </w:t>
      </w:r>
      <w:r w:rsidRPr="00522571">
        <w:rPr>
          <w:color w:val="000000" w:themeColor="text1"/>
        </w:rPr>
        <w:t>proveden</w:t>
      </w:r>
      <w:r>
        <w:rPr>
          <w:color w:val="000000" w:themeColor="text1"/>
        </w:rPr>
        <w:t>a novelizací příslušných zákonů.</w:t>
      </w:r>
    </w:p>
    <w:p w14:paraId="26E37775" w14:textId="77777777" w:rsidR="00070A5A" w:rsidRPr="00A2506A" w:rsidRDefault="00070A5A" w:rsidP="00AB680C">
      <w:pPr>
        <w:pStyle w:val="Nadpis2"/>
        <w:keepNext w:val="0"/>
        <w:ind w:left="709"/>
      </w:pPr>
      <w:bookmarkStart w:id="111" w:name="_Toc164761299"/>
      <w:r w:rsidRPr="00A2506A">
        <w:t>Přezkum účinnosti regulace</w:t>
      </w:r>
      <w:bookmarkEnd w:id="111"/>
    </w:p>
    <w:p w14:paraId="16143596" w14:textId="25332321" w:rsidR="00186C86" w:rsidRPr="00357CC6" w:rsidRDefault="0000780B" w:rsidP="00AB680C">
      <w:pPr>
        <w:widowControl w:val="0"/>
        <w:spacing w:before="0"/>
        <w:rPr>
          <w:color w:val="000000" w:themeColor="text1"/>
        </w:rPr>
      </w:pPr>
      <w:r w:rsidRPr="00A062A1">
        <w:rPr>
          <w:color w:val="000000" w:themeColor="text1"/>
        </w:rPr>
        <w:t xml:space="preserve">Primárně odpovědným za přezkum účinnosti je </w:t>
      </w:r>
      <w:r w:rsidRPr="00A062A1">
        <w:t>Ministerstvo financí</w:t>
      </w:r>
      <w:r>
        <w:t>.</w:t>
      </w:r>
    </w:p>
    <w:p w14:paraId="7F6A85A9" w14:textId="77777777" w:rsidR="00070A5A" w:rsidRPr="00A2506A" w:rsidRDefault="00070A5A" w:rsidP="00AB680C">
      <w:pPr>
        <w:pStyle w:val="Nadpis2"/>
        <w:keepNext w:val="0"/>
        <w:ind w:left="709"/>
      </w:pPr>
      <w:bookmarkStart w:id="112" w:name="_Toc164761300"/>
      <w:r w:rsidRPr="00A2506A">
        <w:t>Konzultace a zdroje dat</w:t>
      </w:r>
      <w:bookmarkEnd w:id="112"/>
    </w:p>
    <w:p w14:paraId="54F02BEA" w14:textId="67BD2834" w:rsidR="00186C86" w:rsidRPr="00A004E6" w:rsidRDefault="00B1078F" w:rsidP="00AB680C">
      <w:pPr>
        <w:spacing w:before="0"/>
      </w:pPr>
      <w:r>
        <w:rPr>
          <w:rFonts w:cs="Times New Roman"/>
          <w:szCs w:val="24"/>
        </w:rPr>
        <w:t xml:space="preserve">Nová úprava </w:t>
      </w:r>
      <w:r w:rsidR="000B0085">
        <w:rPr>
          <w:rFonts w:cs="Times New Roman"/>
          <w:szCs w:val="24"/>
        </w:rPr>
        <w:t>ve vztahu k</w:t>
      </w:r>
      <w:r>
        <w:rPr>
          <w:rFonts w:cs="Times New Roman"/>
          <w:szCs w:val="24"/>
        </w:rPr>
        <w:t> </w:t>
      </w:r>
      <w:r w:rsidR="000B0085">
        <w:rPr>
          <w:rFonts w:cs="Times New Roman"/>
          <w:szCs w:val="24"/>
        </w:rPr>
        <w:t>in</w:t>
      </w:r>
      <w:r>
        <w:rPr>
          <w:rFonts w:cs="Times New Roman"/>
          <w:szCs w:val="24"/>
        </w:rPr>
        <w:t xml:space="preserve">stitutu zadržení </w:t>
      </w:r>
      <w:r w:rsidR="00C700ED">
        <w:rPr>
          <w:rFonts w:cs="Times New Roman"/>
          <w:szCs w:val="24"/>
        </w:rPr>
        <w:t>byl</w:t>
      </w:r>
      <w:r>
        <w:rPr>
          <w:rFonts w:cs="Times New Roman"/>
          <w:szCs w:val="24"/>
        </w:rPr>
        <w:t>a</w:t>
      </w:r>
      <w:r w:rsidR="00C700ED">
        <w:rPr>
          <w:rFonts w:cs="Times New Roman"/>
          <w:szCs w:val="24"/>
        </w:rPr>
        <w:t xml:space="preserve"> předběžně projednán</w:t>
      </w:r>
      <w:r>
        <w:rPr>
          <w:rFonts w:cs="Times New Roman"/>
          <w:szCs w:val="24"/>
        </w:rPr>
        <w:t>a</w:t>
      </w:r>
      <w:r w:rsidR="00C700ED">
        <w:rPr>
          <w:rFonts w:cs="Times New Roman"/>
          <w:szCs w:val="24"/>
        </w:rPr>
        <w:t xml:space="preserve"> se všemi zainteresovanými státními orgány</w:t>
      </w:r>
      <w:r w:rsidR="00D7711C">
        <w:rPr>
          <w:rFonts w:cs="Times New Roman"/>
          <w:szCs w:val="24"/>
        </w:rPr>
        <w:t xml:space="preserve">, v jejichž </w:t>
      </w:r>
      <w:r w:rsidR="00E644A5">
        <w:rPr>
          <w:rFonts w:cs="Times New Roman"/>
          <w:szCs w:val="24"/>
        </w:rPr>
        <w:t xml:space="preserve">právních </w:t>
      </w:r>
      <w:r w:rsidR="00D7711C">
        <w:rPr>
          <w:rFonts w:cs="Times New Roman"/>
          <w:szCs w:val="24"/>
        </w:rPr>
        <w:t xml:space="preserve">normách je tento </w:t>
      </w:r>
      <w:r w:rsidR="00763712">
        <w:rPr>
          <w:rFonts w:cs="Times New Roman"/>
          <w:szCs w:val="24"/>
        </w:rPr>
        <w:t>po</w:t>
      </w:r>
      <w:r w:rsidR="00F56575">
        <w:rPr>
          <w:rFonts w:cs="Times New Roman"/>
          <w:szCs w:val="24"/>
        </w:rPr>
        <w:t xml:space="preserve">stup </w:t>
      </w:r>
      <w:r w:rsidR="00E730C0">
        <w:rPr>
          <w:rFonts w:cs="Times New Roman"/>
          <w:szCs w:val="24"/>
        </w:rPr>
        <w:t>aktuálně navržen.</w:t>
      </w:r>
    </w:p>
    <w:p w14:paraId="17C31AC3" w14:textId="2E8107AF" w:rsidR="00D62703" w:rsidRPr="00A2506A" w:rsidRDefault="00421AC8" w:rsidP="00AB680C">
      <w:pPr>
        <w:pStyle w:val="Nadpis1"/>
        <w:keepNext w:val="0"/>
      </w:pPr>
      <w:bookmarkStart w:id="113" w:name="_Toc427045911"/>
      <w:bookmarkStart w:id="114" w:name="_Toc25666056"/>
      <w:bookmarkStart w:id="115" w:name="_Toc164761301"/>
      <w:r w:rsidRPr="00A2506A">
        <w:t>Kontakty na zpracovatele RIA</w:t>
      </w:r>
      <w:bookmarkEnd w:id="113"/>
      <w:bookmarkEnd w:id="114"/>
      <w:bookmarkEnd w:id="115"/>
    </w:p>
    <w:p w14:paraId="13BDE5E3" w14:textId="77777777" w:rsidR="00EB4E5A" w:rsidRPr="00684322" w:rsidRDefault="00EB4E5A" w:rsidP="00EB4E5A">
      <w:pPr>
        <w:pStyle w:val="Odstavecseseznamem"/>
        <w:numPr>
          <w:ilvl w:val="0"/>
          <w:numId w:val="41"/>
        </w:numPr>
        <w:spacing w:before="0"/>
        <w:rPr>
          <w:rFonts w:cs="Times New Roman"/>
          <w:noProof/>
          <w:sz w:val="22"/>
          <w:lang w:eastAsia="cs-CZ"/>
        </w:rPr>
      </w:pPr>
      <w:bookmarkStart w:id="116" w:name="_MailAutoSig"/>
      <w:r w:rsidRPr="00684322">
        <w:rPr>
          <w:rFonts w:cs="Times New Roman"/>
          <w:noProof/>
          <w:lang w:eastAsia="cs-CZ"/>
        </w:rPr>
        <w:t>plk. Mgr. Bc. David Cafourek, vedoucí oddělení 301 – Právní a legislativní</w:t>
      </w:r>
      <w:r>
        <w:rPr>
          <w:rFonts w:cs="Times New Roman"/>
          <w:noProof/>
          <w:lang w:eastAsia="cs-CZ"/>
        </w:rPr>
        <w:t xml:space="preserve">, </w:t>
      </w:r>
      <w:r w:rsidRPr="00684322">
        <w:rPr>
          <w:rFonts w:cs="Times New Roman"/>
          <w:noProof/>
          <w:lang w:eastAsia="cs-CZ"/>
        </w:rPr>
        <w:t>Generální ředitelství cel,</w:t>
      </w:r>
      <w:r>
        <w:rPr>
          <w:rFonts w:cs="Times New Roman"/>
          <w:noProof/>
          <w:lang w:eastAsia="cs-CZ"/>
        </w:rPr>
        <w:t xml:space="preserve"> </w:t>
      </w:r>
      <w:r w:rsidRPr="00684322">
        <w:rPr>
          <w:rFonts w:cs="Times New Roman"/>
          <w:noProof/>
          <w:lang w:eastAsia="cs-CZ"/>
        </w:rPr>
        <w:t>tel.</w:t>
      </w:r>
      <w:r>
        <w:rPr>
          <w:rFonts w:cs="Times New Roman"/>
          <w:noProof/>
          <w:lang w:eastAsia="cs-CZ"/>
        </w:rPr>
        <w:t>:</w:t>
      </w:r>
      <w:r w:rsidRPr="00684322">
        <w:rPr>
          <w:rFonts w:cs="Times New Roman"/>
          <w:noProof/>
          <w:lang w:eastAsia="cs-CZ"/>
        </w:rPr>
        <w:t xml:space="preserve"> 724 496 274</w:t>
      </w:r>
      <w:bookmarkEnd w:id="116"/>
      <w:r w:rsidRPr="00684322">
        <w:rPr>
          <w:rFonts w:cs="Times New Roman"/>
          <w:noProof/>
          <w:lang w:eastAsia="cs-CZ"/>
        </w:rPr>
        <w:t xml:space="preserve">, e-mail: Cafourek@cs.mfcr.cz </w:t>
      </w:r>
    </w:p>
    <w:p w14:paraId="7728E1E5" w14:textId="77777777" w:rsidR="00EB4E5A" w:rsidRPr="00684322" w:rsidRDefault="00EB4E5A" w:rsidP="00EB4E5A">
      <w:pPr>
        <w:pStyle w:val="Odstavecseseznamem"/>
        <w:numPr>
          <w:ilvl w:val="0"/>
          <w:numId w:val="41"/>
        </w:numPr>
        <w:spacing w:before="0"/>
        <w:rPr>
          <w:rFonts w:cs="Times New Roman"/>
          <w:noProof/>
          <w:lang w:eastAsia="cs-CZ"/>
        </w:rPr>
      </w:pPr>
      <w:r w:rsidRPr="00684322">
        <w:rPr>
          <w:rFonts w:cs="Times New Roman"/>
          <w:noProof/>
          <w:lang w:eastAsia="cs-CZ"/>
        </w:rPr>
        <w:t>pplk. Mgr. František Berka, oddělení 301 – Právní a legislativní, Generální ředitelství cel, tel.</w:t>
      </w:r>
      <w:r>
        <w:rPr>
          <w:rFonts w:cs="Times New Roman"/>
          <w:noProof/>
          <w:lang w:eastAsia="cs-CZ"/>
        </w:rPr>
        <w:t>:</w:t>
      </w:r>
      <w:r w:rsidRPr="00684322">
        <w:rPr>
          <w:rFonts w:cs="Times New Roman"/>
          <w:noProof/>
          <w:lang w:eastAsia="cs-CZ"/>
        </w:rPr>
        <w:t xml:space="preserve"> 702 064 787, e-mail: Berka@cs.mfcr.cz </w:t>
      </w:r>
    </w:p>
    <w:p w14:paraId="53933A9A" w14:textId="7DBBCC49" w:rsidR="00186C86" w:rsidRPr="00684322" w:rsidRDefault="005A26CF" w:rsidP="00684322">
      <w:pPr>
        <w:pStyle w:val="Odstavecseseznamem"/>
        <w:numPr>
          <w:ilvl w:val="0"/>
          <w:numId w:val="41"/>
        </w:numPr>
        <w:spacing w:before="0"/>
        <w:rPr>
          <w:rFonts w:cs="Times New Roman"/>
          <w:noProof/>
          <w:sz w:val="22"/>
          <w:lang w:eastAsia="cs-CZ"/>
        </w:rPr>
      </w:pPr>
      <w:r w:rsidRPr="00684322">
        <w:rPr>
          <w:rFonts w:cs="Times New Roman"/>
          <w:noProof/>
          <w:lang w:eastAsia="cs-CZ"/>
        </w:rPr>
        <w:t>JUDr. Jiří Kroupa</w:t>
      </w:r>
      <w:r w:rsidR="00186C86" w:rsidRPr="00684322">
        <w:rPr>
          <w:rFonts w:cs="Times New Roman"/>
          <w:noProof/>
          <w:lang w:eastAsia="cs-CZ"/>
        </w:rPr>
        <w:t xml:space="preserve">, </w:t>
      </w:r>
      <w:r w:rsidR="000529CE" w:rsidRPr="00684322">
        <w:rPr>
          <w:rFonts w:cs="Times New Roman"/>
          <w:noProof/>
          <w:lang w:eastAsia="cs-CZ"/>
        </w:rPr>
        <w:t>vedoucí oddělení Legislativa správy daní a celnictví, Ministerstvo financí</w:t>
      </w:r>
      <w:r w:rsidR="00684322">
        <w:rPr>
          <w:rFonts w:cs="Times New Roman"/>
          <w:noProof/>
          <w:lang w:eastAsia="cs-CZ"/>
        </w:rPr>
        <w:t xml:space="preserve">, </w:t>
      </w:r>
      <w:r w:rsidR="00186C86" w:rsidRPr="00684322">
        <w:rPr>
          <w:rFonts w:cs="Times New Roman"/>
          <w:noProof/>
          <w:lang w:eastAsia="cs-CZ"/>
        </w:rPr>
        <w:t>tel.</w:t>
      </w:r>
      <w:r w:rsidR="00684322">
        <w:rPr>
          <w:rFonts w:cs="Times New Roman"/>
          <w:noProof/>
          <w:lang w:eastAsia="cs-CZ"/>
        </w:rPr>
        <w:t>:</w:t>
      </w:r>
      <w:r w:rsidR="00186C86" w:rsidRPr="00684322">
        <w:rPr>
          <w:rFonts w:cs="Times New Roman"/>
          <w:noProof/>
          <w:lang w:eastAsia="cs-CZ"/>
        </w:rPr>
        <w:t xml:space="preserve"> </w:t>
      </w:r>
      <w:r w:rsidR="00293C83" w:rsidRPr="00684322">
        <w:rPr>
          <w:rFonts w:cs="Times New Roman"/>
          <w:noProof/>
          <w:lang w:eastAsia="cs-CZ"/>
        </w:rPr>
        <w:t>724 211 080</w:t>
      </w:r>
      <w:r w:rsidR="00186C86" w:rsidRPr="00684322">
        <w:rPr>
          <w:rFonts w:cs="Times New Roman"/>
          <w:noProof/>
          <w:lang w:eastAsia="cs-CZ"/>
        </w:rPr>
        <w:t xml:space="preserve">, e-mail: </w:t>
      </w:r>
      <w:r w:rsidR="00293C83" w:rsidRPr="00684322">
        <w:rPr>
          <w:rFonts w:cs="Times New Roman"/>
          <w:noProof/>
          <w:lang w:eastAsia="cs-CZ"/>
        </w:rPr>
        <w:t xml:space="preserve">Jiri.Kroupa@mfcr.cz </w:t>
      </w:r>
    </w:p>
    <w:p w14:paraId="390B112D" w14:textId="6F79D222" w:rsidR="00186C86" w:rsidRPr="00684322" w:rsidRDefault="00CF6A79" w:rsidP="00684322">
      <w:pPr>
        <w:pStyle w:val="Odstavecseseznamem"/>
        <w:numPr>
          <w:ilvl w:val="0"/>
          <w:numId w:val="41"/>
        </w:numPr>
        <w:spacing w:before="0"/>
        <w:rPr>
          <w:rFonts w:cs="Times New Roman"/>
          <w:noProof/>
          <w:sz w:val="22"/>
          <w:lang w:eastAsia="cs-CZ"/>
        </w:rPr>
      </w:pPr>
      <w:r w:rsidRPr="00684322">
        <w:rPr>
          <w:rFonts w:cs="Times New Roman"/>
          <w:noProof/>
          <w:lang w:eastAsia="cs-CZ"/>
        </w:rPr>
        <w:t>Mgr. Zde</w:t>
      </w:r>
      <w:r w:rsidR="005A26CF" w:rsidRPr="00684322">
        <w:rPr>
          <w:rFonts w:cs="Times New Roman"/>
          <w:noProof/>
          <w:lang w:eastAsia="cs-CZ"/>
        </w:rPr>
        <w:t>ňka Pourová</w:t>
      </w:r>
      <w:r w:rsidR="00186C86" w:rsidRPr="00684322">
        <w:rPr>
          <w:rFonts w:cs="Times New Roman"/>
          <w:noProof/>
          <w:lang w:eastAsia="cs-CZ"/>
        </w:rPr>
        <w:t>,</w:t>
      </w:r>
      <w:r w:rsidR="000529CE" w:rsidRPr="00684322">
        <w:rPr>
          <w:rFonts w:cs="Times New Roman"/>
          <w:noProof/>
          <w:lang w:eastAsia="cs-CZ"/>
        </w:rPr>
        <w:t xml:space="preserve"> oddělení Legislativa správy daní a celnictví, Ministerstvo financí</w:t>
      </w:r>
      <w:r w:rsidR="00684322">
        <w:rPr>
          <w:rFonts w:cs="Times New Roman"/>
          <w:noProof/>
          <w:lang w:eastAsia="cs-CZ"/>
        </w:rPr>
        <w:t xml:space="preserve">, </w:t>
      </w:r>
      <w:r w:rsidR="00186C86" w:rsidRPr="00684322">
        <w:rPr>
          <w:rFonts w:cs="Times New Roman"/>
          <w:noProof/>
          <w:lang w:eastAsia="cs-CZ"/>
        </w:rPr>
        <w:t>tel.</w:t>
      </w:r>
      <w:r w:rsidR="00684322">
        <w:rPr>
          <w:rFonts w:cs="Times New Roman"/>
          <w:noProof/>
          <w:lang w:eastAsia="cs-CZ"/>
        </w:rPr>
        <w:t>:</w:t>
      </w:r>
      <w:r w:rsidR="00186C86" w:rsidRPr="00684322">
        <w:rPr>
          <w:rFonts w:cs="Times New Roman"/>
          <w:noProof/>
          <w:lang w:eastAsia="cs-CZ"/>
        </w:rPr>
        <w:t xml:space="preserve"> </w:t>
      </w:r>
      <w:r w:rsidR="00877791" w:rsidRPr="00684322">
        <w:rPr>
          <w:rFonts w:cs="Times New Roman"/>
          <w:noProof/>
          <w:lang w:eastAsia="cs-CZ"/>
        </w:rPr>
        <w:t>257 043 020</w:t>
      </w:r>
      <w:r w:rsidR="00186C86" w:rsidRPr="00684322">
        <w:rPr>
          <w:rFonts w:cs="Times New Roman"/>
          <w:noProof/>
          <w:lang w:eastAsia="cs-CZ"/>
        </w:rPr>
        <w:t xml:space="preserve">, e-mail: </w:t>
      </w:r>
      <w:r w:rsidR="00293C83" w:rsidRPr="00684322">
        <w:rPr>
          <w:rFonts w:cs="Times New Roman"/>
          <w:noProof/>
          <w:lang w:eastAsia="cs-CZ"/>
        </w:rPr>
        <w:t xml:space="preserve">Zdenka.Pourova@mfcr.cz </w:t>
      </w:r>
    </w:p>
    <w:p w14:paraId="47747753" w14:textId="77777777" w:rsidR="00D62703" w:rsidRDefault="00D62703" w:rsidP="00AB680C"/>
    <w:sectPr w:rsidR="00D62703" w:rsidSect="00AC1ED6">
      <w:footerReference w:type="default" r:id="rId13"/>
      <w:headerReference w:type="first" r:id="rId14"/>
      <w:pgSz w:w="11906" w:h="16838" w:code="9"/>
      <w:pgMar w:top="1418" w:right="1418" w:bottom="1418" w:left="1418" w:header="1134" w:footer="113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6F7EC6" w14:textId="77777777" w:rsidR="00FF0FBE" w:rsidRDefault="00FF0FBE" w:rsidP="00434B46">
      <w:pPr>
        <w:spacing w:before="0" w:after="0"/>
      </w:pPr>
      <w:r>
        <w:separator/>
      </w:r>
    </w:p>
  </w:endnote>
  <w:endnote w:type="continuationSeparator" w:id="0">
    <w:p w14:paraId="680DEE3C" w14:textId="77777777" w:rsidR="00FF0FBE" w:rsidRDefault="00FF0FBE" w:rsidP="00434B46">
      <w:pPr>
        <w:spacing w:before="0" w:after="0"/>
      </w:pPr>
      <w:r>
        <w:continuationSeparator/>
      </w:r>
    </w:p>
  </w:endnote>
  <w:endnote w:type="continuationNotice" w:id="1">
    <w:p w14:paraId="4086F6A6" w14:textId="77777777" w:rsidR="00FF0FBE" w:rsidRDefault="00FF0FBE">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81842855"/>
      <w:docPartObj>
        <w:docPartGallery w:val="Page Numbers (Bottom of Page)"/>
        <w:docPartUnique/>
      </w:docPartObj>
    </w:sdtPr>
    <w:sdtEndPr/>
    <w:sdtContent>
      <w:p w14:paraId="3B6A4D6F" w14:textId="076B2235" w:rsidR="00FF0FBE" w:rsidRDefault="00FF0FBE">
        <w:pPr>
          <w:pStyle w:val="Zpat"/>
          <w:jc w:val="center"/>
        </w:pPr>
        <w:r>
          <w:fldChar w:fldCharType="begin"/>
        </w:r>
        <w:r>
          <w:instrText>PAGE   \* MERGEFORMAT</w:instrText>
        </w:r>
        <w:r>
          <w:fldChar w:fldCharType="separate"/>
        </w:r>
        <w:r w:rsidR="00C01993">
          <w:rPr>
            <w:noProof/>
          </w:rPr>
          <w:t>10</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44B52D" w14:textId="77777777" w:rsidR="00FF0FBE" w:rsidRDefault="00FF0FBE" w:rsidP="00434B46">
      <w:pPr>
        <w:spacing w:before="0" w:after="0"/>
      </w:pPr>
      <w:r>
        <w:separator/>
      </w:r>
    </w:p>
  </w:footnote>
  <w:footnote w:type="continuationSeparator" w:id="0">
    <w:p w14:paraId="711F689B" w14:textId="77777777" w:rsidR="00FF0FBE" w:rsidRDefault="00FF0FBE" w:rsidP="00434B46">
      <w:pPr>
        <w:spacing w:before="0" w:after="0"/>
      </w:pPr>
      <w:r>
        <w:continuationSeparator/>
      </w:r>
    </w:p>
  </w:footnote>
  <w:footnote w:type="continuationNotice" w:id="1">
    <w:p w14:paraId="6D28DD72" w14:textId="77777777" w:rsidR="00FF0FBE" w:rsidRDefault="00FF0FBE">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EE76D7" w14:textId="17AE3A4B" w:rsidR="0031632C" w:rsidRPr="0031632C" w:rsidRDefault="0031632C" w:rsidP="0031632C">
    <w:pPr>
      <w:pStyle w:val="Zhlav"/>
      <w:jc w:val="right"/>
      <w:rPr>
        <w:b/>
        <w:bCs/>
      </w:rPr>
    </w:pPr>
    <w:r w:rsidRPr="0031632C">
      <w:rPr>
        <w:b/>
        <w:bCs/>
      </w:rPr>
      <w:t>V</w:t>
    </w:r>
    <w:r>
      <w:rPr>
        <w:b/>
        <w:bCs/>
      </w:rPr>
      <w:t>II</w:t>
    </w:r>
    <w:r w:rsidRPr="0031632C">
      <w:rPr>
        <w:b/>
        <w:bCs/>
      </w:rPr>
      <w:t>I.</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D2BEC"/>
    <w:multiLevelType w:val="hybridMultilevel"/>
    <w:tmpl w:val="422881E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4485F5B"/>
    <w:multiLevelType w:val="hybridMultilevel"/>
    <w:tmpl w:val="E2462C4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05AB0F68"/>
    <w:multiLevelType w:val="hybridMultilevel"/>
    <w:tmpl w:val="72DAAC8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10B40935"/>
    <w:multiLevelType w:val="hybridMultilevel"/>
    <w:tmpl w:val="F0CC6E0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138E7154"/>
    <w:multiLevelType w:val="hybridMultilevel"/>
    <w:tmpl w:val="8DA69742"/>
    <w:lvl w:ilvl="0" w:tplc="FFFFFFFF">
      <w:start w:val="1"/>
      <w:numFmt w:val="lowerLetter"/>
      <w:lvlText w:val="%1)"/>
      <w:lvlJc w:val="left"/>
      <w:pPr>
        <w:ind w:left="720" w:hanging="360"/>
      </w:pPr>
    </w:lvl>
    <w:lvl w:ilvl="1" w:tplc="FFFFFFFF">
      <w:numFmt w:val="bullet"/>
      <w:lvlText w:val="-"/>
      <w:lvlJc w:val="left"/>
      <w:pPr>
        <w:ind w:left="1785" w:hanging="705"/>
      </w:pPr>
      <w:rPr>
        <w:rFonts w:ascii="Arial" w:eastAsiaTheme="minorHAnsi" w:hAnsi="Arial" w:cs="Aria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5D830A7"/>
    <w:multiLevelType w:val="hybridMultilevel"/>
    <w:tmpl w:val="54CC69F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19B314AA"/>
    <w:multiLevelType w:val="hybridMultilevel"/>
    <w:tmpl w:val="2964354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1A7E1C2B"/>
    <w:multiLevelType w:val="hybridMultilevel"/>
    <w:tmpl w:val="8BCE09F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1E903A4D"/>
    <w:multiLevelType w:val="hybridMultilevel"/>
    <w:tmpl w:val="6FF81622"/>
    <w:lvl w:ilvl="0" w:tplc="2B36459E">
      <w:start w:val="1"/>
      <w:numFmt w:val="bullet"/>
      <w:pStyle w:val="Odrky"/>
      <w:lvlText w:val=""/>
      <w:lvlJc w:val="left"/>
      <w:pPr>
        <w:ind w:left="1074" w:hanging="360"/>
      </w:pPr>
      <w:rPr>
        <w:rFonts w:ascii="Symbol" w:hAnsi="Symbol" w:hint="default"/>
      </w:rPr>
    </w:lvl>
    <w:lvl w:ilvl="1" w:tplc="04050003" w:tentative="1">
      <w:start w:val="1"/>
      <w:numFmt w:val="bullet"/>
      <w:lvlText w:val="o"/>
      <w:lvlJc w:val="left"/>
      <w:pPr>
        <w:ind w:left="1797" w:hanging="360"/>
      </w:pPr>
      <w:rPr>
        <w:rFonts w:ascii="Courier New" w:hAnsi="Courier New" w:cs="Courier New" w:hint="default"/>
      </w:rPr>
    </w:lvl>
    <w:lvl w:ilvl="2" w:tplc="04050005" w:tentative="1">
      <w:start w:val="1"/>
      <w:numFmt w:val="bullet"/>
      <w:lvlText w:val=""/>
      <w:lvlJc w:val="left"/>
      <w:pPr>
        <w:ind w:left="2517" w:hanging="360"/>
      </w:pPr>
      <w:rPr>
        <w:rFonts w:ascii="Wingdings" w:hAnsi="Wingdings" w:hint="default"/>
      </w:rPr>
    </w:lvl>
    <w:lvl w:ilvl="3" w:tplc="04050001" w:tentative="1">
      <w:start w:val="1"/>
      <w:numFmt w:val="bullet"/>
      <w:lvlText w:val=""/>
      <w:lvlJc w:val="left"/>
      <w:pPr>
        <w:ind w:left="3237" w:hanging="360"/>
      </w:pPr>
      <w:rPr>
        <w:rFonts w:ascii="Symbol" w:hAnsi="Symbol" w:hint="default"/>
      </w:rPr>
    </w:lvl>
    <w:lvl w:ilvl="4" w:tplc="04050003" w:tentative="1">
      <w:start w:val="1"/>
      <w:numFmt w:val="bullet"/>
      <w:lvlText w:val="o"/>
      <w:lvlJc w:val="left"/>
      <w:pPr>
        <w:ind w:left="3957" w:hanging="360"/>
      </w:pPr>
      <w:rPr>
        <w:rFonts w:ascii="Courier New" w:hAnsi="Courier New" w:cs="Courier New" w:hint="default"/>
      </w:rPr>
    </w:lvl>
    <w:lvl w:ilvl="5" w:tplc="04050005" w:tentative="1">
      <w:start w:val="1"/>
      <w:numFmt w:val="bullet"/>
      <w:lvlText w:val=""/>
      <w:lvlJc w:val="left"/>
      <w:pPr>
        <w:ind w:left="4677" w:hanging="360"/>
      </w:pPr>
      <w:rPr>
        <w:rFonts w:ascii="Wingdings" w:hAnsi="Wingdings" w:hint="default"/>
      </w:rPr>
    </w:lvl>
    <w:lvl w:ilvl="6" w:tplc="04050001" w:tentative="1">
      <w:start w:val="1"/>
      <w:numFmt w:val="bullet"/>
      <w:lvlText w:val=""/>
      <w:lvlJc w:val="left"/>
      <w:pPr>
        <w:ind w:left="5397" w:hanging="360"/>
      </w:pPr>
      <w:rPr>
        <w:rFonts w:ascii="Symbol" w:hAnsi="Symbol" w:hint="default"/>
      </w:rPr>
    </w:lvl>
    <w:lvl w:ilvl="7" w:tplc="04050003" w:tentative="1">
      <w:start w:val="1"/>
      <w:numFmt w:val="bullet"/>
      <w:lvlText w:val="o"/>
      <w:lvlJc w:val="left"/>
      <w:pPr>
        <w:ind w:left="6117" w:hanging="360"/>
      </w:pPr>
      <w:rPr>
        <w:rFonts w:ascii="Courier New" w:hAnsi="Courier New" w:cs="Courier New" w:hint="default"/>
      </w:rPr>
    </w:lvl>
    <w:lvl w:ilvl="8" w:tplc="04050005" w:tentative="1">
      <w:start w:val="1"/>
      <w:numFmt w:val="bullet"/>
      <w:lvlText w:val=""/>
      <w:lvlJc w:val="left"/>
      <w:pPr>
        <w:ind w:left="6837" w:hanging="360"/>
      </w:pPr>
      <w:rPr>
        <w:rFonts w:ascii="Wingdings" w:hAnsi="Wingdings" w:hint="default"/>
      </w:rPr>
    </w:lvl>
  </w:abstractNum>
  <w:abstractNum w:abstractNumId="9" w15:restartNumberingAfterBreak="0">
    <w:nsid w:val="1ECB7925"/>
    <w:multiLevelType w:val="hybridMultilevel"/>
    <w:tmpl w:val="7DCC5A5A"/>
    <w:lvl w:ilvl="0" w:tplc="8236D6C2">
      <w:start w:val="1"/>
      <w:numFmt w:val="upperRoman"/>
      <w:lvlText w:val="%1."/>
      <w:lvlJc w:val="right"/>
      <w:pPr>
        <w:tabs>
          <w:tab w:val="num" w:pos="1170"/>
        </w:tabs>
        <w:ind w:left="1170" w:hanging="810"/>
      </w:pPr>
      <w:rPr>
        <w:rFonts w:hint="default"/>
        <w:b/>
      </w:r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0" w15:restartNumberingAfterBreak="0">
    <w:nsid w:val="1FDC00F9"/>
    <w:multiLevelType w:val="hybridMultilevel"/>
    <w:tmpl w:val="3648B56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21946389"/>
    <w:multiLevelType w:val="hybridMultilevel"/>
    <w:tmpl w:val="9DE25E72"/>
    <w:lvl w:ilvl="0" w:tplc="04050001">
      <w:start w:val="1"/>
      <w:numFmt w:val="bullet"/>
      <w:lvlText w:val=""/>
      <w:lvlJc w:val="left"/>
      <w:pPr>
        <w:ind w:left="780" w:hanging="360"/>
      </w:pPr>
      <w:rPr>
        <w:rFonts w:ascii="Symbol" w:hAnsi="Symbol" w:hint="default"/>
      </w:rPr>
    </w:lvl>
    <w:lvl w:ilvl="1" w:tplc="04050003" w:tentative="1">
      <w:start w:val="1"/>
      <w:numFmt w:val="bullet"/>
      <w:lvlText w:val="o"/>
      <w:lvlJc w:val="left"/>
      <w:pPr>
        <w:ind w:left="1500" w:hanging="360"/>
      </w:pPr>
      <w:rPr>
        <w:rFonts w:ascii="Courier New" w:hAnsi="Courier New" w:cs="Courier New" w:hint="default"/>
      </w:rPr>
    </w:lvl>
    <w:lvl w:ilvl="2" w:tplc="04050005" w:tentative="1">
      <w:start w:val="1"/>
      <w:numFmt w:val="bullet"/>
      <w:lvlText w:val=""/>
      <w:lvlJc w:val="left"/>
      <w:pPr>
        <w:ind w:left="2220" w:hanging="360"/>
      </w:pPr>
      <w:rPr>
        <w:rFonts w:ascii="Wingdings" w:hAnsi="Wingdings" w:hint="default"/>
      </w:rPr>
    </w:lvl>
    <w:lvl w:ilvl="3" w:tplc="04050001" w:tentative="1">
      <w:start w:val="1"/>
      <w:numFmt w:val="bullet"/>
      <w:lvlText w:val=""/>
      <w:lvlJc w:val="left"/>
      <w:pPr>
        <w:ind w:left="2940" w:hanging="360"/>
      </w:pPr>
      <w:rPr>
        <w:rFonts w:ascii="Symbol" w:hAnsi="Symbol" w:hint="default"/>
      </w:rPr>
    </w:lvl>
    <w:lvl w:ilvl="4" w:tplc="04050003" w:tentative="1">
      <w:start w:val="1"/>
      <w:numFmt w:val="bullet"/>
      <w:lvlText w:val="o"/>
      <w:lvlJc w:val="left"/>
      <w:pPr>
        <w:ind w:left="3660" w:hanging="360"/>
      </w:pPr>
      <w:rPr>
        <w:rFonts w:ascii="Courier New" w:hAnsi="Courier New" w:cs="Courier New" w:hint="default"/>
      </w:rPr>
    </w:lvl>
    <w:lvl w:ilvl="5" w:tplc="04050005" w:tentative="1">
      <w:start w:val="1"/>
      <w:numFmt w:val="bullet"/>
      <w:lvlText w:val=""/>
      <w:lvlJc w:val="left"/>
      <w:pPr>
        <w:ind w:left="4380" w:hanging="360"/>
      </w:pPr>
      <w:rPr>
        <w:rFonts w:ascii="Wingdings" w:hAnsi="Wingdings" w:hint="default"/>
      </w:rPr>
    </w:lvl>
    <w:lvl w:ilvl="6" w:tplc="04050001" w:tentative="1">
      <w:start w:val="1"/>
      <w:numFmt w:val="bullet"/>
      <w:lvlText w:val=""/>
      <w:lvlJc w:val="left"/>
      <w:pPr>
        <w:ind w:left="5100" w:hanging="360"/>
      </w:pPr>
      <w:rPr>
        <w:rFonts w:ascii="Symbol" w:hAnsi="Symbol" w:hint="default"/>
      </w:rPr>
    </w:lvl>
    <w:lvl w:ilvl="7" w:tplc="04050003" w:tentative="1">
      <w:start w:val="1"/>
      <w:numFmt w:val="bullet"/>
      <w:lvlText w:val="o"/>
      <w:lvlJc w:val="left"/>
      <w:pPr>
        <w:ind w:left="5820" w:hanging="360"/>
      </w:pPr>
      <w:rPr>
        <w:rFonts w:ascii="Courier New" w:hAnsi="Courier New" w:cs="Courier New" w:hint="default"/>
      </w:rPr>
    </w:lvl>
    <w:lvl w:ilvl="8" w:tplc="04050005" w:tentative="1">
      <w:start w:val="1"/>
      <w:numFmt w:val="bullet"/>
      <w:lvlText w:val=""/>
      <w:lvlJc w:val="left"/>
      <w:pPr>
        <w:ind w:left="6540" w:hanging="360"/>
      </w:pPr>
      <w:rPr>
        <w:rFonts w:ascii="Wingdings" w:hAnsi="Wingdings" w:hint="default"/>
      </w:rPr>
    </w:lvl>
  </w:abstractNum>
  <w:abstractNum w:abstractNumId="12" w15:restartNumberingAfterBreak="0">
    <w:nsid w:val="23CF0791"/>
    <w:multiLevelType w:val="hybridMultilevel"/>
    <w:tmpl w:val="8DA69742"/>
    <w:lvl w:ilvl="0" w:tplc="D220AB6A">
      <w:start w:val="1"/>
      <w:numFmt w:val="lowerLetter"/>
      <w:lvlText w:val="%1)"/>
      <w:lvlJc w:val="left"/>
      <w:pPr>
        <w:ind w:left="720" w:hanging="360"/>
      </w:pPr>
    </w:lvl>
    <w:lvl w:ilvl="1" w:tplc="8586FB76">
      <w:numFmt w:val="bullet"/>
      <w:lvlText w:val="-"/>
      <w:lvlJc w:val="left"/>
      <w:pPr>
        <w:ind w:left="1785" w:hanging="705"/>
      </w:pPr>
      <w:rPr>
        <w:rFonts w:ascii="Arial" w:eastAsiaTheme="minorHAnsi" w:hAnsi="Arial" w:cs="Arial"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23E3694C"/>
    <w:multiLevelType w:val="hybridMultilevel"/>
    <w:tmpl w:val="D3A05560"/>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253C1CB4"/>
    <w:multiLevelType w:val="hybridMultilevel"/>
    <w:tmpl w:val="B73C22CC"/>
    <w:lvl w:ilvl="0" w:tplc="A9FA5FBC">
      <w:start w:val="1"/>
      <w:numFmt w:val="bullet"/>
      <w:lvlText w:val="-"/>
      <w:lvlJc w:val="left"/>
      <w:pPr>
        <w:ind w:left="720" w:hanging="360"/>
      </w:pPr>
      <w:rPr>
        <w:rFonts w:ascii="Times New Roman" w:eastAsiaTheme="minorEastAsia" w:hAnsi="Times New Roman" w:cs="Times New Roman"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29B82B10"/>
    <w:multiLevelType w:val="hybridMultilevel"/>
    <w:tmpl w:val="985C74D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2A4E27EA"/>
    <w:multiLevelType w:val="hybridMultilevel"/>
    <w:tmpl w:val="62C20C36"/>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32261391"/>
    <w:multiLevelType w:val="hybridMultilevel"/>
    <w:tmpl w:val="9DEAC16A"/>
    <w:lvl w:ilvl="0" w:tplc="04050001">
      <w:start w:val="1"/>
      <w:numFmt w:val="bullet"/>
      <w:lvlText w:val=""/>
      <w:lvlJc w:val="left"/>
      <w:pPr>
        <w:ind w:left="777" w:hanging="360"/>
      </w:pPr>
      <w:rPr>
        <w:rFonts w:ascii="Symbol" w:hAnsi="Symbol" w:hint="default"/>
      </w:rPr>
    </w:lvl>
    <w:lvl w:ilvl="1" w:tplc="04050003" w:tentative="1">
      <w:start w:val="1"/>
      <w:numFmt w:val="bullet"/>
      <w:lvlText w:val="o"/>
      <w:lvlJc w:val="left"/>
      <w:pPr>
        <w:ind w:left="1497" w:hanging="360"/>
      </w:pPr>
      <w:rPr>
        <w:rFonts w:ascii="Courier New" w:hAnsi="Courier New" w:cs="Courier New" w:hint="default"/>
      </w:rPr>
    </w:lvl>
    <w:lvl w:ilvl="2" w:tplc="04050005" w:tentative="1">
      <w:start w:val="1"/>
      <w:numFmt w:val="bullet"/>
      <w:lvlText w:val=""/>
      <w:lvlJc w:val="left"/>
      <w:pPr>
        <w:ind w:left="2217" w:hanging="360"/>
      </w:pPr>
      <w:rPr>
        <w:rFonts w:ascii="Wingdings" w:hAnsi="Wingdings" w:hint="default"/>
      </w:rPr>
    </w:lvl>
    <w:lvl w:ilvl="3" w:tplc="04050001" w:tentative="1">
      <w:start w:val="1"/>
      <w:numFmt w:val="bullet"/>
      <w:lvlText w:val=""/>
      <w:lvlJc w:val="left"/>
      <w:pPr>
        <w:ind w:left="2937" w:hanging="360"/>
      </w:pPr>
      <w:rPr>
        <w:rFonts w:ascii="Symbol" w:hAnsi="Symbol" w:hint="default"/>
      </w:rPr>
    </w:lvl>
    <w:lvl w:ilvl="4" w:tplc="04050003" w:tentative="1">
      <w:start w:val="1"/>
      <w:numFmt w:val="bullet"/>
      <w:lvlText w:val="o"/>
      <w:lvlJc w:val="left"/>
      <w:pPr>
        <w:ind w:left="3657" w:hanging="360"/>
      </w:pPr>
      <w:rPr>
        <w:rFonts w:ascii="Courier New" w:hAnsi="Courier New" w:cs="Courier New" w:hint="default"/>
      </w:rPr>
    </w:lvl>
    <w:lvl w:ilvl="5" w:tplc="04050005" w:tentative="1">
      <w:start w:val="1"/>
      <w:numFmt w:val="bullet"/>
      <w:lvlText w:val=""/>
      <w:lvlJc w:val="left"/>
      <w:pPr>
        <w:ind w:left="4377" w:hanging="360"/>
      </w:pPr>
      <w:rPr>
        <w:rFonts w:ascii="Wingdings" w:hAnsi="Wingdings" w:hint="default"/>
      </w:rPr>
    </w:lvl>
    <w:lvl w:ilvl="6" w:tplc="04050001" w:tentative="1">
      <w:start w:val="1"/>
      <w:numFmt w:val="bullet"/>
      <w:lvlText w:val=""/>
      <w:lvlJc w:val="left"/>
      <w:pPr>
        <w:ind w:left="5097" w:hanging="360"/>
      </w:pPr>
      <w:rPr>
        <w:rFonts w:ascii="Symbol" w:hAnsi="Symbol" w:hint="default"/>
      </w:rPr>
    </w:lvl>
    <w:lvl w:ilvl="7" w:tplc="04050003" w:tentative="1">
      <w:start w:val="1"/>
      <w:numFmt w:val="bullet"/>
      <w:lvlText w:val="o"/>
      <w:lvlJc w:val="left"/>
      <w:pPr>
        <w:ind w:left="5817" w:hanging="360"/>
      </w:pPr>
      <w:rPr>
        <w:rFonts w:ascii="Courier New" w:hAnsi="Courier New" w:cs="Courier New" w:hint="default"/>
      </w:rPr>
    </w:lvl>
    <w:lvl w:ilvl="8" w:tplc="04050005" w:tentative="1">
      <w:start w:val="1"/>
      <w:numFmt w:val="bullet"/>
      <w:lvlText w:val=""/>
      <w:lvlJc w:val="left"/>
      <w:pPr>
        <w:ind w:left="6537" w:hanging="360"/>
      </w:pPr>
      <w:rPr>
        <w:rFonts w:ascii="Wingdings" w:hAnsi="Wingdings" w:hint="default"/>
      </w:rPr>
    </w:lvl>
  </w:abstractNum>
  <w:abstractNum w:abstractNumId="18" w15:restartNumberingAfterBreak="0">
    <w:nsid w:val="3FB9575A"/>
    <w:multiLevelType w:val="hybridMultilevel"/>
    <w:tmpl w:val="3AA4067C"/>
    <w:lvl w:ilvl="0" w:tplc="FFFFFFFF">
      <w:start w:val="8"/>
      <w:numFmt w:val="lowerLetter"/>
      <w:lvlText w:val="%1)"/>
      <w:lvlJc w:val="left"/>
      <w:pPr>
        <w:ind w:left="360" w:hanging="360"/>
      </w:pPr>
      <w:rPr>
        <w:rFonts w:hint="default"/>
      </w:rPr>
    </w:lvl>
    <w:lvl w:ilvl="1" w:tplc="B1688C72">
      <w:start w:val="8"/>
      <w:numFmt w:val="lowerLetter"/>
      <w:lvlText w:val="%2)"/>
      <w:lvlJc w:val="left"/>
      <w:pPr>
        <w:ind w:left="1440" w:hanging="360"/>
      </w:pPr>
      <w:rPr>
        <w:rFonts w:hint="default"/>
      </w:rPr>
    </w:lvl>
    <w:lvl w:ilvl="2" w:tplc="FC4A475C">
      <w:start w:val="1"/>
      <w:numFmt w:val="decimal"/>
      <w:lvlText w:val="%3)"/>
      <w:lvlJc w:val="left"/>
      <w:pPr>
        <w:ind w:left="2400" w:hanging="42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FF134FB"/>
    <w:multiLevelType w:val="hybridMultilevel"/>
    <w:tmpl w:val="2C925BFE"/>
    <w:lvl w:ilvl="0" w:tplc="A9FA5FBC">
      <w:start w:val="1"/>
      <w:numFmt w:val="bullet"/>
      <w:lvlText w:val="-"/>
      <w:lvlJc w:val="left"/>
      <w:pPr>
        <w:ind w:left="720" w:hanging="360"/>
      </w:pPr>
      <w:rPr>
        <w:rFonts w:ascii="Times New Roman" w:eastAsiaTheme="minorEastAsia" w:hAnsi="Times New Roman" w:cs="Times New Roman" w:hint="default"/>
      </w:rPr>
    </w:lvl>
    <w:lvl w:ilvl="1" w:tplc="A9FA5FBC">
      <w:start w:val="1"/>
      <w:numFmt w:val="bullet"/>
      <w:lvlText w:val="-"/>
      <w:lvlJc w:val="left"/>
      <w:pPr>
        <w:ind w:left="1440" w:hanging="360"/>
      </w:pPr>
      <w:rPr>
        <w:rFonts w:ascii="Times New Roman" w:eastAsiaTheme="minorEastAsia" w:hAnsi="Times New Roman" w:cs="Times New Roman"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43EB3F1B"/>
    <w:multiLevelType w:val="hybridMultilevel"/>
    <w:tmpl w:val="EDB26172"/>
    <w:lvl w:ilvl="0" w:tplc="04050011">
      <w:start w:val="1"/>
      <w:numFmt w:val="decimal"/>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21" w15:restartNumberingAfterBreak="0">
    <w:nsid w:val="4738628D"/>
    <w:multiLevelType w:val="hybridMultilevel"/>
    <w:tmpl w:val="0A9A006A"/>
    <w:lvl w:ilvl="0" w:tplc="406865DA">
      <w:start w:val="1"/>
      <w:numFmt w:val="lowerLetter"/>
      <w:lvlText w:val="%1)"/>
      <w:lvlJc w:val="left"/>
      <w:pPr>
        <w:ind w:left="720" w:hanging="360"/>
      </w:pPr>
      <w:rPr>
        <w:rFonts w:ascii="Arial" w:hAnsi="Arial" w:cs="Arial" w:hint="default"/>
        <w:sz w:val="24"/>
        <w:szCs w:val="24"/>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479433E9"/>
    <w:multiLevelType w:val="hybridMultilevel"/>
    <w:tmpl w:val="64BCDDE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15:restartNumberingAfterBreak="0">
    <w:nsid w:val="499344F2"/>
    <w:multiLevelType w:val="hybridMultilevel"/>
    <w:tmpl w:val="80DAA87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15:restartNumberingAfterBreak="0">
    <w:nsid w:val="4A5E466E"/>
    <w:multiLevelType w:val="hybridMultilevel"/>
    <w:tmpl w:val="3A949154"/>
    <w:lvl w:ilvl="0" w:tplc="FE3E1482">
      <w:numFmt w:val="bullet"/>
      <w:lvlText w:val="-"/>
      <w:lvlJc w:val="left"/>
      <w:pPr>
        <w:ind w:left="720" w:hanging="360"/>
      </w:pPr>
      <w:rPr>
        <w:rFonts w:ascii="Times New Roman" w:eastAsiaTheme="minorEastAsia"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15:restartNumberingAfterBreak="0">
    <w:nsid w:val="4C89797F"/>
    <w:multiLevelType w:val="hybridMultilevel"/>
    <w:tmpl w:val="DDACAF60"/>
    <w:lvl w:ilvl="0" w:tplc="8ECE14EA">
      <w:start w:val="2"/>
      <w:numFmt w:val="bullet"/>
      <w:lvlText w:val="-"/>
      <w:lvlJc w:val="left"/>
      <w:pPr>
        <w:ind w:left="720" w:hanging="360"/>
      </w:pPr>
      <w:rPr>
        <w:rFonts w:ascii="Times New Roman" w:eastAsiaTheme="minorEastAsia"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5F395092"/>
    <w:multiLevelType w:val="hybridMultilevel"/>
    <w:tmpl w:val="73365F30"/>
    <w:lvl w:ilvl="0" w:tplc="0405000F">
      <w:start w:val="1"/>
      <w:numFmt w:val="decimal"/>
      <w:lvlText w:val="%1."/>
      <w:lvlJc w:val="left"/>
      <w:pPr>
        <w:ind w:left="784" w:hanging="360"/>
      </w:pPr>
    </w:lvl>
    <w:lvl w:ilvl="1" w:tplc="04050019" w:tentative="1">
      <w:start w:val="1"/>
      <w:numFmt w:val="lowerLetter"/>
      <w:lvlText w:val="%2."/>
      <w:lvlJc w:val="left"/>
      <w:pPr>
        <w:ind w:left="1504" w:hanging="360"/>
      </w:pPr>
    </w:lvl>
    <w:lvl w:ilvl="2" w:tplc="0405001B" w:tentative="1">
      <w:start w:val="1"/>
      <w:numFmt w:val="lowerRoman"/>
      <w:lvlText w:val="%3."/>
      <w:lvlJc w:val="right"/>
      <w:pPr>
        <w:ind w:left="2224" w:hanging="180"/>
      </w:pPr>
    </w:lvl>
    <w:lvl w:ilvl="3" w:tplc="0405000F" w:tentative="1">
      <w:start w:val="1"/>
      <w:numFmt w:val="decimal"/>
      <w:lvlText w:val="%4."/>
      <w:lvlJc w:val="left"/>
      <w:pPr>
        <w:ind w:left="2944" w:hanging="360"/>
      </w:pPr>
    </w:lvl>
    <w:lvl w:ilvl="4" w:tplc="04050019" w:tentative="1">
      <w:start w:val="1"/>
      <w:numFmt w:val="lowerLetter"/>
      <w:lvlText w:val="%5."/>
      <w:lvlJc w:val="left"/>
      <w:pPr>
        <w:ind w:left="3664" w:hanging="360"/>
      </w:pPr>
    </w:lvl>
    <w:lvl w:ilvl="5" w:tplc="0405001B" w:tentative="1">
      <w:start w:val="1"/>
      <w:numFmt w:val="lowerRoman"/>
      <w:lvlText w:val="%6."/>
      <w:lvlJc w:val="right"/>
      <w:pPr>
        <w:ind w:left="4384" w:hanging="180"/>
      </w:pPr>
    </w:lvl>
    <w:lvl w:ilvl="6" w:tplc="0405000F" w:tentative="1">
      <w:start w:val="1"/>
      <w:numFmt w:val="decimal"/>
      <w:lvlText w:val="%7."/>
      <w:lvlJc w:val="left"/>
      <w:pPr>
        <w:ind w:left="5104" w:hanging="360"/>
      </w:pPr>
    </w:lvl>
    <w:lvl w:ilvl="7" w:tplc="04050019" w:tentative="1">
      <w:start w:val="1"/>
      <w:numFmt w:val="lowerLetter"/>
      <w:lvlText w:val="%8."/>
      <w:lvlJc w:val="left"/>
      <w:pPr>
        <w:ind w:left="5824" w:hanging="360"/>
      </w:pPr>
    </w:lvl>
    <w:lvl w:ilvl="8" w:tplc="0405001B" w:tentative="1">
      <w:start w:val="1"/>
      <w:numFmt w:val="lowerRoman"/>
      <w:lvlText w:val="%9."/>
      <w:lvlJc w:val="right"/>
      <w:pPr>
        <w:ind w:left="6544" w:hanging="180"/>
      </w:pPr>
    </w:lvl>
  </w:abstractNum>
  <w:abstractNum w:abstractNumId="27" w15:restartNumberingAfterBreak="0">
    <w:nsid w:val="66CD0FC1"/>
    <w:multiLevelType w:val="hybridMultilevel"/>
    <w:tmpl w:val="23D60CF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8" w15:restartNumberingAfterBreak="0">
    <w:nsid w:val="66F6307B"/>
    <w:multiLevelType w:val="hybridMultilevel"/>
    <w:tmpl w:val="F3D86AA0"/>
    <w:lvl w:ilvl="0" w:tplc="87E03AAA">
      <w:start w:val="1"/>
      <w:numFmt w:val="decimal"/>
      <w:lvlText w:val="%1."/>
      <w:lvlJc w:val="left"/>
      <w:pPr>
        <w:ind w:left="720" w:hanging="36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687362B1"/>
    <w:multiLevelType w:val="hybridMultilevel"/>
    <w:tmpl w:val="B3C06480"/>
    <w:lvl w:ilvl="0" w:tplc="04050001">
      <w:start w:val="1"/>
      <w:numFmt w:val="bullet"/>
      <w:lvlText w:val=""/>
      <w:lvlJc w:val="left"/>
      <w:pPr>
        <w:ind w:left="777" w:hanging="360"/>
      </w:pPr>
      <w:rPr>
        <w:rFonts w:ascii="Symbol" w:hAnsi="Symbol" w:hint="default"/>
      </w:rPr>
    </w:lvl>
    <w:lvl w:ilvl="1" w:tplc="04050003" w:tentative="1">
      <w:start w:val="1"/>
      <w:numFmt w:val="bullet"/>
      <w:lvlText w:val="o"/>
      <w:lvlJc w:val="left"/>
      <w:pPr>
        <w:ind w:left="1497" w:hanging="360"/>
      </w:pPr>
      <w:rPr>
        <w:rFonts w:ascii="Courier New" w:hAnsi="Courier New" w:cs="Courier New" w:hint="default"/>
      </w:rPr>
    </w:lvl>
    <w:lvl w:ilvl="2" w:tplc="04050005" w:tentative="1">
      <w:start w:val="1"/>
      <w:numFmt w:val="bullet"/>
      <w:lvlText w:val=""/>
      <w:lvlJc w:val="left"/>
      <w:pPr>
        <w:ind w:left="2217" w:hanging="360"/>
      </w:pPr>
      <w:rPr>
        <w:rFonts w:ascii="Wingdings" w:hAnsi="Wingdings" w:hint="default"/>
      </w:rPr>
    </w:lvl>
    <w:lvl w:ilvl="3" w:tplc="04050001" w:tentative="1">
      <w:start w:val="1"/>
      <w:numFmt w:val="bullet"/>
      <w:lvlText w:val=""/>
      <w:lvlJc w:val="left"/>
      <w:pPr>
        <w:ind w:left="2937" w:hanging="360"/>
      </w:pPr>
      <w:rPr>
        <w:rFonts w:ascii="Symbol" w:hAnsi="Symbol" w:hint="default"/>
      </w:rPr>
    </w:lvl>
    <w:lvl w:ilvl="4" w:tplc="04050003" w:tentative="1">
      <w:start w:val="1"/>
      <w:numFmt w:val="bullet"/>
      <w:lvlText w:val="o"/>
      <w:lvlJc w:val="left"/>
      <w:pPr>
        <w:ind w:left="3657" w:hanging="360"/>
      </w:pPr>
      <w:rPr>
        <w:rFonts w:ascii="Courier New" w:hAnsi="Courier New" w:cs="Courier New" w:hint="default"/>
      </w:rPr>
    </w:lvl>
    <w:lvl w:ilvl="5" w:tplc="04050005" w:tentative="1">
      <w:start w:val="1"/>
      <w:numFmt w:val="bullet"/>
      <w:lvlText w:val=""/>
      <w:lvlJc w:val="left"/>
      <w:pPr>
        <w:ind w:left="4377" w:hanging="360"/>
      </w:pPr>
      <w:rPr>
        <w:rFonts w:ascii="Wingdings" w:hAnsi="Wingdings" w:hint="default"/>
      </w:rPr>
    </w:lvl>
    <w:lvl w:ilvl="6" w:tplc="04050001" w:tentative="1">
      <w:start w:val="1"/>
      <w:numFmt w:val="bullet"/>
      <w:lvlText w:val=""/>
      <w:lvlJc w:val="left"/>
      <w:pPr>
        <w:ind w:left="5097" w:hanging="360"/>
      </w:pPr>
      <w:rPr>
        <w:rFonts w:ascii="Symbol" w:hAnsi="Symbol" w:hint="default"/>
      </w:rPr>
    </w:lvl>
    <w:lvl w:ilvl="7" w:tplc="04050003" w:tentative="1">
      <w:start w:val="1"/>
      <w:numFmt w:val="bullet"/>
      <w:lvlText w:val="o"/>
      <w:lvlJc w:val="left"/>
      <w:pPr>
        <w:ind w:left="5817" w:hanging="360"/>
      </w:pPr>
      <w:rPr>
        <w:rFonts w:ascii="Courier New" w:hAnsi="Courier New" w:cs="Courier New" w:hint="default"/>
      </w:rPr>
    </w:lvl>
    <w:lvl w:ilvl="8" w:tplc="04050005" w:tentative="1">
      <w:start w:val="1"/>
      <w:numFmt w:val="bullet"/>
      <w:lvlText w:val=""/>
      <w:lvlJc w:val="left"/>
      <w:pPr>
        <w:ind w:left="6537" w:hanging="360"/>
      </w:pPr>
      <w:rPr>
        <w:rFonts w:ascii="Wingdings" w:hAnsi="Wingdings" w:hint="default"/>
      </w:rPr>
    </w:lvl>
  </w:abstractNum>
  <w:abstractNum w:abstractNumId="30" w15:restartNumberingAfterBreak="0">
    <w:nsid w:val="6EA04A02"/>
    <w:multiLevelType w:val="hybridMultilevel"/>
    <w:tmpl w:val="DA3250D8"/>
    <w:lvl w:ilvl="0" w:tplc="04050017">
      <w:start w:val="1"/>
      <w:numFmt w:val="lowerLetter"/>
      <w:lvlText w:val="%1)"/>
      <w:lvlJc w:val="left"/>
      <w:pPr>
        <w:ind w:left="1713" w:hanging="360"/>
      </w:pPr>
    </w:lvl>
    <w:lvl w:ilvl="1" w:tplc="04050019" w:tentative="1">
      <w:start w:val="1"/>
      <w:numFmt w:val="lowerLetter"/>
      <w:lvlText w:val="%2."/>
      <w:lvlJc w:val="left"/>
      <w:pPr>
        <w:ind w:left="2433" w:hanging="360"/>
      </w:pPr>
    </w:lvl>
    <w:lvl w:ilvl="2" w:tplc="0405001B" w:tentative="1">
      <w:start w:val="1"/>
      <w:numFmt w:val="lowerRoman"/>
      <w:lvlText w:val="%3."/>
      <w:lvlJc w:val="right"/>
      <w:pPr>
        <w:ind w:left="3153" w:hanging="180"/>
      </w:pPr>
    </w:lvl>
    <w:lvl w:ilvl="3" w:tplc="0405000F" w:tentative="1">
      <w:start w:val="1"/>
      <w:numFmt w:val="decimal"/>
      <w:lvlText w:val="%4."/>
      <w:lvlJc w:val="left"/>
      <w:pPr>
        <w:ind w:left="3873" w:hanging="360"/>
      </w:pPr>
    </w:lvl>
    <w:lvl w:ilvl="4" w:tplc="04050019" w:tentative="1">
      <w:start w:val="1"/>
      <w:numFmt w:val="lowerLetter"/>
      <w:lvlText w:val="%5."/>
      <w:lvlJc w:val="left"/>
      <w:pPr>
        <w:ind w:left="4593" w:hanging="360"/>
      </w:pPr>
    </w:lvl>
    <w:lvl w:ilvl="5" w:tplc="0405001B" w:tentative="1">
      <w:start w:val="1"/>
      <w:numFmt w:val="lowerRoman"/>
      <w:lvlText w:val="%6."/>
      <w:lvlJc w:val="right"/>
      <w:pPr>
        <w:ind w:left="5313" w:hanging="180"/>
      </w:pPr>
    </w:lvl>
    <w:lvl w:ilvl="6" w:tplc="0405000F" w:tentative="1">
      <w:start w:val="1"/>
      <w:numFmt w:val="decimal"/>
      <w:lvlText w:val="%7."/>
      <w:lvlJc w:val="left"/>
      <w:pPr>
        <w:ind w:left="6033" w:hanging="360"/>
      </w:pPr>
    </w:lvl>
    <w:lvl w:ilvl="7" w:tplc="04050019" w:tentative="1">
      <w:start w:val="1"/>
      <w:numFmt w:val="lowerLetter"/>
      <w:lvlText w:val="%8."/>
      <w:lvlJc w:val="left"/>
      <w:pPr>
        <w:ind w:left="6753" w:hanging="360"/>
      </w:pPr>
    </w:lvl>
    <w:lvl w:ilvl="8" w:tplc="0405001B" w:tentative="1">
      <w:start w:val="1"/>
      <w:numFmt w:val="lowerRoman"/>
      <w:lvlText w:val="%9."/>
      <w:lvlJc w:val="right"/>
      <w:pPr>
        <w:ind w:left="7473" w:hanging="180"/>
      </w:pPr>
    </w:lvl>
  </w:abstractNum>
  <w:abstractNum w:abstractNumId="31" w15:restartNumberingAfterBreak="0">
    <w:nsid w:val="74DB3521"/>
    <w:multiLevelType w:val="hybridMultilevel"/>
    <w:tmpl w:val="D91C831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2" w15:restartNumberingAfterBreak="0">
    <w:nsid w:val="7B233A49"/>
    <w:multiLevelType w:val="multilevel"/>
    <w:tmpl w:val="2C9CDDF6"/>
    <w:lvl w:ilvl="0">
      <w:start w:val="1"/>
      <w:numFmt w:val="upperLetter"/>
      <w:pStyle w:val="st"/>
      <w:lvlText w:val="%1"/>
      <w:lvlJc w:val="left"/>
      <w:pPr>
        <w:ind w:left="432" w:hanging="432"/>
      </w:pPr>
      <w:rPr>
        <w:rFonts w:hint="default"/>
      </w:rPr>
    </w:lvl>
    <w:lvl w:ilvl="1">
      <w:start w:val="1"/>
      <w:numFmt w:val="decimal"/>
      <w:pStyle w:val="Nadpis1"/>
      <w:lvlText w:val="%2"/>
      <w:lvlJc w:val="left"/>
      <w:pPr>
        <w:ind w:left="576" w:hanging="576"/>
      </w:pPr>
      <w:rPr>
        <w:rFonts w:hint="default"/>
        <w:color w:val="140E96"/>
      </w:rPr>
    </w:lvl>
    <w:lvl w:ilvl="2">
      <w:start w:val="1"/>
      <w:numFmt w:val="decimal"/>
      <w:pStyle w:val="Nadpis2"/>
      <w:lvlText w:val="%2.%3"/>
      <w:lvlJc w:val="left"/>
      <w:pPr>
        <w:ind w:left="720" w:hanging="720"/>
      </w:pPr>
      <w:rPr>
        <w:rFonts w:hint="default"/>
        <w:color w:val="140E96"/>
      </w:rPr>
    </w:lvl>
    <w:lvl w:ilvl="3">
      <w:start w:val="1"/>
      <w:numFmt w:val="decimal"/>
      <w:pStyle w:val="Nadpis3"/>
      <w:lvlText w:val="%2.%3.%4"/>
      <w:lvlJc w:val="left"/>
      <w:pPr>
        <w:ind w:left="864" w:hanging="864"/>
      </w:pPr>
      <w:rPr>
        <w:rFonts w:hint="default"/>
        <w:strike w:val="0"/>
        <w:color w:val="140E96"/>
      </w:rPr>
    </w:lvl>
    <w:lvl w:ilvl="4">
      <w:start w:val="1"/>
      <w:numFmt w:val="decimal"/>
      <w:pStyle w:val="Nadpis4"/>
      <w:lvlText w:val="%2.%3.%4.%5"/>
      <w:lvlJc w:val="left"/>
      <w:pPr>
        <w:ind w:left="1008" w:hanging="1008"/>
      </w:pPr>
      <w:rPr>
        <w:rFonts w:hint="default"/>
        <w:color w:val="140E96"/>
      </w:rPr>
    </w:lvl>
    <w:lvl w:ilvl="5">
      <w:start w:val="1"/>
      <w:numFmt w:val="decimal"/>
      <w:pStyle w:val="Nadpis5"/>
      <w:lvlText w:val="%2.%3.%4.%5.%6"/>
      <w:lvlJc w:val="left"/>
      <w:pPr>
        <w:ind w:left="1152" w:hanging="1152"/>
      </w:pPr>
      <w:rPr>
        <w:rFonts w:hint="default"/>
      </w:rPr>
    </w:lvl>
    <w:lvl w:ilvl="6">
      <w:start w:val="1"/>
      <w:numFmt w:val="decimal"/>
      <w:pStyle w:val="Nadpis6"/>
      <w:lvlText w:val="%2.%3.%4.%5.%6.%7"/>
      <w:lvlJc w:val="left"/>
      <w:pPr>
        <w:ind w:left="1296" w:hanging="1296"/>
      </w:pPr>
      <w:rPr>
        <w:rFonts w:hint="default"/>
      </w:rPr>
    </w:lvl>
    <w:lvl w:ilvl="7">
      <w:start w:val="1"/>
      <w:numFmt w:val="decimal"/>
      <w:pStyle w:val="Nadpis7"/>
      <w:lvlText w:val="%2.%3.%4.%5.%6.%7.%8"/>
      <w:lvlJc w:val="left"/>
      <w:pPr>
        <w:ind w:left="1440" w:hanging="1440"/>
      </w:pPr>
      <w:rPr>
        <w:rFonts w:hint="default"/>
      </w:rPr>
    </w:lvl>
    <w:lvl w:ilvl="8">
      <w:start w:val="1"/>
      <w:numFmt w:val="decimal"/>
      <w:pStyle w:val="Nadpis8"/>
      <w:lvlText w:val="%2.%3.%4.%5.%6.%7.%8.%9"/>
      <w:lvlJc w:val="left"/>
      <w:pPr>
        <w:ind w:left="1584" w:hanging="1584"/>
      </w:pPr>
      <w:rPr>
        <w:rFonts w:hint="default"/>
      </w:rPr>
    </w:lvl>
  </w:abstractNum>
  <w:abstractNum w:abstractNumId="33" w15:restartNumberingAfterBreak="0">
    <w:nsid w:val="7E316A52"/>
    <w:multiLevelType w:val="hybridMultilevel"/>
    <w:tmpl w:val="4CDE4CF8"/>
    <w:lvl w:ilvl="0" w:tplc="5C58F966">
      <w:start w:val="1"/>
      <w:numFmt w:val="upperRoman"/>
      <w:lvlText w:val="%1."/>
      <w:lvlJc w:val="right"/>
      <w:pPr>
        <w:ind w:left="794" w:hanging="437"/>
      </w:pPr>
      <w:rPr>
        <w:rFonts w:hint="default"/>
      </w:rPr>
    </w:lvl>
    <w:lvl w:ilvl="1" w:tplc="04050019">
      <w:start w:val="1"/>
      <w:numFmt w:val="lowerLetter"/>
      <w:pStyle w:val="Podst"/>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32"/>
  </w:num>
  <w:num w:numId="2">
    <w:abstractNumId w:val="8"/>
  </w:num>
  <w:num w:numId="3">
    <w:abstractNumId w:val="33"/>
  </w:num>
  <w:num w:numId="4">
    <w:abstractNumId w:val="15"/>
  </w:num>
  <w:num w:numId="5">
    <w:abstractNumId w:val="3"/>
  </w:num>
  <w:num w:numId="6">
    <w:abstractNumId w:val="10"/>
  </w:num>
  <w:num w:numId="7">
    <w:abstractNumId w:val="0"/>
  </w:num>
  <w:num w:numId="8">
    <w:abstractNumId w:val="28"/>
  </w:num>
  <w:num w:numId="9">
    <w:abstractNumId w:val="25"/>
  </w:num>
  <w:num w:numId="10">
    <w:abstractNumId w:val="11"/>
  </w:num>
  <w:num w:numId="11">
    <w:abstractNumId w:val="23"/>
  </w:num>
  <w:num w:numId="12">
    <w:abstractNumId w:val="27"/>
  </w:num>
  <w:num w:numId="13">
    <w:abstractNumId w:val="32"/>
  </w:num>
  <w:num w:numId="14">
    <w:abstractNumId w:val="32"/>
  </w:num>
  <w:num w:numId="15">
    <w:abstractNumId w:val="32"/>
  </w:num>
  <w:num w:numId="16">
    <w:abstractNumId w:val="32"/>
  </w:num>
  <w:num w:numId="17">
    <w:abstractNumId w:val="32"/>
  </w:num>
  <w:num w:numId="18">
    <w:abstractNumId w:val="32"/>
  </w:num>
  <w:num w:numId="19">
    <w:abstractNumId w:val="29"/>
  </w:num>
  <w:num w:numId="20">
    <w:abstractNumId w:val="17"/>
  </w:num>
  <w:num w:numId="21">
    <w:abstractNumId w:val="7"/>
  </w:num>
  <w:num w:numId="22">
    <w:abstractNumId w:val="2"/>
  </w:num>
  <w:num w:numId="23">
    <w:abstractNumId w:val="6"/>
  </w:num>
  <w:num w:numId="24">
    <w:abstractNumId w:val="19"/>
  </w:num>
  <w:num w:numId="25">
    <w:abstractNumId w:val="14"/>
  </w:num>
  <w:num w:numId="26">
    <w:abstractNumId w:val="26"/>
  </w:num>
  <w:num w:numId="27">
    <w:abstractNumId w:val="24"/>
  </w:num>
  <w:num w:numId="28">
    <w:abstractNumId w:val="31"/>
  </w:num>
  <w:num w:numId="29">
    <w:abstractNumId w:val="32"/>
  </w:num>
  <w:num w:numId="30">
    <w:abstractNumId w:val="16"/>
  </w:num>
  <w:num w:numId="31">
    <w:abstractNumId w:val="13"/>
  </w:num>
  <w:num w:numId="32">
    <w:abstractNumId w:val="20"/>
  </w:num>
  <w:num w:numId="33">
    <w:abstractNumId w:val="18"/>
  </w:num>
  <w:num w:numId="34">
    <w:abstractNumId w:val="30"/>
  </w:num>
  <w:num w:numId="35">
    <w:abstractNumId w:val="12"/>
  </w:num>
  <w:num w:numId="36">
    <w:abstractNumId w:val="21"/>
  </w:num>
  <w:num w:numId="37">
    <w:abstractNumId w:val="9"/>
  </w:num>
  <w:num w:numId="3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
  </w:num>
  <w:num w:numId="40">
    <w:abstractNumId w:val="22"/>
  </w:num>
  <w:num w:numId="41">
    <w:abstractNumId w:val="5"/>
  </w:num>
  <w:num w:numId="42">
    <w:abstractNumId w:val="32"/>
  </w:num>
  <w:num w:numId="43">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1AC8"/>
    <w:rsid w:val="0000006C"/>
    <w:rsid w:val="00000434"/>
    <w:rsid w:val="00000716"/>
    <w:rsid w:val="00000E3B"/>
    <w:rsid w:val="0000117C"/>
    <w:rsid w:val="00001C97"/>
    <w:rsid w:val="00002630"/>
    <w:rsid w:val="000027BD"/>
    <w:rsid w:val="00003257"/>
    <w:rsid w:val="00003942"/>
    <w:rsid w:val="00003B1F"/>
    <w:rsid w:val="000040C3"/>
    <w:rsid w:val="000043D0"/>
    <w:rsid w:val="00004408"/>
    <w:rsid w:val="00005086"/>
    <w:rsid w:val="00006370"/>
    <w:rsid w:val="00006A19"/>
    <w:rsid w:val="00006D3F"/>
    <w:rsid w:val="0000752E"/>
    <w:rsid w:val="0000780B"/>
    <w:rsid w:val="00010432"/>
    <w:rsid w:val="00010A37"/>
    <w:rsid w:val="00011B5A"/>
    <w:rsid w:val="00012E12"/>
    <w:rsid w:val="0001362C"/>
    <w:rsid w:val="000153E6"/>
    <w:rsid w:val="000161F8"/>
    <w:rsid w:val="000163F0"/>
    <w:rsid w:val="00016C47"/>
    <w:rsid w:val="00016E0A"/>
    <w:rsid w:val="00016F6E"/>
    <w:rsid w:val="00017C9D"/>
    <w:rsid w:val="00020217"/>
    <w:rsid w:val="00020A42"/>
    <w:rsid w:val="00020BA4"/>
    <w:rsid w:val="00020D48"/>
    <w:rsid w:val="00021180"/>
    <w:rsid w:val="00021290"/>
    <w:rsid w:val="000214F4"/>
    <w:rsid w:val="00021B02"/>
    <w:rsid w:val="0002268E"/>
    <w:rsid w:val="000233AE"/>
    <w:rsid w:val="00023730"/>
    <w:rsid w:val="00024120"/>
    <w:rsid w:val="00024C20"/>
    <w:rsid w:val="000277FD"/>
    <w:rsid w:val="00030554"/>
    <w:rsid w:val="00030A5D"/>
    <w:rsid w:val="00032608"/>
    <w:rsid w:val="00032F15"/>
    <w:rsid w:val="0003340D"/>
    <w:rsid w:val="000343F6"/>
    <w:rsid w:val="00034B49"/>
    <w:rsid w:val="00034CC8"/>
    <w:rsid w:val="00034E7B"/>
    <w:rsid w:val="00034F09"/>
    <w:rsid w:val="00036202"/>
    <w:rsid w:val="000362B0"/>
    <w:rsid w:val="00036B60"/>
    <w:rsid w:val="00036B7E"/>
    <w:rsid w:val="0003704E"/>
    <w:rsid w:val="000372F7"/>
    <w:rsid w:val="00040539"/>
    <w:rsid w:val="000407D6"/>
    <w:rsid w:val="00040D67"/>
    <w:rsid w:val="00040FE9"/>
    <w:rsid w:val="00041B03"/>
    <w:rsid w:val="000432B1"/>
    <w:rsid w:val="00043B53"/>
    <w:rsid w:val="00043FDA"/>
    <w:rsid w:val="00044674"/>
    <w:rsid w:val="00044706"/>
    <w:rsid w:val="00044F92"/>
    <w:rsid w:val="00045209"/>
    <w:rsid w:val="00045417"/>
    <w:rsid w:val="00045528"/>
    <w:rsid w:val="000459F8"/>
    <w:rsid w:val="00045CCF"/>
    <w:rsid w:val="00045E28"/>
    <w:rsid w:val="000472E3"/>
    <w:rsid w:val="00047437"/>
    <w:rsid w:val="00047C05"/>
    <w:rsid w:val="00050C99"/>
    <w:rsid w:val="0005172F"/>
    <w:rsid w:val="000529CE"/>
    <w:rsid w:val="00052B86"/>
    <w:rsid w:val="00052F86"/>
    <w:rsid w:val="000539BE"/>
    <w:rsid w:val="00053C51"/>
    <w:rsid w:val="00054839"/>
    <w:rsid w:val="000548DC"/>
    <w:rsid w:val="00054AFB"/>
    <w:rsid w:val="00055EA6"/>
    <w:rsid w:val="000564B3"/>
    <w:rsid w:val="00057E60"/>
    <w:rsid w:val="00060647"/>
    <w:rsid w:val="0006191B"/>
    <w:rsid w:val="00061BBF"/>
    <w:rsid w:val="000625B7"/>
    <w:rsid w:val="00062667"/>
    <w:rsid w:val="000628AA"/>
    <w:rsid w:val="00064A13"/>
    <w:rsid w:val="00064B72"/>
    <w:rsid w:val="000652B7"/>
    <w:rsid w:val="00066884"/>
    <w:rsid w:val="00066D5E"/>
    <w:rsid w:val="00066DAE"/>
    <w:rsid w:val="000677AF"/>
    <w:rsid w:val="00070A5A"/>
    <w:rsid w:val="00070F96"/>
    <w:rsid w:val="00071178"/>
    <w:rsid w:val="00071E46"/>
    <w:rsid w:val="00072508"/>
    <w:rsid w:val="00073362"/>
    <w:rsid w:val="000751FA"/>
    <w:rsid w:val="00075B99"/>
    <w:rsid w:val="00075C4C"/>
    <w:rsid w:val="00076B02"/>
    <w:rsid w:val="00081941"/>
    <w:rsid w:val="000833E3"/>
    <w:rsid w:val="00083C13"/>
    <w:rsid w:val="00083FB6"/>
    <w:rsid w:val="0008454A"/>
    <w:rsid w:val="00084BEE"/>
    <w:rsid w:val="00084C2D"/>
    <w:rsid w:val="000875D4"/>
    <w:rsid w:val="00090486"/>
    <w:rsid w:val="000907A2"/>
    <w:rsid w:val="0009122A"/>
    <w:rsid w:val="000918F3"/>
    <w:rsid w:val="00091994"/>
    <w:rsid w:val="00091E51"/>
    <w:rsid w:val="00093C02"/>
    <w:rsid w:val="00094006"/>
    <w:rsid w:val="00094076"/>
    <w:rsid w:val="000940EC"/>
    <w:rsid w:val="00095AD1"/>
    <w:rsid w:val="00095D75"/>
    <w:rsid w:val="00095E32"/>
    <w:rsid w:val="00096575"/>
    <w:rsid w:val="0009679A"/>
    <w:rsid w:val="0009688F"/>
    <w:rsid w:val="000970A4"/>
    <w:rsid w:val="000A05E1"/>
    <w:rsid w:val="000A1124"/>
    <w:rsid w:val="000A3BCA"/>
    <w:rsid w:val="000A3D2F"/>
    <w:rsid w:val="000A3FC0"/>
    <w:rsid w:val="000A4C05"/>
    <w:rsid w:val="000A4CED"/>
    <w:rsid w:val="000A6252"/>
    <w:rsid w:val="000A6391"/>
    <w:rsid w:val="000A6E04"/>
    <w:rsid w:val="000A70AA"/>
    <w:rsid w:val="000B0085"/>
    <w:rsid w:val="000B0835"/>
    <w:rsid w:val="000B084A"/>
    <w:rsid w:val="000B0E83"/>
    <w:rsid w:val="000B1615"/>
    <w:rsid w:val="000B3ACB"/>
    <w:rsid w:val="000B3BDF"/>
    <w:rsid w:val="000B4535"/>
    <w:rsid w:val="000B4564"/>
    <w:rsid w:val="000B49C0"/>
    <w:rsid w:val="000B4CC7"/>
    <w:rsid w:val="000B4E13"/>
    <w:rsid w:val="000B5CA2"/>
    <w:rsid w:val="000B66DE"/>
    <w:rsid w:val="000B6F14"/>
    <w:rsid w:val="000B7109"/>
    <w:rsid w:val="000C0D96"/>
    <w:rsid w:val="000C11B6"/>
    <w:rsid w:val="000C1D22"/>
    <w:rsid w:val="000C2F53"/>
    <w:rsid w:val="000C3B9A"/>
    <w:rsid w:val="000C49CD"/>
    <w:rsid w:val="000C5607"/>
    <w:rsid w:val="000C6C2C"/>
    <w:rsid w:val="000C75F0"/>
    <w:rsid w:val="000D00F4"/>
    <w:rsid w:val="000D1B5F"/>
    <w:rsid w:val="000D1CDB"/>
    <w:rsid w:val="000D25EC"/>
    <w:rsid w:val="000D4707"/>
    <w:rsid w:val="000D4CAA"/>
    <w:rsid w:val="000D578A"/>
    <w:rsid w:val="000D63C6"/>
    <w:rsid w:val="000D6A3D"/>
    <w:rsid w:val="000D6F6E"/>
    <w:rsid w:val="000D7FDF"/>
    <w:rsid w:val="000E046A"/>
    <w:rsid w:val="000E159D"/>
    <w:rsid w:val="000E1679"/>
    <w:rsid w:val="000E2ECA"/>
    <w:rsid w:val="000E3561"/>
    <w:rsid w:val="000E4E6D"/>
    <w:rsid w:val="000E5D9E"/>
    <w:rsid w:val="000E60B2"/>
    <w:rsid w:val="000E659D"/>
    <w:rsid w:val="000F0894"/>
    <w:rsid w:val="000F1F92"/>
    <w:rsid w:val="000F2F12"/>
    <w:rsid w:val="000F3F01"/>
    <w:rsid w:val="000F4951"/>
    <w:rsid w:val="000F4F96"/>
    <w:rsid w:val="000F5275"/>
    <w:rsid w:val="000F567A"/>
    <w:rsid w:val="000F625D"/>
    <w:rsid w:val="000F6F38"/>
    <w:rsid w:val="000F7A5F"/>
    <w:rsid w:val="00100450"/>
    <w:rsid w:val="001006F6"/>
    <w:rsid w:val="00100AF4"/>
    <w:rsid w:val="00101656"/>
    <w:rsid w:val="001026F2"/>
    <w:rsid w:val="00102ABF"/>
    <w:rsid w:val="001047BC"/>
    <w:rsid w:val="001052E9"/>
    <w:rsid w:val="0010574B"/>
    <w:rsid w:val="00106A6D"/>
    <w:rsid w:val="00106E6A"/>
    <w:rsid w:val="00106F5F"/>
    <w:rsid w:val="00107FB1"/>
    <w:rsid w:val="001105F8"/>
    <w:rsid w:val="001109AE"/>
    <w:rsid w:val="00111D95"/>
    <w:rsid w:val="00113330"/>
    <w:rsid w:val="00116F69"/>
    <w:rsid w:val="0011725B"/>
    <w:rsid w:val="001200BE"/>
    <w:rsid w:val="0012019D"/>
    <w:rsid w:val="0012192D"/>
    <w:rsid w:val="00122247"/>
    <w:rsid w:val="00122C20"/>
    <w:rsid w:val="00123456"/>
    <w:rsid w:val="001239D1"/>
    <w:rsid w:val="00124BFE"/>
    <w:rsid w:val="001251DA"/>
    <w:rsid w:val="00125792"/>
    <w:rsid w:val="001257A9"/>
    <w:rsid w:val="00125E43"/>
    <w:rsid w:val="00126D2C"/>
    <w:rsid w:val="001270BE"/>
    <w:rsid w:val="001274AE"/>
    <w:rsid w:val="001275DE"/>
    <w:rsid w:val="00131675"/>
    <w:rsid w:val="00131A15"/>
    <w:rsid w:val="00132AFA"/>
    <w:rsid w:val="00132BE4"/>
    <w:rsid w:val="00133471"/>
    <w:rsid w:val="0013382A"/>
    <w:rsid w:val="001339AA"/>
    <w:rsid w:val="00133E03"/>
    <w:rsid w:val="001341EA"/>
    <w:rsid w:val="00135138"/>
    <w:rsid w:val="00135C7F"/>
    <w:rsid w:val="00136013"/>
    <w:rsid w:val="00136258"/>
    <w:rsid w:val="00136C2A"/>
    <w:rsid w:val="001373E2"/>
    <w:rsid w:val="00137C84"/>
    <w:rsid w:val="00137CBC"/>
    <w:rsid w:val="00137F1E"/>
    <w:rsid w:val="00140A24"/>
    <w:rsid w:val="00141D91"/>
    <w:rsid w:val="00141E94"/>
    <w:rsid w:val="001422BB"/>
    <w:rsid w:val="0014308C"/>
    <w:rsid w:val="00144967"/>
    <w:rsid w:val="00144B6D"/>
    <w:rsid w:val="001454EA"/>
    <w:rsid w:val="00145568"/>
    <w:rsid w:val="001469D5"/>
    <w:rsid w:val="00146EB6"/>
    <w:rsid w:val="00146F11"/>
    <w:rsid w:val="00147E2C"/>
    <w:rsid w:val="00150C38"/>
    <w:rsid w:val="00153F79"/>
    <w:rsid w:val="00154010"/>
    <w:rsid w:val="001540C5"/>
    <w:rsid w:val="00154C3A"/>
    <w:rsid w:val="0015512E"/>
    <w:rsid w:val="00155571"/>
    <w:rsid w:val="0015593D"/>
    <w:rsid w:val="00155C1C"/>
    <w:rsid w:val="00155DBC"/>
    <w:rsid w:val="00155ED4"/>
    <w:rsid w:val="00156FD3"/>
    <w:rsid w:val="0015716E"/>
    <w:rsid w:val="001579D1"/>
    <w:rsid w:val="00160813"/>
    <w:rsid w:val="00160B4A"/>
    <w:rsid w:val="001610D6"/>
    <w:rsid w:val="0016130F"/>
    <w:rsid w:val="00161F51"/>
    <w:rsid w:val="0016267F"/>
    <w:rsid w:val="00162E39"/>
    <w:rsid w:val="00162E3A"/>
    <w:rsid w:val="00163229"/>
    <w:rsid w:val="00163922"/>
    <w:rsid w:val="00163D41"/>
    <w:rsid w:val="001647C3"/>
    <w:rsid w:val="0016531C"/>
    <w:rsid w:val="001657FB"/>
    <w:rsid w:val="00165BB7"/>
    <w:rsid w:val="00166217"/>
    <w:rsid w:val="00167C2C"/>
    <w:rsid w:val="001705CE"/>
    <w:rsid w:val="00170CD5"/>
    <w:rsid w:val="00171D74"/>
    <w:rsid w:val="00171F5D"/>
    <w:rsid w:val="001724E2"/>
    <w:rsid w:val="00180C79"/>
    <w:rsid w:val="00181069"/>
    <w:rsid w:val="00181140"/>
    <w:rsid w:val="0018161B"/>
    <w:rsid w:val="001819AD"/>
    <w:rsid w:val="00181B33"/>
    <w:rsid w:val="00181F9E"/>
    <w:rsid w:val="00182828"/>
    <w:rsid w:val="00182DCA"/>
    <w:rsid w:val="00185B5F"/>
    <w:rsid w:val="00185EE0"/>
    <w:rsid w:val="00186409"/>
    <w:rsid w:val="00186962"/>
    <w:rsid w:val="00186BC6"/>
    <w:rsid w:val="00186C86"/>
    <w:rsid w:val="00187643"/>
    <w:rsid w:val="00190ADE"/>
    <w:rsid w:val="001928B8"/>
    <w:rsid w:val="00192E64"/>
    <w:rsid w:val="00193700"/>
    <w:rsid w:val="00193B91"/>
    <w:rsid w:val="00194542"/>
    <w:rsid w:val="0019456E"/>
    <w:rsid w:val="001949F4"/>
    <w:rsid w:val="001950DD"/>
    <w:rsid w:val="00195FBF"/>
    <w:rsid w:val="001960C8"/>
    <w:rsid w:val="001962ED"/>
    <w:rsid w:val="001964BE"/>
    <w:rsid w:val="001969CB"/>
    <w:rsid w:val="00197630"/>
    <w:rsid w:val="001A080C"/>
    <w:rsid w:val="001A0BD7"/>
    <w:rsid w:val="001A17F5"/>
    <w:rsid w:val="001A1BAB"/>
    <w:rsid w:val="001A1CAC"/>
    <w:rsid w:val="001A20A1"/>
    <w:rsid w:val="001A2204"/>
    <w:rsid w:val="001A22A3"/>
    <w:rsid w:val="001A2339"/>
    <w:rsid w:val="001A3546"/>
    <w:rsid w:val="001A3B88"/>
    <w:rsid w:val="001A42B4"/>
    <w:rsid w:val="001A4325"/>
    <w:rsid w:val="001A71D0"/>
    <w:rsid w:val="001A74AF"/>
    <w:rsid w:val="001A74FC"/>
    <w:rsid w:val="001B11BC"/>
    <w:rsid w:val="001B136F"/>
    <w:rsid w:val="001B2718"/>
    <w:rsid w:val="001B2C0D"/>
    <w:rsid w:val="001B380F"/>
    <w:rsid w:val="001B4A1B"/>
    <w:rsid w:val="001B52D9"/>
    <w:rsid w:val="001B5D9F"/>
    <w:rsid w:val="001B66C4"/>
    <w:rsid w:val="001B68E1"/>
    <w:rsid w:val="001B79D5"/>
    <w:rsid w:val="001B7CCD"/>
    <w:rsid w:val="001B7EE3"/>
    <w:rsid w:val="001C0C01"/>
    <w:rsid w:val="001C0E25"/>
    <w:rsid w:val="001C16BB"/>
    <w:rsid w:val="001C225D"/>
    <w:rsid w:val="001C3298"/>
    <w:rsid w:val="001C354E"/>
    <w:rsid w:val="001C36DC"/>
    <w:rsid w:val="001C426E"/>
    <w:rsid w:val="001C5305"/>
    <w:rsid w:val="001C5A3B"/>
    <w:rsid w:val="001C71C4"/>
    <w:rsid w:val="001D1894"/>
    <w:rsid w:val="001D1DA4"/>
    <w:rsid w:val="001D207B"/>
    <w:rsid w:val="001D3751"/>
    <w:rsid w:val="001D3F6F"/>
    <w:rsid w:val="001D4485"/>
    <w:rsid w:val="001D4FB4"/>
    <w:rsid w:val="001D5406"/>
    <w:rsid w:val="001D54BA"/>
    <w:rsid w:val="001D5749"/>
    <w:rsid w:val="001D5D15"/>
    <w:rsid w:val="001D6778"/>
    <w:rsid w:val="001D69B8"/>
    <w:rsid w:val="001E287C"/>
    <w:rsid w:val="001E28CA"/>
    <w:rsid w:val="001E361B"/>
    <w:rsid w:val="001E3C6B"/>
    <w:rsid w:val="001E4435"/>
    <w:rsid w:val="001E4C72"/>
    <w:rsid w:val="001E4DB0"/>
    <w:rsid w:val="001E5E00"/>
    <w:rsid w:val="001F2CD8"/>
    <w:rsid w:val="001F474C"/>
    <w:rsid w:val="001F4E43"/>
    <w:rsid w:val="001F4F23"/>
    <w:rsid w:val="001F54FC"/>
    <w:rsid w:val="001F6816"/>
    <w:rsid w:val="001F68B3"/>
    <w:rsid w:val="001F69AF"/>
    <w:rsid w:val="00200410"/>
    <w:rsid w:val="00200F24"/>
    <w:rsid w:val="00201E82"/>
    <w:rsid w:val="002025E0"/>
    <w:rsid w:val="002030D6"/>
    <w:rsid w:val="00203F92"/>
    <w:rsid w:val="002052AD"/>
    <w:rsid w:val="002073CB"/>
    <w:rsid w:val="0020769C"/>
    <w:rsid w:val="00210045"/>
    <w:rsid w:val="002104EA"/>
    <w:rsid w:val="00210A6D"/>
    <w:rsid w:val="00212982"/>
    <w:rsid w:val="002143C4"/>
    <w:rsid w:val="002143D3"/>
    <w:rsid w:val="002157AA"/>
    <w:rsid w:val="00216ABD"/>
    <w:rsid w:val="00217512"/>
    <w:rsid w:val="00217945"/>
    <w:rsid w:val="002200CA"/>
    <w:rsid w:val="0022015B"/>
    <w:rsid w:val="00221711"/>
    <w:rsid w:val="002217F9"/>
    <w:rsid w:val="002218F6"/>
    <w:rsid w:val="002220F3"/>
    <w:rsid w:val="0022307D"/>
    <w:rsid w:val="002231F6"/>
    <w:rsid w:val="00223203"/>
    <w:rsid w:val="0022375E"/>
    <w:rsid w:val="00223C26"/>
    <w:rsid w:val="00223E84"/>
    <w:rsid w:val="00225205"/>
    <w:rsid w:val="0022684E"/>
    <w:rsid w:val="002279D7"/>
    <w:rsid w:val="00227A71"/>
    <w:rsid w:val="00231232"/>
    <w:rsid w:val="002320B9"/>
    <w:rsid w:val="00233253"/>
    <w:rsid w:val="0023416A"/>
    <w:rsid w:val="0023417F"/>
    <w:rsid w:val="002341B9"/>
    <w:rsid w:val="00234B23"/>
    <w:rsid w:val="002373C2"/>
    <w:rsid w:val="00237673"/>
    <w:rsid w:val="00240312"/>
    <w:rsid w:val="00241FB7"/>
    <w:rsid w:val="0024263D"/>
    <w:rsid w:val="002426C4"/>
    <w:rsid w:val="00242F9E"/>
    <w:rsid w:val="00243637"/>
    <w:rsid w:val="0024378D"/>
    <w:rsid w:val="00244162"/>
    <w:rsid w:val="00245287"/>
    <w:rsid w:val="0024571F"/>
    <w:rsid w:val="002459C1"/>
    <w:rsid w:val="00245DB0"/>
    <w:rsid w:val="002461D5"/>
    <w:rsid w:val="0024707E"/>
    <w:rsid w:val="0024763E"/>
    <w:rsid w:val="00247E55"/>
    <w:rsid w:val="00251D72"/>
    <w:rsid w:val="00251E09"/>
    <w:rsid w:val="002535FB"/>
    <w:rsid w:val="00253C6F"/>
    <w:rsid w:val="002543DB"/>
    <w:rsid w:val="00254689"/>
    <w:rsid w:val="0025494F"/>
    <w:rsid w:val="002555EC"/>
    <w:rsid w:val="00255D78"/>
    <w:rsid w:val="0025604D"/>
    <w:rsid w:val="0025660A"/>
    <w:rsid w:val="00257449"/>
    <w:rsid w:val="00257E9B"/>
    <w:rsid w:val="00260AA6"/>
    <w:rsid w:val="00260E1B"/>
    <w:rsid w:val="002613F5"/>
    <w:rsid w:val="00262492"/>
    <w:rsid w:val="00262B06"/>
    <w:rsid w:val="00263613"/>
    <w:rsid w:val="00264267"/>
    <w:rsid w:val="00267164"/>
    <w:rsid w:val="00267EC4"/>
    <w:rsid w:val="00270180"/>
    <w:rsid w:val="00270B5B"/>
    <w:rsid w:val="00270ED1"/>
    <w:rsid w:val="00271332"/>
    <w:rsid w:val="0027146A"/>
    <w:rsid w:val="00271AEE"/>
    <w:rsid w:val="00272110"/>
    <w:rsid w:val="00272462"/>
    <w:rsid w:val="00273186"/>
    <w:rsid w:val="0027392F"/>
    <w:rsid w:val="00273E76"/>
    <w:rsid w:val="00276519"/>
    <w:rsid w:val="002772FD"/>
    <w:rsid w:val="00277BD8"/>
    <w:rsid w:val="00277F3D"/>
    <w:rsid w:val="0028058B"/>
    <w:rsid w:val="00281387"/>
    <w:rsid w:val="00282469"/>
    <w:rsid w:val="002835FB"/>
    <w:rsid w:val="00283F03"/>
    <w:rsid w:val="00285024"/>
    <w:rsid w:val="00285546"/>
    <w:rsid w:val="0028558F"/>
    <w:rsid w:val="002856A5"/>
    <w:rsid w:val="002857CD"/>
    <w:rsid w:val="00285CCC"/>
    <w:rsid w:val="002868F9"/>
    <w:rsid w:val="0028705E"/>
    <w:rsid w:val="002876C8"/>
    <w:rsid w:val="00290D12"/>
    <w:rsid w:val="00290F58"/>
    <w:rsid w:val="00291323"/>
    <w:rsid w:val="002915EC"/>
    <w:rsid w:val="00291887"/>
    <w:rsid w:val="002918FA"/>
    <w:rsid w:val="00292021"/>
    <w:rsid w:val="00292E96"/>
    <w:rsid w:val="002932DB"/>
    <w:rsid w:val="00293A83"/>
    <w:rsid w:val="00293C83"/>
    <w:rsid w:val="00294C0F"/>
    <w:rsid w:val="00294D6D"/>
    <w:rsid w:val="00296081"/>
    <w:rsid w:val="002967EC"/>
    <w:rsid w:val="002A0B3E"/>
    <w:rsid w:val="002A181B"/>
    <w:rsid w:val="002A2483"/>
    <w:rsid w:val="002A39BB"/>
    <w:rsid w:val="002A404E"/>
    <w:rsid w:val="002A46CE"/>
    <w:rsid w:val="002A5229"/>
    <w:rsid w:val="002A5710"/>
    <w:rsid w:val="002A58DF"/>
    <w:rsid w:val="002A5D7C"/>
    <w:rsid w:val="002A6496"/>
    <w:rsid w:val="002A6B10"/>
    <w:rsid w:val="002A73F5"/>
    <w:rsid w:val="002A79A2"/>
    <w:rsid w:val="002A7A1E"/>
    <w:rsid w:val="002B044E"/>
    <w:rsid w:val="002B0771"/>
    <w:rsid w:val="002B1277"/>
    <w:rsid w:val="002B151C"/>
    <w:rsid w:val="002B1B95"/>
    <w:rsid w:val="002B2666"/>
    <w:rsid w:val="002B30FB"/>
    <w:rsid w:val="002B35AB"/>
    <w:rsid w:val="002B3760"/>
    <w:rsid w:val="002B3882"/>
    <w:rsid w:val="002B3967"/>
    <w:rsid w:val="002B3A3D"/>
    <w:rsid w:val="002B6229"/>
    <w:rsid w:val="002B6BE2"/>
    <w:rsid w:val="002B7905"/>
    <w:rsid w:val="002C08E6"/>
    <w:rsid w:val="002C0B2B"/>
    <w:rsid w:val="002C1761"/>
    <w:rsid w:val="002C1C9E"/>
    <w:rsid w:val="002C4BBE"/>
    <w:rsid w:val="002C4ECA"/>
    <w:rsid w:val="002C6C42"/>
    <w:rsid w:val="002C7C8F"/>
    <w:rsid w:val="002D0738"/>
    <w:rsid w:val="002D21C4"/>
    <w:rsid w:val="002D234B"/>
    <w:rsid w:val="002D2700"/>
    <w:rsid w:val="002D29D1"/>
    <w:rsid w:val="002D5AF6"/>
    <w:rsid w:val="002D6ECE"/>
    <w:rsid w:val="002D7C35"/>
    <w:rsid w:val="002D7D25"/>
    <w:rsid w:val="002E0432"/>
    <w:rsid w:val="002E0D44"/>
    <w:rsid w:val="002E0DB3"/>
    <w:rsid w:val="002E0F79"/>
    <w:rsid w:val="002E17C4"/>
    <w:rsid w:val="002E21BB"/>
    <w:rsid w:val="002E2219"/>
    <w:rsid w:val="002E2FD7"/>
    <w:rsid w:val="002E32E2"/>
    <w:rsid w:val="002E3E90"/>
    <w:rsid w:val="002E49AB"/>
    <w:rsid w:val="002E5FEC"/>
    <w:rsid w:val="002E65D4"/>
    <w:rsid w:val="002E76C5"/>
    <w:rsid w:val="002E77BF"/>
    <w:rsid w:val="002E7D1D"/>
    <w:rsid w:val="002E7D79"/>
    <w:rsid w:val="002F0E22"/>
    <w:rsid w:val="002F10F4"/>
    <w:rsid w:val="002F19AD"/>
    <w:rsid w:val="002F1EDA"/>
    <w:rsid w:val="002F206F"/>
    <w:rsid w:val="002F23F3"/>
    <w:rsid w:val="002F26E2"/>
    <w:rsid w:val="002F2829"/>
    <w:rsid w:val="002F2BA5"/>
    <w:rsid w:val="002F2D86"/>
    <w:rsid w:val="002F3CCD"/>
    <w:rsid w:val="002F4333"/>
    <w:rsid w:val="002F4D1F"/>
    <w:rsid w:val="002F63A9"/>
    <w:rsid w:val="002F68DD"/>
    <w:rsid w:val="002F6F19"/>
    <w:rsid w:val="002F75CC"/>
    <w:rsid w:val="002F7CCE"/>
    <w:rsid w:val="003007E7"/>
    <w:rsid w:val="0030088F"/>
    <w:rsid w:val="00302D16"/>
    <w:rsid w:val="00303159"/>
    <w:rsid w:val="003031C3"/>
    <w:rsid w:val="00303EA9"/>
    <w:rsid w:val="0030444D"/>
    <w:rsid w:val="003073A5"/>
    <w:rsid w:val="003104FC"/>
    <w:rsid w:val="00310A68"/>
    <w:rsid w:val="00311146"/>
    <w:rsid w:val="00311BD2"/>
    <w:rsid w:val="00311C53"/>
    <w:rsid w:val="00311D7F"/>
    <w:rsid w:val="003121D8"/>
    <w:rsid w:val="00313134"/>
    <w:rsid w:val="00313E8B"/>
    <w:rsid w:val="00313FAF"/>
    <w:rsid w:val="00313FCF"/>
    <w:rsid w:val="0031402E"/>
    <w:rsid w:val="003142F6"/>
    <w:rsid w:val="0031616E"/>
    <w:rsid w:val="0031632C"/>
    <w:rsid w:val="0031644E"/>
    <w:rsid w:val="003172F7"/>
    <w:rsid w:val="00317802"/>
    <w:rsid w:val="00317A55"/>
    <w:rsid w:val="00320352"/>
    <w:rsid w:val="00321A7C"/>
    <w:rsid w:val="00322D4B"/>
    <w:rsid w:val="00322F8D"/>
    <w:rsid w:val="003233EB"/>
    <w:rsid w:val="00323BCF"/>
    <w:rsid w:val="00324910"/>
    <w:rsid w:val="003254A6"/>
    <w:rsid w:val="00325657"/>
    <w:rsid w:val="003258BA"/>
    <w:rsid w:val="00330D0B"/>
    <w:rsid w:val="00331A46"/>
    <w:rsid w:val="00331F0C"/>
    <w:rsid w:val="0033221A"/>
    <w:rsid w:val="0033227E"/>
    <w:rsid w:val="00332DF8"/>
    <w:rsid w:val="0033428E"/>
    <w:rsid w:val="003343DC"/>
    <w:rsid w:val="003343EA"/>
    <w:rsid w:val="003353E9"/>
    <w:rsid w:val="00335A09"/>
    <w:rsid w:val="00337251"/>
    <w:rsid w:val="00337A85"/>
    <w:rsid w:val="00337FBD"/>
    <w:rsid w:val="00340DE9"/>
    <w:rsid w:val="00340EC8"/>
    <w:rsid w:val="0034175B"/>
    <w:rsid w:val="00341796"/>
    <w:rsid w:val="00341A8F"/>
    <w:rsid w:val="00342343"/>
    <w:rsid w:val="00342A1F"/>
    <w:rsid w:val="0034328A"/>
    <w:rsid w:val="003435C4"/>
    <w:rsid w:val="0034390A"/>
    <w:rsid w:val="003439B9"/>
    <w:rsid w:val="00343DC5"/>
    <w:rsid w:val="0034446C"/>
    <w:rsid w:val="003452FB"/>
    <w:rsid w:val="00345A60"/>
    <w:rsid w:val="0034647E"/>
    <w:rsid w:val="0034648D"/>
    <w:rsid w:val="003468A4"/>
    <w:rsid w:val="00346F0A"/>
    <w:rsid w:val="00350F8C"/>
    <w:rsid w:val="0035119D"/>
    <w:rsid w:val="00351DB8"/>
    <w:rsid w:val="00351F93"/>
    <w:rsid w:val="003526E8"/>
    <w:rsid w:val="003528C1"/>
    <w:rsid w:val="00353177"/>
    <w:rsid w:val="00353BE2"/>
    <w:rsid w:val="003550B7"/>
    <w:rsid w:val="00357306"/>
    <w:rsid w:val="00357CC6"/>
    <w:rsid w:val="00360627"/>
    <w:rsid w:val="0036190D"/>
    <w:rsid w:val="00363677"/>
    <w:rsid w:val="003636C6"/>
    <w:rsid w:val="00363CEC"/>
    <w:rsid w:val="00363E3B"/>
    <w:rsid w:val="00365A7C"/>
    <w:rsid w:val="00366642"/>
    <w:rsid w:val="00366EEE"/>
    <w:rsid w:val="00367031"/>
    <w:rsid w:val="00370077"/>
    <w:rsid w:val="003710A5"/>
    <w:rsid w:val="00371325"/>
    <w:rsid w:val="003714FC"/>
    <w:rsid w:val="0037157F"/>
    <w:rsid w:val="003715A5"/>
    <w:rsid w:val="0037185B"/>
    <w:rsid w:val="003730D4"/>
    <w:rsid w:val="00373707"/>
    <w:rsid w:val="00373DB4"/>
    <w:rsid w:val="00374685"/>
    <w:rsid w:val="00374F93"/>
    <w:rsid w:val="00375A9C"/>
    <w:rsid w:val="00375AA1"/>
    <w:rsid w:val="00376C4B"/>
    <w:rsid w:val="00376CD2"/>
    <w:rsid w:val="003776E5"/>
    <w:rsid w:val="00380A05"/>
    <w:rsid w:val="00380D36"/>
    <w:rsid w:val="00381085"/>
    <w:rsid w:val="00382688"/>
    <w:rsid w:val="00382B6F"/>
    <w:rsid w:val="003835FA"/>
    <w:rsid w:val="003853B4"/>
    <w:rsid w:val="003853CC"/>
    <w:rsid w:val="00386221"/>
    <w:rsid w:val="0038742F"/>
    <w:rsid w:val="00387497"/>
    <w:rsid w:val="0038755F"/>
    <w:rsid w:val="00387B73"/>
    <w:rsid w:val="00387D3F"/>
    <w:rsid w:val="003904D6"/>
    <w:rsid w:val="003911DA"/>
    <w:rsid w:val="00391B6B"/>
    <w:rsid w:val="00391BBC"/>
    <w:rsid w:val="00391CE2"/>
    <w:rsid w:val="00392B98"/>
    <w:rsid w:val="0039328B"/>
    <w:rsid w:val="00394598"/>
    <w:rsid w:val="00394D0F"/>
    <w:rsid w:val="0039546A"/>
    <w:rsid w:val="00397506"/>
    <w:rsid w:val="00397793"/>
    <w:rsid w:val="00397AE4"/>
    <w:rsid w:val="00397C64"/>
    <w:rsid w:val="00397EF6"/>
    <w:rsid w:val="003A0437"/>
    <w:rsid w:val="003A2B98"/>
    <w:rsid w:val="003A329E"/>
    <w:rsid w:val="003A3620"/>
    <w:rsid w:val="003A38C5"/>
    <w:rsid w:val="003A38FE"/>
    <w:rsid w:val="003A3AE7"/>
    <w:rsid w:val="003A3EC9"/>
    <w:rsid w:val="003A4823"/>
    <w:rsid w:val="003A4F53"/>
    <w:rsid w:val="003B01FA"/>
    <w:rsid w:val="003B07DA"/>
    <w:rsid w:val="003B120F"/>
    <w:rsid w:val="003B12B1"/>
    <w:rsid w:val="003B1B41"/>
    <w:rsid w:val="003B2572"/>
    <w:rsid w:val="003B2B16"/>
    <w:rsid w:val="003B4057"/>
    <w:rsid w:val="003B4907"/>
    <w:rsid w:val="003B4A00"/>
    <w:rsid w:val="003B4CFA"/>
    <w:rsid w:val="003B4DE8"/>
    <w:rsid w:val="003B5F2F"/>
    <w:rsid w:val="003B7116"/>
    <w:rsid w:val="003B769F"/>
    <w:rsid w:val="003C01AC"/>
    <w:rsid w:val="003C0AC4"/>
    <w:rsid w:val="003C117D"/>
    <w:rsid w:val="003C1BC4"/>
    <w:rsid w:val="003C1F32"/>
    <w:rsid w:val="003C25AD"/>
    <w:rsid w:val="003C2EF5"/>
    <w:rsid w:val="003C4307"/>
    <w:rsid w:val="003C43A9"/>
    <w:rsid w:val="003C4901"/>
    <w:rsid w:val="003C4F11"/>
    <w:rsid w:val="003C5694"/>
    <w:rsid w:val="003C5EC6"/>
    <w:rsid w:val="003C7CCD"/>
    <w:rsid w:val="003D21E8"/>
    <w:rsid w:val="003D26B7"/>
    <w:rsid w:val="003D3105"/>
    <w:rsid w:val="003D4C71"/>
    <w:rsid w:val="003D4D32"/>
    <w:rsid w:val="003D5158"/>
    <w:rsid w:val="003D56E4"/>
    <w:rsid w:val="003D5EDB"/>
    <w:rsid w:val="003D673B"/>
    <w:rsid w:val="003D6E60"/>
    <w:rsid w:val="003D72D0"/>
    <w:rsid w:val="003E0335"/>
    <w:rsid w:val="003E08E8"/>
    <w:rsid w:val="003E118B"/>
    <w:rsid w:val="003E15C4"/>
    <w:rsid w:val="003E1675"/>
    <w:rsid w:val="003E2985"/>
    <w:rsid w:val="003E3280"/>
    <w:rsid w:val="003E42B0"/>
    <w:rsid w:val="003E439F"/>
    <w:rsid w:val="003E4DF0"/>
    <w:rsid w:val="003E4F33"/>
    <w:rsid w:val="003E4FDA"/>
    <w:rsid w:val="003E54ED"/>
    <w:rsid w:val="003E5B08"/>
    <w:rsid w:val="003E5DF6"/>
    <w:rsid w:val="003E6366"/>
    <w:rsid w:val="003E6B4C"/>
    <w:rsid w:val="003E76E9"/>
    <w:rsid w:val="003F016B"/>
    <w:rsid w:val="003F09E7"/>
    <w:rsid w:val="003F1D67"/>
    <w:rsid w:val="003F3AFB"/>
    <w:rsid w:val="003F40BE"/>
    <w:rsid w:val="003F4BE7"/>
    <w:rsid w:val="003F64AB"/>
    <w:rsid w:val="003F7892"/>
    <w:rsid w:val="004020B3"/>
    <w:rsid w:val="00402AD9"/>
    <w:rsid w:val="004032AD"/>
    <w:rsid w:val="00403778"/>
    <w:rsid w:val="0040381C"/>
    <w:rsid w:val="00404BCF"/>
    <w:rsid w:val="00404C39"/>
    <w:rsid w:val="00405887"/>
    <w:rsid w:val="00407731"/>
    <w:rsid w:val="00407881"/>
    <w:rsid w:val="00407C15"/>
    <w:rsid w:val="004103C7"/>
    <w:rsid w:val="00410AFE"/>
    <w:rsid w:val="00411110"/>
    <w:rsid w:val="00411B29"/>
    <w:rsid w:val="004131EF"/>
    <w:rsid w:val="00413549"/>
    <w:rsid w:val="00413971"/>
    <w:rsid w:val="004139A5"/>
    <w:rsid w:val="004144F5"/>
    <w:rsid w:val="0041516C"/>
    <w:rsid w:val="00415218"/>
    <w:rsid w:val="00415CEB"/>
    <w:rsid w:val="0041648B"/>
    <w:rsid w:val="004164A7"/>
    <w:rsid w:val="004166E3"/>
    <w:rsid w:val="004171BB"/>
    <w:rsid w:val="004174A9"/>
    <w:rsid w:val="00417DAE"/>
    <w:rsid w:val="00421713"/>
    <w:rsid w:val="00421AC8"/>
    <w:rsid w:val="00422BC5"/>
    <w:rsid w:val="0042321C"/>
    <w:rsid w:val="00424C5C"/>
    <w:rsid w:val="0042507C"/>
    <w:rsid w:val="004251C4"/>
    <w:rsid w:val="00425B14"/>
    <w:rsid w:val="00425D41"/>
    <w:rsid w:val="00425DD1"/>
    <w:rsid w:val="0042785C"/>
    <w:rsid w:val="0043003F"/>
    <w:rsid w:val="004309D1"/>
    <w:rsid w:val="00430E96"/>
    <w:rsid w:val="00430ECD"/>
    <w:rsid w:val="00431F25"/>
    <w:rsid w:val="00431F97"/>
    <w:rsid w:val="004323D0"/>
    <w:rsid w:val="004329A0"/>
    <w:rsid w:val="00432B40"/>
    <w:rsid w:val="00432C21"/>
    <w:rsid w:val="0043325D"/>
    <w:rsid w:val="00434B0D"/>
    <w:rsid w:val="00434B46"/>
    <w:rsid w:val="00437B27"/>
    <w:rsid w:val="00440440"/>
    <w:rsid w:val="004409A1"/>
    <w:rsid w:val="004409D4"/>
    <w:rsid w:val="004417F7"/>
    <w:rsid w:val="004419F9"/>
    <w:rsid w:val="00443007"/>
    <w:rsid w:val="0044364B"/>
    <w:rsid w:val="00443F75"/>
    <w:rsid w:val="004444EB"/>
    <w:rsid w:val="004446D0"/>
    <w:rsid w:val="004449AC"/>
    <w:rsid w:val="00445DC7"/>
    <w:rsid w:val="00445E56"/>
    <w:rsid w:val="00446006"/>
    <w:rsid w:val="00446B76"/>
    <w:rsid w:val="004478EE"/>
    <w:rsid w:val="0045022E"/>
    <w:rsid w:val="00450270"/>
    <w:rsid w:val="00453531"/>
    <w:rsid w:val="00453C71"/>
    <w:rsid w:val="00453DB6"/>
    <w:rsid w:val="00455D43"/>
    <w:rsid w:val="00455DAE"/>
    <w:rsid w:val="00456459"/>
    <w:rsid w:val="00457A7C"/>
    <w:rsid w:val="00460816"/>
    <w:rsid w:val="004616F4"/>
    <w:rsid w:val="00461F1B"/>
    <w:rsid w:val="004626B4"/>
    <w:rsid w:val="00463248"/>
    <w:rsid w:val="00463EA7"/>
    <w:rsid w:val="00464651"/>
    <w:rsid w:val="004651EC"/>
    <w:rsid w:val="0046588B"/>
    <w:rsid w:val="00466072"/>
    <w:rsid w:val="004660B2"/>
    <w:rsid w:val="00466FFF"/>
    <w:rsid w:val="004704FC"/>
    <w:rsid w:val="0047066E"/>
    <w:rsid w:val="00470817"/>
    <w:rsid w:val="004711D5"/>
    <w:rsid w:val="0047135D"/>
    <w:rsid w:val="0047141F"/>
    <w:rsid w:val="00471487"/>
    <w:rsid w:val="004715D3"/>
    <w:rsid w:val="004717FA"/>
    <w:rsid w:val="004725D4"/>
    <w:rsid w:val="004735F4"/>
    <w:rsid w:val="00474389"/>
    <w:rsid w:val="00475234"/>
    <w:rsid w:val="00475390"/>
    <w:rsid w:val="00475C8F"/>
    <w:rsid w:val="0047638F"/>
    <w:rsid w:val="00476629"/>
    <w:rsid w:val="00476D19"/>
    <w:rsid w:val="00477FC1"/>
    <w:rsid w:val="00480694"/>
    <w:rsid w:val="00481DC5"/>
    <w:rsid w:val="00481E93"/>
    <w:rsid w:val="00482015"/>
    <w:rsid w:val="004831C9"/>
    <w:rsid w:val="004837DB"/>
    <w:rsid w:val="00483A80"/>
    <w:rsid w:val="00483CA0"/>
    <w:rsid w:val="0048476B"/>
    <w:rsid w:val="00485388"/>
    <w:rsid w:val="00485516"/>
    <w:rsid w:val="0048554B"/>
    <w:rsid w:val="00485E30"/>
    <w:rsid w:val="0048665B"/>
    <w:rsid w:val="00487C10"/>
    <w:rsid w:val="0049017E"/>
    <w:rsid w:val="004902F7"/>
    <w:rsid w:val="0049103E"/>
    <w:rsid w:val="00491870"/>
    <w:rsid w:val="00491D84"/>
    <w:rsid w:val="004931FF"/>
    <w:rsid w:val="00493AD0"/>
    <w:rsid w:val="00493B8A"/>
    <w:rsid w:val="004942A3"/>
    <w:rsid w:val="0049511C"/>
    <w:rsid w:val="00495BA9"/>
    <w:rsid w:val="0049619E"/>
    <w:rsid w:val="004961DB"/>
    <w:rsid w:val="00497709"/>
    <w:rsid w:val="00497C63"/>
    <w:rsid w:val="00497FF1"/>
    <w:rsid w:val="004A04AD"/>
    <w:rsid w:val="004A15A9"/>
    <w:rsid w:val="004A1C45"/>
    <w:rsid w:val="004A1F3D"/>
    <w:rsid w:val="004A21F0"/>
    <w:rsid w:val="004A23C4"/>
    <w:rsid w:val="004A2BF7"/>
    <w:rsid w:val="004A2D6F"/>
    <w:rsid w:val="004A3024"/>
    <w:rsid w:val="004A52FC"/>
    <w:rsid w:val="004A53C5"/>
    <w:rsid w:val="004A5E21"/>
    <w:rsid w:val="004A6A28"/>
    <w:rsid w:val="004B0A50"/>
    <w:rsid w:val="004B1206"/>
    <w:rsid w:val="004B20C3"/>
    <w:rsid w:val="004B296E"/>
    <w:rsid w:val="004B2B1E"/>
    <w:rsid w:val="004B379E"/>
    <w:rsid w:val="004B5380"/>
    <w:rsid w:val="004B56AA"/>
    <w:rsid w:val="004B5EAA"/>
    <w:rsid w:val="004B6275"/>
    <w:rsid w:val="004B7212"/>
    <w:rsid w:val="004B7A79"/>
    <w:rsid w:val="004B7D15"/>
    <w:rsid w:val="004C1D7C"/>
    <w:rsid w:val="004C2259"/>
    <w:rsid w:val="004C36F1"/>
    <w:rsid w:val="004C382B"/>
    <w:rsid w:val="004C4614"/>
    <w:rsid w:val="004C4B82"/>
    <w:rsid w:val="004C54C9"/>
    <w:rsid w:val="004C5B1F"/>
    <w:rsid w:val="004C6B85"/>
    <w:rsid w:val="004C709E"/>
    <w:rsid w:val="004D1481"/>
    <w:rsid w:val="004D169A"/>
    <w:rsid w:val="004D1E81"/>
    <w:rsid w:val="004D21A7"/>
    <w:rsid w:val="004D4981"/>
    <w:rsid w:val="004D4B94"/>
    <w:rsid w:val="004D5D3F"/>
    <w:rsid w:val="004D785B"/>
    <w:rsid w:val="004D7871"/>
    <w:rsid w:val="004E03E1"/>
    <w:rsid w:val="004E04BC"/>
    <w:rsid w:val="004E05EE"/>
    <w:rsid w:val="004E17FC"/>
    <w:rsid w:val="004E186D"/>
    <w:rsid w:val="004E1A61"/>
    <w:rsid w:val="004E2D62"/>
    <w:rsid w:val="004E3452"/>
    <w:rsid w:val="004E3DD5"/>
    <w:rsid w:val="004E49C2"/>
    <w:rsid w:val="004E5BCA"/>
    <w:rsid w:val="004E62AC"/>
    <w:rsid w:val="004E62BC"/>
    <w:rsid w:val="004E64DB"/>
    <w:rsid w:val="004E6611"/>
    <w:rsid w:val="004E7374"/>
    <w:rsid w:val="004E74A4"/>
    <w:rsid w:val="004E79C6"/>
    <w:rsid w:val="004F09CA"/>
    <w:rsid w:val="004F1089"/>
    <w:rsid w:val="004F190B"/>
    <w:rsid w:val="004F233B"/>
    <w:rsid w:val="004F2D86"/>
    <w:rsid w:val="004F3E01"/>
    <w:rsid w:val="004F5271"/>
    <w:rsid w:val="004F5584"/>
    <w:rsid w:val="004F6066"/>
    <w:rsid w:val="004F64ED"/>
    <w:rsid w:val="004F6A77"/>
    <w:rsid w:val="004F7677"/>
    <w:rsid w:val="004F76A4"/>
    <w:rsid w:val="00500E64"/>
    <w:rsid w:val="00501694"/>
    <w:rsid w:val="005035F1"/>
    <w:rsid w:val="005039E7"/>
    <w:rsid w:val="00503D67"/>
    <w:rsid w:val="005052B0"/>
    <w:rsid w:val="0050681D"/>
    <w:rsid w:val="005072C4"/>
    <w:rsid w:val="0050734D"/>
    <w:rsid w:val="005107BC"/>
    <w:rsid w:val="00510C8C"/>
    <w:rsid w:val="00510F06"/>
    <w:rsid w:val="00511BDE"/>
    <w:rsid w:val="00511BFC"/>
    <w:rsid w:val="00512C9E"/>
    <w:rsid w:val="0051385E"/>
    <w:rsid w:val="00513CB9"/>
    <w:rsid w:val="00514318"/>
    <w:rsid w:val="005148C5"/>
    <w:rsid w:val="00515572"/>
    <w:rsid w:val="005155FA"/>
    <w:rsid w:val="005176EA"/>
    <w:rsid w:val="0052008B"/>
    <w:rsid w:val="00520190"/>
    <w:rsid w:val="00520BE4"/>
    <w:rsid w:val="00520ED8"/>
    <w:rsid w:val="00521ED4"/>
    <w:rsid w:val="00522571"/>
    <w:rsid w:val="0052383F"/>
    <w:rsid w:val="005238EC"/>
    <w:rsid w:val="00523DE6"/>
    <w:rsid w:val="00524E3D"/>
    <w:rsid w:val="00526C48"/>
    <w:rsid w:val="00526E0D"/>
    <w:rsid w:val="005304DA"/>
    <w:rsid w:val="00530E57"/>
    <w:rsid w:val="00532086"/>
    <w:rsid w:val="0053224F"/>
    <w:rsid w:val="00532ACB"/>
    <w:rsid w:val="005337E2"/>
    <w:rsid w:val="00534414"/>
    <w:rsid w:val="005347B3"/>
    <w:rsid w:val="005354AA"/>
    <w:rsid w:val="00535770"/>
    <w:rsid w:val="00536C64"/>
    <w:rsid w:val="00536F9D"/>
    <w:rsid w:val="005378B8"/>
    <w:rsid w:val="0054046F"/>
    <w:rsid w:val="00541B9F"/>
    <w:rsid w:val="005432B3"/>
    <w:rsid w:val="00543359"/>
    <w:rsid w:val="00543D80"/>
    <w:rsid w:val="00543F6E"/>
    <w:rsid w:val="00544046"/>
    <w:rsid w:val="00544F10"/>
    <w:rsid w:val="00546710"/>
    <w:rsid w:val="00550756"/>
    <w:rsid w:val="005515D4"/>
    <w:rsid w:val="00552967"/>
    <w:rsid w:val="00552D91"/>
    <w:rsid w:val="00552DE0"/>
    <w:rsid w:val="00553531"/>
    <w:rsid w:val="00553814"/>
    <w:rsid w:val="00554592"/>
    <w:rsid w:val="005548FE"/>
    <w:rsid w:val="00554D14"/>
    <w:rsid w:val="00555C3B"/>
    <w:rsid w:val="00555D33"/>
    <w:rsid w:val="00555FB7"/>
    <w:rsid w:val="005568EF"/>
    <w:rsid w:val="00557C12"/>
    <w:rsid w:val="00557F66"/>
    <w:rsid w:val="0056039E"/>
    <w:rsid w:val="0056081D"/>
    <w:rsid w:val="0056114A"/>
    <w:rsid w:val="00561269"/>
    <w:rsid w:val="00561740"/>
    <w:rsid w:val="00561B27"/>
    <w:rsid w:val="00561E26"/>
    <w:rsid w:val="00564126"/>
    <w:rsid w:val="00564E4D"/>
    <w:rsid w:val="00565E96"/>
    <w:rsid w:val="0056710C"/>
    <w:rsid w:val="00567AEF"/>
    <w:rsid w:val="00570813"/>
    <w:rsid w:val="00572B78"/>
    <w:rsid w:val="0057346C"/>
    <w:rsid w:val="0057435E"/>
    <w:rsid w:val="0057470F"/>
    <w:rsid w:val="00574B1D"/>
    <w:rsid w:val="00574BF6"/>
    <w:rsid w:val="00575340"/>
    <w:rsid w:val="00575894"/>
    <w:rsid w:val="00575993"/>
    <w:rsid w:val="00575EA3"/>
    <w:rsid w:val="00576743"/>
    <w:rsid w:val="0057699D"/>
    <w:rsid w:val="00576B66"/>
    <w:rsid w:val="00577E20"/>
    <w:rsid w:val="00580FFD"/>
    <w:rsid w:val="00581017"/>
    <w:rsid w:val="005812BC"/>
    <w:rsid w:val="00581540"/>
    <w:rsid w:val="005825BD"/>
    <w:rsid w:val="00583303"/>
    <w:rsid w:val="00584CEC"/>
    <w:rsid w:val="00585554"/>
    <w:rsid w:val="005865D9"/>
    <w:rsid w:val="00587980"/>
    <w:rsid w:val="00587F6A"/>
    <w:rsid w:val="00587FC5"/>
    <w:rsid w:val="00590346"/>
    <w:rsid w:val="00591A79"/>
    <w:rsid w:val="005923ED"/>
    <w:rsid w:val="005926C3"/>
    <w:rsid w:val="00592E1C"/>
    <w:rsid w:val="005932E5"/>
    <w:rsid w:val="005934A7"/>
    <w:rsid w:val="00593F20"/>
    <w:rsid w:val="00594B36"/>
    <w:rsid w:val="00595B3E"/>
    <w:rsid w:val="00596329"/>
    <w:rsid w:val="0059666B"/>
    <w:rsid w:val="005969E1"/>
    <w:rsid w:val="0059755F"/>
    <w:rsid w:val="005A0D95"/>
    <w:rsid w:val="005A26CF"/>
    <w:rsid w:val="005A450A"/>
    <w:rsid w:val="005A4737"/>
    <w:rsid w:val="005A4F1A"/>
    <w:rsid w:val="005A584B"/>
    <w:rsid w:val="005A5861"/>
    <w:rsid w:val="005A58AC"/>
    <w:rsid w:val="005A5C1B"/>
    <w:rsid w:val="005A6750"/>
    <w:rsid w:val="005A7BA8"/>
    <w:rsid w:val="005B0DAC"/>
    <w:rsid w:val="005B2664"/>
    <w:rsid w:val="005B3179"/>
    <w:rsid w:val="005B377A"/>
    <w:rsid w:val="005B39D1"/>
    <w:rsid w:val="005B3FA4"/>
    <w:rsid w:val="005B4624"/>
    <w:rsid w:val="005B4B30"/>
    <w:rsid w:val="005B6773"/>
    <w:rsid w:val="005B7001"/>
    <w:rsid w:val="005C0EA8"/>
    <w:rsid w:val="005C12E2"/>
    <w:rsid w:val="005C1785"/>
    <w:rsid w:val="005C17B3"/>
    <w:rsid w:val="005C18E8"/>
    <w:rsid w:val="005C1A81"/>
    <w:rsid w:val="005C1FBF"/>
    <w:rsid w:val="005C22AD"/>
    <w:rsid w:val="005C29E4"/>
    <w:rsid w:val="005C2C83"/>
    <w:rsid w:val="005C38BD"/>
    <w:rsid w:val="005C3C81"/>
    <w:rsid w:val="005C48B9"/>
    <w:rsid w:val="005C52E4"/>
    <w:rsid w:val="005C7C21"/>
    <w:rsid w:val="005C7C64"/>
    <w:rsid w:val="005D0099"/>
    <w:rsid w:val="005D062D"/>
    <w:rsid w:val="005D0A3A"/>
    <w:rsid w:val="005D0F05"/>
    <w:rsid w:val="005D2222"/>
    <w:rsid w:val="005D227A"/>
    <w:rsid w:val="005D251D"/>
    <w:rsid w:val="005D2D99"/>
    <w:rsid w:val="005D32CF"/>
    <w:rsid w:val="005D473C"/>
    <w:rsid w:val="005D4F5B"/>
    <w:rsid w:val="005D523D"/>
    <w:rsid w:val="005D5582"/>
    <w:rsid w:val="005D571D"/>
    <w:rsid w:val="005D5B77"/>
    <w:rsid w:val="005D657C"/>
    <w:rsid w:val="005D67DF"/>
    <w:rsid w:val="005D73D1"/>
    <w:rsid w:val="005E025F"/>
    <w:rsid w:val="005E09C9"/>
    <w:rsid w:val="005E0C58"/>
    <w:rsid w:val="005E19DA"/>
    <w:rsid w:val="005E240D"/>
    <w:rsid w:val="005E2A5D"/>
    <w:rsid w:val="005E2DBA"/>
    <w:rsid w:val="005E35DB"/>
    <w:rsid w:val="005E4DDE"/>
    <w:rsid w:val="005E51DB"/>
    <w:rsid w:val="005E55A4"/>
    <w:rsid w:val="005E5C4F"/>
    <w:rsid w:val="005E5FE9"/>
    <w:rsid w:val="005E61A3"/>
    <w:rsid w:val="005E652E"/>
    <w:rsid w:val="005E70C3"/>
    <w:rsid w:val="005E742F"/>
    <w:rsid w:val="005E7581"/>
    <w:rsid w:val="005F0210"/>
    <w:rsid w:val="005F1244"/>
    <w:rsid w:val="005F1B1A"/>
    <w:rsid w:val="005F29A1"/>
    <w:rsid w:val="005F37CA"/>
    <w:rsid w:val="005F383B"/>
    <w:rsid w:val="005F519B"/>
    <w:rsid w:val="005F6285"/>
    <w:rsid w:val="005F65DB"/>
    <w:rsid w:val="005F686B"/>
    <w:rsid w:val="005F70F7"/>
    <w:rsid w:val="005F716F"/>
    <w:rsid w:val="005F77CE"/>
    <w:rsid w:val="005F78A8"/>
    <w:rsid w:val="0060036B"/>
    <w:rsid w:val="006013D0"/>
    <w:rsid w:val="0060141D"/>
    <w:rsid w:val="006026B0"/>
    <w:rsid w:val="006031E3"/>
    <w:rsid w:val="00603B0C"/>
    <w:rsid w:val="00603B2A"/>
    <w:rsid w:val="006048B3"/>
    <w:rsid w:val="00605075"/>
    <w:rsid w:val="00605D47"/>
    <w:rsid w:val="006061CB"/>
    <w:rsid w:val="0060647F"/>
    <w:rsid w:val="00606558"/>
    <w:rsid w:val="006065EF"/>
    <w:rsid w:val="00606FA2"/>
    <w:rsid w:val="00610A9A"/>
    <w:rsid w:val="00610B4F"/>
    <w:rsid w:val="006113AA"/>
    <w:rsid w:val="0061242A"/>
    <w:rsid w:val="0061266E"/>
    <w:rsid w:val="00612AC2"/>
    <w:rsid w:val="00613464"/>
    <w:rsid w:val="006141D1"/>
    <w:rsid w:val="00614924"/>
    <w:rsid w:val="006150CB"/>
    <w:rsid w:val="00615995"/>
    <w:rsid w:val="00616155"/>
    <w:rsid w:val="00616D5A"/>
    <w:rsid w:val="0061747B"/>
    <w:rsid w:val="00617D60"/>
    <w:rsid w:val="00617DED"/>
    <w:rsid w:val="006201A7"/>
    <w:rsid w:val="00620EF8"/>
    <w:rsid w:val="006218B9"/>
    <w:rsid w:val="006219D1"/>
    <w:rsid w:val="00621FB3"/>
    <w:rsid w:val="0062284E"/>
    <w:rsid w:val="006231E0"/>
    <w:rsid w:val="006234D6"/>
    <w:rsid w:val="0062381D"/>
    <w:rsid w:val="00623B67"/>
    <w:rsid w:val="006244E2"/>
    <w:rsid w:val="006246C1"/>
    <w:rsid w:val="00625082"/>
    <w:rsid w:val="00625C3A"/>
    <w:rsid w:val="00625C86"/>
    <w:rsid w:val="00625D0D"/>
    <w:rsid w:val="00626663"/>
    <w:rsid w:val="00626EFB"/>
    <w:rsid w:val="00626F44"/>
    <w:rsid w:val="00630000"/>
    <w:rsid w:val="0063010D"/>
    <w:rsid w:val="00630245"/>
    <w:rsid w:val="00630B5B"/>
    <w:rsid w:val="0063200C"/>
    <w:rsid w:val="00632B93"/>
    <w:rsid w:val="0063341F"/>
    <w:rsid w:val="006336AF"/>
    <w:rsid w:val="006349B7"/>
    <w:rsid w:val="00635330"/>
    <w:rsid w:val="00636F53"/>
    <w:rsid w:val="00640458"/>
    <w:rsid w:val="0064049D"/>
    <w:rsid w:val="006407A9"/>
    <w:rsid w:val="00640886"/>
    <w:rsid w:val="00640A6F"/>
    <w:rsid w:val="00641048"/>
    <w:rsid w:val="006415C3"/>
    <w:rsid w:val="00642709"/>
    <w:rsid w:val="00643F03"/>
    <w:rsid w:val="00644FC5"/>
    <w:rsid w:val="006450F2"/>
    <w:rsid w:val="0064531B"/>
    <w:rsid w:val="00645372"/>
    <w:rsid w:val="00645454"/>
    <w:rsid w:val="006457E2"/>
    <w:rsid w:val="00645A2A"/>
    <w:rsid w:val="00645DA4"/>
    <w:rsid w:val="00646805"/>
    <w:rsid w:val="00647B22"/>
    <w:rsid w:val="00647F9C"/>
    <w:rsid w:val="006517FF"/>
    <w:rsid w:val="00651883"/>
    <w:rsid w:val="0065249B"/>
    <w:rsid w:val="0065291C"/>
    <w:rsid w:val="00653EFD"/>
    <w:rsid w:val="00655F47"/>
    <w:rsid w:val="0065643D"/>
    <w:rsid w:val="00656B6E"/>
    <w:rsid w:val="006575AC"/>
    <w:rsid w:val="006578C4"/>
    <w:rsid w:val="00660469"/>
    <w:rsid w:val="00660785"/>
    <w:rsid w:val="00660DAE"/>
    <w:rsid w:val="006621F7"/>
    <w:rsid w:val="00662887"/>
    <w:rsid w:val="00662B80"/>
    <w:rsid w:val="00663E1A"/>
    <w:rsid w:val="0066513F"/>
    <w:rsid w:val="00665D3F"/>
    <w:rsid w:val="00665DEF"/>
    <w:rsid w:val="00665EDC"/>
    <w:rsid w:val="00667697"/>
    <w:rsid w:val="006703A4"/>
    <w:rsid w:val="006704D8"/>
    <w:rsid w:val="00670DB0"/>
    <w:rsid w:val="00671426"/>
    <w:rsid w:val="006715B7"/>
    <w:rsid w:val="0067211F"/>
    <w:rsid w:val="00672BD9"/>
    <w:rsid w:val="006731F0"/>
    <w:rsid w:val="00673F4E"/>
    <w:rsid w:val="00675BF5"/>
    <w:rsid w:val="0067612F"/>
    <w:rsid w:val="00676F76"/>
    <w:rsid w:val="00677040"/>
    <w:rsid w:val="006801D8"/>
    <w:rsid w:val="00680324"/>
    <w:rsid w:val="006804EA"/>
    <w:rsid w:val="00680895"/>
    <w:rsid w:val="00680CB2"/>
    <w:rsid w:val="00680E8B"/>
    <w:rsid w:val="006811F6"/>
    <w:rsid w:val="00681775"/>
    <w:rsid w:val="0068208A"/>
    <w:rsid w:val="00682A34"/>
    <w:rsid w:val="00684322"/>
    <w:rsid w:val="00684857"/>
    <w:rsid w:val="00685C8E"/>
    <w:rsid w:val="0068614A"/>
    <w:rsid w:val="0068639C"/>
    <w:rsid w:val="006870F8"/>
    <w:rsid w:val="00687367"/>
    <w:rsid w:val="006900B0"/>
    <w:rsid w:val="00691000"/>
    <w:rsid w:val="0069104A"/>
    <w:rsid w:val="006911E8"/>
    <w:rsid w:val="006913F4"/>
    <w:rsid w:val="00691F09"/>
    <w:rsid w:val="006930D9"/>
    <w:rsid w:val="00693180"/>
    <w:rsid w:val="006952DF"/>
    <w:rsid w:val="00695450"/>
    <w:rsid w:val="006959B1"/>
    <w:rsid w:val="00695E14"/>
    <w:rsid w:val="006961E9"/>
    <w:rsid w:val="006962B5"/>
    <w:rsid w:val="006968F6"/>
    <w:rsid w:val="00696E03"/>
    <w:rsid w:val="0069749F"/>
    <w:rsid w:val="00697BFC"/>
    <w:rsid w:val="006A0164"/>
    <w:rsid w:val="006A02AF"/>
    <w:rsid w:val="006A089F"/>
    <w:rsid w:val="006A0BEF"/>
    <w:rsid w:val="006A0F68"/>
    <w:rsid w:val="006A11ED"/>
    <w:rsid w:val="006A141F"/>
    <w:rsid w:val="006A25A5"/>
    <w:rsid w:val="006A2C4B"/>
    <w:rsid w:val="006A3C28"/>
    <w:rsid w:val="006A3FFA"/>
    <w:rsid w:val="006A42D9"/>
    <w:rsid w:val="006A4619"/>
    <w:rsid w:val="006A649D"/>
    <w:rsid w:val="006A6B2B"/>
    <w:rsid w:val="006A70D9"/>
    <w:rsid w:val="006A7834"/>
    <w:rsid w:val="006B080D"/>
    <w:rsid w:val="006B0DE9"/>
    <w:rsid w:val="006B1E06"/>
    <w:rsid w:val="006B26B1"/>
    <w:rsid w:val="006B3655"/>
    <w:rsid w:val="006B3AE8"/>
    <w:rsid w:val="006B4219"/>
    <w:rsid w:val="006B5684"/>
    <w:rsid w:val="006B5707"/>
    <w:rsid w:val="006B57E5"/>
    <w:rsid w:val="006B6875"/>
    <w:rsid w:val="006B6C84"/>
    <w:rsid w:val="006B6EC7"/>
    <w:rsid w:val="006B7E35"/>
    <w:rsid w:val="006C0432"/>
    <w:rsid w:val="006C1783"/>
    <w:rsid w:val="006C1979"/>
    <w:rsid w:val="006C1BD8"/>
    <w:rsid w:val="006C262F"/>
    <w:rsid w:val="006C3208"/>
    <w:rsid w:val="006C3A2B"/>
    <w:rsid w:val="006C41C7"/>
    <w:rsid w:val="006C5117"/>
    <w:rsid w:val="006C57DB"/>
    <w:rsid w:val="006C5EBC"/>
    <w:rsid w:val="006C7332"/>
    <w:rsid w:val="006D17B2"/>
    <w:rsid w:val="006D1C4B"/>
    <w:rsid w:val="006D22CF"/>
    <w:rsid w:val="006D2AB1"/>
    <w:rsid w:val="006D322B"/>
    <w:rsid w:val="006D52E0"/>
    <w:rsid w:val="006D53E0"/>
    <w:rsid w:val="006D561F"/>
    <w:rsid w:val="006D7557"/>
    <w:rsid w:val="006D79C5"/>
    <w:rsid w:val="006D7B00"/>
    <w:rsid w:val="006E12AA"/>
    <w:rsid w:val="006E1585"/>
    <w:rsid w:val="006E1B4C"/>
    <w:rsid w:val="006E2BC7"/>
    <w:rsid w:val="006E2C82"/>
    <w:rsid w:val="006E36BE"/>
    <w:rsid w:val="006E3B17"/>
    <w:rsid w:val="006E3F55"/>
    <w:rsid w:val="006E43BA"/>
    <w:rsid w:val="006E4B94"/>
    <w:rsid w:val="006E50DE"/>
    <w:rsid w:val="006E5489"/>
    <w:rsid w:val="006E565B"/>
    <w:rsid w:val="006E5E42"/>
    <w:rsid w:val="006E5F82"/>
    <w:rsid w:val="006E6EB6"/>
    <w:rsid w:val="006E7F73"/>
    <w:rsid w:val="006F0173"/>
    <w:rsid w:val="006F08AF"/>
    <w:rsid w:val="006F0A5B"/>
    <w:rsid w:val="006F127F"/>
    <w:rsid w:val="006F135C"/>
    <w:rsid w:val="006F14E6"/>
    <w:rsid w:val="006F1BC0"/>
    <w:rsid w:val="006F2B16"/>
    <w:rsid w:val="006F329A"/>
    <w:rsid w:val="006F38D3"/>
    <w:rsid w:val="006F3F57"/>
    <w:rsid w:val="006F460A"/>
    <w:rsid w:val="006F58FC"/>
    <w:rsid w:val="006F650C"/>
    <w:rsid w:val="006F6515"/>
    <w:rsid w:val="006F67DA"/>
    <w:rsid w:val="006F741F"/>
    <w:rsid w:val="006F7B7D"/>
    <w:rsid w:val="006F7DE2"/>
    <w:rsid w:val="00700059"/>
    <w:rsid w:val="00700CAE"/>
    <w:rsid w:val="00703AE0"/>
    <w:rsid w:val="00704300"/>
    <w:rsid w:val="007043B9"/>
    <w:rsid w:val="00704973"/>
    <w:rsid w:val="00704AA9"/>
    <w:rsid w:val="00705B72"/>
    <w:rsid w:val="007061CD"/>
    <w:rsid w:val="00707A93"/>
    <w:rsid w:val="00707C2D"/>
    <w:rsid w:val="00707D24"/>
    <w:rsid w:val="00710A60"/>
    <w:rsid w:val="007110EB"/>
    <w:rsid w:val="007112A5"/>
    <w:rsid w:val="007133FC"/>
    <w:rsid w:val="00713410"/>
    <w:rsid w:val="007147F7"/>
    <w:rsid w:val="0071484D"/>
    <w:rsid w:val="0071492E"/>
    <w:rsid w:val="007149F5"/>
    <w:rsid w:val="00714BDA"/>
    <w:rsid w:val="00715460"/>
    <w:rsid w:val="00715D38"/>
    <w:rsid w:val="0071660E"/>
    <w:rsid w:val="00716947"/>
    <w:rsid w:val="00716E27"/>
    <w:rsid w:val="00716E3D"/>
    <w:rsid w:val="007200F4"/>
    <w:rsid w:val="007204EF"/>
    <w:rsid w:val="0072181A"/>
    <w:rsid w:val="00723508"/>
    <w:rsid w:val="0072453A"/>
    <w:rsid w:val="007249EE"/>
    <w:rsid w:val="00724B14"/>
    <w:rsid w:val="0072533A"/>
    <w:rsid w:val="00725DE1"/>
    <w:rsid w:val="007260A1"/>
    <w:rsid w:val="00726AD3"/>
    <w:rsid w:val="007272F2"/>
    <w:rsid w:val="00727D11"/>
    <w:rsid w:val="0073026B"/>
    <w:rsid w:val="00730564"/>
    <w:rsid w:val="00730AD1"/>
    <w:rsid w:val="00730C6D"/>
    <w:rsid w:val="00730C70"/>
    <w:rsid w:val="00730FD5"/>
    <w:rsid w:val="00731489"/>
    <w:rsid w:val="007316CF"/>
    <w:rsid w:val="00732721"/>
    <w:rsid w:val="007340F0"/>
    <w:rsid w:val="00734472"/>
    <w:rsid w:val="0073478D"/>
    <w:rsid w:val="00734A82"/>
    <w:rsid w:val="00735A1E"/>
    <w:rsid w:val="0073617B"/>
    <w:rsid w:val="00736DCD"/>
    <w:rsid w:val="00737FCF"/>
    <w:rsid w:val="00740138"/>
    <w:rsid w:val="0074097D"/>
    <w:rsid w:val="00740E47"/>
    <w:rsid w:val="00741942"/>
    <w:rsid w:val="00741C53"/>
    <w:rsid w:val="00741FEE"/>
    <w:rsid w:val="00742E38"/>
    <w:rsid w:val="007435EB"/>
    <w:rsid w:val="0074377B"/>
    <w:rsid w:val="0074396C"/>
    <w:rsid w:val="00743CB3"/>
    <w:rsid w:val="00744034"/>
    <w:rsid w:val="00744342"/>
    <w:rsid w:val="00744F7A"/>
    <w:rsid w:val="0074545B"/>
    <w:rsid w:val="00745B8D"/>
    <w:rsid w:val="00745F49"/>
    <w:rsid w:val="00746D38"/>
    <w:rsid w:val="00746FCA"/>
    <w:rsid w:val="00747378"/>
    <w:rsid w:val="00747803"/>
    <w:rsid w:val="00750524"/>
    <w:rsid w:val="007506B0"/>
    <w:rsid w:val="00750FBF"/>
    <w:rsid w:val="007510AC"/>
    <w:rsid w:val="007513FA"/>
    <w:rsid w:val="007515F3"/>
    <w:rsid w:val="0075180B"/>
    <w:rsid w:val="00751C5D"/>
    <w:rsid w:val="00751EEF"/>
    <w:rsid w:val="0075204C"/>
    <w:rsid w:val="0075258F"/>
    <w:rsid w:val="007543E3"/>
    <w:rsid w:val="00754481"/>
    <w:rsid w:val="007548E2"/>
    <w:rsid w:val="00754BB6"/>
    <w:rsid w:val="0075590E"/>
    <w:rsid w:val="00756CC0"/>
    <w:rsid w:val="00757C0D"/>
    <w:rsid w:val="007604A7"/>
    <w:rsid w:val="007613B9"/>
    <w:rsid w:val="007616A6"/>
    <w:rsid w:val="00763712"/>
    <w:rsid w:val="00765436"/>
    <w:rsid w:val="00765B3A"/>
    <w:rsid w:val="00766A41"/>
    <w:rsid w:val="00767019"/>
    <w:rsid w:val="00767125"/>
    <w:rsid w:val="00770466"/>
    <w:rsid w:val="00770B65"/>
    <w:rsid w:val="00770CB0"/>
    <w:rsid w:val="0077286C"/>
    <w:rsid w:val="00773D26"/>
    <w:rsid w:val="0077424D"/>
    <w:rsid w:val="007744FA"/>
    <w:rsid w:val="00774900"/>
    <w:rsid w:val="00774B37"/>
    <w:rsid w:val="00774CD0"/>
    <w:rsid w:val="00775E95"/>
    <w:rsid w:val="00775EDD"/>
    <w:rsid w:val="00775F2A"/>
    <w:rsid w:val="00777843"/>
    <w:rsid w:val="00777F9B"/>
    <w:rsid w:val="00780173"/>
    <w:rsid w:val="007804AE"/>
    <w:rsid w:val="00780534"/>
    <w:rsid w:val="007805C3"/>
    <w:rsid w:val="00780982"/>
    <w:rsid w:val="00780E6A"/>
    <w:rsid w:val="007839E2"/>
    <w:rsid w:val="00783D79"/>
    <w:rsid w:val="00783D7D"/>
    <w:rsid w:val="007844B0"/>
    <w:rsid w:val="00784598"/>
    <w:rsid w:val="00784760"/>
    <w:rsid w:val="007849F8"/>
    <w:rsid w:val="00784ED1"/>
    <w:rsid w:val="00785798"/>
    <w:rsid w:val="00786380"/>
    <w:rsid w:val="00786AEF"/>
    <w:rsid w:val="00786EFF"/>
    <w:rsid w:val="007876EA"/>
    <w:rsid w:val="00787F74"/>
    <w:rsid w:val="00791848"/>
    <w:rsid w:val="00791B1A"/>
    <w:rsid w:val="00792193"/>
    <w:rsid w:val="0079330D"/>
    <w:rsid w:val="0079435F"/>
    <w:rsid w:val="0079458E"/>
    <w:rsid w:val="007946FA"/>
    <w:rsid w:val="00794B79"/>
    <w:rsid w:val="00794B9A"/>
    <w:rsid w:val="00794DB6"/>
    <w:rsid w:val="00795038"/>
    <w:rsid w:val="0079581A"/>
    <w:rsid w:val="00795A32"/>
    <w:rsid w:val="00795D6A"/>
    <w:rsid w:val="00795D95"/>
    <w:rsid w:val="007961E7"/>
    <w:rsid w:val="00796440"/>
    <w:rsid w:val="00796DF2"/>
    <w:rsid w:val="007976DC"/>
    <w:rsid w:val="00797B84"/>
    <w:rsid w:val="007A064C"/>
    <w:rsid w:val="007A0F7F"/>
    <w:rsid w:val="007A14AE"/>
    <w:rsid w:val="007A2C6B"/>
    <w:rsid w:val="007A2D46"/>
    <w:rsid w:val="007A2EB0"/>
    <w:rsid w:val="007A40F4"/>
    <w:rsid w:val="007A7CC5"/>
    <w:rsid w:val="007B01BD"/>
    <w:rsid w:val="007B03A8"/>
    <w:rsid w:val="007B04DE"/>
    <w:rsid w:val="007B1141"/>
    <w:rsid w:val="007B1575"/>
    <w:rsid w:val="007B17B1"/>
    <w:rsid w:val="007B2078"/>
    <w:rsid w:val="007B2A67"/>
    <w:rsid w:val="007B3542"/>
    <w:rsid w:val="007B3A76"/>
    <w:rsid w:val="007B6C88"/>
    <w:rsid w:val="007B6DE2"/>
    <w:rsid w:val="007B6F84"/>
    <w:rsid w:val="007B6FC4"/>
    <w:rsid w:val="007B7A1E"/>
    <w:rsid w:val="007C05FF"/>
    <w:rsid w:val="007C0A2F"/>
    <w:rsid w:val="007C17CD"/>
    <w:rsid w:val="007C1BE4"/>
    <w:rsid w:val="007C1EB8"/>
    <w:rsid w:val="007C2152"/>
    <w:rsid w:val="007C2239"/>
    <w:rsid w:val="007C27DE"/>
    <w:rsid w:val="007C2A5E"/>
    <w:rsid w:val="007C2D99"/>
    <w:rsid w:val="007C4573"/>
    <w:rsid w:val="007C4A61"/>
    <w:rsid w:val="007C4A7A"/>
    <w:rsid w:val="007C4ADA"/>
    <w:rsid w:val="007C4F4B"/>
    <w:rsid w:val="007C580D"/>
    <w:rsid w:val="007C59E9"/>
    <w:rsid w:val="007C671C"/>
    <w:rsid w:val="007C6D49"/>
    <w:rsid w:val="007C708A"/>
    <w:rsid w:val="007C719B"/>
    <w:rsid w:val="007D0E0D"/>
    <w:rsid w:val="007D1309"/>
    <w:rsid w:val="007D13CC"/>
    <w:rsid w:val="007D16EE"/>
    <w:rsid w:val="007D1A29"/>
    <w:rsid w:val="007D1B47"/>
    <w:rsid w:val="007D28B9"/>
    <w:rsid w:val="007D2F4D"/>
    <w:rsid w:val="007D4184"/>
    <w:rsid w:val="007D4205"/>
    <w:rsid w:val="007D4921"/>
    <w:rsid w:val="007D6029"/>
    <w:rsid w:val="007D7D7B"/>
    <w:rsid w:val="007E03A6"/>
    <w:rsid w:val="007E26D8"/>
    <w:rsid w:val="007E2744"/>
    <w:rsid w:val="007E2B9D"/>
    <w:rsid w:val="007E3621"/>
    <w:rsid w:val="007E40DA"/>
    <w:rsid w:val="007E4607"/>
    <w:rsid w:val="007E4B81"/>
    <w:rsid w:val="007E5114"/>
    <w:rsid w:val="007E5569"/>
    <w:rsid w:val="007E5956"/>
    <w:rsid w:val="007E5EB1"/>
    <w:rsid w:val="007E713B"/>
    <w:rsid w:val="007F0280"/>
    <w:rsid w:val="007F040C"/>
    <w:rsid w:val="007F0781"/>
    <w:rsid w:val="007F1CE4"/>
    <w:rsid w:val="007F1D9D"/>
    <w:rsid w:val="007F2DDC"/>
    <w:rsid w:val="007F2E64"/>
    <w:rsid w:val="007F5639"/>
    <w:rsid w:val="007F5A47"/>
    <w:rsid w:val="007F5D3C"/>
    <w:rsid w:val="007F5FAF"/>
    <w:rsid w:val="007F79B1"/>
    <w:rsid w:val="007F7E61"/>
    <w:rsid w:val="008005D7"/>
    <w:rsid w:val="00800AB1"/>
    <w:rsid w:val="008010C0"/>
    <w:rsid w:val="00801830"/>
    <w:rsid w:val="00803FEB"/>
    <w:rsid w:val="00804702"/>
    <w:rsid w:val="0080499B"/>
    <w:rsid w:val="00804C19"/>
    <w:rsid w:val="00805A7D"/>
    <w:rsid w:val="00806FF5"/>
    <w:rsid w:val="008074C1"/>
    <w:rsid w:val="0080751B"/>
    <w:rsid w:val="00807A6C"/>
    <w:rsid w:val="0081076D"/>
    <w:rsid w:val="00810EB9"/>
    <w:rsid w:val="00811228"/>
    <w:rsid w:val="0081158E"/>
    <w:rsid w:val="00811A09"/>
    <w:rsid w:val="00812381"/>
    <w:rsid w:val="0081283C"/>
    <w:rsid w:val="008131A1"/>
    <w:rsid w:val="008137AF"/>
    <w:rsid w:val="00813A25"/>
    <w:rsid w:val="0081436B"/>
    <w:rsid w:val="00814594"/>
    <w:rsid w:val="008154F0"/>
    <w:rsid w:val="00816188"/>
    <w:rsid w:val="0081634D"/>
    <w:rsid w:val="0081634F"/>
    <w:rsid w:val="00817A46"/>
    <w:rsid w:val="008208E6"/>
    <w:rsid w:val="008209E0"/>
    <w:rsid w:val="00822498"/>
    <w:rsid w:val="00822827"/>
    <w:rsid w:val="008237D4"/>
    <w:rsid w:val="00825BD1"/>
    <w:rsid w:val="00827B11"/>
    <w:rsid w:val="008307CF"/>
    <w:rsid w:val="00830847"/>
    <w:rsid w:val="008308AB"/>
    <w:rsid w:val="00831FA3"/>
    <w:rsid w:val="00832E27"/>
    <w:rsid w:val="00833453"/>
    <w:rsid w:val="00836EBA"/>
    <w:rsid w:val="008379C8"/>
    <w:rsid w:val="00837F52"/>
    <w:rsid w:val="0084035F"/>
    <w:rsid w:val="00842DB0"/>
    <w:rsid w:val="00843872"/>
    <w:rsid w:val="00843910"/>
    <w:rsid w:val="00843A9A"/>
    <w:rsid w:val="00844086"/>
    <w:rsid w:val="008446C4"/>
    <w:rsid w:val="00845868"/>
    <w:rsid w:val="00845CEC"/>
    <w:rsid w:val="00845DF5"/>
    <w:rsid w:val="00846518"/>
    <w:rsid w:val="008467A5"/>
    <w:rsid w:val="00847094"/>
    <w:rsid w:val="008503CB"/>
    <w:rsid w:val="0085052B"/>
    <w:rsid w:val="00850DD7"/>
    <w:rsid w:val="00851036"/>
    <w:rsid w:val="008526B4"/>
    <w:rsid w:val="00853E7E"/>
    <w:rsid w:val="00854561"/>
    <w:rsid w:val="00855287"/>
    <w:rsid w:val="00857295"/>
    <w:rsid w:val="008602A6"/>
    <w:rsid w:val="008603E2"/>
    <w:rsid w:val="0086199D"/>
    <w:rsid w:val="00861B56"/>
    <w:rsid w:val="00863120"/>
    <w:rsid w:val="00864587"/>
    <w:rsid w:val="00864A26"/>
    <w:rsid w:val="008652D9"/>
    <w:rsid w:val="00865303"/>
    <w:rsid w:val="00866240"/>
    <w:rsid w:val="008664C4"/>
    <w:rsid w:val="008665A9"/>
    <w:rsid w:val="00866781"/>
    <w:rsid w:val="00867E07"/>
    <w:rsid w:val="00870D55"/>
    <w:rsid w:val="00871C58"/>
    <w:rsid w:val="00873565"/>
    <w:rsid w:val="00875477"/>
    <w:rsid w:val="008764BF"/>
    <w:rsid w:val="008765E7"/>
    <w:rsid w:val="00876AAA"/>
    <w:rsid w:val="00876C62"/>
    <w:rsid w:val="00877791"/>
    <w:rsid w:val="00877F87"/>
    <w:rsid w:val="00880630"/>
    <w:rsid w:val="00880D9B"/>
    <w:rsid w:val="0088242E"/>
    <w:rsid w:val="0088352C"/>
    <w:rsid w:val="00883B5A"/>
    <w:rsid w:val="00883EA1"/>
    <w:rsid w:val="00885948"/>
    <w:rsid w:val="008861ED"/>
    <w:rsid w:val="0088643B"/>
    <w:rsid w:val="008867CB"/>
    <w:rsid w:val="00886A0B"/>
    <w:rsid w:val="00886B2B"/>
    <w:rsid w:val="00886B6A"/>
    <w:rsid w:val="00886C88"/>
    <w:rsid w:val="008872E1"/>
    <w:rsid w:val="0089016C"/>
    <w:rsid w:val="008905CB"/>
    <w:rsid w:val="00890E14"/>
    <w:rsid w:val="00891092"/>
    <w:rsid w:val="0089148D"/>
    <w:rsid w:val="00891FAE"/>
    <w:rsid w:val="0089315E"/>
    <w:rsid w:val="00893C63"/>
    <w:rsid w:val="00894060"/>
    <w:rsid w:val="00894296"/>
    <w:rsid w:val="00895CE7"/>
    <w:rsid w:val="008974E4"/>
    <w:rsid w:val="008976E6"/>
    <w:rsid w:val="00897AD0"/>
    <w:rsid w:val="008A0282"/>
    <w:rsid w:val="008A0F67"/>
    <w:rsid w:val="008A19D8"/>
    <w:rsid w:val="008A268B"/>
    <w:rsid w:val="008A2889"/>
    <w:rsid w:val="008A4301"/>
    <w:rsid w:val="008A4781"/>
    <w:rsid w:val="008A5564"/>
    <w:rsid w:val="008A6917"/>
    <w:rsid w:val="008A6DC3"/>
    <w:rsid w:val="008A70BA"/>
    <w:rsid w:val="008A7962"/>
    <w:rsid w:val="008B22B0"/>
    <w:rsid w:val="008B2BFA"/>
    <w:rsid w:val="008B339E"/>
    <w:rsid w:val="008B3A45"/>
    <w:rsid w:val="008B3FE1"/>
    <w:rsid w:val="008B45A5"/>
    <w:rsid w:val="008B5B53"/>
    <w:rsid w:val="008B5DA3"/>
    <w:rsid w:val="008B6620"/>
    <w:rsid w:val="008B665C"/>
    <w:rsid w:val="008B6F12"/>
    <w:rsid w:val="008C11AF"/>
    <w:rsid w:val="008C1C50"/>
    <w:rsid w:val="008C1E82"/>
    <w:rsid w:val="008C2271"/>
    <w:rsid w:val="008C2CF2"/>
    <w:rsid w:val="008C5991"/>
    <w:rsid w:val="008C65CA"/>
    <w:rsid w:val="008C677D"/>
    <w:rsid w:val="008C694A"/>
    <w:rsid w:val="008C6A46"/>
    <w:rsid w:val="008C76C2"/>
    <w:rsid w:val="008C7DC6"/>
    <w:rsid w:val="008D021C"/>
    <w:rsid w:val="008D0522"/>
    <w:rsid w:val="008D0F33"/>
    <w:rsid w:val="008D1256"/>
    <w:rsid w:val="008D17BC"/>
    <w:rsid w:val="008D187E"/>
    <w:rsid w:val="008D1CF8"/>
    <w:rsid w:val="008D3BDB"/>
    <w:rsid w:val="008D4674"/>
    <w:rsid w:val="008D4EFA"/>
    <w:rsid w:val="008D5194"/>
    <w:rsid w:val="008D5301"/>
    <w:rsid w:val="008D5DCB"/>
    <w:rsid w:val="008D5F56"/>
    <w:rsid w:val="008D6324"/>
    <w:rsid w:val="008D649F"/>
    <w:rsid w:val="008E0707"/>
    <w:rsid w:val="008E0B41"/>
    <w:rsid w:val="008E0BF3"/>
    <w:rsid w:val="008E1282"/>
    <w:rsid w:val="008E1313"/>
    <w:rsid w:val="008E1514"/>
    <w:rsid w:val="008E19B6"/>
    <w:rsid w:val="008E1D2D"/>
    <w:rsid w:val="008E29EB"/>
    <w:rsid w:val="008E2B82"/>
    <w:rsid w:val="008E388A"/>
    <w:rsid w:val="008E3BB9"/>
    <w:rsid w:val="008E3E99"/>
    <w:rsid w:val="008E4007"/>
    <w:rsid w:val="008E44EA"/>
    <w:rsid w:val="008E523F"/>
    <w:rsid w:val="008E5626"/>
    <w:rsid w:val="008E5E19"/>
    <w:rsid w:val="008E64A7"/>
    <w:rsid w:val="008E6F5D"/>
    <w:rsid w:val="008E7B74"/>
    <w:rsid w:val="008F154E"/>
    <w:rsid w:val="008F42D0"/>
    <w:rsid w:val="008F4CF0"/>
    <w:rsid w:val="008F4E48"/>
    <w:rsid w:val="008F5398"/>
    <w:rsid w:val="008F5E78"/>
    <w:rsid w:val="008F620B"/>
    <w:rsid w:val="008F76BA"/>
    <w:rsid w:val="008F7E42"/>
    <w:rsid w:val="0090023F"/>
    <w:rsid w:val="0090109F"/>
    <w:rsid w:val="00901720"/>
    <w:rsid w:val="00902899"/>
    <w:rsid w:val="00902A00"/>
    <w:rsid w:val="00904126"/>
    <w:rsid w:val="00904855"/>
    <w:rsid w:val="00904999"/>
    <w:rsid w:val="00904FCC"/>
    <w:rsid w:val="0090503F"/>
    <w:rsid w:val="00905652"/>
    <w:rsid w:val="009066F7"/>
    <w:rsid w:val="009067EF"/>
    <w:rsid w:val="00907F21"/>
    <w:rsid w:val="0091036E"/>
    <w:rsid w:val="00911019"/>
    <w:rsid w:val="0091192A"/>
    <w:rsid w:val="00911A40"/>
    <w:rsid w:val="00912533"/>
    <w:rsid w:val="009128B0"/>
    <w:rsid w:val="00913318"/>
    <w:rsid w:val="00913ADD"/>
    <w:rsid w:val="00913F17"/>
    <w:rsid w:val="00914DC7"/>
    <w:rsid w:val="0091533B"/>
    <w:rsid w:val="009157BD"/>
    <w:rsid w:val="00916267"/>
    <w:rsid w:val="0091659C"/>
    <w:rsid w:val="00916A4B"/>
    <w:rsid w:val="0091701A"/>
    <w:rsid w:val="00917416"/>
    <w:rsid w:val="00917464"/>
    <w:rsid w:val="009177EE"/>
    <w:rsid w:val="009214B9"/>
    <w:rsid w:val="00921C84"/>
    <w:rsid w:val="00923F51"/>
    <w:rsid w:val="009244AC"/>
    <w:rsid w:val="00924BFE"/>
    <w:rsid w:val="00924E51"/>
    <w:rsid w:val="00924F6B"/>
    <w:rsid w:val="00925C99"/>
    <w:rsid w:val="00926829"/>
    <w:rsid w:val="00926883"/>
    <w:rsid w:val="00926BC9"/>
    <w:rsid w:val="009275C6"/>
    <w:rsid w:val="00927711"/>
    <w:rsid w:val="00930555"/>
    <w:rsid w:val="00930A4F"/>
    <w:rsid w:val="0093193B"/>
    <w:rsid w:val="009327B0"/>
    <w:rsid w:val="00933168"/>
    <w:rsid w:val="009335EF"/>
    <w:rsid w:val="00935CC4"/>
    <w:rsid w:val="009361D5"/>
    <w:rsid w:val="0093694F"/>
    <w:rsid w:val="0093713A"/>
    <w:rsid w:val="009372C5"/>
    <w:rsid w:val="00937333"/>
    <w:rsid w:val="00937775"/>
    <w:rsid w:val="009405D1"/>
    <w:rsid w:val="0094088A"/>
    <w:rsid w:val="009408A0"/>
    <w:rsid w:val="00942E69"/>
    <w:rsid w:val="00942E7B"/>
    <w:rsid w:val="00944C68"/>
    <w:rsid w:val="00945FA8"/>
    <w:rsid w:val="0094698A"/>
    <w:rsid w:val="009469A4"/>
    <w:rsid w:val="00947C76"/>
    <w:rsid w:val="00947EB0"/>
    <w:rsid w:val="00950287"/>
    <w:rsid w:val="0095037F"/>
    <w:rsid w:val="00950C4B"/>
    <w:rsid w:val="00950EE1"/>
    <w:rsid w:val="00951770"/>
    <w:rsid w:val="00951E3C"/>
    <w:rsid w:val="00951F6D"/>
    <w:rsid w:val="00952008"/>
    <w:rsid w:val="0095337D"/>
    <w:rsid w:val="009535BF"/>
    <w:rsid w:val="00953B2E"/>
    <w:rsid w:val="00953BD5"/>
    <w:rsid w:val="00954D2A"/>
    <w:rsid w:val="00956969"/>
    <w:rsid w:val="00956DFB"/>
    <w:rsid w:val="00957780"/>
    <w:rsid w:val="00960700"/>
    <w:rsid w:val="009608FC"/>
    <w:rsid w:val="00960FB7"/>
    <w:rsid w:val="00961841"/>
    <w:rsid w:val="0096222D"/>
    <w:rsid w:val="0096317B"/>
    <w:rsid w:val="0096324E"/>
    <w:rsid w:val="0096326D"/>
    <w:rsid w:val="009633B8"/>
    <w:rsid w:val="009642EB"/>
    <w:rsid w:val="0096484A"/>
    <w:rsid w:val="00965157"/>
    <w:rsid w:val="0096660C"/>
    <w:rsid w:val="00966645"/>
    <w:rsid w:val="009666D2"/>
    <w:rsid w:val="009667D9"/>
    <w:rsid w:val="00966DF2"/>
    <w:rsid w:val="0096708E"/>
    <w:rsid w:val="00970756"/>
    <w:rsid w:val="0097199A"/>
    <w:rsid w:val="00971F52"/>
    <w:rsid w:val="00971FBB"/>
    <w:rsid w:val="00972661"/>
    <w:rsid w:val="00973547"/>
    <w:rsid w:val="00973604"/>
    <w:rsid w:val="00974396"/>
    <w:rsid w:val="00974572"/>
    <w:rsid w:val="00975A74"/>
    <w:rsid w:val="009761C9"/>
    <w:rsid w:val="00976DB3"/>
    <w:rsid w:val="00980DC1"/>
    <w:rsid w:val="00980F04"/>
    <w:rsid w:val="00982838"/>
    <w:rsid w:val="00982B05"/>
    <w:rsid w:val="0098322C"/>
    <w:rsid w:val="00984119"/>
    <w:rsid w:val="00984F8D"/>
    <w:rsid w:val="00985B07"/>
    <w:rsid w:val="00985E19"/>
    <w:rsid w:val="009862EB"/>
    <w:rsid w:val="009863D6"/>
    <w:rsid w:val="00986FED"/>
    <w:rsid w:val="0098731A"/>
    <w:rsid w:val="009877E8"/>
    <w:rsid w:val="00990BD9"/>
    <w:rsid w:val="00990E33"/>
    <w:rsid w:val="009910B0"/>
    <w:rsid w:val="00992942"/>
    <w:rsid w:val="00992E60"/>
    <w:rsid w:val="00992FB3"/>
    <w:rsid w:val="00993198"/>
    <w:rsid w:val="009932A6"/>
    <w:rsid w:val="0099352E"/>
    <w:rsid w:val="00995082"/>
    <w:rsid w:val="00995086"/>
    <w:rsid w:val="009953A0"/>
    <w:rsid w:val="00995900"/>
    <w:rsid w:val="00995A08"/>
    <w:rsid w:val="0099602A"/>
    <w:rsid w:val="009960CD"/>
    <w:rsid w:val="009967C0"/>
    <w:rsid w:val="009A1C73"/>
    <w:rsid w:val="009A2809"/>
    <w:rsid w:val="009A2D12"/>
    <w:rsid w:val="009A337F"/>
    <w:rsid w:val="009A3A81"/>
    <w:rsid w:val="009A576E"/>
    <w:rsid w:val="009A6442"/>
    <w:rsid w:val="009A73F5"/>
    <w:rsid w:val="009A759B"/>
    <w:rsid w:val="009B0B92"/>
    <w:rsid w:val="009B14D4"/>
    <w:rsid w:val="009B4171"/>
    <w:rsid w:val="009B45C3"/>
    <w:rsid w:val="009B52F7"/>
    <w:rsid w:val="009B566F"/>
    <w:rsid w:val="009B5797"/>
    <w:rsid w:val="009B63D4"/>
    <w:rsid w:val="009B72E5"/>
    <w:rsid w:val="009B775A"/>
    <w:rsid w:val="009B7EAA"/>
    <w:rsid w:val="009C0106"/>
    <w:rsid w:val="009C169A"/>
    <w:rsid w:val="009C16CA"/>
    <w:rsid w:val="009C1A1C"/>
    <w:rsid w:val="009C1B7E"/>
    <w:rsid w:val="009C299F"/>
    <w:rsid w:val="009C330D"/>
    <w:rsid w:val="009C49C4"/>
    <w:rsid w:val="009C5851"/>
    <w:rsid w:val="009C58FB"/>
    <w:rsid w:val="009C5AC2"/>
    <w:rsid w:val="009C6B6E"/>
    <w:rsid w:val="009C7201"/>
    <w:rsid w:val="009C7C68"/>
    <w:rsid w:val="009D15B0"/>
    <w:rsid w:val="009D1BDB"/>
    <w:rsid w:val="009D1C00"/>
    <w:rsid w:val="009D1F38"/>
    <w:rsid w:val="009D2E2A"/>
    <w:rsid w:val="009D3102"/>
    <w:rsid w:val="009D3EFA"/>
    <w:rsid w:val="009D401B"/>
    <w:rsid w:val="009D42FE"/>
    <w:rsid w:val="009D459B"/>
    <w:rsid w:val="009D4758"/>
    <w:rsid w:val="009D4BBB"/>
    <w:rsid w:val="009D4BF6"/>
    <w:rsid w:val="009D4D86"/>
    <w:rsid w:val="009D5CF1"/>
    <w:rsid w:val="009D60D8"/>
    <w:rsid w:val="009D6652"/>
    <w:rsid w:val="009D6AC7"/>
    <w:rsid w:val="009D7284"/>
    <w:rsid w:val="009E0F13"/>
    <w:rsid w:val="009E1B39"/>
    <w:rsid w:val="009E1C57"/>
    <w:rsid w:val="009E1E6B"/>
    <w:rsid w:val="009E217A"/>
    <w:rsid w:val="009E22F3"/>
    <w:rsid w:val="009E3A38"/>
    <w:rsid w:val="009E3A46"/>
    <w:rsid w:val="009E46B8"/>
    <w:rsid w:val="009E741D"/>
    <w:rsid w:val="009E775D"/>
    <w:rsid w:val="009F17D5"/>
    <w:rsid w:val="009F2C35"/>
    <w:rsid w:val="009F3070"/>
    <w:rsid w:val="009F30AF"/>
    <w:rsid w:val="009F32A9"/>
    <w:rsid w:val="009F3847"/>
    <w:rsid w:val="009F3F2C"/>
    <w:rsid w:val="009F419F"/>
    <w:rsid w:val="009F48EA"/>
    <w:rsid w:val="009F4E2F"/>
    <w:rsid w:val="009F5BE6"/>
    <w:rsid w:val="009F6561"/>
    <w:rsid w:val="009F7280"/>
    <w:rsid w:val="009F7DD0"/>
    <w:rsid w:val="00A00142"/>
    <w:rsid w:val="00A00456"/>
    <w:rsid w:val="00A004E6"/>
    <w:rsid w:val="00A00887"/>
    <w:rsid w:val="00A009C3"/>
    <w:rsid w:val="00A0137D"/>
    <w:rsid w:val="00A01928"/>
    <w:rsid w:val="00A01CB2"/>
    <w:rsid w:val="00A02210"/>
    <w:rsid w:val="00A02CE0"/>
    <w:rsid w:val="00A02FE9"/>
    <w:rsid w:val="00A03C1A"/>
    <w:rsid w:val="00A03FD8"/>
    <w:rsid w:val="00A05C28"/>
    <w:rsid w:val="00A05D20"/>
    <w:rsid w:val="00A0626D"/>
    <w:rsid w:val="00A062A1"/>
    <w:rsid w:val="00A07017"/>
    <w:rsid w:val="00A07949"/>
    <w:rsid w:val="00A07A58"/>
    <w:rsid w:val="00A07A97"/>
    <w:rsid w:val="00A07D7B"/>
    <w:rsid w:val="00A07D8D"/>
    <w:rsid w:val="00A11E18"/>
    <w:rsid w:val="00A131CA"/>
    <w:rsid w:val="00A141CF"/>
    <w:rsid w:val="00A15FEF"/>
    <w:rsid w:val="00A1716B"/>
    <w:rsid w:val="00A178F5"/>
    <w:rsid w:val="00A20876"/>
    <w:rsid w:val="00A209D9"/>
    <w:rsid w:val="00A20D34"/>
    <w:rsid w:val="00A21506"/>
    <w:rsid w:val="00A215A5"/>
    <w:rsid w:val="00A229E8"/>
    <w:rsid w:val="00A22C3A"/>
    <w:rsid w:val="00A23ED4"/>
    <w:rsid w:val="00A24810"/>
    <w:rsid w:val="00A24816"/>
    <w:rsid w:val="00A2506A"/>
    <w:rsid w:val="00A25124"/>
    <w:rsid w:val="00A264AA"/>
    <w:rsid w:val="00A268E8"/>
    <w:rsid w:val="00A26B3F"/>
    <w:rsid w:val="00A26D09"/>
    <w:rsid w:val="00A26E5B"/>
    <w:rsid w:val="00A27D68"/>
    <w:rsid w:val="00A3073C"/>
    <w:rsid w:val="00A30CD0"/>
    <w:rsid w:val="00A3160E"/>
    <w:rsid w:val="00A326AC"/>
    <w:rsid w:val="00A328DF"/>
    <w:rsid w:val="00A33329"/>
    <w:rsid w:val="00A33AA7"/>
    <w:rsid w:val="00A34585"/>
    <w:rsid w:val="00A359FF"/>
    <w:rsid w:val="00A36DBD"/>
    <w:rsid w:val="00A37B5F"/>
    <w:rsid w:val="00A407BE"/>
    <w:rsid w:val="00A40A92"/>
    <w:rsid w:val="00A42F52"/>
    <w:rsid w:val="00A43107"/>
    <w:rsid w:val="00A4320F"/>
    <w:rsid w:val="00A43A9A"/>
    <w:rsid w:val="00A44797"/>
    <w:rsid w:val="00A4554E"/>
    <w:rsid w:val="00A458CE"/>
    <w:rsid w:val="00A45EE6"/>
    <w:rsid w:val="00A464CF"/>
    <w:rsid w:val="00A47ACB"/>
    <w:rsid w:val="00A516E0"/>
    <w:rsid w:val="00A51889"/>
    <w:rsid w:val="00A5337A"/>
    <w:rsid w:val="00A53536"/>
    <w:rsid w:val="00A5374F"/>
    <w:rsid w:val="00A53C50"/>
    <w:rsid w:val="00A53D5E"/>
    <w:rsid w:val="00A544D1"/>
    <w:rsid w:val="00A55203"/>
    <w:rsid w:val="00A5774A"/>
    <w:rsid w:val="00A6070C"/>
    <w:rsid w:val="00A61CBA"/>
    <w:rsid w:val="00A62C03"/>
    <w:rsid w:val="00A62C57"/>
    <w:rsid w:val="00A6379E"/>
    <w:rsid w:val="00A64508"/>
    <w:rsid w:val="00A64E87"/>
    <w:rsid w:val="00A6563D"/>
    <w:rsid w:val="00A6599C"/>
    <w:rsid w:val="00A675DB"/>
    <w:rsid w:val="00A67BE1"/>
    <w:rsid w:val="00A71F38"/>
    <w:rsid w:val="00A724AC"/>
    <w:rsid w:val="00A729C7"/>
    <w:rsid w:val="00A73B8D"/>
    <w:rsid w:val="00A73E8E"/>
    <w:rsid w:val="00A74189"/>
    <w:rsid w:val="00A74998"/>
    <w:rsid w:val="00A75926"/>
    <w:rsid w:val="00A75A2F"/>
    <w:rsid w:val="00A77AE4"/>
    <w:rsid w:val="00A80474"/>
    <w:rsid w:val="00A808C0"/>
    <w:rsid w:val="00A808ED"/>
    <w:rsid w:val="00A81B63"/>
    <w:rsid w:val="00A82D56"/>
    <w:rsid w:val="00A83471"/>
    <w:rsid w:val="00A837C4"/>
    <w:rsid w:val="00A83F4F"/>
    <w:rsid w:val="00A83FA6"/>
    <w:rsid w:val="00A8447E"/>
    <w:rsid w:val="00A85E16"/>
    <w:rsid w:val="00A862A8"/>
    <w:rsid w:val="00A879C7"/>
    <w:rsid w:val="00A87DE0"/>
    <w:rsid w:val="00A87FB2"/>
    <w:rsid w:val="00A906C7"/>
    <w:rsid w:val="00A922C7"/>
    <w:rsid w:val="00A92A7E"/>
    <w:rsid w:val="00A938FB"/>
    <w:rsid w:val="00A9394E"/>
    <w:rsid w:val="00A93D93"/>
    <w:rsid w:val="00A94A93"/>
    <w:rsid w:val="00A94E3C"/>
    <w:rsid w:val="00A9506C"/>
    <w:rsid w:val="00A963B6"/>
    <w:rsid w:val="00A96682"/>
    <w:rsid w:val="00A9695C"/>
    <w:rsid w:val="00A96F79"/>
    <w:rsid w:val="00A96F9E"/>
    <w:rsid w:val="00A97029"/>
    <w:rsid w:val="00A975C5"/>
    <w:rsid w:val="00A97EC0"/>
    <w:rsid w:val="00AA0162"/>
    <w:rsid w:val="00AA087A"/>
    <w:rsid w:val="00AA1A00"/>
    <w:rsid w:val="00AA1E89"/>
    <w:rsid w:val="00AA2068"/>
    <w:rsid w:val="00AA3571"/>
    <w:rsid w:val="00AA3785"/>
    <w:rsid w:val="00AA4A7D"/>
    <w:rsid w:val="00AA4AA2"/>
    <w:rsid w:val="00AA516B"/>
    <w:rsid w:val="00AA573C"/>
    <w:rsid w:val="00AA6629"/>
    <w:rsid w:val="00AB351A"/>
    <w:rsid w:val="00AB3585"/>
    <w:rsid w:val="00AB445B"/>
    <w:rsid w:val="00AB44A9"/>
    <w:rsid w:val="00AB474E"/>
    <w:rsid w:val="00AB4AAB"/>
    <w:rsid w:val="00AB4ADD"/>
    <w:rsid w:val="00AB52D6"/>
    <w:rsid w:val="00AB5F4C"/>
    <w:rsid w:val="00AB680C"/>
    <w:rsid w:val="00AB6D5D"/>
    <w:rsid w:val="00AB70DE"/>
    <w:rsid w:val="00AC1955"/>
    <w:rsid w:val="00AC1ED6"/>
    <w:rsid w:val="00AC3027"/>
    <w:rsid w:val="00AC36B1"/>
    <w:rsid w:val="00AC3E2E"/>
    <w:rsid w:val="00AC646E"/>
    <w:rsid w:val="00AC70FE"/>
    <w:rsid w:val="00AD02B6"/>
    <w:rsid w:val="00AD1B08"/>
    <w:rsid w:val="00AD1F12"/>
    <w:rsid w:val="00AD25BB"/>
    <w:rsid w:val="00AD2A57"/>
    <w:rsid w:val="00AD2EF8"/>
    <w:rsid w:val="00AD3D60"/>
    <w:rsid w:val="00AD4BA6"/>
    <w:rsid w:val="00AD549F"/>
    <w:rsid w:val="00AD71DD"/>
    <w:rsid w:val="00AD722A"/>
    <w:rsid w:val="00AD75C8"/>
    <w:rsid w:val="00AD77D1"/>
    <w:rsid w:val="00AE12A1"/>
    <w:rsid w:val="00AE1413"/>
    <w:rsid w:val="00AE166C"/>
    <w:rsid w:val="00AE1AF3"/>
    <w:rsid w:val="00AE2550"/>
    <w:rsid w:val="00AE297F"/>
    <w:rsid w:val="00AE3D8E"/>
    <w:rsid w:val="00AE59F2"/>
    <w:rsid w:val="00AE5AF3"/>
    <w:rsid w:val="00AE61B0"/>
    <w:rsid w:val="00AE642E"/>
    <w:rsid w:val="00AE65EC"/>
    <w:rsid w:val="00AE68EF"/>
    <w:rsid w:val="00AE694A"/>
    <w:rsid w:val="00AF1427"/>
    <w:rsid w:val="00AF2038"/>
    <w:rsid w:val="00AF25C2"/>
    <w:rsid w:val="00AF3043"/>
    <w:rsid w:val="00AF37D8"/>
    <w:rsid w:val="00AF3BD5"/>
    <w:rsid w:val="00AF45B1"/>
    <w:rsid w:val="00AF4A19"/>
    <w:rsid w:val="00AF514B"/>
    <w:rsid w:val="00AF6D9A"/>
    <w:rsid w:val="00AF7352"/>
    <w:rsid w:val="00B014D2"/>
    <w:rsid w:val="00B01E93"/>
    <w:rsid w:val="00B01F3D"/>
    <w:rsid w:val="00B02831"/>
    <w:rsid w:val="00B02A92"/>
    <w:rsid w:val="00B02D6A"/>
    <w:rsid w:val="00B03823"/>
    <w:rsid w:val="00B03F03"/>
    <w:rsid w:val="00B04392"/>
    <w:rsid w:val="00B06CEC"/>
    <w:rsid w:val="00B078D6"/>
    <w:rsid w:val="00B1078F"/>
    <w:rsid w:val="00B1089B"/>
    <w:rsid w:val="00B1132D"/>
    <w:rsid w:val="00B116B0"/>
    <w:rsid w:val="00B1197B"/>
    <w:rsid w:val="00B12AD7"/>
    <w:rsid w:val="00B131BC"/>
    <w:rsid w:val="00B15840"/>
    <w:rsid w:val="00B15D4C"/>
    <w:rsid w:val="00B16ECE"/>
    <w:rsid w:val="00B17437"/>
    <w:rsid w:val="00B20525"/>
    <w:rsid w:val="00B20BDA"/>
    <w:rsid w:val="00B231CE"/>
    <w:rsid w:val="00B247B3"/>
    <w:rsid w:val="00B25BDD"/>
    <w:rsid w:val="00B26041"/>
    <w:rsid w:val="00B26981"/>
    <w:rsid w:val="00B3070D"/>
    <w:rsid w:val="00B31298"/>
    <w:rsid w:val="00B31322"/>
    <w:rsid w:val="00B33CF0"/>
    <w:rsid w:val="00B33F5D"/>
    <w:rsid w:val="00B34591"/>
    <w:rsid w:val="00B348FD"/>
    <w:rsid w:val="00B35C66"/>
    <w:rsid w:val="00B362B6"/>
    <w:rsid w:val="00B36A53"/>
    <w:rsid w:val="00B3779C"/>
    <w:rsid w:val="00B400A1"/>
    <w:rsid w:val="00B4156A"/>
    <w:rsid w:val="00B41ABB"/>
    <w:rsid w:val="00B41B14"/>
    <w:rsid w:val="00B42069"/>
    <w:rsid w:val="00B427F9"/>
    <w:rsid w:val="00B42A5C"/>
    <w:rsid w:val="00B4336C"/>
    <w:rsid w:val="00B43C8A"/>
    <w:rsid w:val="00B440A2"/>
    <w:rsid w:val="00B443AD"/>
    <w:rsid w:val="00B44DA1"/>
    <w:rsid w:val="00B4507C"/>
    <w:rsid w:val="00B45902"/>
    <w:rsid w:val="00B50BEB"/>
    <w:rsid w:val="00B50C31"/>
    <w:rsid w:val="00B50D2A"/>
    <w:rsid w:val="00B50FF5"/>
    <w:rsid w:val="00B51D66"/>
    <w:rsid w:val="00B5229E"/>
    <w:rsid w:val="00B52770"/>
    <w:rsid w:val="00B528C5"/>
    <w:rsid w:val="00B528C6"/>
    <w:rsid w:val="00B52B69"/>
    <w:rsid w:val="00B53D66"/>
    <w:rsid w:val="00B53E04"/>
    <w:rsid w:val="00B53FC4"/>
    <w:rsid w:val="00B5470F"/>
    <w:rsid w:val="00B54EC0"/>
    <w:rsid w:val="00B55FDF"/>
    <w:rsid w:val="00B56F96"/>
    <w:rsid w:val="00B57C3E"/>
    <w:rsid w:val="00B60F8C"/>
    <w:rsid w:val="00B61C86"/>
    <w:rsid w:val="00B622D7"/>
    <w:rsid w:val="00B63FCD"/>
    <w:rsid w:val="00B64599"/>
    <w:rsid w:val="00B65006"/>
    <w:rsid w:val="00B651F6"/>
    <w:rsid w:val="00B65432"/>
    <w:rsid w:val="00B66B09"/>
    <w:rsid w:val="00B67CDA"/>
    <w:rsid w:val="00B705F0"/>
    <w:rsid w:val="00B70772"/>
    <w:rsid w:val="00B7091C"/>
    <w:rsid w:val="00B70A81"/>
    <w:rsid w:val="00B70B32"/>
    <w:rsid w:val="00B71AE4"/>
    <w:rsid w:val="00B71CE0"/>
    <w:rsid w:val="00B71EE2"/>
    <w:rsid w:val="00B72078"/>
    <w:rsid w:val="00B73DE9"/>
    <w:rsid w:val="00B743EF"/>
    <w:rsid w:val="00B74C01"/>
    <w:rsid w:val="00B751B5"/>
    <w:rsid w:val="00B75C9B"/>
    <w:rsid w:val="00B75F74"/>
    <w:rsid w:val="00B769F1"/>
    <w:rsid w:val="00B77742"/>
    <w:rsid w:val="00B80661"/>
    <w:rsid w:val="00B80CFA"/>
    <w:rsid w:val="00B8276C"/>
    <w:rsid w:val="00B8373E"/>
    <w:rsid w:val="00B8386D"/>
    <w:rsid w:val="00B84B32"/>
    <w:rsid w:val="00B84C20"/>
    <w:rsid w:val="00B85D6A"/>
    <w:rsid w:val="00B874DC"/>
    <w:rsid w:val="00B903AA"/>
    <w:rsid w:val="00B904BF"/>
    <w:rsid w:val="00B90826"/>
    <w:rsid w:val="00B910B3"/>
    <w:rsid w:val="00B91468"/>
    <w:rsid w:val="00B9183F"/>
    <w:rsid w:val="00B92607"/>
    <w:rsid w:val="00B934D2"/>
    <w:rsid w:val="00B954DD"/>
    <w:rsid w:val="00B95894"/>
    <w:rsid w:val="00B95C32"/>
    <w:rsid w:val="00B96CC1"/>
    <w:rsid w:val="00B96D6D"/>
    <w:rsid w:val="00B96FAE"/>
    <w:rsid w:val="00B976A1"/>
    <w:rsid w:val="00BA03DB"/>
    <w:rsid w:val="00BA0C8E"/>
    <w:rsid w:val="00BA33F7"/>
    <w:rsid w:val="00BA39CA"/>
    <w:rsid w:val="00BA3FD2"/>
    <w:rsid w:val="00BA5070"/>
    <w:rsid w:val="00BA5E88"/>
    <w:rsid w:val="00BA605A"/>
    <w:rsid w:val="00BA778A"/>
    <w:rsid w:val="00BA78EE"/>
    <w:rsid w:val="00BA7C41"/>
    <w:rsid w:val="00BB08B1"/>
    <w:rsid w:val="00BB08D3"/>
    <w:rsid w:val="00BB0C59"/>
    <w:rsid w:val="00BB0E0E"/>
    <w:rsid w:val="00BB1F4D"/>
    <w:rsid w:val="00BB341C"/>
    <w:rsid w:val="00BB34F0"/>
    <w:rsid w:val="00BB3DEA"/>
    <w:rsid w:val="00BB43C1"/>
    <w:rsid w:val="00BB4868"/>
    <w:rsid w:val="00BB48AA"/>
    <w:rsid w:val="00BB613A"/>
    <w:rsid w:val="00BB69F0"/>
    <w:rsid w:val="00BB73B0"/>
    <w:rsid w:val="00BC03F8"/>
    <w:rsid w:val="00BC04A0"/>
    <w:rsid w:val="00BC06AB"/>
    <w:rsid w:val="00BC1C94"/>
    <w:rsid w:val="00BC4043"/>
    <w:rsid w:val="00BC4977"/>
    <w:rsid w:val="00BC4ABE"/>
    <w:rsid w:val="00BC4EEB"/>
    <w:rsid w:val="00BC4F40"/>
    <w:rsid w:val="00BC53A7"/>
    <w:rsid w:val="00BC5D3A"/>
    <w:rsid w:val="00BC63B1"/>
    <w:rsid w:val="00BC6E1C"/>
    <w:rsid w:val="00BC72D3"/>
    <w:rsid w:val="00BC74C1"/>
    <w:rsid w:val="00BC7957"/>
    <w:rsid w:val="00BD1FC2"/>
    <w:rsid w:val="00BD23B2"/>
    <w:rsid w:val="00BD24B1"/>
    <w:rsid w:val="00BD27EF"/>
    <w:rsid w:val="00BD34FB"/>
    <w:rsid w:val="00BD44A6"/>
    <w:rsid w:val="00BD461D"/>
    <w:rsid w:val="00BD4B31"/>
    <w:rsid w:val="00BD57FC"/>
    <w:rsid w:val="00BD6B54"/>
    <w:rsid w:val="00BD719A"/>
    <w:rsid w:val="00BD7FC9"/>
    <w:rsid w:val="00BE0CD1"/>
    <w:rsid w:val="00BE1B04"/>
    <w:rsid w:val="00BE1C39"/>
    <w:rsid w:val="00BE1E3A"/>
    <w:rsid w:val="00BE2591"/>
    <w:rsid w:val="00BE2B7D"/>
    <w:rsid w:val="00BE32D4"/>
    <w:rsid w:val="00BE369B"/>
    <w:rsid w:val="00BE3AA4"/>
    <w:rsid w:val="00BE40BC"/>
    <w:rsid w:val="00BE45B7"/>
    <w:rsid w:val="00BE4FD4"/>
    <w:rsid w:val="00BE53B7"/>
    <w:rsid w:val="00BE5BC6"/>
    <w:rsid w:val="00BE65B7"/>
    <w:rsid w:val="00BE67FF"/>
    <w:rsid w:val="00BE724A"/>
    <w:rsid w:val="00BF0C88"/>
    <w:rsid w:val="00BF1204"/>
    <w:rsid w:val="00BF191B"/>
    <w:rsid w:val="00BF2AB1"/>
    <w:rsid w:val="00BF2B47"/>
    <w:rsid w:val="00BF3B1D"/>
    <w:rsid w:val="00BF3C28"/>
    <w:rsid w:val="00BF3D9F"/>
    <w:rsid w:val="00BF47C9"/>
    <w:rsid w:val="00BF51CC"/>
    <w:rsid w:val="00BF52F1"/>
    <w:rsid w:val="00BF6FE7"/>
    <w:rsid w:val="00BF7126"/>
    <w:rsid w:val="00C00471"/>
    <w:rsid w:val="00C00662"/>
    <w:rsid w:val="00C008AF"/>
    <w:rsid w:val="00C0122C"/>
    <w:rsid w:val="00C01993"/>
    <w:rsid w:val="00C01B05"/>
    <w:rsid w:val="00C01E2F"/>
    <w:rsid w:val="00C0272C"/>
    <w:rsid w:val="00C03E3A"/>
    <w:rsid w:val="00C0482A"/>
    <w:rsid w:val="00C04C06"/>
    <w:rsid w:val="00C058BD"/>
    <w:rsid w:val="00C05DAD"/>
    <w:rsid w:val="00C05EB6"/>
    <w:rsid w:val="00C060E9"/>
    <w:rsid w:val="00C07C53"/>
    <w:rsid w:val="00C10437"/>
    <w:rsid w:val="00C10479"/>
    <w:rsid w:val="00C108A4"/>
    <w:rsid w:val="00C12E6F"/>
    <w:rsid w:val="00C17018"/>
    <w:rsid w:val="00C17348"/>
    <w:rsid w:val="00C17802"/>
    <w:rsid w:val="00C17CA0"/>
    <w:rsid w:val="00C17D66"/>
    <w:rsid w:val="00C211D7"/>
    <w:rsid w:val="00C21549"/>
    <w:rsid w:val="00C21774"/>
    <w:rsid w:val="00C219C2"/>
    <w:rsid w:val="00C22A1A"/>
    <w:rsid w:val="00C2351A"/>
    <w:rsid w:val="00C23D7B"/>
    <w:rsid w:val="00C24ED9"/>
    <w:rsid w:val="00C25503"/>
    <w:rsid w:val="00C26381"/>
    <w:rsid w:val="00C2641B"/>
    <w:rsid w:val="00C26F63"/>
    <w:rsid w:val="00C27E68"/>
    <w:rsid w:val="00C30F00"/>
    <w:rsid w:val="00C310BA"/>
    <w:rsid w:val="00C316E4"/>
    <w:rsid w:val="00C32309"/>
    <w:rsid w:val="00C32D6B"/>
    <w:rsid w:val="00C3360D"/>
    <w:rsid w:val="00C33D47"/>
    <w:rsid w:val="00C34751"/>
    <w:rsid w:val="00C3490B"/>
    <w:rsid w:val="00C34C13"/>
    <w:rsid w:val="00C36242"/>
    <w:rsid w:val="00C37BFF"/>
    <w:rsid w:val="00C41EFA"/>
    <w:rsid w:val="00C43792"/>
    <w:rsid w:val="00C43958"/>
    <w:rsid w:val="00C44061"/>
    <w:rsid w:val="00C447A5"/>
    <w:rsid w:val="00C44867"/>
    <w:rsid w:val="00C45511"/>
    <w:rsid w:val="00C4570C"/>
    <w:rsid w:val="00C45B69"/>
    <w:rsid w:val="00C46E47"/>
    <w:rsid w:val="00C47956"/>
    <w:rsid w:val="00C4799B"/>
    <w:rsid w:val="00C50AF9"/>
    <w:rsid w:val="00C50BCC"/>
    <w:rsid w:val="00C50DE3"/>
    <w:rsid w:val="00C54D80"/>
    <w:rsid w:val="00C551CF"/>
    <w:rsid w:val="00C56019"/>
    <w:rsid w:val="00C574AC"/>
    <w:rsid w:val="00C57771"/>
    <w:rsid w:val="00C607FE"/>
    <w:rsid w:val="00C607FF"/>
    <w:rsid w:val="00C61C73"/>
    <w:rsid w:val="00C624CF"/>
    <w:rsid w:val="00C62775"/>
    <w:rsid w:val="00C62E4E"/>
    <w:rsid w:val="00C63D02"/>
    <w:rsid w:val="00C640D2"/>
    <w:rsid w:val="00C642ED"/>
    <w:rsid w:val="00C64D0C"/>
    <w:rsid w:val="00C64F52"/>
    <w:rsid w:val="00C65791"/>
    <w:rsid w:val="00C66A0F"/>
    <w:rsid w:val="00C700ED"/>
    <w:rsid w:val="00C70488"/>
    <w:rsid w:val="00C70833"/>
    <w:rsid w:val="00C708ED"/>
    <w:rsid w:val="00C70C6F"/>
    <w:rsid w:val="00C71944"/>
    <w:rsid w:val="00C72724"/>
    <w:rsid w:val="00C72AA4"/>
    <w:rsid w:val="00C7310C"/>
    <w:rsid w:val="00C73975"/>
    <w:rsid w:val="00C74306"/>
    <w:rsid w:val="00C75A52"/>
    <w:rsid w:val="00C75DA0"/>
    <w:rsid w:val="00C765CA"/>
    <w:rsid w:val="00C76764"/>
    <w:rsid w:val="00C77C41"/>
    <w:rsid w:val="00C77EAE"/>
    <w:rsid w:val="00C80355"/>
    <w:rsid w:val="00C80A2A"/>
    <w:rsid w:val="00C82C4A"/>
    <w:rsid w:val="00C836B5"/>
    <w:rsid w:val="00C83EC7"/>
    <w:rsid w:val="00C84220"/>
    <w:rsid w:val="00C8460E"/>
    <w:rsid w:val="00C856A3"/>
    <w:rsid w:val="00C86901"/>
    <w:rsid w:val="00C86FF1"/>
    <w:rsid w:val="00C908E7"/>
    <w:rsid w:val="00C909FC"/>
    <w:rsid w:val="00C922A0"/>
    <w:rsid w:val="00C92653"/>
    <w:rsid w:val="00C92F50"/>
    <w:rsid w:val="00C92F82"/>
    <w:rsid w:val="00C9457A"/>
    <w:rsid w:val="00C95D42"/>
    <w:rsid w:val="00C95E27"/>
    <w:rsid w:val="00C970CA"/>
    <w:rsid w:val="00C97A4B"/>
    <w:rsid w:val="00CA01C6"/>
    <w:rsid w:val="00CA09CF"/>
    <w:rsid w:val="00CA0C26"/>
    <w:rsid w:val="00CA0FD6"/>
    <w:rsid w:val="00CA1003"/>
    <w:rsid w:val="00CA1AF8"/>
    <w:rsid w:val="00CA1E5F"/>
    <w:rsid w:val="00CA2846"/>
    <w:rsid w:val="00CA318F"/>
    <w:rsid w:val="00CA3B87"/>
    <w:rsid w:val="00CA3CBD"/>
    <w:rsid w:val="00CA458C"/>
    <w:rsid w:val="00CA486F"/>
    <w:rsid w:val="00CA5A84"/>
    <w:rsid w:val="00CA5BB5"/>
    <w:rsid w:val="00CA6479"/>
    <w:rsid w:val="00CA6D9D"/>
    <w:rsid w:val="00CA78EC"/>
    <w:rsid w:val="00CB1AA7"/>
    <w:rsid w:val="00CB2BBD"/>
    <w:rsid w:val="00CB39E0"/>
    <w:rsid w:val="00CB4433"/>
    <w:rsid w:val="00CB5043"/>
    <w:rsid w:val="00CB5377"/>
    <w:rsid w:val="00CB562C"/>
    <w:rsid w:val="00CB5A5A"/>
    <w:rsid w:val="00CB5E2A"/>
    <w:rsid w:val="00CB674E"/>
    <w:rsid w:val="00CB6793"/>
    <w:rsid w:val="00CB7386"/>
    <w:rsid w:val="00CB7934"/>
    <w:rsid w:val="00CC082C"/>
    <w:rsid w:val="00CC09E4"/>
    <w:rsid w:val="00CC1888"/>
    <w:rsid w:val="00CC18F7"/>
    <w:rsid w:val="00CC1EB1"/>
    <w:rsid w:val="00CC2056"/>
    <w:rsid w:val="00CC2BB0"/>
    <w:rsid w:val="00CC3094"/>
    <w:rsid w:val="00CC3CCA"/>
    <w:rsid w:val="00CC4256"/>
    <w:rsid w:val="00CC5AC3"/>
    <w:rsid w:val="00CC6196"/>
    <w:rsid w:val="00CC65C0"/>
    <w:rsid w:val="00CC694C"/>
    <w:rsid w:val="00CC7194"/>
    <w:rsid w:val="00CC753F"/>
    <w:rsid w:val="00CD1942"/>
    <w:rsid w:val="00CD1E81"/>
    <w:rsid w:val="00CD2737"/>
    <w:rsid w:val="00CD2ECF"/>
    <w:rsid w:val="00CD3786"/>
    <w:rsid w:val="00CD524E"/>
    <w:rsid w:val="00CD652A"/>
    <w:rsid w:val="00CE03AF"/>
    <w:rsid w:val="00CE063C"/>
    <w:rsid w:val="00CE0769"/>
    <w:rsid w:val="00CE09BA"/>
    <w:rsid w:val="00CE2305"/>
    <w:rsid w:val="00CE266B"/>
    <w:rsid w:val="00CE3993"/>
    <w:rsid w:val="00CE3CAD"/>
    <w:rsid w:val="00CE3D3D"/>
    <w:rsid w:val="00CE440C"/>
    <w:rsid w:val="00CE4440"/>
    <w:rsid w:val="00CE5114"/>
    <w:rsid w:val="00CE5653"/>
    <w:rsid w:val="00CE6017"/>
    <w:rsid w:val="00CE79C0"/>
    <w:rsid w:val="00CF1269"/>
    <w:rsid w:val="00CF12B3"/>
    <w:rsid w:val="00CF3A31"/>
    <w:rsid w:val="00CF3BD8"/>
    <w:rsid w:val="00CF3F77"/>
    <w:rsid w:val="00CF460C"/>
    <w:rsid w:val="00CF4E6D"/>
    <w:rsid w:val="00CF4F8C"/>
    <w:rsid w:val="00CF5321"/>
    <w:rsid w:val="00CF551A"/>
    <w:rsid w:val="00CF5D97"/>
    <w:rsid w:val="00CF687C"/>
    <w:rsid w:val="00CF6A79"/>
    <w:rsid w:val="00CF76A7"/>
    <w:rsid w:val="00CF7D1E"/>
    <w:rsid w:val="00D00B43"/>
    <w:rsid w:val="00D00C15"/>
    <w:rsid w:val="00D0127B"/>
    <w:rsid w:val="00D01AD0"/>
    <w:rsid w:val="00D021BC"/>
    <w:rsid w:val="00D02A37"/>
    <w:rsid w:val="00D02C67"/>
    <w:rsid w:val="00D02C71"/>
    <w:rsid w:val="00D046BB"/>
    <w:rsid w:val="00D0471A"/>
    <w:rsid w:val="00D04723"/>
    <w:rsid w:val="00D04E7F"/>
    <w:rsid w:val="00D056B9"/>
    <w:rsid w:val="00D07195"/>
    <w:rsid w:val="00D073EB"/>
    <w:rsid w:val="00D07BB6"/>
    <w:rsid w:val="00D07BC5"/>
    <w:rsid w:val="00D10875"/>
    <w:rsid w:val="00D108C3"/>
    <w:rsid w:val="00D10D97"/>
    <w:rsid w:val="00D10F70"/>
    <w:rsid w:val="00D124E6"/>
    <w:rsid w:val="00D1284A"/>
    <w:rsid w:val="00D12EAD"/>
    <w:rsid w:val="00D13896"/>
    <w:rsid w:val="00D13E3D"/>
    <w:rsid w:val="00D13F43"/>
    <w:rsid w:val="00D14C1A"/>
    <w:rsid w:val="00D15602"/>
    <w:rsid w:val="00D15F57"/>
    <w:rsid w:val="00D16020"/>
    <w:rsid w:val="00D17BF2"/>
    <w:rsid w:val="00D17FDD"/>
    <w:rsid w:val="00D201B8"/>
    <w:rsid w:val="00D20315"/>
    <w:rsid w:val="00D2121C"/>
    <w:rsid w:val="00D21407"/>
    <w:rsid w:val="00D218B7"/>
    <w:rsid w:val="00D23088"/>
    <w:rsid w:val="00D235C9"/>
    <w:rsid w:val="00D23990"/>
    <w:rsid w:val="00D2417A"/>
    <w:rsid w:val="00D250E2"/>
    <w:rsid w:val="00D25B4F"/>
    <w:rsid w:val="00D26D6B"/>
    <w:rsid w:val="00D27221"/>
    <w:rsid w:val="00D27546"/>
    <w:rsid w:val="00D27E77"/>
    <w:rsid w:val="00D27FA2"/>
    <w:rsid w:val="00D301D7"/>
    <w:rsid w:val="00D310FD"/>
    <w:rsid w:val="00D31977"/>
    <w:rsid w:val="00D330DB"/>
    <w:rsid w:val="00D34263"/>
    <w:rsid w:val="00D34C13"/>
    <w:rsid w:val="00D35408"/>
    <w:rsid w:val="00D3556E"/>
    <w:rsid w:val="00D36951"/>
    <w:rsid w:val="00D36D48"/>
    <w:rsid w:val="00D36E90"/>
    <w:rsid w:val="00D3719B"/>
    <w:rsid w:val="00D374D5"/>
    <w:rsid w:val="00D37CAE"/>
    <w:rsid w:val="00D40817"/>
    <w:rsid w:val="00D40931"/>
    <w:rsid w:val="00D42EE8"/>
    <w:rsid w:val="00D43474"/>
    <w:rsid w:val="00D4353C"/>
    <w:rsid w:val="00D43775"/>
    <w:rsid w:val="00D43AD8"/>
    <w:rsid w:val="00D43D64"/>
    <w:rsid w:val="00D44670"/>
    <w:rsid w:val="00D44A6E"/>
    <w:rsid w:val="00D45DE0"/>
    <w:rsid w:val="00D463AC"/>
    <w:rsid w:val="00D47CA1"/>
    <w:rsid w:val="00D47E60"/>
    <w:rsid w:val="00D515A3"/>
    <w:rsid w:val="00D51EA5"/>
    <w:rsid w:val="00D5213A"/>
    <w:rsid w:val="00D523F1"/>
    <w:rsid w:val="00D5278E"/>
    <w:rsid w:val="00D53349"/>
    <w:rsid w:val="00D53F86"/>
    <w:rsid w:val="00D53FE6"/>
    <w:rsid w:val="00D541C2"/>
    <w:rsid w:val="00D551D8"/>
    <w:rsid w:val="00D554CF"/>
    <w:rsid w:val="00D55C66"/>
    <w:rsid w:val="00D560BC"/>
    <w:rsid w:val="00D560D9"/>
    <w:rsid w:val="00D57836"/>
    <w:rsid w:val="00D57954"/>
    <w:rsid w:val="00D60021"/>
    <w:rsid w:val="00D60022"/>
    <w:rsid w:val="00D60B89"/>
    <w:rsid w:val="00D62703"/>
    <w:rsid w:val="00D63BC4"/>
    <w:rsid w:val="00D64537"/>
    <w:rsid w:val="00D6462C"/>
    <w:rsid w:val="00D66576"/>
    <w:rsid w:val="00D67547"/>
    <w:rsid w:val="00D67B73"/>
    <w:rsid w:val="00D7113E"/>
    <w:rsid w:val="00D71166"/>
    <w:rsid w:val="00D712B5"/>
    <w:rsid w:val="00D72991"/>
    <w:rsid w:val="00D74B07"/>
    <w:rsid w:val="00D75076"/>
    <w:rsid w:val="00D7568E"/>
    <w:rsid w:val="00D75E38"/>
    <w:rsid w:val="00D76973"/>
    <w:rsid w:val="00D76B4F"/>
    <w:rsid w:val="00D7711C"/>
    <w:rsid w:val="00D77B83"/>
    <w:rsid w:val="00D80801"/>
    <w:rsid w:val="00D80C7B"/>
    <w:rsid w:val="00D81107"/>
    <w:rsid w:val="00D81BF6"/>
    <w:rsid w:val="00D81D8B"/>
    <w:rsid w:val="00D830FA"/>
    <w:rsid w:val="00D837AC"/>
    <w:rsid w:val="00D85BEC"/>
    <w:rsid w:val="00D85F0C"/>
    <w:rsid w:val="00D86036"/>
    <w:rsid w:val="00D8737B"/>
    <w:rsid w:val="00D87B81"/>
    <w:rsid w:val="00D90309"/>
    <w:rsid w:val="00D90391"/>
    <w:rsid w:val="00D91959"/>
    <w:rsid w:val="00D91C45"/>
    <w:rsid w:val="00D91DB6"/>
    <w:rsid w:val="00D921BC"/>
    <w:rsid w:val="00D929CA"/>
    <w:rsid w:val="00D929E1"/>
    <w:rsid w:val="00D92D3F"/>
    <w:rsid w:val="00D93332"/>
    <w:rsid w:val="00D93FFB"/>
    <w:rsid w:val="00D94242"/>
    <w:rsid w:val="00D950DA"/>
    <w:rsid w:val="00D95175"/>
    <w:rsid w:val="00D962A2"/>
    <w:rsid w:val="00D96679"/>
    <w:rsid w:val="00D96790"/>
    <w:rsid w:val="00D97A32"/>
    <w:rsid w:val="00D97AD4"/>
    <w:rsid w:val="00D97C7A"/>
    <w:rsid w:val="00DA0054"/>
    <w:rsid w:val="00DA0209"/>
    <w:rsid w:val="00DA0AB5"/>
    <w:rsid w:val="00DA0DDB"/>
    <w:rsid w:val="00DA18F1"/>
    <w:rsid w:val="00DA22C0"/>
    <w:rsid w:val="00DA2356"/>
    <w:rsid w:val="00DA294C"/>
    <w:rsid w:val="00DA2A02"/>
    <w:rsid w:val="00DA2C6B"/>
    <w:rsid w:val="00DA2C7F"/>
    <w:rsid w:val="00DA3492"/>
    <w:rsid w:val="00DA384C"/>
    <w:rsid w:val="00DA3C7B"/>
    <w:rsid w:val="00DA404B"/>
    <w:rsid w:val="00DA481A"/>
    <w:rsid w:val="00DA4BE8"/>
    <w:rsid w:val="00DA55DB"/>
    <w:rsid w:val="00DA5E85"/>
    <w:rsid w:val="00DA675D"/>
    <w:rsid w:val="00DA6D76"/>
    <w:rsid w:val="00DA7FFA"/>
    <w:rsid w:val="00DB1CF8"/>
    <w:rsid w:val="00DB217F"/>
    <w:rsid w:val="00DB3218"/>
    <w:rsid w:val="00DB44B2"/>
    <w:rsid w:val="00DB461C"/>
    <w:rsid w:val="00DB4B01"/>
    <w:rsid w:val="00DB4DD0"/>
    <w:rsid w:val="00DB502D"/>
    <w:rsid w:val="00DB52EC"/>
    <w:rsid w:val="00DB6BAA"/>
    <w:rsid w:val="00DB6C17"/>
    <w:rsid w:val="00DB7C6D"/>
    <w:rsid w:val="00DC0ADB"/>
    <w:rsid w:val="00DC1350"/>
    <w:rsid w:val="00DC215F"/>
    <w:rsid w:val="00DC23B0"/>
    <w:rsid w:val="00DC3305"/>
    <w:rsid w:val="00DC37D2"/>
    <w:rsid w:val="00DC4BCA"/>
    <w:rsid w:val="00DC4F37"/>
    <w:rsid w:val="00DC5281"/>
    <w:rsid w:val="00DC5718"/>
    <w:rsid w:val="00DC672C"/>
    <w:rsid w:val="00DC6F1A"/>
    <w:rsid w:val="00DC775A"/>
    <w:rsid w:val="00DD0A6B"/>
    <w:rsid w:val="00DD2182"/>
    <w:rsid w:val="00DD25C7"/>
    <w:rsid w:val="00DD2F4A"/>
    <w:rsid w:val="00DD3272"/>
    <w:rsid w:val="00DD34B6"/>
    <w:rsid w:val="00DD3C03"/>
    <w:rsid w:val="00DD4334"/>
    <w:rsid w:val="00DD440A"/>
    <w:rsid w:val="00DD5059"/>
    <w:rsid w:val="00DD612C"/>
    <w:rsid w:val="00DD74FA"/>
    <w:rsid w:val="00DD7B7A"/>
    <w:rsid w:val="00DE14D6"/>
    <w:rsid w:val="00DE1B63"/>
    <w:rsid w:val="00DE1C1C"/>
    <w:rsid w:val="00DE1D53"/>
    <w:rsid w:val="00DE21A3"/>
    <w:rsid w:val="00DE25BB"/>
    <w:rsid w:val="00DE34A9"/>
    <w:rsid w:val="00DE3D7E"/>
    <w:rsid w:val="00DE4FCD"/>
    <w:rsid w:val="00DE5545"/>
    <w:rsid w:val="00DE6D56"/>
    <w:rsid w:val="00DF0165"/>
    <w:rsid w:val="00DF114D"/>
    <w:rsid w:val="00DF223E"/>
    <w:rsid w:val="00DF28CC"/>
    <w:rsid w:val="00DF2DE2"/>
    <w:rsid w:val="00DF3B96"/>
    <w:rsid w:val="00DF4041"/>
    <w:rsid w:val="00DF5891"/>
    <w:rsid w:val="00DF5DFC"/>
    <w:rsid w:val="00DF63A5"/>
    <w:rsid w:val="00DF7B38"/>
    <w:rsid w:val="00E0023D"/>
    <w:rsid w:val="00E01A80"/>
    <w:rsid w:val="00E01CCC"/>
    <w:rsid w:val="00E01FA4"/>
    <w:rsid w:val="00E028EC"/>
    <w:rsid w:val="00E02CE8"/>
    <w:rsid w:val="00E02CFA"/>
    <w:rsid w:val="00E02D08"/>
    <w:rsid w:val="00E03A77"/>
    <w:rsid w:val="00E03E20"/>
    <w:rsid w:val="00E04451"/>
    <w:rsid w:val="00E05C98"/>
    <w:rsid w:val="00E05FA9"/>
    <w:rsid w:val="00E0615B"/>
    <w:rsid w:val="00E06CAF"/>
    <w:rsid w:val="00E07231"/>
    <w:rsid w:val="00E07FA9"/>
    <w:rsid w:val="00E106F7"/>
    <w:rsid w:val="00E10761"/>
    <w:rsid w:val="00E10D8C"/>
    <w:rsid w:val="00E11B13"/>
    <w:rsid w:val="00E122E8"/>
    <w:rsid w:val="00E12BA7"/>
    <w:rsid w:val="00E13490"/>
    <w:rsid w:val="00E137B2"/>
    <w:rsid w:val="00E14C79"/>
    <w:rsid w:val="00E156A9"/>
    <w:rsid w:val="00E15FFB"/>
    <w:rsid w:val="00E1623A"/>
    <w:rsid w:val="00E1629E"/>
    <w:rsid w:val="00E16851"/>
    <w:rsid w:val="00E16F0B"/>
    <w:rsid w:val="00E21633"/>
    <w:rsid w:val="00E21BD3"/>
    <w:rsid w:val="00E231FE"/>
    <w:rsid w:val="00E238E6"/>
    <w:rsid w:val="00E24149"/>
    <w:rsid w:val="00E24284"/>
    <w:rsid w:val="00E2441F"/>
    <w:rsid w:val="00E246C0"/>
    <w:rsid w:val="00E24DA6"/>
    <w:rsid w:val="00E250DC"/>
    <w:rsid w:val="00E25ED1"/>
    <w:rsid w:val="00E263A3"/>
    <w:rsid w:val="00E26A41"/>
    <w:rsid w:val="00E27079"/>
    <w:rsid w:val="00E3291D"/>
    <w:rsid w:val="00E32A3E"/>
    <w:rsid w:val="00E32EFC"/>
    <w:rsid w:val="00E33D35"/>
    <w:rsid w:val="00E33FEC"/>
    <w:rsid w:val="00E3662E"/>
    <w:rsid w:val="00E3703B"/>
    <w:rsid w:val="00E3788C"/>
    <w:rsid w:val="00E40B3E"/>
    <w:rsid w:val="00E419E4"/>
    <w:rsid w:val="00E42EEB"/>
    <w:rsid w:val="00E435D4"/>
    <w:rsid w:val="00E43BAA"/>
    <w:rsid w:val="00E44A19"/>
    <w:rsid w:val="00E45EEB"/>
    <w:rsid w:val="00E46308"/>
    <w:rsid w:val="00E46BE8"/>
    <w:rsid w:val="00E509EC"/>
    <w:rsid w:val="00E50B26"/>
    <w:rsid w:val="00E515CD"/>
    <w:rsid w:val="00E5165E"/>
    <w:rsid w:val="00E5243B"/>
    <w:rsid w:val="00E52BEA"/>
    <w:rsid w:val="00E53B0F"/>
    <w:rsid w:val="00E5424B"/>
    <w:rsid w:val="00E549D1"/>
    <w:rsid w:val="00E54A61"/>
    <w:rsid w:val="00E54B5F"/>
    <w:rsid w:val="00E5540D"/>
    <w:rsid w:val="00E563DD"/>
    <w:rsid w:val="00E602ED"/>
    <w:rsid w:val="00E6045F"/>
    <w:rsid w:val="00E606ED"/>
    <w:rsid w:val="00E611E3"/>
    <w:rsid w:val="00E6160D"/>
    <w:rsid w:val="00E61E8C"/>
    <w:rsid w:val="00E62668"/>
    <w:rsid w:val="00E62D9C"/>
    <w:rsid w:val="00E62E33"/>
    <w:rsid w:val="00E64126"/>
    <w:rsid w:val="00E644A5"/>
    <w:rsid w:val="00E64963"/>
    <w:rsid w:val="00E6594F"/>
    <w:rsid w:val="00E70B05"/>
    <w:rsid w:val="00E70C43"/>
    <w:rsid w:val="00E712D4"/>
    <w:rsid w:val="00E71721"/>
    <w:rsid w:val="00E7182C"/>
    <w:rsid w:val="00E71848"/>
    <w:rsid w:val="00E71D6F"/>
    <w:rsid w:val="00E72556"/>
    <w:rsid w:val="00E72B81"/>
    <w:rsid w:val="00E72F3A"/>
    <w:rsid w:val="00E730C0"/>
    <w:rsid w:val="00E747CD"/>
    <w:rsid w:val="00E7588A"/>
    <w:rsid w:val="00E76CAB"/>
    <w:rsid w:val="00E771EC"/>
    <w:rsid w:val="00E77FA7"/>
    <w:rsid w:val="00E77FF6"/>
    <w:rsid w:val="00E80C30"/>
    <w:rsid w:val="00E80F7A"/>
    <w:rsid w:val="00E81518"/>
    <w:rsid w:val="00E82A0B"/>
    <w:rsid w:val="00E82E0D"/>
    <w:rsid w:val="00E82FC9"/>
    <w:rsid w:val="00E83D6F"/>
    <w:rsid w:val="00E83DF1"/>
    <w:rsid w:val="00E83ECB"/>
    <w:rsid w:val="00E83F81"/>
    <w:rsid w:val="00E8473B"/>
    <w:rsid w:val="00E84F34"/>
    <w:rsid w:val="00E84FF2"/>
    <w:rsid w:val="00E853C4"/>
    <w:rsid w:val="00E85595"/>
    <w:rsid w:val="00E858B0"/>
    <w:rsid w:val="00E859CE"/>
    <w:rsid w:val="00E87ECB"/>
    <w:rsid w:val="00E90091"/>
    <w:rsid w:val="00E9063C"/>
    <w:rsid w:val="00E90D22"/>
    <w:rsid w:val="00E90DC1"/>
    <w:rsid w:val="00E90DEE"/>
    <w:rsid w:val="00E9160F"/>
    <w:rsid w:val="00E92A9F"/>
    <w:rsid w:val="00E92D8A"/>
    <w:rsid w:val="00E93CEB"/>
    <w:rsid w:val="00E941E3"/>
    <w:rsid w:val="00E94320"/>
    <w:rsid w:val="00E94E4E"/>
    <w:rsid w:val="00E951DA"/>
    <w:rsid w:val="00E95526"/>
    <w:rsid w:val="00E9683F"/>
    <w:rsid w:val="00E96A26"/>
    <w:rsid w:val="00E96C8E"/>
    <w:rsid w:val="00E97802"/>
    <w:rsid w:val="00E97A3D"/>
    <w:rsid w:val="00E97C27"/>
    <w:rsid w:val="00EA127D"/>
    <w:rsid w:val="00EA1EB6"/>
    <w:rsid w:val="00EA1F7F"/>
    <w:rsid w:val="00EA29FA"/>
    <w:rsid w:val="00EA305C"/>
    <w:rsid w:val="00EA3BC5"/>
    <w:rsid w:val="00EA3DE4"/>
    <w:rsid w:val="00EA45B9"/>
    <w:rsid w:val="00EA4C8D"/>
    <w:rsid w:val="00EA5832"/>
    <w:rsid w:val="00EA5AAC"/>
    <w:rsid w:val="00EA5AEF"/>
    <w:rsid w:val="00EA6196"/>
    <w:rsid w:val="00EA7153"/>
    <w:rsid w:val="00EA77B9"/>
    <w:rsid w:val="00EA7F9B"/>
    <w:rsid w:val="00EB0169"/>
    <w:rsid w:val="00EB0F80"/>
    <w:rsid w:val="00EB1580"/>
    <w:rsid w:val="00EB18DC"/>
    <w:rsid w:val="00EB30BD"/>
    <w:rsid w:val="00EB30EA"/>
    <w:rsid w:val="00EB3B57"/>
    <w:rsid w:val="00EB3DAE"/>
    <w:rsid w:val="00EB4866"/>
    <w:rsid w:val="00EB4CDB"/>
    <w:rsid w:val="00EB4E5A"/>
    <w:rsid w:val="00EB51E3"/>
    <w:rsid w:val="00EB6468"/>
    <w:rsid w:val="00EB6FA8"/>
    <w:rsid w:val="00EB7384"/>
    <w:rsid w:val="00EB7A92"/>
    <w:rsid w:val="00EC00CF"/>
    <w:rsid w:val="00EC0156"/>
    <w:rsid w:val="00EC0CF2"/>
    <w:rsid w:val="00EC167A"/>
    <w:rsid w:val="00EC1C7C"/>
    <w:rsid w:val="00EC1CAC"/>
    <w:rsid w:val="00EC1E40"/>
    <w:rsid w:val="00EC1FD8"/>
    <w:rsid w:val="00EC240A"/>
    <w:rsid w:val="00EC2F44"/>
    <w:rsid w:val="00EC3815"/>
    <w:rsid w:val="00EC3CCA"/>
    <w:rsid w:val="00EC3FCF"/>
    <w:rsid w:val="00EC4F6B"/>
    <w:rsid w:val="00EC5B1B"/>
    <w:rsid w:val="00EC754F"/>
    <w:rsid w:val="00EC789F"/>
    <w:rsid w:val="00EC7D1D"/>
    <w:rsid w:val="00ED0680"/>
    <w:rsid w:val="00ED0D99"/>
    <w:rsid w:val="00ED15B9"/>
    <w:rsid w:val="00ED210C"/>
    <w:rsid w:val="00ED2B6D"/>
    <w:rsid w:val="00ED3EA3"/>
    <w:rsid w:val="00ED495F"/>
    <w:rsid w:val="00ED5337"/>
    <w:rsid w:val="00ED53A2"/>
    <w:rsid w:val="00ED67B2"/>
    <w:rsid w:val="00ED7021"/>
    <w:rsid w:val="00EE0062"/>
    <w:rsid w:val="00EE0596"/>
    <w:rsid w:val="00EE0FE6"/>
    <w:rsid w:val="00EE10FC"/>
    <w:rsid w:val="00EE13AB"/>
    <w:rsid w:val="00EE222C"/>
    <w:rsid w:val="00EE3B06"/>
    <w:rsid w:val="00EE3E5C"/>
    <w:rsid w:val="00EE4074"/>
    <w:rsid w:val="00EE42E3"/>
    <w:rsid w:val="00EE4CC7"/>
    <w:rsid w:val="00EE50CD"/>
    <w:rsid w:val="00EE5556"/>
    <w:rsid w:val="00EE5806"/>
    <w:rsid w:val="00EE58ED"/>
    <w:rsid w:val="00EE614B"/>
    <w:rsid w:val="00EE68D8"/>
    <w:rsid w:val="00EE74ED"/>
    <w:rsid w:val="00EE7B9F"/>
    <w:rsid w:val="00EE7FAA"/>
    <w:rsid w:val="00EF0AD4"/>
    <w:rsid w:val="00EF14CC"/>
    <w:rsid w:val="00EF22A4"/>
    <w:rsid w:val="00EF250A"/>
    <w:rsid w:val="00EF284F"/>
    <w:rsid w:val="00EF2BFE"/>
    <w:rsid w:val="00EF3449"/>
    <w:rsid w:val="00EF35FD"/>
    <w:rsid w:val="00EF38DB"/>
    <w:rsid w:val="00EF44C5"/>
    <w:rsid w:val="00EF4DC3"/>
    <w:rsid w:val="00EF5D5D"/>
    <w:rsid w:val="00EF6CF8"/>
    <w:rsid w:val="00EF6D6B"/>
    <w:rsid w:val="00EF75B2"/>
    <w:rsid w:val="00F01418"/>
    <w:rsid w:val="00F019EE"/>
    <w:rsid w:val="00F02042"/>
    <w:rsid w:val="00F023AB"/>
    <w:rsid w:val="00F03488"/>
    <w:rsid w:val="00F03D78"/>
    <w:rsid w:val="00F04474"/>
    <w:rsid w:val="00F04BD4"/>
    <w:rsid w:val="00F052C2"/>
    <w:rsid w:val="00F05F5E"/>
    <w:rsid w:val="00F05FD7"/>
    <w:rsid w:val="00F063FD"/>
    <w:rsid w:val="00F075E1"/>
    <w:rsid w:val="00F103AD"/>
    <w:rsid w:val="00F11570"/>
    <w:rsid w:val="00F11AFB"/>
    <w:rsid w:val="00F11D28"/>
    <w:rsid w:val="00F12E07"/>
    <w:rsid w:val="00F12EEC"/>
    <w:rsid w:val="00F12F3B"/>
    <w:rsid w:val="00F14083"/>
    <w:rsid w:val="00F14375"/>
    <w:rsid w:val="00F1446E"/>
    <w:rsid w:val="00F14E2A"/>
    <w:rsid w:val="00F153B3"/>
    <w:rsid w:val="00F17A76"/>
    <w:rsid w:val="00F201B8"/>
    <w:rsid w:val="00F202FC"/>
    <w:rsid w:val="00F2038F"/>
    <w:rsid w:val="00F2107A"/>
    <w:rsid w:val="00F21503"/>
    <w:rsid w:val="00F21E11"/>
    <w:rsid w:val="00F22150"/>
    <w:rsid w:val="00F24D2E"/>
    <w:rsid w:val="00F24D7D"/>
    <w:rsid w:val="00F25160"/>
    <w:rsid w:val="00F2517C"/>
    <w:rsid w:val="00F254FE"/>
    <w:rsid w:val="00F258E7"/>
    <w:rsid w:val="00F272FC"/>
    <w:rsid w:val="00F27544"/>
    <w:rsid w:val="00F302DD"/>
    <w:rsid w:val="00F31AAF"/>
    <w:rsid w:val="00F31CE3"/>
    <w:rsid w:val="00F3277C"/>
    <w:rsid w:val="00F32C28"/>
    <w:rsid w:val="00F353DB"/>
    <w:rsid w:val="00F35C8A"/>
    <w:rsid w:val="00F371DA"/>
    <w:rsid w:val="00F37DF6"/>
    <w:rsid w:val="00F40617"/>
    <w:rsid w:val="00F40E84"/>
    <w:rsid w:val="00F41A37"/>
    <w:rsid w:val="00F41B5D"/>
    <w:rsid w:val="00F41E4F"/>
    <w:rsid w:val="00F42531"/>
    <w:rsid w:val="00F42589"/>
    <w:rsid w:val="00F4275E"/>
    <w:rsid w:val="00F4290B"/>
    <w:rsid w:val="00F42EF7"/>
    <w:rsid w:val="00F43406"/>
    <w:rsid w:val="00F451DE"/>
    <w:rsid w:val="00F459C1"/>
    <w:rsid w:val="00F51438"/>
    <w:rsid w:val="00F51CF0"/>
    <w:rsid w:val="00F521CB"/>
    <w:rsid w:val="00F52C5F"/>
    <w:rsid w:val="00F53182"/>
    <w:rsid w:val="00F53269"/>
    <w:rsid w:val="00F53463"/>
    <w:rsid w:val="00F53863"/>
    <w:rsid w:val="00F53D0D"/>
    <w:rsid w:val="00F53FCA"/>
    <w:rsid w:val="00F54854"/>
    <w:rsid w:val="00F548FC"/>
    <w:rsid w:val="00F54F08"/>
    <w:rsid w:val="00F563BB"/>
    <w:rsid w:val="00F56575"/>
    <w:rsid w:val="00F56CD4"/>
    <w:rsid w:val="00F600D4"/>
    <w:rsid w:val="00F616B1"/>
    <w:rsid w:val="00F61F05"/>
    <w:rsid w:val="00F62F24"/>
    <w:rsid w:val="00F62F4D"/>
    <w:rsid w:val="00F6369E"/>
    <w:rsid w:val="00F646A0"/>
    <w:rsid w:val="00F64A56"/>
    <w:rsid w:val="00F650B5"/>
    <w:rsid w:val="00F6523C"/>
    <w:rsid w:val="00F65B16"/>
    <w:rsid w:val="00F66988"/>
    <w:rsid w:val="00F70648"/>
    <w:rsid w:val="00F71715"/>
    <w:rsid w:val="00F7281D"/>
    <w:rsid w:val="00F729BE"/>
    <w:rsid w:val="00F7496B"/>
    <w:rsid w:val="00F7538F"/>
    <w:rsid w:val="00F754EB"/>
    <w:rsid w:val="00F75999"/>
    <w:rsid w:val="00F77250"/>
    <w:rsid w:val="00F77E28"/>
    <w:rsid w:val="00F80DA8"/>
    <w:rsid w:val="00F81A6B"/>
    <w:rsid w:val="00F8253B"/>
    <w:rsid w:val="00F82CD5"/>
    <w:rsid w:val="00F835F3"/>
    <w:rsid w:val="00F838B3"/>
    <w:rsid w:val="00F843CB"/>
    <w:rsid w:val="00F84B8C"/>
    <w:rsid w:val="00F84DF3"/>
    <w:rsid w:val="00F852DF"/>
    <w:rsid w:val="00F861A6"/>
    <w:rsid w:val="00F871D9"/>
    <w:rsid w:val="00F872A7"/>
    <w:rsid w:val="00F908B5"/>
    <w:rsid w:val="00F92A47"/>
    <w:rsid w:val="00F93064"/>
    <w:rsid w:val="00F9348F"/>
    <w:rsid w:val="00F947C9"/>
    <w:rsid w:val="00F95F62"/>
    <w:rsid w:val="00F961AD"/>
    <w:rsid w:val="00F96DC5"/>
    <w:rsid w:val="00F97094"/>
    <w:rsid w:val="00FA00C5"/>
    <w:rsid w:val="00FA0F04"/>
    <w:rsid w:val="00FA1193"/>
    <w:rsid w:val="00FA1430"/>
    <w:rsid w:val="00FA1860"/>
    <w:rsid w:val="00FA2370"/>
    <w:rsid w:val="00FA35DD"/>
    <w:rsid w:val="00FA418B"/>
    <w:rsid w:val="00FA42E2"/>
    <w:rsid w:val="00FA4635"/>
    <w:rsid w:val="00FA4A62"/>
    <w:rsid w:val="00FA5AB7"/>
    <w:rsid w:val="00FA6CA0"/>
    <w:rsid w:val="00FA6F9C"/>
    <w:rsid w:val="00FB1053"/>
    <w:rsid w:val="00FB128D"/>
    <w:rsid w:val="00FB173C"/>
    <w:rsid w:val="00FB1CA2"/>
    <w:rsid w:val="00FB2750"/>
    <w:rsid w:val="00FB2CA0"/>
    <w:rsid w:val="00FB3B17"/>
    <w:rsid w:val="00FB400D"/>
    <w:rsid w:val="00FB56D9"/>
    <w:rsid w:val="00FB7506"/>
    <w:rsid w:val="00FB7B73"/>
    <w:rsid w:val="00FC016B"/>
    <w:rsid w:val="00FC0D92"/>
    <w:rsid w:val="00FC37DE"/>
    <w:rsid w:val="00FC48FC"/>
    <w:rsid w:val="00FC5471"/>
    <w:rsid w:val="00FC549B"/>
    <w:rsid w:val="00FC6C28"/>
    <w:rsid w:val="00FC76C5"/>
    <w:rsid w:val="00FD04D3"/>
    <w:rsid w:val="00FD0AC5"/>
    <w:rsid w:val="00FD0C2E"/>
    <w:rsid w:val="00FD1099"/>
    <w:rsid w:val="00FD191D"/>
    <w:rsid w:val="00FD1CE4"/>
    <w:rsid w:val="00FD285C"/>
    <w:rsid w:val="00FD385C"/>
    <w:rsid w:val="00FD3A2C"/>
    <w:rsid w:val="00FD3D87"/>
    <w:rsid w:val="00FD4974"/>
    <w:rsid w:val="00FD4E2A"/>
    <w:rsid w:val="00FD4F96"/>
    <w:rsid w:val="00FD5312"/>
    <w:rsid w:val="00FD56B6"/>
    <w:rsid w:val="00FD71B5"/>
    <w:rsid w:val="00FD7491"/>
    <w:rsid w:val="00FD7499"/>
    <w:rsid w:val="00FD7FBC"/>
    <w:rsid w:val="00FE02A3"/>
    <w:rsid w:val="00FE08C2"/>
    <w:rsid w:val="00FE17ED"/>
    <w:rsid w:val="00FE1F4A"/>
    <w:rsid w:val="00FE3184"/>
    <w:rsid w:val="00FE341A"/>
    <w:rsid w:val="00FE3965"/>
    <w:rsid w:val="00FE485D"/>
    <w:rsid w:val="00FE4AD7"/>
    <w:rsid w:val="00FE6117"/>
    <w:rsid w:val="00FE67DA"/>
    <w:rsid w:val="00FE6FB9"/>
    <w:rsid w:val="00FE7025"/>
    <w:rsid w:val="00FE718C"/>
    <w:rsid w:val="00FE7D70"/>
    <w:rsid w:val="00FF07DB"/>
    <w:rsid w:val="00FF0E78"/>
    <w:rsid w:val="00FF0EC1"/>
    <w:rsid w:val="00FF0FBE"/>
    <w:rsid w:val="00FF13F1"/>
    <w:rsid w:val="00FF175C"/>
    <w:rsid w:val="00FF1B12"/>
    <w:rsid w:val="00FF270E"/>
    <w:rsid w:val="00FF3330"/>
    <w:rsid w:val="00FF386E"/>
    <w:rsid w:val="00FF482B"/>
    <w:rsid w:val="00FF4AE3"/>
    <w:rsid w:val="00FF4E80"/>
    <w:rsid w:val="00FF5F12"/>
    <w:rsid w:val="00FF66B2"/>
    <w:rsid w:val="00FF6B5A"/>
    <w:rsid w:val="00FF750E"/>
    <w:rsid w:val="00FF7713"/>
    <w:rsid w:val="00FF77D3"/>
    <w:rsid w:val="00FF77F0"/>
    <w:rsid w:val="00FF7835"/>
    <w:rsid w:val="79752F39"/>
    <w:rsid w:val="7BC4EDB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B7A880"/>
  <w15:chartTrackingRefBased/>
  <w15:docId w15:val="{AACECE25-9B5C-4EF6-85DB-F032AABDF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421AC8"/>
    <w:pPr>
      <w:spacing w:before="120" w:after="120" w:line="240" w:lineRule="auto"/>
      <w:jc w:val="both"/>
    </w:pPr>
    <w:rPr>
      <w:rFonts w:ascii="Times New Roman" w:eastAsiaTheme="minorEastAsia" w:hAnsi="Times New Roman"/>
      <w:sz w:val="24"/>
    </w:rPr>
  </w:style>
  <w:style w:type="paragraph" w:styleId="Nadpis1">
    <w:name w:val="heading 1"/>
    <w:basedOn w:val="Normln"/>
    <w:next w:val="Normln"/>
    <w:link w:val="Nadpis1Char"/>
    <w:qFormat/>
    <w:rsid w:val="00421AC8"/>
    <w:pPr>
      <w:keepNext/>
      <w:numPr>
        <w:ilvl w:val="1"/>
        <w:numId w:val="1"/>
      </w:numPr>
      <w:pBdr>
        <w:bottom w:val="single" w:sz="12" w:space="1" w:color="140E96"/>
      </w:pBdr>
      <w:spacing w:before="360" w:after="240"/>
      <w:outlineLvl w:val="0"/>
    </w:pPr>
    <w:rPr>
      <w:rFonts w:eastAsiaTheme="majorEastAsia" w:cstheme="majorBidi"/>
      <w:b/>
      <w:bCs/>
      <w:color w:val="140E96"/>
      <w:sz w:val="28"/>
      <w:szCs w:val="24"/>
    </w:rPr>
  </w:style>
  <w:style w:type="paragraph" w:styleId="Nadpis2">
    <w:name w:val="heading 2"/>
    <w:basedOn w:val="Normln"/>
    <w:next w:val="Normln"/>
    <w:link w:val="Nadpis2Char"/>
    <w:uiPriority w:val="9"/>
    <w:qFormat/>
    <w:rsid w:val="00421AC8"/>
    <w:pPr>
      <w:keepNext/>
      <w:numPr>
        <w:ilvl w:val="2"/>
        <w:numId w:val="1"/>
      </w:numPr>
      <w:pBdr>
        <w:bottom w:val="single" w:sz="8" w:space="1" w:color="4472C4" w:themeColor="accent1"/>
      </w:pBdr>
      <w:spacing w:before="240"/>
      <w:outlineLvl w:val="1"/>
    </w:pPr>
    <w:rPr>
      <w:rFonts w:eastAsiaTheme="majorEastAsia" w:cstheme="majorBidi"/>
      <w:b/>
      <w:color w:val="140E96"/>
      <w:sz w:val="26"/>
      <w:szCs w:val="24"/>
    </w:rPr>
  </w:style>
  <w:style w:type="paragraph" w:styleId="Nadpis3">
    <w:name w:val="heading 3"/>
    <w:basedOn w:val="Normln"/>
    <w:next w:val="Normln"/>
    <w:link w:val="Nadpis3Char"/>
    <w:qFormat/>
    <w:rsid w:val="00421AC8"/>
    <w:pPr>
      <w:keepNext/>
      <w:numPr>
        <w:ilvl w:val="3"/>
        <w:numId w:val="1"/>
      </w:numPr>
      <w:outlineLvl w:val="2"/>
    </w:pPr>
    <w:rPr>
      <w:rFonts w:eastAsiaTheme="majorEastAsia" w:cstheme="majorBidi"/>
      <w:b/>
      <w:color w:val="140E96"/>
      <w:sz w:val="26"/>
      <w:szCs w:val="24"/>
    </w:rPr>
  </w:style>
  <w:style w:type="paragraph" w:styleId="Nadpis4">
    <w:name w:val="heading 4"/>
    <w:basedOn w:val="Normln"/>
    <w:next w:val="Normln"/>
    <w:link w:val="Nadpis4Char"/>
    <w:uiPriority w:val="9"/>
    <w:qFormat/>
    <w:rsid w:val="00421AC8"/>
    <w:pPr>
      <w:keepNext/>
      <w:numPr>
        <w:ilvl w:val="4"/>
        <w:numId w:val="1"/>
      </w:numPr>
      <w:outlineLvl w:val="3"/>
    </w:pPr>
    <w:rPr>
      <w:rFonts w:eastAsiaTheme="majorEastAsia" w:cstheme="majorBidi"/>
      <w:b/>
      <w:iCs/>
      <w:color w:val="4472C4" w:themeColor="accent1"/>
      <w:szCs w:val="24"/>
    </w:rPr>
  </w:style>
  <w:style w:type="paragraph" w:styleId="Nadpis5">
    <w:name w:val="heading 5"/>
    <w:basedOn w:val="Normln"/>
    <w:next w:val="Normln"/>
    <w:link w:val="Nadpis5Char"/>
    <w:uiPriority w:val="9"/>
    <w:qFormat/>
    <w:rsid w:val="00421AC8"/>
    <w:pPr>
      <w:keepNext/>
      <w:numPr>
        <w:ilvl w:val="5"/>
        <w:numId w:val="1"/>
      </w:numPr>
      <w:outlineLvl w:val="4"/>
    </w:pPr>
    <w:rPr>
      <w:rFonts w:eastAsiaTheme="majorEastAsia" w:cstheme="majorBidi"/>
      <w:color w:val="140E96"/>
    </w:rPr>
  </w:style>
  <w:style w:type="paragraph" w:styleId="Nadpis6">
    <w:name w:val="heading 6"/>
    <w:basedOn w:val="Normln"/>
    <w:next w:val="Normln"/>
    <w:link w:val="Nadpis6Char"/>
    <w:qFormat/>
    <w:rsid w:val="00421AC8"/>
    <w:pPr>
      <w:keepNext/>
      <w:numPr>
        <w:ilvl w:val="6"/>
        <w:numId w:val="1"/>
      </w:numPr>
      <w:outlineLvl w:val="5"/>
    </w:pPr>
    <w:rPr>
      <w:rFonts w:eastAsiaTheme="majorEastAsia" w:cstheme="majorBidi"/>
      <w:iCs/>
      <w:color w:val="140E96"/>
    </w:rPr>
  </w:style>
  <w:style w:type="paragraph" w:styleId="Nadpis7">
    <w:name w:val="heading 7"/>
    <w:basedOn w:val="Normln"/>
    <w:next w:val="Normln"/>
    <w:link w:val="Nadpis7Char"/>
    <w:uiPriority w:val="9"/>
    <w:semiHidden/>
    <w:qFormat/>
    <w:rsid w:val="00421AC8"/>
    <w:pPr>
      <w:numPr>
        <w:ilvl w:val="7"/>
        <w:numId w:val="1"/>
      </w:numPr>
      <w:spacing w:before="320" w:after="100"/>
      <w:outlineLvl w:val="6"/>
    </w:pPr>
    <w:rPr>
      <w:rFonts w:asciiTheme="majorHAnsi" w:eastAsiaTheme="majorEastAsia" w:hAnsiTheme="majorHAnsi" w:cstheme="majorBidi"/>
      <w:b/>
      <w:bCs/>
      <w:color w:val="A5A5A5" w:themeColor="accent3"/>
      <w:sz w:val="20"/>
      <w:szCs w:val="20"/>
    </w:rPr>
  </w:style>
  <w:style w:type="paragraph" w:styleId="Nadpis8">
    <w:name w:val="heading 8"/>
    <w:basedOn w:val="Normln"/>
    <w:next w:val="Normln"/>
    <w:link w:val="Nadpis8Char"/>
    <w:uiPriority w:val="9"/>
    <w:semiHidden/>
    <w:qFormat/>
    <w:rsid w:val="00421AC8"/>
    <w:pPr>
      <w:numPr>
        <w:ilvl w:val="8"/>
        <w:numId w:val="1"/>
      </w:numPr>
      <w:spacing w:before="320" w:after="100"/>
      <w:outlineLvl w:val="7"/>
    </w:pPr>
    <w:rPr>
      <w:rFonts w:asciiTheme="majorHAnsi" w:eastAsiaTheme="majorEastAsia" w:hAnsiTheme="majorHAnsi" w:cstheme="majorBidi"/>
      <w:b/>
      <w:bCs/>
      <w:i/>
      <w:iCs/>
      <w:color w:val="A5A5A5" w:themeColor="accent3"/>
      <w:sz w:val="20"/>
      <w:szCs w:val="20"/>
    </w:rPr>
  </w:style>
  <w:style w:type="paragraph" w:styleId="Nadpis9">
    <w:name w:val="heading 9"/>
    <w:basedOn w:val="Normln"/>
    <w:next w:val="Normln"/>
    <w:link w:val="Nadpis9Char"/>
    <w:uiPriority w:val="9"/>
    <w:semiHidden/>
    <w:qFormat/>
    <w:rsid w:val="00421AC8"/>
    <w:pPr>
      <w:spacing w:before="320" w:after="100"/>
      <w:outlineLvl w:val="8"/>
    </w:pPr>
    <w:rPr>
      <w:rFonts w:asciiTheme="majorHAnsi" w:eastAsiaTheme="majorEastAsia" w:hAnsiTheme="majorHAnsi" w:cstheme="majorBidi"/>
      <w:i/>
      <w:iCs/>
      <w:color w:val="A5A5A5" w:themeColor="accent3"/>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421AC8"/>
    <w:rPr>
      <w:rFonts w:ascii="Times New Roman" w:eastAsiaTheme="majorEastAsia" w:hAnsi="Times New Roman" w:cstheme="majorBidi"/>
      <w:b/>
      <w:bCs/>
      <w:color w:val="140E96"/>
      <w:sz w:val="28"/>
      <w:szCs w:val="24"/>
    </w:rPr>
  </w:style>
  <w:style w:type="character" w:customStyle="1" w:styleId="Nadpis2Char">
    <w:name w:val="Nadpis 2 Char"/>
    <w:basedOn w:val="Standardnpsmoodstavce"/>
    <w:link w:val="Nadpis2"/>
    <w:uiPriority w:val="9"/>
    <w:rsid w:val="00421AC8"/>
    <w:rPr>
      <w:rFonts w:ascii="Times New Roman" w:eastAsiaTheme="majorEastAsia" w:hAnsi="Times New Roman" w:cstheme="majorBidi"/>
      <w:b/>
      <w:color w:val="140E96"/>
      <w:sz w:val="26"/>
      <w:szCs w:val="24"/>
    </w:rPr>
  </w:style>
  <w:style w:type="character" w:customStyle="1" w:styleId="Nadpis3Char">
    <w:name w:val="Nadpis 3 Char"/>
    <w:basedOn w:val="Standardnpsmoodstavce"/>
    <w:link w:val="Nadpis3"/>
    <w:rsid w:val="00421AC8"/>
    <w:rPr>
      <w:rFonts w:ascii="Times New Roman" w:eastAsiaTheme="majorEastAsia" w:hAnsi="Times New Roman" w:cstheme="majorBidi"/>
      <w:b/>
      <w:color w:val="140E96"/>
      <w:sz w:val="26"/>
      <w:szCs w:val="24"/>
    </w:rPr>
  </w:style>
  <w:style w:type="character" w:customStyle="1" w:styleId="Nadpis4Char">
    <w:name w:val="Nadpis 4 Char"/>
    <w:basedOn w:val="Standardnpsmoodstavce"/>
    <w:link w:val="Nadpis4"/>
    <w:uiPriority w:val="9"/>
    <w:rsid w:val="00421AC8"/>
    <w:rPr>
      <w:rFonts w:ascii="Times New Roman" w:eastAsiaTheme="majorEastAsia" w:hAnsi="Times New Roman" w:cstheme="majorBidi"/>
      <w:b/>
      <w:iCs/>
      <w:color w:val="4472C4" w:themeColor="accent1"/>
      <w:sz w:val="24"/>
      <w:szCs w:val="24"/>
    </w:rPr>
  </w:style>
  <w:style w:type="character" w:customStyle="1" w:styleId="Nadpis5Char">
    <w:name w:val="Nadpis 5 Char"/>
    <w:basedOn w:val="Standardnpsmoodstavce"/>
    <w:link w:val="Nadpis5"/>
    <w:uiPriority w:val="9"/>
    <w:rsid w:val="00421AC8"/>
    <w:rPr>
      <w:rFonts w:ascii="Times New Roman" w:eastAsiaTheme="majorEastAsia" w:hAnsi="Times New Roman" w:cstheme="majorBidi"/>
      <w:color w:val="140E96"/>
      <w:sz w:val="24"/>
    </w:rPr>
  </w:style>
  <w:style w:type="character" w:customStyle="1" w:styleId="Nadpis6Char">
    <w:name w:val="Nadpis 6 Char"/>
    <w:basedOn w:val="Standardnpsmoodstavce"/>
    <w:link w:val="Nadpis6"/>
    <w:rsid w:val="00421AC8"/>
    <w:rPr>
      <w:rFonts w:ascii="Times New Roman" w:eastAsiaTheme="majorEastAsia" w:hAnsi="Times New Roman" w:cstheme="majorBidi"/>
      <w:iCs/>
      <w:color w:val="140E96"/>
      <w:sz w:val="24"/>
    </w:rPr>
  </w:style>
  <w:style w:type="character" w:customStyle="1" w:styleId="Nadpis7Char">
    <w:name w:val="Nadpis 7 Char"/>
    <w:basedOn w:val="Standardnpsmoodstavce"/>
    <w:link w:val="Nadpis7"/>
    <w:uiPriority w:val="9"/>
    <w:semiHidden/>
    <w:rsid w:val="00421AC8"/>
    <w:rPr>
      <w:rFonts w:asciiTheme="majorHAnsi" w:eastAsiaTheme="majorEastAsia" w:hAnsiTheme="majorHAnsi" w:cstheme="majorBidi"/>
      <w:b/>
      <w:bCs/>
      <w:color w:val="A5A5A5" w:themeColor="accent3"/>
      <w:sz w:val="20"/>
      <w:szCs w:val="20"/>
    </w:rPr>
  </w:style>
  <w:style w:type="character" w:customStyle="1" w:styleId="Nadpis8Char">
    <w:name w:val="Nadpis 8 Char"/>
    <w:basedOn w:val="Standardnpsmoodstavce"/>
    <w:link w:val="Nadpis8"/>
    <w:uiPriority w:val="9"/>
    <w:semiHidden/>
    <w:rsid w:val="00421AC8"/>
    <w:rPr>
      <w:rFonts w:asciiTheme="majorHAnsi" w:eastAsiaTheme="majorEastAsia" w:hAnsiTheme="majorHAnsi" w:cstheme="majorBidi"/>
      <w:b/>
      <w:bCs/>
      <w:i/>
      <w:iCs/>
      <w:color w:val="A5A5A5" w:themeColor="accent3"/>
      <w:sz w:val="20"/>
      <w:szCs w:val="20"/>
    </w:rPr>
  </w:style>
  <w:style w:type="character" w:customStyle="1" w:styleId="Nadpis9Char">
    <w:name w:val="Nadpis 9 Char"/>
    <w:basedOn w:val="Standardnpsmoodstavce"/>
    <w:link w:val="Nadpis9"/>
    <w:uiPriority w:val="9"/>
    <w:semiHidden/>
    <w:rsid w:val="00421AC8"/>
    <w:rPr>
      <w:rFonts w:asciiTheme="majorHAnsi" w:eastAsiaTheme="majorEastAsia" w:hAnsiTheme="majorHAnsi" w:cstheme="majorBidi"/>
      <w:i/>
      <w:iCs/>
      <w:color w:val="A5A5A5" w:themeColor="accent3"/>
      <w:sz w:val="20"/>
      <w:szCs w:val="20"/>
    </w:rPr>
  </w:style>
  <w:style w:type="paragraph" w:styleId="Zhlav">
    <w:name w:val="header"/>
    <w:basedOn w:val="Normln"/>
    <w:link w:val="ZhlavChar"/>
    <w:uiPriority w:val="99"/>
    <w:unhideWhenUsed/>
    <w:rsid w:val="00421AC8"/>
    <w:pPr>
      <w:tabs>
        <w:tab w:val="center" w:pos="4536"/>
        <w:tab w:val="right" w:pos="9072"/>
      </w:tabs>
    </w:pPr>
  </w:style>
  <w:style w:type="character" w:customStyle="1" w:styleId="ZhlavChar">
    <w:name w:val="Záhlaví Char"/>
    <w:basedOn w:val="Standardnpsmoodstavce"/>
    <w:link w:val="Zhlav"/>
    <w:uiPriority w:val="99"/>
    <w:rsid w:val="00421AC8"/>
    <w:rPr>
      <w:rFonts w:ascii="Times New Roman" w:eastAsiaTheme="minorEastAsia" w:hAnsi="Times New Roman"/>
      <w:sz w:val="24"/>
    </w:rPr>
  </w:style>
  <w:style w:type="paragraph" w:styleId="Zpat">
    <w:name w:val="footer"/>
    <w:basedOn w:val="Normln"/>
    <w:link w:val="ZpatChar"/>
    <w:uiPriority w:val="99"/>
    <w:unhideWhenUsed/>
    <w:rsid w:val="00421AC8"/>
    <w:pPr>
      <w:tabs>
        <w:tab w:val="center" w:pos="4536"/>
        <w:tab w:val="right" w:pos="9072"/>
      </w:tabs>
    </w:pPr>
  </w:style>
  <w:style w:type="character" w:customStyle="1" w:styleId="ZpatChar">
    <w:name w:val="Zápatí Char"/>
    <w:basedOn w:val="Standardnpsmoodstavce"/>
    <w:link w:val="Zpat"/>
    <w:uiPriority w:val="99"/>
    <w:rsid w:val="00421AC8"/>
    <w:rPr>
      <w:rFonts w:ascii="Times New Roman" w:eastAsiaTheme="minorEastAsia" w:hAnsi="Times New Roman"/>
      <w:sz w:val="24"/>
    </w:rPr>
  </w:style>
  <w:style w:type="paragraph" w:styleId="Textbubliny">
    <w:name w:val="Balloon Text"/>
    <w:basedOn w:val="Normln"/>
    <w:link w:val="TextbublinyChar"/>
    <w:semiHidden/>
    <w:unhideWhenUsed/>
    <w:rsid w:val="00421AC8"/>
    <w:rPr>
      <w:rFonts w:ascii="Tahoma" w:hAnsi="Tahoma" w:cs="Tahoma"/>
      <w:sz w:val="16"/>
      <w:szCs w:val="16"/>
    </w:rPr>
  </w:style>
  <w:style w:type="character" w:customStyle="1" w:styleId="TextbublinyChar">
    <w:name w:val="Text bubliny Char"/>
    <w:basedOn w:val="Standardnpsmoodstavce"/>
    <w:link w:val="Textbubliny"/>
    <w:semiHidden/>
    <w:rsid w:val="00421AC8"/>
    <w:rPr>
      <w:rFonts w:ascii="Tahoma" w:eastAsiaTheme="minorEastAsia" w:hAnsi="Tahoma" w:cs="Tahoma"/>
      <w:sz w:val="16"/>
      <w:szCs w:val="16"/>
    </w:rPr>
  </w:style>
  <w:style w:type="paragraph" w:customStyle="1" w:styleId="Styl1">
    <w:name w:val="Styl1"/>
    <w:basedOn w:val="Nzev"/>
    <w:link w:val="Styl1Char"/>
    <w:semiHidden/>
    <w:rsid w:val="00421AC8"/>
    <w:rPr>
      <w:iCs w:val="0"/>
    </w:rPr>
  </w:style>
  <w:style w:type="paragraph" w:styleId="Nzev">
    <w:name w:val="Title"/>
    <w:basedOn w:val="Normln"/>
    <w:next w:val="Normln"/>
    <w:link w:val="NzevChar"/>
    <w:uiPriority w:val="2"/>
    <w:qFormat/>
    <w:rsid w:val="00421AC8"/>
    <w:pPr>
      <w:keepNext/>
      <w:jc w:val="center"/>
    </w:pPr>
    <w:rPr>
      <w:rFonts w:eastAsiaTheme="majorEastAsia" w:cstheme="majorBidi"/>
      <w:iCs/>
      <w:color w:val="140E96"/>
      <w:sz w:val="36"/>
      <w:szCs w:val="60"/>
    </w:rPr>
  </w:style>
  <w:style w:type="character" w:customStyle="1" w:styleId="NzevChar">
    <w:name w:val="Název Char"/>
    <w:basedOn w:val="Standardnpsmoodstavce"/>
    <w:link w:val="Nzev"/>
    <w:uiPriority w:val="2"/>
    <w:rsid w:val="00421AC8"/>
    <w:rPr>
      <w:rFonts w:ascii="Times New Roman" w:eastAsiaTheme="majorEastAsia" w:hAnsi="Times New Roman" w:cstheme="majorBidi"/>
      <w:iCs/>
      <w:color w:val="140E96"/>
      <w:sz w:val="36"/>
      <w:szCs w:val="60"/>
    </w:rPr>
  </w:style>
  <w:style w:type="character" w:customStyle="1" w:styleId="Styl1Char">
    <w:name w:val="Styl1 Char"/>
    <w:basedOn w:val="NzevChar"/>
    <w:link w:val="Styl1"/>
    <w:semiHidden/>
    <w:rsid w:val="00421AC8"/>
    <w:rPr>
      <w:rFonts w:ascii="Times New Roman" w:eastAsiaTheme="majorEastAsia" w:hAnsi="Times New Roman" w:cstheme="majorBidi"/>
      <w:iCs w:val="0"/>
      <w:color w:val="140E96"/>
      <w:sz w:val="36"/>
      <w:szCs w:val="60"/>
    </w:rPr>
  </w:style>
  <w:style w:type="paragraph" w:styleId="Titulek">
    <w:name w:val="caption"/>
    <w:basedOn w:val="Normln"/>
    <w:next w:val="Normln"/>
    <w:uiPriority w:val="35"/>
    <w:qFormat/>
    <w:rsid w:val="00421AC8"/>
    <w:rPr>
      <w:b/>
      <w:bCs/>
      <w:sz w:val="18"/>
      <w:szCs w:val="18"/>
    </w:rPr>
  </w:style>
  <w:style w:type="paragraph" w:styleId="Podnadpis">
    <w:name w:val="Subtitle"/>
    <w:basedOn w:val="Normln"/>
    <w:next w:val="Normln"/>
    <w:link w:val="PodnadpisChar"/>
    <w:uiPriority w:val="11"/>
    <w:qFormat/>
    <w:rsid w:val="00421AC8"/>
    <w:pPr>
      <w:spacing w:before="200" w:after="900"/>
      <w:jc w:val="right"/>
    </w:pPr>
    <w:rPr>
      <w:i/>
      <w:iCs/>
      <w:szCs w:val="24"/>
    </w:rPr>
  </w:style>
  <w:style w:type="character" w:customStyle="1" w:styleId="PodnadpisChar">
    <w:name w:val="Podnadpis Char"/>
    <w:basedOn w:val="Standardnpsmoodstavce"/>
    <w:link w:val="Podnadpis"/>
    <w:uiPriority w:val="11"/>
    <w:rsid w:val="00421AC8"/>
    <w:rPr>
      <w:rFonts w:ascii="Times New Roman" w:eastAsiaTheme="minorEastAsia" w:hAnsi="Times New Roman"/>
      <w:i/>
      <w:iCs/>
      <w:sz w:val="24"/>
      <w:szCs w:val="24"/>
    </w:rPr>
  </w:style>
  <w:style w:type="character" w:styleId="Siln">
    <w:name w:val="Strong"/>
    <w:basedOn w:val="Standardnpsmoodstavce"/>
    <w:uiPriority w:val="22"/>
    <w:qFormat/>
    <w:rsid w:val="00421AC8"/>
    <w:rPr>
      <w:b/>
      <w:bCs/>
      <w:spacing w:val="0"/>
    </w:rPr>
  </w:style>
  <w:style w:type="character" w:styleId="Zdraznn">
    <w:name w:val="Emphasis"/>
    <w:uiPriority w:val="20"/>
    <w:qFormat/>
    <w:rsid w:val="00421AC8"/>
    <w:rPr>
      <w:b/>
      <w:bCs/>
      <w:i/>
      <w:iCs/>
      <w:color w:val="5A5A5A" w:themeColor="text1" w:themeTint="A5"/>
    </w:rPr>
  </w:style>
  <w:style w:type="paragraph" w:styleId="Bezmezer">
    <w:name w:val="No Spacing"/>
    <w:aliases w:val="Zdroje"/>
    <w:basedOn w:val="Normln"/>
    <w:next w:val="Normln"/>
    <w:link w:val="BezmezerChar"/>
    <w:uiPriority w:val="1"/>
    <w:qFormat/>
    <w:rsid w:val="00421AC8"/>
    <w:pPr>
      <w:spacing w:before="0" w:after="240"/>
    </w:pPr>
    <w:rPr>
      <w:sz w:val="20"/>
    </w:rPr>
  </w:style>
  <w:style w:type="character" w:customStyle="1" w:styleId="BezmezerChar">
    <w:name w:val="Bez mezer Char"/>
    <w:aliases w:val="Zdroje Char"/>
    <w:basedOn w:val="Standardnpsmoodstavce"/>
    <w:link w:val="Bezmezer"/>
    <w:uiPriority w:val="1"/>
    <w:rsid w:val="00421AC8"/>
    <w:rPr>
      <w:rFonts w:ascii="Times New Roman" w:eastAsiaTheme="minorEastAsia" w:hAnsi="Times New Roman"/>
      <w:sz w:val="20"/>
    </w:rPr>
  </w:style>
  <w:style w:type="paragraph" w:styleId="Odstavecseseznamem">
    <w:name w:val="List Paragraph"/>
    <w:basedOn w:val="Normln"/>
    <w:uiPriority w:val="34"/>
    <w:qFormat/>
    <w:rsid w:val="00421AC8"/>
    <w:pPr>
      <w:ind w:left="720"/>
      <w:contextualSpacing/>
    </w:pPr>
  </w:style>
  <w:style w:type="paragraph" w:styleId="Citt">
    <w:name w:val="Quote"/>
    <w:basedOn w:val="Normln"/>
    <w:next w:val="Normln"/>
    <w:link w:val="CittChar"/>
    <w:uiPriority w:val="29"/>
    <w:qFormat/>
    <w:rsid w:val="00421AC8"/>
    <w:rPr>
      <w:rFonts w:asciiTheme="majorHAnsi" w:eastAsiaTheme="majorEastAsia" w:hAnsiTheme="majorHAnsi" w:cstheme="majorBidi"/>
      <w:i/>
      <w:iCs/>
      <w:color w:val="5A5A5A" w:themeColor="text1" w:themeTint="A5"/>
    </w:rPr>
  </w:style>
  <w:style w:type="character" w:customStyle="1" w:styleId="CittChar">
    <w:name w:val="Citát Char"/>
    <w:basedOn w:val="Standardnpsmoodstavce"/>
    <w:link w:val="Citt"/>
    <w:uiPriority w:val="29"/>
    <w:rsid w:val="00421AC8"/>
    <w:rPr>
      <w:rFonts w:asciiTheme="majorHAnsi" w:eastAsiaTheme="majorEastAsia" w:hAnsiTheme="majorHAnsi" w:cstheme="majorBidi"/>
      <w:i/>
      <w:iCs/>
      <w:color w:val="5A5A5A" w:themeColor="text1" w:themeTint="A5"/>
      <w:sz w:val="24"/>
    </w:rPr>
  </w:style>
  <w:style w:type="paragraph" w:styleId="Vrazncitt">
    <w:name w:val="Intense Quote"/>
    <w:basedOn w:val="Normln"/>
    <w:next w:val="Normln"/>
    <w:link w:val="VrazncittChar"/>
    <w:uiPriority w:val="30"/>
    <w:qFormat/>
    <w:rsid w:val="00421AC8"/>
    <w:pPr>
      <w:pBdr>
        <w:top w:val="single" w:sz="12" w:space="10" w:color="B4C6E7" w:themeColor="accent1" w:themeTint="66"/>
        <w:left w:val="single" w:sz="36" w:space="4" w:color="4472C4" w:themeColor="accent1"/>
        <w:bottom w:val="single" w:sz="24" w:space="10" w:color="A5A5A5" w:themeColor="accent3"/>
        <w:right w:val="single" w:sz="36" w:space="4" w:color="4472C4" w:themeColor="accent1"/>
      </w:pBdr>
      <w:shd w:val="clear" w:color="auto" w:fill="4472C4" w:themeFill="accent1"/>
      <w:spacing w:before="320" w:after="320" w:line="300" w:lineRule="auto"/>
      <w:ind w:left="1440" w:right="1440"/>
    </w:pPr>
    <w:rPr>
      <w:rFonts w:asciiTheme="majorHAnsi" w:eastAsiaTheme="majorEastAsia" w:hAnsiTheme="majorHAnsi" w:cstheme="majorBidi"/>
      <w:i/>
      <w:iCs/>
      <w:color w:val="FFFFFF" w:themeColor="background1"/>
      <w:szCs w:val="24"/>
    </w:rPr>
  </w:style>
  <w:style w:type="character" w:customStyle="1" w:styleId="VrazncittChar">
    <w:name w:val="Výrazný citát Char"/>
    <w:basedOn w:val="Standardnpsmoodstavce"/>
    <w:link w:val="Vrazncitt"/>
    <w:uiPriority w:val="30"/>
    <w:rsid w:val="00421AC8"/>
    <w:rPr>
      <w:rFonts w:asciiTheme="majorHAnsi" w:eastAsiaTheme="majorEastAsia" w:hAnsiTheme="majorHAnsi" w:cstheme="majorBidi"/>
      <w:i/>
      <w:iCs/>
      <w:color w:val="FFFFFF" w:themeColor="background1"/>
      <w:sz w:val="24"/>
      <w:szCs w:val="24"/>
      <w:shd w:val="clear" w:color="auto" w:fill="4472C4" w:themeFill="accent1"/>
    </w:rPr>
  </w:style>
  <w:style w:type="character" w:styleId="Zdraznnjemn">
    <w:name w:val="Subtle Emphasis"/>
    <w:uiPriority w:val="19"/>
    <w:qFormat/>
    <w:rsid w:val="00421AC8"/>
    <w:rPr>
      <w:i/>
      <w:iCs/>
      <w:color w:val="5A5A5A" w:themeColor="text1" w:themeTint="A5"/>
    </w:rPr>
  </w:style>
  <w:style w:type="character" w:styleId="Zdraznnintenzivn">
    <w:name w:val="Intense Emphasis"/>
    <w:uiPriority w:val="21"/>
    <w:qFormat/>
    <w:rsid w:val="00421AC8"/>
    <w:rPr>
      <w:b/>
      <w:bCs/>
      <w:i/>
      <w:iCs/>
      <w:color w:val="4472C4" w:themeColor="accent1"/>
      <w:sz w:val="22"/>
      <w:szCs w:val="22"/>
    </w:rPr>
  </w:style>
  <w:style w:type="character" w:styleId="Odkazjemn">
    <w:name w:val="Subtle Reference"/>
    <w:uiPriority w:val="31"/>
    <w:qFormat/>
    <w:rsid w:val="00421AC8"/>
    <w:rPr>
      <w:color w:val="auto"/>
      <w:u w:val="single" w:color="A5A5A5" w:themeColor="accent3"/>
    </w:rPr>
  </w:style>
  <w:style w:type="character" w:styleId="Odkazintenzivn">
    <w:name w:val="Intense Reference"/>
    <w:basedOn w:val="Standardnpsmoodstavce"/>
    <w:uiPriority w:val="32"/>
    <w:qFormat/>
    <w:rsid w:val="00421AC8"/>
    <w:rPr>
      <w:b/>
      <w:bCs/>
      <w:color w:val="7B7B7B" w:themeColor="accent3" w:themeShade="BF"/>
      <w:u w:val="single" w:color="A5A5A5" w:themeColor="accent3"/>
    </w:rPr>
  </w:style>
  <w:style w:type="character" w:styleId="Nzevknihy">
    <w:name w:val="Book Title"/>
    <w:basedOn w:val="Standardnpsmoodstavce"/>
    <w:uiPriority w:val="33"/>
    <w:qFormat/>
    <w:rsid w:val="00421AC8"/>
    <w:rPr>
      <w:rFonts w:asciiTheme="majorHAnsi" w:eastAsiaTheme="majorEastAsia" w:hAnsiTheme="majorHAnsi" w:cstheme="majorBidi"/>
      <w:b/>
      <w:bCs/>
      <w:i/>
      <w:iCs/>
      <w:color w:val="auto"/>
    </w:rPr>
  </w:style>
  <w:style w:type="paragraph" w:styleId="Nadpisobsahu">
    <w:name w:val="TOC Heading"/>
    <w:basedOn w:val="Nadpis1"/>
    <w:next w:val="Normln"/>
    <w:uiPriority w:val="39"/>
    <w:unhideWhenUsed/>
    <w:qFormat/>
    <w:rsid w:val="00421AC8"/>
    <w:pPr>
      <w:outlineLvl w:val="9"/>
    </w:pPr>
    <w:rPr>
      <w:lang w:bidi="en-US"/>
    </w:rPr>
  </w:style>
  <w:style w:type="character" w:styleId="Hypertextovodkaz">
    <w:name w:val="Hyperlink"/>
    <w:basedOn w:val="Standardnpsmoodstavce"/>
    <w:uiPriority w:val="99"/>
    <w:unhideWhenUsed/>
    <w:rsid w:val="00421AC8"/>
    <w:rPr>
      <w:color w:val="0563C1" w:themeColor="hyperlink"/>
      <w:u w:val="single"/>
    </w:rPr>
  </w:style>
  <w:style w:type="character" w:styleId="Odkaznakoment">
    <w:name w:val="annotation reference"/>
    <w:basedOn w:val="Standardnpsmoodstavce"/>
    <w:semiHidden/>
    <w:unhideWhenUsed/>
    <w:rsid w:val="00421AC8"/>
    <w:rPr>
      <w:sz w:val="16"/>
      <w:szCs w:val="16"/>
    </w:rPr>
  </w:style>
  <w:style w:type="paragraph" w:styleId="Textkomente">
    <w:name w:val="annotation text"/>
    <w:basedOn w:val="Normln"/>
    <w:link w:val="TextkomenteChar"/>
    <w:unhideWhenUsed/>
    <w:rsid w:val="00421AC8"/>
    <w:rPr>
      <w:sz w:val="20"/>
      <w:szCs w:val="20"/>
    </w:rPr>
  </w:style>
  <w:style w:type="character" w:customStyle="1" w:styleId="TextkomenteChar">
    <w:name w:val="Text komentáře Char"/>
    <w:basedOn w:val="Standardnpsmoodstavce"/>
    <w:link w:val="Textkomente"/>
    <w:rsid w:val="00421AC8"/>
    <w:rPr>
      <w:rFonts w:ascii="Times New Roman" w:eastAsiaTheme="minorEastAsia" w:hAnsi="Times New Roman"/>
      <w:sz w:val="20"/>
      <w:szCs w:val="20"/>
    </w:rPr>
  </w:style>
  <w:style w:type="paragraph" w:styleId="Pedmtkomente">
    <w:name w:val="annotation subject"/>
    <w:basedOn w:val="Textkomente"/>
    <w:next w:val="Textkomente"/>
    <w:link w:val="PedmtkomenteChar"/>
    <w:semiHidden/>
    <w:unhideWhenUsed/>
    <w:rsid w:val="00421AC8"/>
    <w:rPr>
      <w:b/>
      <w:bCs/>
    </w:rPr>
  </w:style>
  <w:style w:type="character" w:customStyle="1" w:styleId="PedmtkomenteChar">
    <w:name w:val="Předmět komentáře Char"/>
    <w:basedOn w:val="TextkomenteChar"/>
    <w:link w:val="Pedmtkomente"/>
    <w:semiHidden/>
    <w:rsid w:val="00421AC8"/>
    <w:rPr>
      <w:rFonts w:ascii="Times New Roman" w:eastAsiaTheme="minorEastAsia" w:hAnsi="Times New Roman"/>
      <w:b/>
      <w:bCs/>
      <w:sz w:val="20"/>
      <w:szCs w:val="20"/>
    </w:rPr>
  </w:style>
  <w:style w:type="paragraph" w:styleId="Textpoznpodarou">
    <w:name w:val="footnote text"/>
    <w:aliases w:val="Footnote Text Char1,Footnote Text Char Char,Footnote Text Char2 Char Char,Footnote Text Char1 Char Char Char,Footnote Text Char Char Char Char Char,Footnote Text Char2 Char Char Char Char Char,Footnote Text Char"/>
    <w:basedOn w:val="Normln"/>
    <w:link w:val="TextpoznpodarouChar"/>
    <w:uiPriority w:val="99"/>
    <w:unhideWhenUsed/>
    <w:rsid w:val="00421AC8"/>
    <w:rPr>
      <w:rFonts w:eastAsiaTheme="minorHAnsi"/>
      <w:sz w:val="20"/>
      <w:szCs w:val="20"/>
    </w:rPr>
  </w:style>
  <w:style w:type="character" w:customStyle="1" w:styleId="TextpoznpodarouChar">
    <w:name w:val="Text pozn. pod čarou Char"/>
    <w:aliases w:val="Footnote Text Char1 Char,Footnote Text Char Char Char,Footnote Text Char2 Char Char Char,Footnote Text Char1 Char Char Char Char,Footnote Text Char Char Char Char Char Char,Footnote Text Char2 Char Char Char Char Char Char"/>
    <w:basedOn w:val="Standardnpsmoodstavce"/>
    <w:link w:val="Textpoznpodarou"/>
    <w:uiPriority w:val="99"/>
    <w:rsid w:val="00421AC8"/>
    <w:rPr>
      <w:rFonts w:ascii="Times New Roman" w:hAnsi="Times New Roman"/>
      <w:sz w:val="20"/>
      <w:szCs w:val="20"/>
    </w:rPr>
  </w:style>
  <w:style w:type="character" w:styleId="Znakapoznpodarou">
    <w:name w:val="footnote reference"/>
    <w:basedOn w:val="Standardnpsmoodstavce"/>
    <w:uiPriority w:val="99"/>
    <w:semiHidden/>
    <w:unhideWhenUsed/>
    <w:rsid w:val="00421AC8"/>
    <w:rPr>
      <w:vertAlign w:val="superscript"/>
    </w:rPr>
  </w:style>
  <w:style w:type="table" w:styleId="Svtlstnovnzvraznn4">
    <w:name w:val="Light Shading Accent 4"/>
    <w:basedOn w:val="Normlntabulka"/>
    <w:uiPriority w:val="60"/>
    <w:rsid w:val="00421AC8"/>
    <w:pPr>
      <w:spacing w:after="0" w:line="240" w:lineRule="auto"/>
      <w:ind w:firstLine="357"/>
    </w:pPr>
    <w:rPr>
      <w:rFonts w:eastAsiaTheme="minorEastAsia"/>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paragraph" w:customStyle="1" w:styleId="nadpiszkona">
    <w:name w:val="nadpis zákona"/>
    <w:basedOn w:val="Normln"/>
    <w:next w:val="Normln"/>
    <w:semiHidden/>
    <w:rsid w:val="00421AC8"/>
    <w:pPr>
      <w:keepNext/>
      <w:keepLines/>
      <w:jc w:val="center"/>
      <w:outlineLvl w:val="0"/>
    </w:pPr>
    <w:rPr>
      <w:rFonts w:eastAsia="Times New Roman" w:cs="Times New Roman"/>
      <w:b/>
      <w:szCs w:val="20"/>
      <w:lang w:eastAsia="cs-CZ"/>
    </w:rPr>
  </w:style>
  <w:style w:type="table" w:styleId="Mkatabulky">
    <w:name w:val="Table Grid"/>
    <w:basedOn w:val="Normlntabulka"/>
    <w:uiPriority w:val="59"/>
    <w:rsid w:val="00421AC8"/>
    <w:pPr>
      <w:spacing w:after="0" w:line="240" w:lineRule="auto"/>
      <w:ind w:firstLine="357"/>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dpisyvtextu">
    <w:name w:val="Nadpisy v textu"/>
    <w:basedOn w:val="Normln"/>
    <w:next w:val="Normln"/>
    <w:uiPriority w:val="1"/>
    <w:qFormat/>
    <w:rsid w:val="00421AC8"/>
    <w:pPr>
      <w:keepNext/>
      <w:spacing w:before="240"/>
    </w:pPr>
    <w:rPr>
      <w:u w:val="single"/>
    </w:rPr>
  </w:style>
  <w:style w:type="paragraph" w:customStyle="1" w:styleId="Odrky">
    <w:name w:val="Odrážky"/>
    <w:basedOn w:val="Normln"/>
    <w:next w:val="Normln"/>
    <w:uiPriority w:val="1"/>
    <w:qFormat/>
    <w:rsid w:val="00421AC8"/>
    <w:pPr>
      <w:numPr>
        <w:numId w:val="2"/>
      </w:numPr>
      <w:spacing w:before="0" w:after="0"/>
    </w:pPr>
  </w:style>
  <w:style w:type="paragraph" w:styleId="Normlnweb">
    <w:name w:val="Normal (Web)"/>
    <w:basedOn w:val="Normln"/>
    <w:uiPriority w:val="99"/>
    <w:unhideWhenUsed/>
    <w:rsid w:val="00421AC8"/>
    <w:pPr>
      <w:spacing w:before="100" w:beforeAutospacing="1" w:after="100" w:afterAutospacing="1"/>
    </w:pPr>
    <w:rPr>
      <w:rFonts w:eastAsia="Times New Roman" w:cs="Times New Roman"/>
      <w:szCs w:val="24"/>
      <w:lang w:eastAsia="cs-CZ"/>
    </w:rPr>
  </w:style>
  <w:style w:type="paragraph" w:styleId="Obsah1">
    <w:name w:val="toc 1"/>
    <w:basedOn w:val="Normln"/>
    <w:next w:val="Normln"/>
    <w:autoRedefine/>
    <w:uiPriority w:val="39"/>
    <w:unhideWhenUsed/>
    <w:rsid w:val="00FD5312"/>
    <w:pPr>
      <w:tabs>
        <w:tab w:val="left" w:pos="480"/>
        <w:tab w:val="right" w:leader="dot" w:pos="9062"/>
      </w:tabs>
      <w:spacing w:after="100"/>
    </w:pPr>
  </w:style>
  <w:style w:type="paragraph" w:styleId="Obsah2">
    <w:name w:val="toc 2"/>
    <w:basedOn w:val="Normln"/>
    <w:next w:val="Normln"/>
    <w:autoRedefine/>
    <w:uiPriority w:val="39"/>
    <w:unhideWhenUsed/>
    <w:rsid w:val="00421AC8"/>
    <w:pPr>
      <w:spacing w:after="100"/>
      <w:ind w:left="240"/>
    </w:pPr>
  </w:style>
  <w:style w:type="paragraph" w:styleId="Obsah3">
    <w:name w:val="toc 3"/>
    <w:basedOn w:val="Normln"/>
    <w:next w:val="Normln"/>
    <w:autoRedefine/>
    <w:uiPriority w:val="39"/>
    <w:unhideWhenUsed/>
    <w:rsid w:val="00DB217F"/>
    <w:pPr>
      <w:tabs>
        <w:tab w:val="left" w:pos="1320"/>
        <w:tab w:val="right" w:leader="dot" w:pos="9060"/>
      </w:tabs>
      <w:spacing w:after="100"/>
      <w:ind w:left="480"/>
    </w:pPr>
    <w:rPr>
      <w:noProof/>
    </w:rPr>
  </w:style>
  <w:style w:type="paragraph" w:customStyle="1" w:styleId="st">
    <w:name w:val="Část"/>
    <w:basedOn w:val="Nadpis1"/>
    <w:next w:val="Nadpis1"/>
    <w:link w:val="stChar"/>
    <w:uiPriority w:val="3"/>
    <w:qFormat/>
    <w:rsid w:val="00421AC8"/>
    <w:pPr>
      <w:pageBreakBefore/>
      <w:numPr>
        <w:ilvl w:val="0"/>
      </w:numPr>
      <w:pBdr>
        <w:bottom w:val="single" w:sz="12" w:space="2" w:color="140E96"/>
      </w:pBdr>
      <w:spacing w:after="480"/>
      <w:jc w:val="center"/>
    </w:pPr>
  </w:style>
  <w:style w:type="character" w:customStyle="1" w:styleId="stChar">
    <w:name w:val="Část Char"/>
    <w:basedOn w:val="Nadpis1Char"/>
    <w:link w:val="st"/>
    <w:uiPriority w:val="3"/>
    <w:rsid w:val="00421AC8"/>
    <w:rPr>
      <w:rFonts w:ascii="Times New Roman" w:eastAsiaTheme="majorEastAsia" w:hAnsi="Times New Roman" w:cstheme="majorBidi"/>
      <w:b/>
      <w:bCs/>
      <w:color w:val="140E96"/>
      <w:sz w:val="28"/>
      <w:szCs w:val="24"/>
    </w:rPr>
  </w:style>
  <w:style w:type="paragraph" w:customStyle="1" w:styleId="Podst">
    <w:name w:val="Podčást"/>
    <w:basedOn w:val="Nadpis1"/>
    <w:next w:val="Nadpis1"/>
    <w:uiPriority w:val="3"/>
    <w:qFormat/>
    <w:rsid w:val="00421AC8"/>
    <w:pPr>
      <w:numPr>
        <w:numId w:val="3"/>
      </w:numPr>
      <w:pBdr>
        <w:bottom w:val="none" w:sz="0" w:space="0" w:color="auto"/>
      </w:pBdr>
      <w:ind w:left="436" w:hanging="357"/>
      <w:jc w:val="center"/>
    </w:pPr>
  </w:style>
  <w:style w:type="character" w:styleId="Zstupntext">
    <w:name w:val="Placeholder Text"/>
    <w:basedOn w:val="Standardnpsmoodstavce"/>
    <w:uiPriority w:val="99"/>
    <w:semiHidden/>
    <w:rsid w:val="00421AC8"/>
    <w:rPr>
      <w:color w:val="808080"/>
    </w:rPr>
  </w:style>
  <w:style w:type="paragraph" w:customStyle="1" w:styleId="Tabulka">
    <w:name w:val="Tabulka"/>
    <w:basedOn w:val="Normln"/>
    <w:uiPriority w:val="1"/>
    <w:qFormat/>
    <w:rsid w:val="00421AC8"/>
    <w:pPr>
      <w:spacing w:before="0" w:after="0"/>
      <w:jc w:val="center"/>
    </w:pPr>
    <w:rPr>
      <w:rFonts w:eastAsia="Times New Roman"/>
      <w:bCs/>
      <w:color w:val="000000" w:themeColor="text1"/>
      <w:sz w:val="18"/>
      <w:lang w:eastAsia="cs-CZ"/>
    </w:rPr>
  </w:style>
  <w:style w:type="table" w:customStyle="1" w:styleId="Svtlstnovnzvraznn43">
    <w:name w:val="Světlé stínování – zvýraznění 43"/>
    <w:basedOn w:val="Normlntabulka"/>
    <w:next w:val="Svtlstnovnzvraznn4"/>
    <w:uiPriority w:val="60"/>
    <w:rsid w:val="00421AC8"/>
    <w:pPr>
      <w:spacing w:after="0" w:line="240" w:lineRule="auto"/>
      <w:ind w:firstLine="357"/>
    </w:pPr>
    <w:rPr>
      <w:rFonts w:eastAsia="Times New Roman"/>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paragraph" w:styleId="Revize">
    <w:name w:val="Revision"/>
    <w:hidden/>
    <w:uiPriority w:val="99"/>
    <w:semiHidden/>
    <w:rsid w:val="00421AC8"/>
    <w:pPr>
      <w:spacing w:after="0" w:line="240" w:lineRule="auto"/>
    </w:pPr>
    <w:rPr>
      <w:rFonts w:ascii="Times New Roman" w:eastAsiaTheme="minorEastAsia" w:hAnsi="Times New Roman"/>
      <w:sz w:val="24"/>
    </w:rPr>
  </w:style>
  <w:style w:type="character" w:customStyle="1" w:styleId="Nevyeenzmnka1">
    <w:name w:val="Nevyřešená zmínka1"/>
    <w:basedOn w:val="Standardnpsmoodstavce"/>
    <w:uiPriority w:val="99"/>
    <w:semiHidden/>
    <w:unhideWhenUsed/>
    <w:rsid w:val="00421AC8"/>
    <w:rPr>
      <w:color w:val="808080"/>
      <w:shd w:val="clear" w:color="auto" w:fill="E6E6E6"/>
    </w:rPr>
  </w:style>
  <w:style w:type="character" w:styleId="Sledovanodkaz">
    <w:name w:val="FollowedHyperlink"/>
    <w:basedOn w:val="Standardnpsmoodstavce"/>
    <w:uiPriority w:val="99"/>
    <w:semiHidden/>
    <w:unhideWhenUsed/>
    <w:rsid w:val="00421AC8"/>
    <w:rPr>
      <w:color w:val="954F72" w:themeColor="followedHyperlink"/>
      <w:u w:val="single"/>
    </w:rPr>
  </w:style>
  <w:style w:type="paragraph" w:customStyle="1" w:styleId="Default">
    <w:name w:val="Default"/>
    <w:rsid w:val="0079458E"/>
    <w:pPr>
      <w:autoSpaceDE w:val="0"/>
      <w:autoSpaceDN w:val="0"/>
      <w:adjustRightInd w:val="0"/>
      <w:spacing w:after="0" w:line="240" w:lineRule="auto"/>
    </w:pPr>
    <w:rPr>
      <w:rFonts w:ascii="Calibri" w:eastAsia="Times New Roman" w:hAnsi="Calibri" w:cs="Calibri"/>
      <w:color w:val="000000"/>
      <w:sz w:val="24"/>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836152">
      <w:bodyDiv w:val="1"/>
      <w:marLeft w:val="0"/>
      <w:marRight w:val="0"/>
      <w:marTop w:val="0"/>
      <w:marBottom w:val="0"/>
      <w:divBdr>
        <w:top w:val="none" w:sz="0" w:space="0" w:color="auto"/>
        <w:left w:val="none" w:sz="0" w:space="0" w:color="auto"/>
        <w:bottom w:val="none" w:sz="0" w:space="0" w:color="auto"/>
        <w:right w:val="none" w:sz="0" w:space="0" w:color="auto"/>
      </w:divBdr>
    </w:div>
    <w:div w:id="192692661">
      <w:bodyDiv w:val="1"/>
      <w:marLeft w:val="0"/>
      <w:marRight w:val="0"/>
      <w:marTop w:val="0"/>
      <w:marBottom w:val="0"/>
      <w:divBdr>
        <w:top w:val="none" w:sz="0" w:space="0" w:color="auto"/>
        <w:left w:val="none" w:sz="0" w:space="0" w:color="auto"/>
        <w:bottom w:val="none" w:sz="0" w:space="0" w:color="auto"/>
        <w:right w:val="none" w:sz="0" w:space="0" w:color="auto"/>
      </w:divBdr>
    </w:div>
    <w:div w:id="323094636">
      <w:bodyDiv w:val="1"/>
      <w:marLeft w:val="0"/>
      <w:marRight w:val="0"/>
      <w:marTop w:val="0"/>
      <w:marBottom w:val="0"/>
      <w:divBdr>
        <w:top w:val="none" w:sz="0" w:space="0" w:color="auto"/>
        <w:left w:val="none" w:sz="0" w:space="0" w:color="auto"/>
        <w:bottom w:val="none" w:sz="0" w:space="0" w:color="auto"/>
        <w:right w:val="none" w:sz="0" w:space="0" w:color="auto"/>
      </w:divBdr>
    </w:div>
    <w:div w:id="458229906">
      <w:bodyDiv w:val="1"/>
      <w:marLeft w:val="0"/>
      <w:marRight w:val="0"/>
      <w:marTop w:val="0"/>
      <w:marBottom w:val="0"/>
      <w:divBdr>
        <w:top w:val="none" w:sz="0" w:space="0" w:color="auto"/>
        <w:left w:val="none" w:sz="0" w:space="0" w:color="auto"/>
        <w:bottom w:val="none" w:sz="0" w:space="0" w:color="auto"/>
        <w:right w:val="none" w:sz="0" w:space="0" w:color="auto"/>
      </w:divBdr>
    </w:div>
    <w:div w:id="679744696">
      <w:bodyDiv w:val="1"/>
      <w:marLeft w:val="0"/>
      <w:marRight w:val="0"/>
      <w:marTop w:val="0"/>
      <w:marBottom w:val="0"/>
      <w:divBdr>
        <w:top w:val="none" w:sz="0" w:space="0" w:color="auto"/>
        <w:left w:val="none" w:sz="0" w:space="0" w:color="auto"/>
        <w:bottom w:val="none" w:sz="0" w:space="0" w:color="auto"/>
        <w:right w:val="none" w:sz="0" w:space="0" w:color="auto"/>
      </w:divBdr>
    </w:div>
    <w:div w:id="877160862">
      <w:bodyDiv w:val="1"/>
      <w:marLeft w:val="0"/>
      <w:marRight w:val="0"/>
      <w:marTop w:val="0"/>
      <w:marBottom w:val="0"/>
      <w:divBdr>
        <w:top w:val="none" w:sz="0" w:space="0" w:color="auto"/>
        <w:left w:val="none" w:sz="0" w:space="0" w:color="auto"/>
        <w:bottom w:val="none" w:sz="0" w:space="0" w:color="auto"/>
        <w:right w:val="none" w:sz="0" w:space="0" w:color="auto"/>
      </w:divBdr>
    </w:div>
    <w:div w:id="1092242232">
      <w:bodyDiv w:val="1"/>
      <w:marLeft w:val="0"/>
      <w:marRight w:val="0"/>
      <w:marTop w:val="0"/>
      <w:marBottom w:val="0"/>
      <w:divBdr>
        <w:top w:val="none" w:sz="0" w:space="0" w:color="auto"/>
        <w:left w:val="none" w:sz="0" w:space="0" w:color="auto"/>
        <w:bottom w:val="none" w:sz="0" w:space="0" w:color="auto"/>
        <w:right w:val="none" w:sz="0" w:space="0" w:color="auto"/>
      </w:divBdr>
    </w:div>
    <w:div w:id="1501848218">
      <w:bodyDiv w:val="1"/>
      <w:marLeft w:val="0"/>
      <w:marRight w:val="0"/>
      <w:marTop w:val="0"/>
      <w:marBottom w:val="0"/>
      <w:divBdr>
        <w:top w:val="none" w:sz="0" w:space="0" w:color="auto"/>
        <w:left w:val="none" w:sz="0" w:space="0" w:color="auto"/>
        <w:bottom w:val="none" w:sz="0" w:space="0" w:color="auto"/>
        <w:right w:val="none" w:sz="0" w:space="0" w:color="auto"/>
      </w:divBdr>
    </w:div>
    <w:div w:id="1711221459">
      <w:bodyDiv w:val="1"/>
      <w:marLeft w:val="0"/>
      <w:marRight w:val="0"/>
      <w:marTop w:val="0"/>
      <w:marBottom w:val="0"/>
      <w:divBdr>
        <w:top w:val="none" w:sz="0" w:space="0" w:color="auto"/>
        <w:left w:val="none" w:sz="0" w:space="0" w:color="auto"/>
        <w:bottom w:val="none" w:sz="0" w:space="0" w:color="auto"/>
        <w:right w:val="none" w:sz="0" w:space="0" w:color="auto"/>
      </w:divBdr>
    </w:div>
    <w:div w:id="1934704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portal.celnisprava.cz/"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05F38EC60377F443B12BA532A6F2FCEC" ma:contentTypeVersion="4" ma:contentTypeDescription="Vytvoří nový dokument" ma:contentTypeScope="" ma:versionID="e8d7df38a9975040616d54bef3030c0b">
  <xsd:schema xmlns:xsd="http://www.w3.org/2001/XMLSchema" xmlns:xs="http://www.w3.org/2001/XMLSchema" xmlns:p="http://schemas.microsoft.com/office/2006/metadata/properties" xmlns:ns2="5579b6d4-9967-4f06-957e-9e112d3ead37" targetNamespace="http://schemas.microsoft.com/office/2006/metadata/properties" ma:root="true" ma:fieldsID="91168b5668f412173a8a4d76596851c7" ns2:_="">
    <xsd:import namespace="5579b6d4-9967-4f06-957e-9e112d3ead3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79b6d4-9967-4f06-957e-9e112d3ead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A535E8-B489-40D0-B709-23A2EECAC8E4}">
  <ds:schemaRefs>
    <ds:schemaRef ds:uri="http://schemas.microsoft.com/office/2006/metadata/properties"/>
    <ds:schemaRef ds:uri="5579b6d4-9967-4f06-957e-9e112d3ead37"/>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elements/1.1/"/>
    <ds:schemaRef ds:uri="http://purl.org/dc/dcmitype/"/>
  </ds:schemaRefs>
</ds:datastoreItem>
</file>

<file path=customXml/itemProps2.xml><?xml version="1.0" encoding="utf-8"?>
<ds:datastoreItem xmlns:ds="http://schemas.openxmlformats.org/officeDocument/2006/customXml" ds:itemID="{54932327-5206-4758-896A-34B5B9AB6E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79b6d4-9967-4f06-957e-9e112d3ead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CD7C11-FD60-4A1E-8153-DEB050FB2BD1}">
  <ds:schemaRefs>
    <ds:schemaRef ds:uri="http://schemas.microsoft.com/sharepoint/v3/contenttype/forms"/>
  </ds:schemaRefs>
</ds:datastoreItem>
</file>

<file path=customXml/itemProps4.xml><?xml version="1.0" encoding="utf-8"?>
<ds:datastoreItem xmlns:ds="http://schemas.openxmlformats.org/officeDocument/2006/customXml" ds:itemID="{577D3286-4A1E-482E-A4F7-800D892340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197</TotalTime>
  <Pages>26</Pages>
  <Words>10370</Words>
  <Characters>61188</Characters>
  <Application>Microsoft Office Word</Application>
  <DocSecurity>0</DocSecurity>
  <Lines>509</Lines>
  <Paragraphs>142</Paragraphs>
  <ScaleCrop>false</ScaleCrop>
  <HeadingPairs>
    <vt:vector size="2" baseType="variant">
      <vt:variant>
        <vt:lpstr>Název</vt:lpstr>
      </vt:variant>
      <vt:variant>
        <vt:i4>1</vt:i4>
      </vt:variant>
    </vt:vector>
  </HeadingPairs>
  <TitlesOfParts>
    <vt:vector size="1" baseType="lpstr">
      <vt:lpstr/>
    </vt:vector>
  </TitlesOfParts>
  <Company>Celni sprava Ceske republiky</Company>
  <LinksUpToDate>false</LinksUpToDate>
  <CharactersWithSpaces>71416</CharactersWithSpaces>
  <SharedDoc>false</SharedDoc>
  <HLinks>
    <vt:vector size="342" baseType="variant">
      <vt:variant>
        <vt:i4>2687063</vt:i4>
      </vt:variant>
      <vt:variant>
        <vt:i4>405</vt:i4>
      </vt:variant>
      <vt:variant>
        <vt:i4>0</vt:i4>
      </vt:variant>
      <vt:variant>
        <vt:i4>5</vt:i4>
      </vt:variant>
      <vt:variant>
        <vt:lpwstr>mailto:Berka@cs.mfcr.cz</vt:lpwstr>
      </vt:variant>
      <vt:variant>
        <vt:lpwstr/>
      </vt:variant>
      <vt:variant>
        <vt:i4>1966183</vt:i4>
      </vt:variant>
      <vt:variant>
        <vt:i4>402</vt:i4>
      </vt:variant>
      <vt:variant>
        <vt:i4>0</vt:i4>
      </vt:variant>
      <vt:variant>
        <vt:i4>5</vt:i4>
      </vt:variant>
      <vt:variant>
        <vt:lpwstr>mailto:Cafourek@cs.mfcr.cz</vt:lpwstr>
      </vt:variant>
      <vt:variant>
        <vt:lpwstr/>
      </vt:variant>
      <vt:variant>
        <vt:i4>6553610</vt:i4>
      </vt:variant>
      <vt:variant>
        <vt:i4>399</vt:i4>
      </vt:variant>
      <vt:variant>
        <vt:i4>0</vt:i4>
      </vt:variant>
      <vt:variant>
        <vt:i4>5</vt:i4>
      </vt:variant>
      <vt:variant>
        <vt:lpwstr>mailto:Zdenka.Pourova@mfcr.cz</vt:lpwstr>
      </vt:variant>
      <vt:variant>
        <vt:lpwstr/>
      </vt:variant>
      <vt:variant>
        <vt:i4>6815753</vt:i4>
      </vt:variant>
      <vt:variant>
        <vt:i4>396</vt:i4>
      </vt:variant>
      <vt:variant>
        <vt:i4>0</vt:i4>
      </vt:variant>
      <vt:variant>
        <vt:i4>5</vt:i4>
      </vt:variant>
      <vt:variant>
        <vt:lpwstr>mailto:Jiri.Kroupa@mfcr.cz</vt:lpwstr>
      </vt:variant>
      <vt:variant>
        <vt:lpwstr/>
      </vt:variant>
      <vt:variant>
        <vt:i4>7602209</vt:i4>
      </vt:variant>
      <vt:variant>
        <vt:i4>393</vt:i4>
      </vt:variant>
      <vt:variant>
        <vt:i4>0</vt:i4>
      </vt:variant>
      <vt:variant>
        <vt:i4>5</vt:i4>
      </vt:variant>
      <vt:variant>
        <vt:lpwstr>https://cportal.celnisprava.cz/</vt:lpwstr>
      </vt:variant>
      <vt:variant>
        <vt:lpwstr/>
      </vt:variant>
      <vt:variant>
        <vt:i4>1507377</vt:i4>
      </vt:variant>
      <vt:variant>
        <vt:i4>386</vt:i4>
      </vt:variant>
      <vt:variant>
        <vt:i4>0</vt:i4>
      </vt:variant>
      <vt:variant>
        <vt:i4>5</vt:i4>
      </vt:variant>
      <vt:variant>
        <vt:lpwstr/>
      </vt:variant>
      <vt:variant>
        <vt:lpwstr>_Toc161385909</vt:lpwstr>
      </vt:variant>
      <vt:variant>
        <vt:i4>1507377</vt:i4>
      </vt:variant>
      <vt:variant>
        <vt:i4>380</vt:i4>
      </vt:variant>
      <vt:variant>
        <vt:i4>0</vt:i4>
      </vt:variant>
      <vt:variant>
        <vt:i4>5</vt:i4>
      </vt:variant>
      <vt:variant>
        <vt:lpwstr/>
      </vt:variant>
      <vt:variant>
        <vt:lpwstr>_Toc161385908</vt:lpwstr>
      </vt:variant>
      <vt:variant>
        <vt:i4>1507377</vt:i4>
      </vt:variant>
      <vt:variant>
        <vt:i4>374</vt:i4>
      </vt:variant>
      <vt:variant>
        <vt:i4>0</vt:i4>
      </vt:variant>
      <vt:variant>
        <vt:i4>5</vt:i4>
      </vt:variant>
      <vt:variant>
        <vt:lpwstr/>
      </vt:variant>
      <vt:variant>
        <vt:lpwstr>_Toc161385907</vt:lpwstr>
      </vt:variant>
      <vt:variant>
        <vt:i4>1507377</vt:i4>
      </vt:variant>
      <vt:variant>
        <vt:i4>368</vt:i4>
      </vt:variant>
      <vt:variant>
        <vt:i4>0</vt:i4>
      </vt:variant>
      <vt:variant>
        <vt:i4>5</vt:i4>
      </vt:variant>
      <vt:variant>
        <vt:lpwstr/>
      </vt:variant>
      <vt:variant>
        <vt:lpwstr>_Toc161385906</vt:lpwstr>
      </vt:variant>
      <vt:variant>
        <vt:i4>1507377</vt:i4>
      </vt:variant>
      <vt:variant>
        <vt:i4>362</vt:i4>
      </vt:variant>
      <vt:variant>
        <vt:i4>0</vt:i4>
      </vt:variant>
      <vt:variant>
        <vt:i4>5</vt:i4>
      </vt:variant>
      <vt:variant>
        <vt:lpwstr/>
      </vt:variant>
      <vt:variant>
        <vt:lpwstr>_Toc161385905</vt:lpwstr>
      </vt:variant>
      <vt:variant>
        <vt:i4>1507377</vt:i4>
      </vt:variant>
      <vt:variant>
        <vt:i4>356</vt:i4>
      </vt:variant>
      <vt:variant>
        <vt:i4>0</vt:i4>
      </vt:variant>
      <vt:variant>
        <vt:i4>5</vt:i4>
      </vt:variant>
      <vt:variant>
        <vt:lpwstr/>
      </vt:variant>
      <vt:variant>
        <vt:lpwstr>_Toc161385904</vt:lpwstr>
      </vt:variant>
      <vt:variant>
        <vt:i4>1507377</vt:i4>
      </vt:variant>
      <vt:variant>
        <vt:i4>350</vt:i4>
      </vt:variant>
      <vt:variant>
        <vt:i4>0</vt:i4>
      </vt:variant>
      <vt:variant>
        <vt:i4>5</vt:i4>
      </vt:variant>
      <vt:variant>
        <vt:lpwstr/>
      </vt:variant>
      <vt:variant>
        <vt:lpwstr>_Toc161385903</vt:lpwstr>
      </vt:variant>
      <vt:variant>
        <vt:i4>1507377</vt:i4>
      </vt:variant>
      <vt:variant>
        <vt:i4>344</vt:i4>
      </vt:variant>
      <vt:variant>
        <vt:i4>0</vt:i4>
      </vt:variant>
      <vt:variant>
        <vt:i4>5</vt:i4>
      </vt:variant>
      <vt:variant>
        <vt:lpwstr/>
      </vt:variant>
      <vt:variant>
        <vt:lpwstr>_Toc161385902</vt:lpwstr>
      </vt:variant>
      <vt:variant>
        <vt:i4>1507377</vt:i4>
      </vt:variant>
      <vt:variant>
        <vt:i4>338</vt:i4>
      </vt:variant>
      <vt:variant>
        <vt:i4>0</vt:i4>
      </vt:variant>
      <vt:variant>
        <vt:i4>5</vt:i4>
      </vt:variant>
      <vt:variant>
        <vt:lpwstr/>
      </vt:variant>
      <vt:variant>
        <vt:lpwstr>_Toc161385901</vt:lpwstr>
      </vt:variant>
      <vt:variant>
        <vt:i4>1507377</vt:i4>
      </vt:variant>
      <vt:variant>
        <vt:i4>332</vt:i4>
      </vt:variant>
      <vt:variant>
        <vt:i4>0</vt:i4>
      </vt:variant>
      <vt:variant>
        <vt:i4>5</vt:i4>
      </vt:variant>
      <vt:variant>
        <vt:lpwstr/>
      </vt:variant>
      <vt:variant>
        <vt:lpwstr>_Toc161385900</vt:lpwstr>
      </vt:variant>
      <vt:variant>
        <vt:i4>1966128</vt:i4>
      </vt:variant>
      <vt:variant>
        <vt:i4>326</vt:i4>
      </vt:variant>
      <vt:variant>
        <vt:i4>0</vt:i4>
      </vt:variant>
      <vt:variant>
        <vt:i4>5</vt:i4>
      </vt:variant>
      <vt:variant>
        <vt:lpwstr/>
      </vt:variant>
      <vt:variant>
        <vt:lpwstr>_Toc161385899</vt:lpwstr>
      </vt:variant>
      <vt:variant>
        <vt:i4>1966128</vt:i4>
      </vt:variant>
      <vt:variant>
        <vt:i4>320</vt:i4>
      </vt:variant>
      <vt:variant>
        <vt:i4>0</vt:i4>
      </vt:variant>
      <vt:variant>
        <vt:i4>5</vt:i4>
      </vt:variant>
      <vt:variant>
        <vt:lpwstr/>
      </vt:variant>
      <vt:variant>
        <vt:lpwstr>_Toc161385898</vt:lpwstr>
      </vt:variant>
      <vt:variant>
        <vt:i4>1966128</vt:i4>
      </vt:variant>
      <vt:variant>
        <vt:i4>314</vt:i4>
      </vt:variant>
      <vt:variant>
        <vt:i4>0</vt:i4>
      </vt:variant>
      <vt:variant>
        <vt:i4>5</vt:i4>
      </vt:variant>
      <vt:variant>
        <vt:lpwstr/>
      </vt:variant>
      <vt:variant>
        <vt:lpwstr>_Toc161385897</vt:lpwstr>
      </vt:variant>
      <vt:variant>
        <vt:i4>1966128</vt:i4>
      </vt:variant>
      <vt:variant>
        <vt:i4>308</vt:i4>
      </vt:variant>
      <vt:variant>
        <vt:i4>0</vt:i4>
      </vt:variant>
      <vt:variant>
        <vt:i4>5</vt:i4>
      </vt:variant>
      <vt:variant>
        <vt:lpwstr/>
      </vt:variant>
      <vt:variant>
        <vt:lpwstr>_Toc161385896</vt:lpwstr>
      </vt:variant>
      <vt:variant>
        <vt:i4>1966128</vt:i4>
      </vt:variant>
      <vt:variant>
        <vt:i4>302</vt:i4>
      </vt:variant>
      <vt:variant>
        <vt:i4>0</vt:i4>
      </vt:variant>
      <vt:variant>
        <vt:i4>5</vt:i4>
      </vt:variant>
      <vt:variant>
        <vt:lpwstr/>
      </vt:variant>
      <vt:variant>
        <vt:lpwstr>_Toc161385895</vt:lpwstr>
      </vt:variant>
      <vt:variant>
        <vt:i4>1966128</vt:i4>
      </vt:variant>
      <vt:variant>
        <vt:i4>296</vt:i4>
      </vt:variant>
      <vt:variant>
        <vt:i4>0</vt:i4>
      </vt:variant>
      <vt:variant>
        <vt:i4>5</vt:i4>
      </vt:variant>
      <vt:variant>
        <vt:lpwstr/>
      </vt:variant>
      <vt:variant>
        <vt:lpwstr>_Toc161385894</vt:lpwstr>
      </vt:variant>
      <vt:variant>
        <vt:i4>1966128</vt:i4>
      </vt:variant>
      <vt:variant>
        <vt:i4>290</vt:i4>
      </vt:variant>
      <vt:variant>
        <vt:i4>0</vt:i4>
      </vt:variant>
      <vt:variant>
        <vt:i4>5</vt:i4>
      </vt:variant>
      <vt:variant>
        <vt:lpwstr/>
      </vt:variant>
      <vt:variant>
        <vt:lpwstr>_Toc161385893</vt:lpwstr>
      </vt:variant>
      <vt:variant>
        <vt:i4>1966128</vt:i4>
      </vt:variant>
      <vt:variant>
        <vt:i4>284</vt:i4>
      </vt:variant>
      <vt:variant>
        <vt:i4>0</vt:i4>
      </vt:variant>
      <vt:variant>
        <vt:i4>5</vt:i4>
      </vt:variant>
      <vt:variant>
        <vt:lpwstr/>
      </vt:variant>
      <vt:variant>
        <vt:lpwstr>_Toc161385892</vt:lpwstr>
      </vt:variant>
      <vt:variant>
        <vt:i4>1966128</vt:i4>
      </vt:variant>
      <vt:variant>
        <vt:i4>278</vt:i4>
      </vt:variant>
      <vt:variant>
        <vt:i4>0</vt:i4>
      </vt:variant>
      <vt:variant>
        <vt:i4>5</vt:i4>
      </vt:variant>
      <vt:variant>
        <vt:lpwstr/>
      </vt:variant>
      <vt:variant>
        <vt:lpwstr>_Toc161385891</vt:lpwstr>
      </vt:variant>
      <vt:variant>
        <vt:i4>1966128</vt:i4>
      </vt:variant>
      <vt:variant>
        <vt:i4>272</vt:i4>
      </vt:variant>
      <vt:variant>
        <vt:i4>0</vt:i4>
      </vt:variant>
      <vt:variant>
        <vt:i4>5</vt:i4>
      </vt:variant>
      <vt:variant>
        <vt:lpwstr/>
      </vt:variant>
      <vt:variant>
        <vt:lpwstr>_Toc161385890</vt:lpwstr>
      </vt:variant>
      <vt:variant>
        <vt:i4>2031664</vt:i4>
      </vt:variant>
      <vt:variant>
        <vt:i4>266</vt:i4>
      </vt:variant>
      <vt:variant>
        <vt:i4>0</vt:i4>
      </vt:variant>
      <vt:variant>
        <vt:i4>5</vt:i4>
      </vt:variant>
      <vt:variant>
        <vt:lpwstr/>
      </vt:variant>
      <vt:variant>
        <vt:lpwstr>_Toc161385889</vt:lpwstr>
      </vt:variant>
      <vt:variant>
        <vt:i4>2031664</vt:i4>
      </vt:variant>
      <vt:variant>
        <vt:i4>260</vt:i4>
      </vt:variant>
      <vt:variant>
        <vt:i4>0</vt:i4>
      </vt:variant>
      <vt:variant>
        <vt:i4>5</vt:i4>
      </vt:variant>
      <vt:variant>
        <vt:lpwstr/>
      </vt:variant>
      <vt:variant>
        <vt:lpwstr>_Toc161385888</vt:lpwstr>
      </vt:variant>
      <vt:variant>
        <vt:i4>2031664</vt:i4>
      </vt:variant>
      <vt:variant>
        <vt:i4>254</vt:i4>
      </vt:variant>
      <vt:variant>
        <vt:i4>0</vt:i4>
      </vt:variant>
      <vt:variant>
        <vt:i4>5</vt:i4>
      </vt:variant>
      <vt:variant>
        <vt:lpwstr/>
      </vt:variant>
      <vt:variant>
        <vt:lpwstr>_Toc161385887</vt:lpwstr>
      </vt:variant>
      <vt:variant>
        <vt:i4>2031664</vt:i4>
      </vt:variant>
      <vt:variant>
        <vt:i4>248</vt:i4>
      </vt:variant>
      <vt:variant>
        <vt:i4>0</vt:i4>
      </vt:variant>
      <vt:variant>
        <vt:i4>5</vt:i4>
      </vt:variant>
      <vt:variant>
        <vt:lpwstr/>
      </vt:variant>
      <vt:variant>
        <vt:lpwstr>_Toc161385886</vt:lpwstr>
      </vt:variant>
      <vt:variant>
        <vt:i4>2031664</vt:i4>
      </vt:variant>
      <vt:variant>
        <vt:i4>242</vt:i4>
      </vt:variant>
      <vt:variant>
        <vt:i4>0</vt:i4>
      </vt:variant>
      <vt:variant>
        <vt:i4>5</vt:i4>
      </vt:variant>
      <vt:variant>
        <vt:lpwstr/>
      </vt:variant>
      <vt:variant>
        <vt:lpwstr>_Toc161385885</vt:lpwstr>
      </vt:variant>
      <vt:variant>
        <vt:i4>2031664</vt:i4>
      </vt:variant>
      <vt:variant>
        <vt:i4>236</vt:i4>
      </vt:variant>
      <vt:variant>
        <vt:i4>0</vt:i4>
      </vt:variant>
      <vt:variant>
        <vt:i4>5</vt:i4>
      </vt:variant>
      <vt:variant>
        <vt:lpwstr/>
      </vt:variant>
      <vt:variant>
        <vt:lpwstr>_Toc161385884</vt:lpwstr>
      </vt:variant>
      <vt:variant>
        <vt:i4>2031664</vt:i4>
      </vt:variant>
      <vt:variant>
        <vt:i4>230</vt:i4>
      </vt:variant>
      <vt:variant>
        <vt:i4>0</vt:i4>
      </vt:variant>
      <vt:variant>
        <vt:i4>5</vt:i4>
      </vt:variant>
      <vt:variant>
        <vt:lpwstr/>
      </vt:variant>
      <vt:variant>
        <vt:lpwstr>_Toc161385883</vt:lpwstr>
      </vt:variant>
      <vt:variant>
        <vt:i4>2031664</vt:i4>
      </vt:variant>
      <vt:variant>
        <vt:i4>224</vt:i4>
      </vt:variant>
      <vt:variant>
        <vt:i4>0</vt:i4>
      </vt:variant>
      <vt:variant>
        <vt:i4>5</vt:i4>
      </vt:variant>
      <vt:variant>
        <vt:lpwstr/>
      </vt:variant>
      <vt:variant>
        <vt:lpwstr>_Toc161385882</vt:lpwstr>
      </vt:variant>
      <vt:variant>
        <vt:i4>2031664</vt:i4>
      </vt:variant>
      <vt:variant>
        <vt:i4>218</vt:i4>
      </vt:variant>
      <vt:variant>
        <vt:i4>0</vt:i4>
      </vt:variant>
      <vt:variant>
        <vt:i4>5</vt:i4>
      </vt:variant>
      <vt:variant>
        <vt:lpwstr/>
      </vt:variant>
      <vt:variant>
        <vt:lpwstr>_Toc161385881</vt:lpwstr>
      </vt:variant>
      <vt:variant>
        <vt:i4>2031664</vt:i4>
      </vt:variant>
      <vt:variant>
        <vt:i4>212</vt:i4>
      </vt:variant>
      <vt:variant>
        <vt:i4>0</vt:i4>
      </vt:variant>
      <vt:variant>
        <vt:i4>5</vt:i4>
      </vt:variant>
      <vt:variant>
        <vt:lpwstr/>
      </vt:variant>
      <vt:variant>
        <vt:lpwstr>_Toc161385880</vt:lpwstr>
      </vt:variant>
      <vt:variant>
        <vt:i4>1048624</vt:i4>
      </vt:variant>
      <vt:variant>
        <vt:i4>206</vt:i4>
      </vt:variant>
      <vt:variant>
        <vt:i4>0</vt:i4>
      </vt:variant>
      <vt:variant>
        <vt:i4>5</vt:i4>
      </vt:variant>
      <vt:variant>
        <vt:lpwstr/>
      </vt:variant>
      <vt:variant>
        <vt:lpwstr>_Toc161385879</vt:lpwstr>
      </vt:variant>
      <vt:variant>
        <vt:i4>1048624</vt:i4>
      </vt:variant>
      <vt:variant>
        <vt:i4>200</vt:i4>
      </vt:variant>
      <vt:variant>
        <vt:i4>0</vt:i4>
      </vt:variant>
      <vt:variant>
        <vt:i4>5</vt:i4>
      </vt:variant>
      <vt:variant>
        <vt:lpwstr/>
      </vt:variant>
      <vt:variant>
        <vt:lpwstr>_Toc161385878</vt:lpwstr>
      </vt:variant>
      <vt:variant>
        <vt:i4>1048624</vt:i4>
      </vt:variant>
      <vt:variant>
        <vt:i4>194</vt:i4>
      </vt:variant>
      <vt:variant>
        <vt:i4>0</vt:i4>
      </vt:variant>
      <vt:variant>
        <vt:i4>5</vt:i4>
      </vt:variant>
      <vt:variant>
        <vt:lpwstr/>
      </vt:variant>
      <vt:variant>
        <vt:lpwstr>_Toc161385877</vt:lpwstr>
      </vt:variant>
      <vt:variant>
        <vt:i4>1048624</vt:i4>
      </vt:variant>
      <vt:variant>
        <vt:i4>188</vt:i4>
      </vt:variant>
      <vt:variant>
        <vt:i4>0</vt:i4>
      </vt:variant>
      <vt:variant>
        <vt:i4>5</vt:i4>
      </vt:variant>
      <vt:variant>
        <vt:lpwstr/>
      </vt:variant>
      <vt:variant>
        <vt:lpwstr>_Toc161385876</vt:lpwstr>
      </vt:variant>
      <vt:variant>
        <vt:i4>1048624</vt:i4>
      </vt:variant>
      <vt:variant>
        <vt:i4>182</vt:i4>
      </vt:variant>
      <vt:variant>
        <vt:i4>0</vt:i4>
      </vt:variant>
      <vt:variant>
        <vt:i4>5</vt:i4>
      </vt:variant>
      <vt:variant>
        <vt:lpwstr/>
      </vt:variant>
      <vt:variant>
        <vt:lpwstr>_Toc161385875</vt:lpwstr>
      </vt:variant>
      <vt:variant>
        <vt:i4>1048624</vt:i4>
      </vt:variant>
      <vt:variant>
        <vt:i4>176</vt:i4>
      </vt:variant>
      <vt:variant>
        <vt:i4>0</vt:i4>
      </vt:variant>
      <vt:variant>
        <vt:i4>5</vt:i4>
      </vt:variant>
      <vt:variant>
        <vt:lpwstr/>
      </vt:variant>
      <vt:variant>
        <vt:lpwstr>_Toc161385874</vt:lpwstr>
      </vt:variant>
      <vt:variant>
        <vt:i4>1048624</vt:i4>
      </vt:variant>
      <vt:variant>
        <vt:i4>170</vt:i4>
      </vt:variant>
      <vt:variant>
        <vt:i4>0</vt:i4>
      </vt:variant>
      <vt:variant>
        <vt:i4>5</vt:i4>
      </vt:variant>
      <vt:variant>
        <vt:lpwstr/>
      </vt:variant>
      <vt:variant>
        <vt:lpwstr>_Toc161385873</vt:lpwstr>
      </vt:variant>
      <vt:variant>
        <vt:i4>1048624</vt:i4>
      </vt:variant>
      <vt:variant>
        <vt:i4>164</vt:i4>
      </vt:variant>
      <vt:variant>
        <vt:i4>0</vt:i4>
      </vt:variant>
      <vt:variant>
        <vt:i4>5</vt:i4>
      </vt:variant>
      <vt:variant>
        <vt:lpwstr/>
      </vt:variant>
      <vt:variant>
        <vt:lpwstr>_Toc161385872</vt:lpwstr>
      </vt:variant>
      <vt:variant>
        <vt:i4>1048624</vt:i4>
      </vt:variant>
      <vt:variant>
        <vt:i4>158</vt:i4>
      </vt:variant>
      <vt:variant>
        <vt:i4>0</vt:i4>
      </vt:variant>
      <vt:variant>
        <vt:i4>5</vt:i4>
      </vt:variant>
      <vt:variant>
        <vt:lpwstr/>
      </vt:variant>
      <vt:variant>
        <vt:lpwstr>_Toc161385871</vt:lpwstr>
      </vt:variant>
      <vt:variant>
        <vt:i4>1048624</vt:i4>
      </vt:variant>
      <vt:variant>
        <vt:i4>152</vt:i4>
      </vt:variant>
      <vt:variant>
        <vt:i4>0</vt:i4>
      </vt:variant>
      <vt:variant>
        <vt:i4>5</vt:i4>
      </vt:variant>
      <vt:variant>
        <vt:lpwstr/>
      </vt:variant>
      <vt:variant>
        <vt:lpwstr>_Toc161385870</vt:lpwstr>
      </vt:variant>
      <vt:variant>
        <vt:i4>1114160</vt:i4>
      </vt:variant>
      <vt:variant>
        <vt:i4>146</vt:i4>
      </vt:variant>
      <vt:variant>
        <vt:i4>0</vt:i4>
      </vt:variant>
      <vt:variant>
        <vt:i4>5</vt:i4>
      </vt:variant>
      <vt:variant>
        <vt:lpwstr/>
      </vt:variant>
      <vt:variant>
        <vt:lpwstr>_Toc161385869</vt:lpwstr>
      </vt:variant>
      <vt:variant>
        <vt:i4>1114160</vt:i4>
      </vt:variant>
      <vt:variant>
        <vt:i4>140</vt:i4>
      </vt:variant>
      <vt:variant>
        <vt:i4>0</vt:i4>
      </vt:variant>
      <vt:variant>
        <vt:i4>5</vt:i4>
      </vt:variant>
      <vt:variant>
        <vt:lpwstr/>
      </vt:variant>
      <vt:variant>
        <vt:lpwstr>_Toc161385868</vt:lpwstr>
      </vt:variant>
      <vt:variant>
        <vt:i4>1114160</vt:i4>
      </vt:variant>
      <vt:variant>
        <vt:i4>134</vt:i4>
      </vt:variant>
      <vt:variant>
        <vt:i4>0</vt:i4>
      </vt:variant>
      <vt:variant>
        <vt:i4>5</vt:i4>
      </vt:variant>
      <vt:variant>
        <vt:lpwstr/>
      </vt:variant>
      <vt:variant>
        <vt:lpwstr>_Toc161385867</vt:lpwstr>
      </vt:variant>
      <vt:variant>
        <vt:i4>1114160</vt:i4>
      </vt:variant>
      <vt:variant>
        <vt:i4>128</vt:i4>
      </vt:variant>
      <vt:variant>
        <vt:i4>0</vt:i4>
      </vt:variant>
      <vt:variant>
        <vt:i4>5</vt:i4>
      </vt:variant>
      <vt:variant>
        <vt:lpwstr/>
      </vt:variant>
      <vt:variant>
        <vt:lpwstr>_Toc161385866</vt:lpwstr>
      </vt:variant>
      <vt:variant>
        <vt:i4>1114160</vt:i4>
      </vt:variant>
      <vt:variant>
        <vt:i4>122</vt:i4>
      </vt:variant>
      <vt:variant>
        <vt:i4>0</vt:i4>
      </vt:variant>
      <vt:variant>
        <vt:i4>5</vt:i4>
      </vt:variant>
      <vt:variant>
        <vt:lpwstr/>
      </vt:variant>
      <vt:variant>
        <vt:lpwstr>_Toc161385865</vt:lpwstr>
      </vt:variant>
      <vt:variant>
        <vt:i4>1114160</vt:i4>
      </vt:variant>
      <vt:variant>
        <vt:i4>116</vt:i4>
      </vt:variant>
      <vt:variant>
        <vt:i4>0</vt:i4>
      </vt:variant>
      <vt:variant>
        <vt:i4>5</vt:i4>
      </vt:variant>
      <vt:variant>
        <vt:lpwstr/>
      </vt:variant>
      <vt:variant>
        <vt:lpwstr>_Toc161385864</vt:lpwstr>
      </vt:variant>
      <vt:variant>
        <vt:i4>1114160</vt:i4>
      </vt:variant>
      <vt:variant>
        <vt:i4>110</vt:i4>
      </vt:variant>
      <vt:variant>
        <vt:i4>0</vt:i4>
      </vt:variant>
      <vt:variant>
        <vt:i4>5</vt:i4>
      </vt:variant>
      <vt:variant>
        <vt:lpwstr/>
      </vt:variant>
      <vt:variant>
        <vt:lpwstr>_Toc161385863</vt:lpwstr>
      </vt:variant>
      <vt:variant>
        <vt:i4>1114160</vt:i4>
      </vt:variant>
      <vt:variant>
        <vt:i4>104</vt:i4>
      </vt:variant>
      <vt:variant>
        <vt:i4>0</vt:i4>
      </vt:variant>
      <vt:variant>
        <vt:i4>5</vt:i4>
      </vt:variant>
      <vt:variant>
        <vt:lpwstr/>
      </vt:variant>
      <vt:variant>
        <vt:lpwstr>_Toc161385862</vt:lpwstr>
      </vt:variant>
      <vt:variant>
        <vt:i4>1114160</vt:i4>
      </vt:variant>
      <vt:variant>
        <vt:i4>98</vt:i4>
      </vt:variant>
      <vt:variant>
        <vt:i4>0</vt:i4>
      </vt:variant>
      <vt:variant>
        <vt:i4>5</vt:i4>
      </vt:variant>
      <vt:variant>
        <vt:lpwstr/>
      </vt:variant>
      <vt:variant>
        <vt:lpwstr>_Toc161385861</vt:lpwstr>
      </vt:variant>
      <vt:variant>
        <vt:i4>1114160</vt:i4>
      </vt:variant>
      <vt:variant>
        <vt:i4>92</vt:i4>
      </vt:variant>
      <vt:variant>
        <vt:i4>0</vt:i4>
      </vt:variant>
      <vt:variant>
        <vt:i4>5</vt:i4>
      </vt:variant>
      <vt:variant>
        <vt:lpwstr/>
      </vt:variant>
      <vt:variant>
        <vt:lpwstr>_Toc161385860</vt:lpwstr>
      </vt:variant>
      <vt:variant>
        <vt:i4>1179696</vt:i4>
      </vt:variant>
      <vt:variant>
        <vt:i4>86</vt:i4>
      </vt:variant>
      <vt:variant>
        <vt:i4>0</vt:i4>
      </vt:variant>
      <vt:variant>
        <vt:i4>5</vt:i4>
      </vt:variant>
      <vt:variant>
        <vt:lpwstr/>
      </vt:variant>
      <vt:variant>
        <vt:lpwstr>_Toc161385859</vt:lpwstr>
      </vt:variant>
      <vt:variant>
        <vt:i4>1179696</vt:i4>
      </vt:variant>
      <vt:variant>
        <vt:i4>80</vt:i4>
      </vt:variant>
      <vt:variant>
        <vt:i4>0</vt:i4>
      </vt:variant>
      <vt:variant>
        <vt:i4>5</vt:i4>
      </vt:variant>
      <vt:variant>
        <vt:lpwstr/>
      </vt:variant>
      <vt:variant>
        <vt:lpwstr>_Toc161385858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Berka František, Mgr., pplk.</dc:creator>
  <cp:keywords/>
  <dc:description/>
  <cp:lastModifiedBy>Kroupa Jiří JUDr.</cp:lastModifiedBy>
  <cp:revision>18</cp:revision>
  <cp:lastPrinted>2023-06-10T05:39:00Z</cp:lastPrinted>
  <dcterms:created xsi:type="dcterms:W3CDTF">2024-04-22T07:20:00Z</dcterms:created>
  <dcterms:modified xsi:type="dcterms:W3CDTF">2024-04-23T12:19:00Z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0x01010005F38EC60377F443B12BA532A6F2FCEC</vt:lpwstr>
  </property>
</Properties>
</file>