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B8ACDE" w14:textId="734BFD4B" w:rsidR="00BD568C" w:rsidRDefault="00BD568C" w:rsidP="00BD568C">
      <w:pPr>
        <w:spacing w:after="120"/>
        <w:jc w:val="center"/>
        <w:rPr>
          <w:b/>
          <w:bCs/>
          <w:sz w:val="28"/>
          <w:u w:val="single"/>
        </w:rPr>
      </w:pPr>
      <w:r w:rsidRPr="009D2A91">
        <w:rPr>
          <w:b/>
          <w:bCs/>
          <w:sz w:val="28"/>
          <w:u w:val="single"/>
        </w:rPr>
        <w:t>ROZDÍLOVÁ TABULKA NÁVRHU PŘEDPISU ČR S LEGISLATIVOU EU</w:t>
      </w:r>
    </w:p>
    <w:tbl>
      <w:tblPr>
        <w:tblW w:w="141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5245"/>
        <w:gridCol w:w="1276"/>
        <w:gridCol w:w="1559"/>
        <w:gridCol w:w="4678"/>
      </w:tblGrid>
      <w:tr w:rsidR="00353BDC" w:rsidRPr="0010304F" w14:paraId="33F8F246" w14:textId="77777777" w:rsidTr="00B1678D">
        <w:trPr>
          <w:cantSplit/>
        </w:trPr>
        <w:tc>
          <w:tcPr>
            <w:tcW w:w="6663" w:type="dxa"/>
            <w:gridSpan w:val="2"/>
            <w:shd w:val="clear" w:color="auto" w:fill="BFBFBF" w:themeFill="background1" w:themeFillShade="BF"/>
          </w:tcPr>
          <w:p w14:paraId="53311EB7" w14:textId="77777777" w:rsidR="00353BDC" w:rsidRPr="00B1678D" w:rsidRDefault="00353BDC" w:rsidP="00B1678D">
            <w:pPr>
              <w:widowControl w:val="0"/>
              <w:tabs>
                <w:tab w:val="left" w:pos="360"/>
              </w:tabs>
              <w:spacing w:before="40" w:after="40" w:line="276" w:lineRule="auto"/>
              <w:ind w:left="57" w:right="113"/>
              <w:jc w:val="center"/>
              <w:rPr>
                <w:b/>
                <w:sz w:val="18"/>
                <w:szCs w:val="18"/>
                <w:lang w:eastAsia="ar-SA"/>
              </w:rPr>
            </w:pPr>
            <w:r w:rsidRPr="00B1678D">
              <w:rPr>
                <w:b/>
                <w:sz w:val="18"/>
                <w:szCs w:val="18"/>
                <w:lang w:eastAsia="ar-SA"/>
              </w:rPr>
              <w:t xml:space="preserve">Navrhovaný právní předpis </w:t>
            </w:r>
          </w:p>
          <w:p w14:paraId="6DDFE8E7" w14:textId="77777777" w:rsidR="00353BDC" w:rsidRPr="00B1678D" w:rsidRDefault="00353BDC" w:rsidP="00B1678D">
            <w:pPr>
              <w:pageBreakBefore/>
              <w:widowControl w:val="0"/>
              <w:tabs>
                <w:tab w:val="left" w:pos="360"/>
              </w:tabs>
              <w:spacing w:before="40" w:after="40" w:line="276" w:lineRule="auto"/>
              <w:ind w:left="57" w:right="113"/>
              <w:rPr>
                <w:b/>
                <w:sz w:val="18"/>
                <w:szCs w:val="18"/>
                <w:lang w:eastAsia="ar-SA"/>
              </w:rPr>
            </w:pPr>
            <w:r w:rsidRPr="00B1678D">
              <w:rPr>
                <w:b/>
                <w:sz w:val="18"/>
                <w:szCs w:val="18"/>
                <w:lang w:eastAsia="ar-SA"/>
              </w:rPr>
              <w:t>Ustanovení novely zákona č. 563/1991 Sb., o účetnictví, ve znění pozdějších předpisů</w:t>
            </w:r>
          </w:p>
        </w:tc>
        <w:tc>
          <w:tcPr>
            <w:tcW w:w="7513" w:type="dxa"/>
            <w:gridSpan w:val="3"/>
            <w:shd w:val="clear" w:color="auto" w:fill="BFBFBF" w:themeFill="background1" w:themeFillShade="BF"/>
          </w:tcPr>
          <w:p w14:paraId="41F6CBE5" w14:textId="77777777" w:rsidR="00353BDC" w:rsidRPr="00B1678D" w:rsidRDefault="00353BDC" w:rsidP="00B1678D">
            <w:pPr>
              <w:pageBreakBefore/>
              <w:widowControl w:val="0"/>
              <w:tabs>
                <w:tab w:val="left" w:pos="360"/>
              </w:tabs>
              <w:spacing w:before="40" w:after="40" w:line="276" w:lineRule="auto"/>
              <w:ind w:left="57" w:right="113"/>
              <w:jc w:val="center"/>
              <w:rPr>
                <w:b/>
                <w:sz w:val="18"/>
                <w:szCs w:val="18"/>
                <w:lang w:eastAsia="ar-SA"/>
              </w:rPr>
            </w:pPr>
            <w:r w:rsidRPr="00B1678D">
              <w:rPr>
                <w:b/>
                <w:sz w:val="18"/>
                <w:szCs w:val="18"/>
                <w:lang w:eastAsia="ar-SA"/>
              </w:rPr>
              <w:t xml:space="preserve">Odpovídající předpis EU </w:t>
            </w:r>
          </w:p>
        </w:tc>
      </w:tr>
      <w:tr w:rsidR="00353BDC" w:rsidRPr="00FA795B" w14:paraId="59A75296" w14:textId="77777777" w:rsidTr="00B1678D">
        <w:trPr>
          <w:cantSplit/>
        </w:trPr>
        <w:tc>
          <w:tcPr>
            <w:tcW w:w="1418" w:type="dxa"/>
            <w:shd w:val="clear" w:color="auto" w:fill="BFBFBF" w:themeFill="background1" w:themeFillShade="BF"/>
          </w:tcPr>
          <w:p w14:paraId="7073385A" w14:textId="77777777" w:rsidR="00353BDC" w:rsidRPr="00B1678D" w:rsidRDefault="00353BDC" w:rsidP="00401306">
            <w:pPr>
              <w:tabs>
                <w:tab w:val="left" w:pos="360"/>
              </w:tabs>
              <w:jc w:val="center"/>
              <w:rPr>
                <w:rFonts w:cs="Arial"/>
                <w:sz w:val="18"/>
                <w:szCs w:val="18"/>
              </w:rPr>
            </w:pPr>
            <w:r w:rsidRPr="00B1678D">
              <w:rPr>
                <w:rFonts w:cs="Arial"/>
                <w:sz w:val="18"/>
                <w:szCs w:val="18"/>
              </w:rPr>
              <w:t>Ustanovení (část, §, odst., písm., apod.)</w:t>
            </w:r>
          </w:p>
        </w:tc>
        <w:tc>
          <w:tcPr>
            <w:tcW w:w="5245" w:type="dxa"/>
            <w:shd w:val="clear" w:color="auto" w:fill="BFBFBF" w:themeFill="background1" w:themeFillShade="BF"/>
          </w:tcPr>
          <w:p w14:paraId="0F45B522" w14:textId="77777777" w:rsidR="00353BDC" w:rsidRPr="00B1678D" w:rsidRDefault="00353BDC" w:rsidP="00401306">
            <w:pPr>
              <w:tabs>
                <w:tab w:val="left" w:pos="360"/>
              </w:tabs>
              <w:jc w:val="center"/>
              <w:rPr>
                <w:rFonts w:cs="Arial"/>
                <w:sz w:val="18"/>
                <w:szCs w:val="18"/>
              </w:rPr>
            </w:pPr>
            <w:r w:rsidRPr="00B1678D">
              <w:rPr>
                <w:rFonts w:cs="Arial"/>
                <w:sz w:val="18"/>
                <w:szCs w:val="18"/>
              </w:rPr>
              <w:t>Obsah</w:t>
            </w:r>
          </w:p>
        </w:tc>
        <w:tc>
          <w:tcPr>
            <w:tcW w:w="1276" w:type="dxa"/>
            <w:shd w:val="clear" w:color="auto" w:fill="BFBFBF" w:themeFill="background1" w:themeFillShade="BF"/>
          </w:tcPr>
          <w:p w14:paraId="00428424" w14:textId="77777777" w:rsidR="00353BDC" w:rsidRPr="00B1678D" w:rsidRDefault="00353BDC" w:rsidP="00401306">
            <w:pPr>
              <w:tabs>
                <w:tab w:val="left" w:pos="360"/>
              </w:tabs>
              <w:jc w:val="center"/>
              <w:rPr>
                <w:rFonts w:cs="Arial"/>
                <w:sz w:val="18"/>
                <w:szCs w:val="18"/>
              </w:rPr>
            </w:pPr>
            <w:proofErr w:type="spellStart"/>
            <w:r w:rsidRPr="00B1678D">
              <w:rPr>
                <w:rFonts w:cs="Arial"/>
                <w:sz w:val="18"/>
                <w:szCs w:val="18"/>
              </w:rPr>
              <w:t>Celex</w:t>
            </w:r>
            <w:proofErr w:type="spellEnd"/>
            <w:r w:rsidRPr="00B1678D">
              <w:rPr>
                <w:rFonts w:cs="Arial"/>
                <w:sz w:val="18"/>
                <w:szCs w:val="18"/>
              </w:rPr>
              <w:t xml:space="preserve"> č.</w:t>
            </w:r>
          </w:p>
        </w:tc>
        <w:tc>
          <w:tcPr>
            <w:tcW w:w="1559" w:type="dxa"/>
            <w:shd w:val="clear" w:color="auto" w:fill="BFBFBF" w:themeFill="background1" w:themeFillShade="BF"/>
          </w:tcPr>
          <w:p w14:paraId="12D401B1" w14:textId="77777777" w:rsidR="00353BDC" w:rsidRPr="00B1678D" w:rsidRDefault="00353BDC" w:rsidP="00401306">
            <w:pPr>
              <w:tabs>
                <w:tab w:val="left" w:pos="360"/>
              </w:tabs>
              <w:jc w:val="center"/>
              <w:rPr>
                <w:rFonts w:cs="Arial"/>
                <w:sz w:val="18"/>
                <w:szCs w:val="18"/>
              </w:rPr>
            </w:pPr>
            <w:r w:rsidRPr="00B1678D">
              <w:rPr>
                <w:rFonts w:cs="Arial"/>
                <w:sz w:val="18"/>
                <w:szCs w:val="18"/>
              </w:rPr>
              <w:t>Ustanovení (čl., odst., písm., bod, apod.)</w:t>
            </w:r>
          </w:p>
        </w:tc>
        <w:tc>
          <w:tcPr>
            <w:tcW w:w="4678" w:type="dxa"/>
            <w:shd w:val="clear" w:color="auto" w:fill="BFBFBF" w:themeFill="background1" w:themeFillShade="BF"/>
          </w:tcPr>
          <w:p w14:paraId="6A51A802" w14:textId="77777777" w:rsidR="00353BDC" w:rsidRPr="00B1678D" w:rsidRDefault="00353BDC" w:rsidP="00401306">
            <w:pPr>
              <w:tabs>
                <w:tab w:val="left" w:pos="360"/>
              </w:tabs>
              <w:jc w:val="center"/>
              <w:rPr>
                <w:rFonts w:cs="Arial"/>
                <w:sz w:val="18"/>
                <w:szCs w:val="18"/>
              </w:rPr>
            </w:pPr>
            <w:r w:rsidRPr="00B1678D">
              <w:rPr>
                <w:rFonts w:cs="Arial"/>
                <w:sz w:val="18"/>
                <w:szCs w:val="18"/>
              </w:rPr>
              <w:t>Obsah</w:t>
            </w:r>
          </w:p>
        </w:tc>
      </w:tr>
      <w:tr w:rsidR="00353BDC" w:rsidRPr="00FA795B" w14:paraId="3413CBD2" w14:textId="77777777" w:rsidTr="00401306">
        <w:trPr>
          <w:cantSplit/>
        </w:trPr>
        <w:tc>
          <w:tcPr>
            <w:tcW w:w="1418" w:type="dxa"/>
          </w:tcPr>
          <w:p w14:paraId="03182C32" w14:textId="77777777" w:rsidR="00353BDC" w:rsidRPr="00827382" w:rsidRDefault="00353BDC" w:rsidP="00401306">
            <w:pPr>
              <w:tabs>
                <w:tab w:val="left" w:pos="360"/>
              </w:tabs>
              <w:rPr>
                <w:rFonts w:cs="Arial"/>
                <w:sz w:val="20"/>
              </w:rPr>
            </w:pPr>
            <w:r>
              <w:rPr>
                <w:rFonts w:cs="Arial"/>
                <w:sz w:val="20"/>
              </w:rPr>
              <w:t>§ 1 odst. 1</w:t>
            </w:r>
            <w:r w:rsidRPr="00827382">
              <w:rPr>
                <w:rFonts w:cs="Arial"/>
                <w:sz w:val="20"/>
              </w:rPr>
              <w:t xml:space="preserve"> pozn. pod čarou č. 1</w:t>
            </w:r>
          </w:p>
        </w:tc>
        <w:tc>
          <w:tcPr>
            <w:tcW w:w="5245" w:type="dxa"/>
          </w:tcPr>
          <w:p w14:paraId="51643CA0" w14:textId="77777777" w:rsidR="00353BDC" w:rsidRPr="00DA6DFF" w:rsidRDefault="00353BDC" w:rsidP="00401306">
            <w:pPr>
              <w:tabs>
                <w:tab w:val="left" w:pos="360"/>
              </w:tabs>
              <w:rPr>
                <w:rFonts w:cs="Arial"/>
                <w:b/>
                <w:sz w:val="20"/>
                <w:u w:val="single"/>
              </w:rPr>
            </w:pPr>
            <w:r w:rsidRPr="00DA6DFF">
              <w:rPr>
                <w:rFonts w:cs="Arial"/>
                <w:b/>
                <w:sz w:val="20"/>
                <w:u w:val="single"/>
              </w:rPr>
              <w:t xml:space="preserve">Směrnice Komise v přenesené pravomoci (EU) 2023/2775 ze dne 17. října 2023, kterou se mění směrnice Evropského parlamentu a Rady 2013/34/EU, pokud jde o úpravy kritérií velikosti pro </w:t>
            </w:r>
            <w:proofErr w:type="spellStart"/>
            <w:r w:rsidRPr="00DA6DFF">
              <w:rPr>
                <w:rFonts w:cs="Arial"/>
                <w:b/>
                <w:sz w:val="20"/>
                <w:u w:val="single"/>
              </w:rPr>
              <w:t>mikropodniky</w:t>
            </w:r>
            <w:proofErr w:type="spellEnd"/>
            <w:r w:rsidRPr="00DA6DFF">
              <w:rPr>
                <w:rFonts w:cs="Arial"/>
                <w:b/>
                <w:sz w:val="20"/>
                <w:u w:val="single"/>
              </w:rPr>
              <w:t xml:space="preserve"> a malé, střední a velké podniky nebo skupiny.</w:t>
            </w:r>
          </w:p>
        </w:tc>
        <w:tc>
          <w:tcPr>
            <w:tcW w:w="1276" w:type="dxa"/>
          </w:tcPr>
          <w:p w14:paraId="0D76A464" w14:textId="77777777" w:rsidR="00353BDC" w:rsidRPr="00827382" w:rsidRDefault="00353BDC" w:rsidP="00401306">
            <w:pPr>
              <w:tabs>
                <w:tab w:val="left" w:pos="360"/>
              </w:tabs>
              <w:rPr>
                <w:rFonts w:cs="Arial"/>
                <w:sz w:val="20"/>
              </w:rPr>
            </w:pPr>
            <w:r w:rsidRPr="00827382">
              <w:rPr>
                <w:rFonts w:cs="Arial"/>
                <w:sz w:val="20"/>
              </w:rPr>
              <w:t>32023L2775</w:t>
            </w:r>
          </w:p>
        </w:tc>
        <w:tc>
          <w:tcPr>
            <w:tcW w:w="1559" w:type="dxa"/>
            <w:shd w:val="clear" w:color="auto" w:fill="auto"/>
          </w:tcPr>
          <w:p w14:paraId="1B8D47C7" w14:textId="77777777" w:rsidR="00353BDC" w:rsidRPr="00827382" w:rsidRDefault="00353BDC" w:rsidP="00401306">
            <w:pPr>
              <w:tabs>
                <w:tab w:val="left" w:pos="360"/>
              </w:tabs>
              <w:rPr>
                <w:rFonts w:cs="Arial"/>
                <w:sz w:val="20"/>
              </w:rPr>
            </w:pPr>
            <w:r>
              <w:rPr>
                <w:rFonts w:cs="Arial"/>
                <w:sz w:val="20"/>
              </w:rPr>
              <w:t>Čl. 2 odst. 1 čtvrtý pododstavec</w:t>
            </w:r>
          </w:p>
        </w:tc>
        <w:tc>
          <w:tcPr>
            <w:tcW w:w="4678" w:type="dxa"/>
            <w:shd w:val="clear" w:color="auto" w:fill="auto"/>
          </w:tcPr>
          <w:p w14:paraId="160760A8" w14:textId="77777777" w:rsidR="00353BDC" w:rsidRPr="00827382" w:rsidRDefault="00353BDC" w:rsidP="00401306">
            <w:pPr>
              <w:tabs>
                <w:tab w:val="left" w:pos="360"/>
              </w:tabs>
              <w:rPr>
                <w:rFonts w:cs="Arial"/>
                <w:sz w:val="20"/>
              </w:rPr>
            </w:pPr>
            <w:r>
              <w:rPr>
                <w:rFonts w:cs="Arial"/>
                <w:sz w:val="20"/>
              </w:rPr>
              <w:t>Tyto předpisy přijaté členskými státy musí obsahovat odkaz na tuto směrnici nebo musí být takový odkaz učiněn při jejich úředním vyhlášení. Způsob odkazu si stanoví členské státy.</w:t>
            </w:r>
          </w:p>
        </w:tc>
      </w:tr>
      <w:tr w:rsidR="00353BDC" w:rsidRPr="00FA795B" w14:paraId="3A5FA973" w14:textId="77777777" w:rsidTr="00401306">
        <w:trPr>
          <w:cantSplit/>
        </w:trPr>
        <w:tc>
          <w:tcPr>
            <w:tcW w:w="1418" w:type="dxa"/>
            <w:tcBorders>
              <w:bottom w:val="nil"/>
            </w:tcBorders>
          </w:tcPr>
          <w:p w14:paraId="767F195E" w14:textId="77777777" w:rsidR="00353BDC" w:rsidRPr="00827382" w:rsidRDefault="00353BDC" w:rsidP="00401306">
            <w:pPr>
              <w:tabs>
                <w:tab w:val="left" w:pos="360"/>
              </w:tabs>
              <w:rPr>
                <w:rFonts w:cs="Arial"/>
                <w:sz w:val="20"/>
              </w:rPr>
            </w:pPr>
            <w:r>
              <w:rPr>
                <w:rFonts w:cs="Arial"/>
                <w:sz w:val="20"/>
              </w:rPr>
              <w:t>§ 1b odst. 1</w:t>
            </w:r>
          </w:p>
        </w:tc>
        <w:tc>
          <w:tcPr>
            <w:tcW w:w="5245" w:type="dxa"/>
            <w:tcBorders>
              <w:bottom w:val="nil"/>
            </w:tcBorders>
          </w:tcPr>
          <w:p w14:paraId="04FD2270" w14:textId="77777777" w:rsidR="00353BDC" w:rsidRPr="00DA6DFF" w:rsidRDefault="00353BDC" w:rsidP="00401306">
            <w:pPr>
              <w:tabs>
                <w:tab w:val="left" w:pos="360"/>
              </w:tabs>
              <w:rPr>
                <w:rFonts w:cs="Arial"/>
                <w:sz w:val="20"/>
              </w:rPr>
            </w:pPr>
            <w:r w:rsidRPr="00DA6DFF">
              <w:rPr>
                <w:rFonts w:cs="Arial"/>
                <w:sz w:val="20"/>
              </w:rPr>
              <w:t>Mikro účetní jednotkou je ta, která k rozvahovému dni nepřekračuje alespoň 2 z uvedených hraničních hodnot</w:t>
            </w:r>
          </w:p>
          <w:p w14:paraId="7E1EDCC1" w14:textId="77777777" w:rsidR="00353BDC" w:rsidRPr="00874B53" w:rsidRDefault="00353BDC" w:rsidP="00401306">
            <w:pPr>
              <w:tabs>
                <w:tab w:val="left" w:pos="360"/>
              </w:tabs>
              <w:rPr>
                <w:rFonts w:cs="Arial"/>
                <w:b/>
                <w:sz w:val="20"/>
                <w:u w:val="single"/>
              </w:rPr>
            </w:pPr>
            <w:r w:rsidRPr="00DA6DFF">
              <w:rPr>
                <w:rFonts w:cs="Arial"/>
                <w:sz w:val="20"/>
              </w:rPr>
              <w:t>a) aktiva celkem</w:t>
            </w:r>
            <w:r w:rsidRPr="00874B53">
              <w:rPr>
                <w:rFonts w:cs="Arial"/>
                <w:b/>
                <w:sz w:val="20"/>
                <w:u w:val="single"/>
              </w:rPr>
              <w:t xml:space="preserve"> 11 000 000 Kč,</w:t>
            </w:r>
          </w:p>
          <w:p w14:paraId="0107CF8E" w14:textId="77777777" w:rsidR="00353BDC" w:rsidRPr="00874B53" w:rsidRDefault="00353BDC" w:rsidP="00401306">
            <w:pPr>
              <w:tabs>
                <w:tab w:val="left" w:pos="360"/>
              </w:tabs>
              <w:rPr>
                <w:rFonts w:cs="Arial"/>
                <w:b/>
                <w:sz w:val="20"/>
                <w:u w:val="single"/>
              </w:rPr>
            </w:pPr>
            <w:r w:rsidRPr="00DA6DFF">
              <w:rPr>
                <w:rFonts w:cs="Arial"/>
                <w:sz w:val="20"/>
              </w:rPr>
              <w:t>b) roční úhrn čistého obratu</w:t>
            </w:r>
            <w:r w:rsidRPr="00874B53">
              <w:rPr>
                <w:rFonts w:cs="Arial"/>
                <w:b/>
                <w:sz w:val="20"/>
                <w:u w:val="single"/>
              </w:rPr>
              <w:t xml:space="preserve"> 22 000 000 Kč, </w:t>
            </w:r>
          </w:p>
          <w:p w14:paraId="23B21C61" w14:textId="77777777" w:rsidR="00353BDC" w:rsidRPr="00DA6DFF" w:rsidRDefault="00353BDC" w:rsidP="00401306">
            <w:pPr>
              <w:tabs>
                <w:tab w:val="left" w:pos="360"/>
              </w:tabs>
              <w:rPr>
                <w:rFonts w:cs="Arial"/>
                <w:sz w:val="20"/>
              </w:rPr>
            </w:pPr>
            <w:r w:rsidRPr="00DA6DFF">
              <w:rPr>
                <w:rFonts w:cs="Arial"/>
                <w:sz w:val="20"/>
              </w:rPr>
              <w:t>c) průměrný počet zaměstnanců v průběhu účetního období 10.</w:t>
            </w:r>
          </w:p>
        </w:tc>
        <w:tc>
          <w:tcPr>
            <w:tcW w:w="1276" w:type="dxa"/>
            <w:tcBorders>
              <w:bottom w:val="nil"/>
            </w:tcBorders>
          </w:tcPr>
          <w:p w14:paraId="02F78C03" w14:textId="77777777" w:rsidR="00353BDC" w:rsidRPr="00827382" w:rsidRDefault="00353BDC" w:rsidP="00401306">
            <w:pPr>
              <w:tabs>
                <w:tab w:val="left" w:pos="360"/>
              </w:tabs>
              <w:rPr>
                <w:rFonts w:cs="Arial"/>
                <w:sz w:val="20"/>
              </w:rPr>
            </w:pPr>
            <w:r>
              <w:rPr>
                <w:rFonts w:cs="Arial"/>
                <w:sz w:val="20"/>
              </w:rPr>
              <w:t>32013L0034 ve znění 32023L2775</w:t>
            </w:r>
          </w:p>
        </w:tc>
        <w:tc>
          <w:tcPr>
            <w:tcW w:w="1559" w:type="dxa"/>
            <w:tcBorders>
              <w:bottom w:val="nil"/>
            </w:tcBorders>
            <w:shd w:val="clear" w:color="auto" w:fill="auto"/>
          </w:tcPr>
          <w:p w14:paraId="6DC2F4BD" w14:textId="77777777" w:rsidR="00353BDC" w:rsidRPr="00827382" w:rsidRDefault="00353BDC" w:rsidP="00401306">
            <w:pPr>
              <w:tabs>
                <w:tab w:val="left" w:pos="360"/>
              </w:tabs>
              <w:rPr>
                <w:rFonts w:cs="Arial"/>
                <w:sz w:val="20"/>
              </w:rPr>
            </w:pPr>
            <w:r>
              <w:rPr>
                <w:rFonts w:cs="Arial"/>
                <w:sz w:val="20"/>
              </w:rPr>
              <w:t>Čl. 3 odst. 1</w:t>
            </w:r>
          </w:p>
        </w:tc>
        <w:tc>
          <w:tcPr>
            <w:tcW w:w="4678" w:type="dxa"/>
            <w:tcBorders>
              <w:bottom w:val="nil"/>
            </w:tcBorders>
            <w:shd w:val="clear" w:color="auto" w:fill="auto"/>
          </w:tcPr>
          <w:p w14:paraId="6B33EE35" w14:textId="77777777" w:rsidR="00353BDC" w:rsidRPr="00874B53" w:rsidRDefault="00353BDC" w:rsidP="00401306">
            <w:pPr>
              <w:tabs>
                <w:tab w:val="left" w:pos="360"/>
              </w:tabs>
              <w:rPr>
                <w:rFonts w:cs="Arial"/>
                <w:sz w:val="20"/>
              </w:rPr>
            </w:pPr>
            <w:r w:rsidRPr="00874B53">
              <w:rPr>
                <w:rFonts w:cs="Arial"/>
                <w:sz w:val="20"/>
              </w:rPr>
              <w:t xml:space="preserve">Uplatňují-li členské státy jednu nebo více možností podle článku 36, vymezí </w:t>
            </w:r>
            <w:proofErr w:type="spellStart"/>
            <w:r w:rsidRPr="00874B53">
              <w:rPr>
                <w:rFonts w:cs="Arial"/>
                <w:sz w:val="20"/>
              </w:rPr>
              <w:t>mikropodniky</w:t>
            </w:r>
            <w:proofErr w:type="spellEnd"/>
            <w:r w:rsidRPr="00874B53">
              <w:rPr>
                <w:rFonts w:cs="Arial"/>
                <w:sz w:val="20"/>
              </w:rPr>
              <w:t xml:space="preserve"> jako podniky, které k rozvahovému dni nepřekračují alespoň dvě z těchto tří hraničních hodnot:</w:t>
            </w:r>
          </w:p>
          <w:p w14:paraId="42466402" w14:textId="77777777" w:rsidR="00353BDC" w:rsidRPr="00874B53" w:rsidRDefault="00353BDC" w:rsidP="00401306">
            <w:pPr>
              <w:tabs>
                <w:tab w:val="left" w:pos="360"/>
              </w:tabs>
              <w:rPr>
                <w:rFonts w:cs="Arial"/>
                <w:sz w:val="20"/>
              </w:rPr>
            </w:pPr>
            <w:r w:rsidRPr="00874B53">
              <w:rPr>
                <w:rFonts w:cs="Arial"/>
                <w:sz w:val="20"/>
              </w:rPr>
              <w:t>a) bilanční suma: 45</w:t>
            </w:r>
            <w:r>
              <w:rPr>
                <w:rFonts w:cs="Arial"/>
                <w:sz w:val="20"/>
              </w:rPr>
              <w:t>0</w:t>
            </w:r>
            <w:r w:rsidRPr="00874B53">
              <w:rPr>
                <w:rFonts w:cs="Arial"/>
                <w:sz w:val="20"/>
              </w:rPr>
              <w:t> 000 EUR,</w:t>
            </w:r>
          </w:p>
          <w:p w14:paraId="21778B34" w14:textId="77777777" w:rsidR="00353BDC" w:rsidRPr="00874B53" w:rsidRDefault="00353BDC" w:rsidP="00401306">
            <w:pPr>
              <w:tabs>
                <w:tab w:val="left" w:pos="360"/>
              </w:tabs>
              <w:rPr>
                <w:rFonts w:cs="Arial"/>
                <w:sz w:val="20"/>
              </w:rPr>
            </w:pPr>
            <w:r w:rsidRPr="00874B53">
              <w:rPr>
                <w:rFonts w:cs="Arial"/>
                <w:sz w:val="20"/>
              </w:rPr>
              <w:t>b) čistý obrat: 900 000 EUR</w:t>
            </w:r>
          </w:p>
          <w:p w14:paraId="022401A4" w14:textId="77777777" w:rsidR="00353BDC" w:rsidRPr="00874B53" w:rsidRDefault="00353BDC" w:rsidP="00401306">
            <w:pPr>
              <w:tabs>
                <w:tab w:val="left" w:pos="360"/>
              </w:tabs>
              <w:rPr>
                <w:rFonts w:cs="Arial"/>
                <w:sz w:val="20"/>
              </w:rPr>
            </w:pPr>
            <w:r w:rsidRPr="00874B53">
              <w:rPr>
                <w:rFonts w:cs="Arial"/>
                <w:sz w:val="20"/>
              </w:rPr>
              <w:t>c) průměrný počet zaměst</w:t>
            </w:r>
            <w:r>
              <w:rPr>
                <w:rFonts w:cs="Arial"/>
                <w:sz w:val="20"/>
              </w:rPr>
              <w:t>nanců během účetního období: 10</w:t>
            </w:r>
          </w:p>
        </w:tc>
      </w:tr>
      <w:tr w:rsidR="00353BDC" w:rsidRPr="00FA795B" w14:paraId="536A79D7" w14:textId="77777777" w:rsidTr="00401306">
        <w:trPr>
          <w:cantSplit/>
        </w:trPr>
        <w:tc>
          <w:tcPr>
            <w:tcW w:w="1418" w:type="dxa"/>
            <w:tcBorders>
              <w:top w:val="nil"/>
            </w:tcBorders>
          </w:tcPr>
          <w:p w14:paraId="02F47574" w14:textId="77777777" w:rsidR="00353BDC" w:rsidRDefault="00353BDC" w:rsidP="00401306">
            <w:pPr>
              <w:tabs>
                <w:tab w:val="left" w:pos="360"/>
              </w:tabs>
              <w:rPr>
                <w:rFonts w:cs="Arial"/>
                <w:sz w:val="20"/>
              </w:rPr>
            </w:pPr>
          </w:p>
        </w:tc>
        <w:tc>
          <w:tcPr>
            <w:tcW w:w="5245" w:type="dxa"/>
            <w:tcBorders>
              <w:top w:val="nil"/>
            </w:tcBorders>
          </w:tcPr>
          <w:p w14:paraId="774A90FE" w14:textId="77777777" w:rsidR="00353BDC" w:rsidRPr="00874B53" w:rsidRDefault="00353BDC" w:rsidP="00401306">
            <w:pPr>
              <w:tabs>
                <w:tab w:val="left" w:pos="360"/>
              </w:tabs>
              <w:rPr>
                <w:rFonts w:cs="Arial"/>
                <w:b/>
                <w:sz w:val="20"/>
                <w:u w:val="single"/>
              </w:rPr>
            </w:pPr>
          </w:p>
        </w:tc>
        <w:tc>
          <w:tcPr>
            <w:tcW w:w="1276" w:type="dxa"/>
            <w:tcBorders>
              <w:top w:val="nil"/>
            </w:tcBorders>
          </w:tcPr>
          <w:p w14:paraId="02A966C7" w14:textId="77777777" w:rsidR="00353BDC" w:rsidRDefault="00353BDC" w:rsidP="00401306">
            <w:pPr>
              <w:tabs>
                <w:tab w:val="left" w:pos="360"/>
              </w:tabs>
              <w:rPr>
                <w:rFonts w:cs="Arial"/>
                <w:sz w:val="20"/>
              </w:rPr>
            </w:pPr>
            <w:r>
              <w:rPr>
                <w:rFonts w:cs="Arial"/>
                <w:sz w:val="20"/>
              </w:rPr>
              <w:t>32013L0034</w:t>
            </w:r>
          </w:p>
        </w:tc>
        <w:tc>
          <w:tcPr>
            <w:tcW w:w="1559" w:type="dxa"/>
            <w:tcBorders>
              <w:top w:val="nil"/>
            </w:tcBorders>
            <w:shd w:val="clear" w:color="auto" w:fill="auto"/>
          </w:tcPr>
          <w:p w14:paraId="37D88622" w14:textId="77777777" w:rsidR="00353BDC" w:rsidRDefault="00353BDC" w:rsidP="00401306">
            <w:pPr>
              <w:tabs>
                <w:tab w:val="left" w:pos="360"/>
              </w:tabs>
              <w:rPr>
                <w:rFonts w:cs="Arial"/>
                <w:sz w:val="20"/>
              </w:rPr>
            </w:pPr>
            <w:r>
              <w:rPr>
                <w:rFonts w:cs="Arial"/>
                <w:sz w:val="20"/>
              </w:rPr>
              <w:t>Čl. 3 odst. 9</w:t>
            </w:r>
          </w:p>
        </w:tc>
        <w:tc>
          <w:tcPr>
            <w:tcW w:w="4678" w:type="dxa"/>
            <w:tcBorders>
              <w:top w:val="nil"/>
            </w:tcBorders>
            <w:shd w:val="clear" w:color="auto" w:fill="auto"/>
          </w:tcPr>
          <w:p w14:paraId="089E95C8" w14:textId="77777777" w:rsidR="00353BDC" w:rsidRDefault="00353BDC" w:rsidP="00401306">
            <w:pPr>
              <w:tabs>
                <w:tab w:val="left" w:pos="360"/>
              </w:tabs>
              <w:rPr>
                <w:rFonts w:cs="Arial"/>
                <w:sz w:val="20"/>
              </w:rPr>
            </w:pPr>
            <w:r w:rsidRPr="00954262">
              <w:rPr>
                <w:rFonts w:cs="Arial"/>
                <w:sz w:val="20"/>
              </w:rPr>
              <w:t>Pokud jde o členské státy, které nepřijaly euro, částka v národní měně odpovídající částkám uvedeným v odstavcích 1 až 7 se vypočte pomocí směnného kurzu zveřejněného v Úředním věstníku Evropské unie ke dni vstupu v platnost jakékoli směrnice, kterou se tyto částky stanoví.</w:t>
            </w:r>
          </w:p>
          <w:p w14:paraId="46E4D274" w14:textId="77777777" w:rsidR="00353BDC" w:rsidRPr="00874B53" w:rsidRDefault="00353BDC" w:rsidP="00401306">
            <w:pPr>
              <w:tabs>
                <w:tab w:val="left" w:pos="360"/>
              </w:tabs>
              <w:rPr>
                <w:rFonts w:cs="Arial"/>
                <w:sz w:val="20"/>
              </w:rPr>
            </w:pPr>
            <w:r w:rsidRPr="00954262">
              <w:rPr>
                <w:rFonts w:cs="Arial"/>
                <w:sz w:val="20"/>
              </w:rPr>
              <w:t>Pro účely převodu na národní měny členských států, které nepřijaly euro, mohou být částky v eurech uvedené v odstavcích 1, 3, 4, 6 a 7 v zájmu dosažení zaokrouhlených částek v národních měnách zvýšeny nebo sníženy nejvýše o 5 %.</w:t>
            </w:r>
          </w:p>
        </w:tc>
      </w:tr>
      <w:tr w:rsidR="00353BDC" w:rsidRPr="00FA795B" w14:paraId="3B27AE06" w14:textId="77777777" w:rsidTr="00401306">
        <w:trPr>
          <w:cantSplit/>
        </w:trPr>
        <w:tc>
          <w:tcPr>
            <w:tcW w:w="1418" w:type="dxa"/>
            <w:tcBorders>
              <w:bottom w:val="nil"/>
            </w:tcBorders>
          </w:tcPr>
          <w:p w14:paraId="36D114CF" w14:textId="77777777" w:rsidR="00353BDC" w:rsidRPr="00827382" w:rsidRDefault="00353BDC" w:rsidP="00401306">
            <w:pPr>
              <w:tabs>
                <w:tab w:val="left" w:pos="360"/>
              </w:tabs>
              <w:rPr>
                <w:rFonts w:cs="Arial"/>
                <w:sz w:val="20"/>
              </w:rPr>
            </w:pPr>
            <w:r>
              <w:rPr>
                <w:rFonts w:cs="Arial"/>
                <w:sz w:val="20"/>
              </w:rPr>
              <w:t>§ 1b odst. 2</w:t>
            </w:r>
          </w:p>
        </w:tc>
        <w:tc>
          <w:tcPr>
            <w:tcW w:w="5245" w:type="dxa"/>
            <w:tcBorders>
              <w:bottom w:val="nil"/>
            </w:tcBorders>
          </w:tcPr>
          <w:p w14:paraId="0E180BAA" w14:textId="77777777" w:rsidR="00353BDC" w:rsidRDefault="00353BDC" w:rsidP="00401306">
            <w:pPr>
              <w:tabs>
                <w:tab w:val="left" w:pos="360"/>
              </w:tabs>
              <w:rPr>
                <w:rFonts w:cs="Arial"/>
                <w:sz w:val="20"/>
              </w:rPr>
            </w:pPr>
            <w:r>
              <w:rPr>
                <w:rFonts w:cs="Arial"/>
                <w:sz w:val="20"/>
              </w:rPr>
              <w:t>Malou účetní jednotkou je ta, která není mikro účetní jednotkou a k rozvahovému dni nepřekračuje alespoň 2 z uvedených hraničních hodnot</w:t>
            </w:r>
          </w:p>
          <w:p w14:paraId="4B8430A7" w14:textId="77777777" w:rsidR="00353BDC" w:rsidRDefault="00353BDC" w:rsidP="00401306">
            <w:pPr>
              <w:tabs>
                <w:tab w:val="left" w:pos="360"/>
              </w:tabs>
              <w:rPr>
                <w:rFonts w:cs="Arial"/>
                <w:sz w:val="20"/>
              </w:rPr>
            </w:pPr>
            <w:r>
              <w:rPr>
                <w:rFonts w:cs="Arial"/>
                <w:sz w:val="20"/>
              </w:rPr>
              <w:t xml:space="preserve">a) aktiva celkem </w:t>
            </w:r>
            <w:r>
              <w:rPr>
                <w:rFonts w:cs="Arial"/>
                <w:b/>
                <w:sz w:val="20"/>
                <w:u w:val="single"/>
              </w:rPr>
              <w:t>120 000 000 Kč</w:t>
            </w:r>
            <w:r>
              <w:rPr>
                <w:rFonts w:cs="Arial"/>
                <w:sz w:val="20"/>
              </w:rPr>
              <w:t>,</w:t>
            </w:r>
          </w:p>
          <w:p w14:paraId="294B63D7" w14:textId="77777777" w:rsidR="00353BDC" w:rsidRDefault="00353BDC" w:rsidP="00401306">
            <w:pPr>
              <w:tabs>
                <w:tab w:val="left" w:pos="360"/>
              </w:tabs>
              <w:rPr>
                <w:rFonts w:cs="Arial"/>
                <w:sz w:val="20"/>
              </w:rPr>
            </w:pPr>
            <w:r>
              <w:rPr>
                <w:rFonts w:cs="Arial"/>
                <w:sz w:val="20"/>
              </w:rPr>
              <w:t xml:space="preserve">b) roční úhrn čistého obratu </w:t>
            </w:r>
            <w:r>
              <w:rPr>
                <w:rFonts w:cs="Arial"/>
                <w:b/>
                <w:sz w:val="20"/>
                <w:u w:val="single"/>
              </w:rPr>
              <w:t>240 000 000 Kč</w:t>
            </w:r>
            <w:r>
              <w:rPr>
                <w:rFonts w:cs="Arial"/>
                <w:sz w:val="20"/>
              </w:rPr>
              <w:t>,</w:t>
            </w:r>
          </w:p>
          <w:p w14:paraId="4C41FB88" w14:textId="77777777" w:rsidR="00353BDC" w:rsidRPr="00954262" w:rsidRDefault="00353BDC" w:rsidP="00401306">
            <w:pPr>
              <w:tabs>
                <w:tab w:val="left" w:pos="360"/>
              </w:tabs>
              <w:rPr>
                <w:rFonts w:cs="Arial"/>
                <w:sz w:val="20"/>
              </w:rPr>
            </w:pPr>
            <w:r>
              <w:rPr>
                <w:rFonts w:cs="Arial"/>
                <w:sz w:val="20"/>
              </w:rPr>
              <w:t>c) průměrný počet zaměstnanců v průběhu účetního období 50.</w:t>
            </w:r>
          </w:p>
        </w:tc>
        <w:tc>
          <w:tcPr>
            <w:tcW w:w="1276" w:type="dxa"/>
            <w:tcBorders>
              <w:bottom w:val="nil"/>
            </w:tcBorders>
          </w:tcPr>
          <w:p w14:paraId="1A5B74BD" w14:textId="77777777" w:rsidR="00353BDC" w:rsidRPr="00827382" w:rsidRDefault="00353BDC" w:rsidP="00401306">
            <w:pPr>
              <w:tabs>
                <w:tab w:val="left" w:pos="360"/>
              </w:tabs>
              <w:rPr>
                <w:rFonts w:cs="Arial"/>
                <w:sz w:val="20"/>
              </w:rPr>
            </w:pPr>
            <w:r>
              <w:rPr>
                <w:rFonts w:cs="Arial"/>
                <w:sz w:val="20"/>
              </w:rPr>
              <w:t>32013L0034 ve znění 32023L2775</w:t>
            </w:r>
          </w:p>
        </w:tc>
        <w:tc>
          <w:tcPr>
            <w:tcW w:w="1559" w:type="dxa"/>
            <w:tcBorders>
              <w:bottom w:val="nil"/>
            </w:tcBorders>
            <w:shd w:val="clear" w:color="auto" w:fill="auto"/>
          </w:tcPr>
          <w:p w14:paraId="419A3274" w14:textId="77777777" w:rsidR="00353BDC" w:rsidRPr="00827382" w:rsidRDefault="00353BDC" w:rsidP="00401306">
            <w:pPr>
              <w:tabs>
                <w:tab w:val="left" w:pos="360"/>
              </w:tabs>
              <w:rPr>
                <w:rFonts w:cs="Arial"/>
                <w:sz w:val="20"/>
              </w:rPr>
            </w:pPr>
            <w:r>
              <w:rPr>
                <w:rFonts w:cs="Arial"/>
                <w:sz w:val="20"/>
              </w:rPr>
              <w:t>Čl. 3 odst. 2 první pododstavec</w:t>
            </w:r>
          </w:p>
        </w:tc>
        <w:tc>
          <w:tcPr>
            <w:tcW w:w="4678" w:type="dxa"/>
            <w:tcBorders>
              <w:bottom w:val="nil"/>
            </w:tcBorders>
            <w:shd w:val="clear" w:color="auto" w:fill="auto"/>
          </w:tcPr>
          <w:p w14:paraId="538E6408" w14:textId="77777777" w:rsidR="00353BDC" w:rsidRPr="00E65697" w:rsidRDefault="00353BDC" w:rsidP="00401306">
            <w:pPr>
              <w:tabs>
                <w:tab w:val="left" w:pos="360"/>
              </w:tabs>
              <w:rPr>
                <w:rFonts w:cs="Arial"/>
                <w:sz w:val="20"/>
              </w:rPr>
            </w:pPr>
            <w:r w:rsidRPr="00E65697">
              <w:rPr>
                <w:rFonts w:cs="Arial"/>
                <w:sz w:val="20"/>
              </w:rPr>
              <w:t xml:space="preserve">Malými podniky jsou podniky, které k rozvahovému dni nepřekračují alespoň dvě </w:t>
            </w:r>
            <w:r>
              <w:rPr>
                <w:rFonts w:cs="Arial"/>
                <w:sz w:val="20"/>
              </w:rPr>
              <w:t>z těchto tří hraničních hodnot:</w:t>
            </w:r>
          </w:p>
          <w:p w14:paraId="18A06338" w14:textId="77777777" w:rsidR="00353BDC" w:rsidRPr="00E65697" w:rsidRDefault="00353BDC" w:rsidP="00401306">
            <w:pPr>
              <w:tabs>
                <w:tab w:val="left" w:pos="360"/>
              </w:tabs>
              <w:rPr>
                <w:rFonts w:cs="Arial"/>
                <w:sz w:val="20"/>
              </w:rPr>
            </w:pPr>
            <w:r>
              <w:rPr>
                <w:rFonts w:cs="Arial"/>
                <w:sz w:val="20"/>
              </w:rPr>
              <w:t>a) bilanční suma: 5 000 000 </w:t>
            </w:r>
            <w:r w:rsidRPr="00E65697">
              <w:rPr>
                <w:rFonts w:cs="Arial"/>
                <w:sz w:val="20"/>
              </w:rPr>
              <w:t xml:space="preserve">EUR, </w:t>
            </w:r>
          </w:p>
          <w:p w14:paraId="5C0B2CCA" w14:textId="77777777" w:rsidR="00353BDC" w:rsidRPr="00E65697" w:rsidRDefault="00353BDC" w:rsidP="00401306">
            <w:pPr>
              <w:tabs>
                <w:tab w:val="left" w:pos="360"/>
              </w:tabs>
              <w:rPr>
                <w:rFonts w:cs="Arial"/>
                <w:sz w:val="20"/>
              </w:rPr>
            </w:pPr>
            <w:r>
              <w:rPr>
                <w:rFonts w:cs="Arial"/>
                <w:sz w:val="20"/>
              </w:rPr>
              <w:t>b) čistý obrat: 10 000 000 EUR,</w:t>
            </w:r>
            <w:r w:rsidRPr="00E65697">
              <w:rPr>
                <w:rFonts w:cs="Arial"/>
                <w:sz w:val="20"/>
              </w:rPr>
              <w:t xml:space="preserve"> </w:t>
            </w:r>
          </w:p>
          <w:p w14:paraId="33C22C3B" w14:textId="77777777" w:rsidR="00353BDC" w:rsidRPr="00827382" w:rsidRDefault="00353BDC" w:rsidP="00401306">
            <w:pPr>
              <w:tabs>
                <w:tab w:val="left" w:pos="360"/>
              </w:tabs>
              <w:rPr>
                <w:rFonts w:cs="Arial"/>
                <w:sz w:val="20"/>
              </w:rPr>
            </w:pPr>
            <w:r w:rsidRPr="00E65697">
              <w:rPr>
                <w:rFonts w:cs="Arial"/>
                <w:sz w:val="20"/>
              </w:rPr>
              <w:t>c) průměrný počet zaměstnanců během účetního období: 50.</w:t>
            </w:r>
          </w:p>
        </w:tc>
      </w:tr>
      <w:tr w:rsidR="00353BDC" w:rsidRPr="00FA795B" w14:paraId="40E7A240" w14:textId="77777777" w:rsidTr="00401306">
        <w:trPr>
          <w:cantSplit/>
        </w:trPr>
        <w:tc>
          <w:tcPr>
            <w:tcW w:w="1418" w:type="dxa"/>
            <w:tcBorders>
              <w:top w:val="nil"/>
            </w:tcBorders>
          </w:tcPr>
          <w:p w14:paraId="7C4BE6CE" w14:textId="77777777" w:rsidR="00353BDC" w:rsidRDefault="00353BDC" w:rsidP="00401306">
            <w:pPr>
              <w:tabs>
                <w:tab w:val="left" w:pos="360"/>
              </w:tabs>
              <w:rPr>
                <w:rFonts w:cs="Arial"/>
                <w:sz w:val="20"/>
              </w:rPr>
            </w:pPr>
          </w:p>
        </w:tc>
        <w:tc>
          <w:tcPr>
            <w:tcW w:w="5245" w:type="dxa"/>
            <w:tcBorders>
              <w:top w:val="nil"/>
            </w:tcBorders>
          </w:tcPr>
          <w:p w14:paraId="06E269BF" w14:textId="77777777" w:rsidR="00353BDC" w:rsidRDefault="00353BDC" w:rsidP="00401306">
            <w:pPr>
              <w:tabs>
                <w:tab w:val="left" w:pos="360"/>
              </w:tabs>
              <w:rPr>
                <w:rFonts w:cs="Arial"/>
                <w:sz w:val="20"/>
              </w:rPr>
            </w:pPr>
          </w:p>
        </w:tc>
        <w:tc>
          <w:tcPr>
            <w:tcW w:w="1276" w:type="dxa"/>
            <w:tcBorders>
              <w:top w:val="nil"/>
            </w:tcBorders>
          </w:tcPr>
          <w:p w14:paraId="36FF7012" w14:textId="77777777" w:rsidR="00353BDC" w:rsidRDefault="00353BDC" w:rsidP="00401306">
            <w:pPr>
              <w:tabs>
                <w:tab w:val="left" w:pos="360"/>
              </w:tabs>
              <w:rPr>
                <w:rFonts w:cs="Arial"/>
                <w:sz w:val="20"/>
              </w:rPr>
            </w:pPr>
            <w:r>
              <w:rPr>
                <w:rFonts w:cs="Arial"/>
                <w:sz w:val="20"/>
              </w:rPr>
              <w:t>32013L0034</w:t>
            </w:r>
          </w:p>
        </w:tc>
        <w:tc>
          <w:tcPr>
            <w:tcW w:w="1559" w:type="dxa"/>
            <w:tcBorders>
              <w:top w:val="nil"/>
            </w:tcBorders>
            <w:shd w:val="clear" w:color="auto" w:fill="auto"/>
          </w:tcPr>
          <w:p w14:paraId="007B3869" w14:textId="77777777" w:rsidR="00353BDC" w:rsidRDefault="00353BDC" w:rsidP="00401306">
            <w:pPr>
              <w:tabs>
                <w:tab w:val="left" w:pos="360"/>
              </w:tabs>
              <w:rPr>
                <w:rFonts w:cs="Arial"/>
                <w:sz w:val="20"/>
              </w:rPr>
            </w:pPr>
            <w:r>
              <w:rPr>
                <w:rFonts w:cs="Arial"/>
                <w:sz w:val="20"/>
              </w:rPr>
              <w:t>Čl. 3 odst. 9</w:t>
            </w:r>
          </w:p>
        </w:tc>
        <w:tc>
          <w:tcPr>
            <w:tcW w:w="4678" w:type="dxa"/>
            <w:tcBorders>
              <w:top w:val="nil"/>
            </w:tcBorders>
            <w:shd w:val="clear" w:color="auto" w:fill="auto"/>
          </w:tcPr>
          <w:p w14:paraId="122FCDC4" w14:textId="77777777" w:rsidR="00353BDC" w:rsidRDefault="00353BDC" w:rsidP="00401306">
            <w:pPr>
              <w:tabs>
                <w:tab w:val="left" w:pos="360"/>
              </w:tabs>
              <w:rPr>
                <w:rFonts w:cs="Arial"/>
                <w:sz w:val="20"/>
              </w:rPr>
            </w:pPr>
            <w:r w:rsidRPr="00954262">
              <w:rPr>
                <w:rFonts w:cs="Arial"/>
                <w:sz w:val="20"/>
              </w:rPr>
              <w:t>Pokud jde o členské státy, které nepřijaly euro, částka v národní měně odpovídající částkám uvedeným v odstavcích 1 až 7 se vypočte pomocí směnného kurzu zveřejněného v Úředním věstníku Evropské unie ke dni vstupu v platnost jakékoli směrnice, kterou se tyto částky stanoví.</w:t>
            </w:r>
          </w:p>
          <w:p w14:paraId="4EF5A5D4" w14:textId="77777777" w:rsidR="00353BDC" w:rsidRPr="00874B53" w:rsidRDefault="00353BDC" w:rsidP="00401306">
            <w:pPr>
              <w:tabs>
                <w:tab w:val="left" w:pos="360"/>
              </w:tabs>
              <w:rPr>
                <w:rFonts w:cs="Arial"/>
                <w:sz w:val="20"/>
              </w:rPr>
            </w:pPr>
            <w:r w:rsidRPr="00954262">
              <w:rPr>
                <w:rFonts w:cs="Arial"/>
                <w:sz w:val="20"/>
              </w:rPr>
              <w:t>Pro účely převodu na národní měny členských států, které nepřijaly euro, mohou být částky v eurech uvedené v odstavcích 1, 3, 4, 6 a 7 v zájmu dosažení zaokrouhlených částek v národních měnách zvýšeny nebo sníženy nejvýše o 5 %.</w:t>
            </w:r>
          </w:p>
        </w:tc>
      </w:tr>
      <w:tr w:rsidR="00353BDC" w:rsidRPr="00FA795B" w14:paraId="50576949" w14:textId="77777777" w:rsidTr="00401306">
        <w:trPr>
          <w:cantSplit/>
        </w:trPr>
        <w:tc>
          <w:tcPr>
            <w:tcW w:w="1418" w:type="dxa"/>
            <w:tcBorders>
              <w:bottom w:val="nil"/>
            </w:tcBorders>
          </w:tcPr>
          <w:p w14:paraId="11484686" w14:textId="77777777" w:rsidR="00353BDC" w:rsidRPr="00827382" w:rsidRDefault="00353BDC" w:rsidP="00401306">
            <w:pPr>
              <w:tabs>
                <w:tab w:val="left" w:pos="360"/>
              </w:tabs>
              <w:rPr>
                <w:rFonts w:cs="Arial"/>
                <w:sz w:val="20"/>
              </w:rPr>
            </w:pPr>
            <w:r>
              <w:rPr>
                <w:rFonts w:cs="Arial"/>
                <w:sz w:val="20"/>
              </w:rPr>
              <w:t>§ 1b odst. 3</w:t>
            </w:r>
          </w:p>
        </w:tc>
        <w:tc>
          <w:tcPr>
            <w:tcW w:w="5245" w:type="dxa"/>
            <w:tcBorders>
              <w:bottom w:val="nil"/>
            </w:tcBorders>
          </w:tcPr>
          <w:p w14:paraId="1CC62AEB" w14:textId="77777777" w:rsidR="00353BDC" w:rsidRDefault="00353BDC" w:rsidP="00401306">
            <w:pPr>
              <w:tabs>
                <w:tab w:val="left" w:pos="360"/>
              </w:tabs>
              <w:rPr>
                <w:rFonts w:cs="Arial"/>
                <w:sz w:val="20"/>
              </w:rPr>
            </w:pPr>
            <w:r>
              <w:rPr>
                <w:rFonts w:cs="Arial"/>
                <w:sz w:val="20"/>
              </w:rPr>
              <w:t>Střední účetní jednotkou je ta, která není mikro účetní jednotkou ani malou účetní jednotkou a k rozvahovému dni nepřekračuje alespoň 2 z uvedených hraničních hodnot</w:t>
            </w:r>
          </w:p>
          <w:p w14:paraId="79694199" w14:textId="77777777" w:rsidR="00353BDC" w:rsidRDefault="00353BDC" w:rsidP="00401306">
            <w:pPr>
              <w:tabs>
                <w:tab w:val="left" w:pos="360"/>
              </w:tabs>
              <w:rPr>
                <w:rFonts w:cs="Arial"/>
                <w:sz w:val="20"/>
              </w:rPr>
            </w:pPr>
            <w:r>
              <w:rPr>
                <w:rFonts w:cs="Arial"/>
                <w:sz w:val="20"/>
              </w:rPr>
              <w:t xml:space="preserve">a) aktiva celkem </w:t>
            </w:r>
            <w:r>
              <w:rPr>
                <w:rFonts w:cs="Arial"/>
                <w:b/>
                <w:sz w:val="20"/>
                <w:u w:val="single"/>
              </w:rPr>
              <w:t>600 000 000 Kč</w:t>
            </w:r>
            <w:r>
              <w:rPr>
                <w:rFonts w:cs="Arial"/>
                <w:sz w:val="20"/>
              </w:rPr>
              <w:t>,</w:t>
            </w:r>
          </w:p>
          <w:p w14:paraId="56068EAE" w14:textId="77777777" w:rsidR="00353BDC" w:rsidRDefault="00353BDC" w:rsidP="00401306">
            <w:pPr>
              <w:tabs>
                <w:tab w:val="left" w:pos="360"/>
              </w:tabs>
              <w:rPr>
                <w:rFonts w:cs="Arial"/>
                <w:sz w:val="20"/>
              </w:rPr>
            </w:pPr>
            <w:r>
              <w:rPr>
                <w:rFonts w:cs="Arial"/>
                <w:sz w:val="20"/>
              </w:rPr>
              <w:t xml:space="preserve">b) roční úhrn čistého obratu </w:t>
            </w:r>
            <w:r>
              <w:rPr>
                <w:rFonts w:cs="Arial"/>
                <w:b/>
                <w:sz w:val="20"/>
                <w:u w:val="single"/>
              </w:rPr>
              <w:t>1 200 000 000 Kč</w:t>
            </w:r>
            <w:r>
              <w:rPr>
                <w:rFonts w:cs="Arial"/>
                <w:sz w:val="20"/>
              </w:rPr>
              <w:t>,</w:t>
            </w:r>
          </w:p>
          <w:p w14:paraId="549C8C0A" w14:textId="77777777" w:rsidR="00353BDC" w:rsidRPr="00827382" w:rsidRDefault="00353BDC" w:rsidP="00401306">
            <w:pPr>
              <w:tabs>
                <w:tab w:val="left" w:pos="360"/>
              </w:tabs>
              <w:rPr>
                <w:rFonts w:cs="Arial"/>
                <w:sz w:val="20"/>
              </w:rPr>
            </w:pPr>
            <w:r>
              <w:rPr>
                <w:rFonts w:cs="Arial"/>
                <w:sz w:val="20"/>
              </w:rPr>
              <w:t>c) průměrný počet zaměstnanců v průběhu účetního období 250.</w:t>
            </w:r>
          </w:p>
        </w:tc>
        <w:tc>
          <w:tcPr>
            <w:tcW w:w="1276" w:type="dxa"/>
            <w:tcBorders>
              <w:bottom w:val="nil"/>
            </w:tcBorders>
          </w:tcPr>
          <w:p w14:paraId="14B54BE1" w14:textId="77777777" w:rsidR="00353BDC" w:rsidRPr="00827382" w:rsidRDefault="00353BDC" w:rsidP="00401306">
            <w:pPr>
              <w:tabs>
                <w:tab w:val="left" w:pos="360"/>
              </w:tabs>
              <w:rPr>
                <w:rFonts w:cs="Arial"/>
                <w:sz w:val="20"/>
              </w:rPr>
            </w:pPr>
            <w:r>
              <w:rPr>
                <w:rFonts w:cs="Arial"/>
                <w:sz w:val="20"/>
              </w:rPr>
              <w:t>32013L0034 ve znění 32023L2775</w:t>
            </w:r>
          </w:p>
        </w:tc>
        <w:tc>
          <w:tcPr>
            <w:tcW w:w="1559" w:type="dxa"/>
            <w:tcBorders>
              <w:bottom w:val="nil"/>
            </w:tcBorders>
            <w:shd w:val="clear" w:color="auto" w:fill="auto"/>
          </w:tcPr>
          <w:p w14:paraId="0A2CADF7" w14:textId="77777777" w:rsidR="00353BDC" w:rsidRPr="00827382" w:rsidRDefault="00353BDC" w:rsidP="00401306">
            <w:pPr>
              <w:tabs>
                <w:tab w:val="left" w:pos="360"/>
              </w:tabs>
              <w:rPr>
                <w:rFonts w:cs="Arial"/>
                <w:sz w:val="20"/>
              </w:rPr>
            </w:pPr>
            <w:r>
              <w:rPr>
                <w:rFonts w:cs="Arial"/>
                <w:sz w:val="20"/>
              </w:rPr>
              <w:t>Čl. 3 odst. 3</w:t>
            </w:r>
          </w:p>
        </w:tc>
        <w:tc>
          <w:tcPr>
            <w:tcW w:w="4678" w:type="dxa"/>
            <w:tcBorders>
              <w:bottom w:val="nil"/>
            </w:tcBorders>
            <w:shd w:val="clear" w:color="auto" w:fill="auto"/>
          </w:tcPr>
          <w:p w14:paraId="6F1A8B2F" w14:textId="77777777" w:rsidR="00353BDC" w:rsidRPr="00E65697" w:rsidRDefault="00353BDC" w:rsidP="00401306">
            <w:pPr>
              <w:tabs>
                <w:tab w:val="left" w:pos="360"/>
              </w:tabs>
              <w:rPr>
                <w:rFonts w:cs="Arial"/>
                <w:sz w:val="20"/>
              </w:rPr>
            </w:pPr>
            <w:r>
              <w:rPr>
                <w:rFonts w:cs="Arial"/>
                <w:sz w:val="20"/>
              </w:rPr>
              <w:t>Středními</w:t>
            </w:r>
            <w:r w:rsidRPr="00E65697">
              <w:rPr>
                <w:rFonts w:cs="Arial"/>
                <w:sz w:val="20"/>
              </w:rPr>
              <w:t xml:space="preserve"> podniky jsou</w:t>
            </w:r>
            <w:r>
              <w:rPr>
                <w:rFonts w:cs="Arial"/>
                <w:sz w:val="20"/>
              </w:rPr>
              <w:t>, které nejsou</w:t>
            </w:r>
            <w:r w:rsidRPr="00E65697">
              <w:rPr>
                <w:rFonts w:cs="Arial"/>
                <w:sz w:val="20"/>
              </w:rPr>
              <w:t xml:space="preserve"> </w:t>
            </w:r>
            <w:proofErr w:type="spellStart"/>
            <w:r>
              <w:rPr>
                <w:rFonts w:cs="Arial"/>
                <w:sz w:val="20"/>
              </w:rPr>
              <w:t>mikropodniky</w:t>
            </w:r>
            <w:proofErr w:type="spellEnd"/>
            <w:r>
              <w:rPr>
                <w:rFonts w:cs="Arial"/>
                <w:sz w:val="20"/>
              </w:rPr>
              <w:t xml:space="preserve"> ani malými podniky a</w:t>
            </w:r>
            <w:r w:rsidRPr="00E65697">
              <w:rPr>
                <w:rFonts w:cs="Arial"/>
                <w:sz w:val="20"/>
              </w:rPr>
              <w:t xml:space="preserve"> které k rozvahovému dni nepřekračují alespoň dvě </w:t>
            </w:r>
            <w:r>
              <w:rPr>
                <w:rFonts w:cs="Arial"/>
                <w:sz w:val="20"/>
              </w:rPr>
              <w:t>z těchto tří hraničních hodnot:</w:t>
            </w:r>
          </w:p>
          <w:p w14:paraId="685A7B97" w14:textId="77777777" w:rsidR="00353BDC" w:rsidRPr="00E65697" w:rsidRDefault="00353BDC" w:rsidP="00401306">
            <w:pPr>
              <w:tabs>
                <w:tab w:val="left" w:pos="360"/>
              </w:tabs>
              <w:rPr>
                <w:rFonts w:cs="Arial"/>
                <w:sz w:val="20"/>
              </w:rPr>
            </w:pPr>
            <w:r>
              <w:rPr>
                <w:rFonts w:cs="Arial"/>
                <w:sz w:val="20"/>
              </w:rPr>
              <w:t>a) bilanční suma: 25 000 000 </w:t>
            </w:r>
            <w:r w:rsidRPr="00E65697">
              <w:rPr>
                <w:rFonts w:cs="Arial"/>
                <w:sz w:val="20"/>
              </w:rPr>
              <w:t xml:space="preserve">EUR, </w:t>
            </w:r>
          </w:p>
          <w:p w14:paraId="724430E3" w14:textId="77777777" w:rsidR="00353BDC" w:rsidRPr="00E65697" w:rsidRDefault="00353BDC" w:rsidP="00401306">
            <w:pPr>
              <w:tabs>
                <w:tab w:val="left" w:pos="360"/>
              </w:tabs>
              <w:rPr>
                <w:rFonts w:cs="Arial"/>
                <w:sz w:val="20"/>
              </w:rPr>
            </w:pPr>
            <w:r>
              <w:rPr>
                <w:rFonts w:cs="Arial"/>
                <w:sz w:val="20"/>
              </w:rPr>
              <w:t>b) čistý obrat: 50 000 000 EUR,</w:t>
            </w:r>
            <w:r w:rsidRPr="00E65697">
              <w:rPr>
                <w:rFonts w:cs="Arial"/>
                <w:sz w:val="20"/>
              </w:rPr>
              <w:t xml:space="preserve"> </w:t>
            </w:r>
          </w:p>
          <w:p w14:paraId="3D1456EC" w14:textId="77777777" w:rsidR="00353BDC" w:rsidRPr="00827382" w:rsidRDefault="00353BDC" w:rsidP="00401306">
            <w:pPr>
              <w:tabs>
                <w:tab w:val="left" w:pos="360"/>
              </w:tabs>
              <w:rPr>
                <w:rFonts w:cs="Arial"/>
                <w:sz w:val="20"/>
              </w:rPr>
            </w:pPr>
            <w:r w:rsidRPr="00E65697">
              <w:rPr>
                <w:rFonts w:cs="Arial"/>
                <w:sz w:val="20"/>
              </w:rPr>
              <w:t xml:space="preserve">c) průměrný počet zaměstnanců během účetního období: </w:t>
            </w:r>
            <w:r>
              <w:rPr>
                <w:rFonts w:cs="Arial"/>
                <w:sz w:val="20"/>
              </w:rPr>
              <w:t>2</w:t>
            </w:r>
            <w:r w:rsidRPr="00E65697">
              <w:rPr>
                <w:rFonts w:cs="Arial"/>
                <w:sz w:val="20"/>
              </w:rPr>
              <w:t>50.</w:t>
            </w:r>
          </w:p>
        </w:tc>
      </w:tr>
      <w:tr w:rsidR="00353BDC" w:rsidRPr="00FA795B" w14:paraId="1B23B1D7" w14:textId="77777777" w:rsidTr="00401306">
        <w:trPr>
          <w:cantSplit/>
        </w:trPr>
        <w:tc>
          <w:tcPr>
            <w:tcW w:w="1418" w:type="dxa"/>
            <w:tcBorders>
              <w:top w:val="nil"/>
            </w:tcBorders>
          </w:tcPr>
          <w:p w14:paraId="446EEF49" w14:textId="77777777" w:rsidR="00353BDC" w:rsidRDefault="00353BDC" w:rsidP="00401306">
            <w:pPr>
              <w:tabs>
                <w:tab w:val="left" w:pos="360"/>
              </w:tabs>
              <w:rPr>
                <w:rFonts w:cs="Arial"/>
                <w:sz w:val="20"/>
              </w:rPr>
            </w:pPr>
          </w:p>
        </w:tc>
        <w:tc>
          <w:tcPr>
            <w:tcW w:w="5245" w:type="dxa"/>
            <w:tcBorders>
              <w:top w:val="nil"/>
            </w:tcBorders>
          </w:tcPr>
          <w:p w14:paraId="6EDE8E38" w14:textId="77777777" w:rsidR="00353BDC" w:rsidRDefault="00353BDC" w:rsidP="00401306">
            <w:pPr>
              <w:tabs>
                <w:tab w:val="left" w:pos="360"/>
              </w:tabs>
              <w:rPr>
                <w:rFonts w:cs="Arial"/>
                <w:sz w:val="20"/>
              </w:rPr>
            </w:pPr>
          </w:p>
        </w:tc>
        <w:tc>
          <w:tcPr>
            <w:tcW w:w="1276" w:type="dxa"/>
            <w:tcBorders>
              <w:top w:val="nil"/>
            </w:tcBorders>
          </w:tcPr>
          <w:p w14:paraId="6B02FE37" w14:textId="77777777" w:rsidR="00353BDC" w:rsidRDefault="00353BDC" w:rsidP="00401306">
            <w:pPr>
              <w:tabs>
                <w:tab w:val="left" w:pos="360"/>
              </w:tabs>
              <w:rPr>
                <w:rFonts w:cs="Arial"/>
                <w:sz w:val="20"/>
              </w:rPr>
            </w:pPr>
            <w:r>
              <w:rPr>
                <w:rFonts w:cs="Arial"/>
                <w:sz w:val="20"/>
              </w:rPr>
              <w:t>32013L0034</w:t>
            </w:r>
          </w:p>
        </w:tc>
        <w:tc>
          <w:tcPr>
            <w:tcW w:w="1559" w:type="dxa"/>
            <w:tcBorders>
              <w:top w:val="nil"/>
            </w:tcBorders>
            <w:shd w:val="clear" w:color="auto" w:fill="auto"/>
          </w:tcPr>
          <w:p w14:paraId="6CDF7831" w14:textId="77777777" w:rsidR="00353BDC" w:rsidRDefault="00353BDC" w:rsidP="00401306">
            <w:pPr>
              <w:tabs>
                <w:tab w:val="left" w:pos="360"/>
              </w:tabs>
              <w:rPr>
                <w:rFonts w:cs="Arial"/>
                <w:sz w:val="20"/>
              </w:rPr>
            </w:pPr>
            <w:r>
              <w:rPr>
                <w:rFonts w:cs="Arial"/>
                <w:sz w:val="20"/>
              </w:rPr>
              <w:t>Čl. 3 odst. 9</w:t>
            </w:r>
          </w:p>
        </w:tc>
        <w:tc>
          <w:tcPr>
            <w:tcW w:w="4678" w:type="dxa"/>
            <w:tcBorders>
              <w:top w:val="nil"/>
            </w:tcBorders>
            <w:shd w:val="clear" w:color="auto" w:fill="auto"/>
          </w:tcPr>
          <w:p w14:paraId="5412E583" w14:textId="77777777" w:rsidR="00353BDC" w:rsidRDefault="00353BDC" w:rsidP="00401306">
            <w:pPr>
              <w:tabs>
                <w:tab w:val="left" w:pos="360"/>
              </w:tabs>
              <w:rPr>
                <w:rFonts w:cs="Arial"/>
                <w:sz w:val="20"/>
              </w:rPr>
            </w:pPr>
            <w:r w:rsidRPr="00954262">
              <w:rPr>
                <w:rFonts w:cs="Arial"/>
                <w:sz w:val="20"/>
              </w:rPr>
              <w:t>Pokud jde o členské státy, které nepřijaly euro, částka v národní měně odpovídající částkám uvedeným v odstavcích 1 až 7 se vypočte pomocí směnného kurzu zveřejněného v Úředním věstníku Evropské unie ke dni vstupu v platnost jakékoli směrnice, kterou se tyto částky stanoví.</w:t>
            </w:r>
          </w:p>
          <w:p w14:paraId="73FBBA36" w14:textId="77777777" w:rsidR="00353BDC" w:rsidRPr="00874B53" w:rsidRDefault="00353BDC" w:rsidP="00401306">
            <w:pPr>
              <w:tabs>
                <w:tab w:val="left" w:pos="360"/>
              </w:tabs>
              <w:rPr>
                <w:rFonts w:cs="Arial"/>
                <w:sz w:val="20"/>
              </w:rPr>
            </w:pPr>
            <w:r w:rsidRPr="00954262">
              <w:rPr>
                <w:rFonts w:cs="Arial"/>
                <w:sz w:val="20"/>
              </w:rPr>
              <w:t>Pro účely převodu na národní měny členských států, které nepřijaly euro, mohou být částky v eurech uvedené v odstavcích 1, 3, 4, 6 a 7 v zájmu dosažení zaokrouhlených částek v národních měnách zvýšeny nebo sníženy nejvýše o 5 %.</w:t>
            </w:r>
          </w:p>
        </w:tc>
      </w:tr>
      <w:tr w:rsidR="00353BDC" w:rsidRPr="00FA795B" w14:paraId="467E98C4" w14:textId="77777777" w:rsidTr="00401306">
        <w:trPr>
          <w:cantSplit/>
        </w:trPr>
        <w:tc>
          <w:tcPr>
            <w:tcW w:w="1418" w:type="dxa"/>
            <w:tcBorders>
              <w:bottom w:val="nil"/>
            </w:tcBorders>
          </w:tcPr>
          <w:p w14:paraId="436A4146" w14:textId="77777777" w:rsidR="00353BDC" w:rsidRPr="00827382" w:rsidRDefault="00353BDC" w:rsidP="00401306">
            <w:pPr>
              <w:tabs>
                <w:tab w:val="left" w:pos="360"/>
              </w:tabs>
              <w:rPr>
                <w:rFonts w:cs="Arial"/>
                <w:sz w:val="20"/>
              </w:rPr>
            </w:pPr>
            <w:r>
              <w:rPr>
                <w:rFonts w:cs="Arial"/>
                <w:sz w:val="20"/>
              </w:rPr>
              <w:t>§ 1c odst. 1</w:t>
            </w:r>
          </w:p>
        </w:tc>
        <w:tc>
          <w:tcPr>
            <w:tcW w:w="5245" w:type="dxa"/>
            <w:tcBorders>
              <w:bottom w:val="nil"/>
            </w:tcBorders>
          </w:tcPr>
          <w:p w14:paraId="5E56EECC" w14:textId="77777777" w:rsidR="00353BDC" w:rsidRDefault="00353BDC" w:rsidP="00401306">
            <w:pPr>
              <w:tabs>
                <w:tab w:val="left" w:pos="360"/>
              </w:tabs>
              <w:rPr>
                <w:rFonts w:cs="Arial"/>
                <w:sz w:val="20"/>
              </w:rPr>
            </w:pPr>
            <w:r>
              <w:rPr>
                <w:rFonts w:cs="Arial"/>
                <w:sz w:val="20"/>
              </w:rPr>
              <w:t>Malou skupinou účetních jednotek je ta, která sestává z konsolidující účetní jednotky a konsolidovaných účetních jednotek a která na konsolidovaném základě nepřekračuje k rozvahovému dni alespoň 2 z uvedených hraničních hodnot</w:t>
            </w:r>
          </w:p>
          <w:p w14:paraId="4813F62E" w14:textId="77777777" w:rsidR="00353BDC" w:rsidRDefault="00353BDC" w:rsidP="00401306">
            <w:pPr>
              <w:tabs>
                <w:tab w:val="left" w:pos="360"/>
              </w:tabs>
              <w:rPr>
                <w:rFonts w:cs="Arial"/>
                <w:sz w:val="20"/>
              </w:rPr>
            </w:pPr>
            <w:r>
              <w:rPr>
                <w:rFonts w:cs="Arial"/>
                <w:sz w:val="20"/>
              </w:rPr>
              <w:t xml:space="preserve">a) aktiva celkem </w:t>
            </w:r>
            <w:r>
              <w:rPr>
                <w:rFonts w:cs="Arial"/>
                <w:b/>
                <w:sz w:val="20"/>
                <w:u w:val="single"/>
              </w:rPr>
              <w:t>120 000 000 Kč</w:t>
            </w:r>
            <w:r>
              <w:rPr>
                <w:rFonts w:cs="Arial"/>
                <w:sz w:val="20"/>
              </w:rPr>
              <w:t>,</w:t>
            </w:r>
          </w:p>
          <w:p w14:paraId="40D81608" w14:textId="77777777" w:rsidR="00353BDC" w:rsidRDefault="00353BDC" w:rsidP="00401306">
            <w:pPr>
              <w:tabs>
                <w:tab w:val="left" w:pos="360"/>
              </w:tabs>
              <w:rPr>
                <w:rFonts w:cs="Arial"/>
                <w:sz w:val="20"/>
              </w:rPr>
            </w:pPr>
            <w:r>
              <w:rPr>
                <w:rFonts w:cs="Arial"/>
                <w:sz w:val="20"/>
              </w:rPr>
              <w:t xml:space="preserve">b) roční úhrn čistého obratu </w:t>
            </w:r>
            <w:r>
              <w:rPr>
                <w:rFonts w:cs="Arial"/>
                <w:b/>
                <w:sz w:val="20"/>
                <w:u w:val="single"/>
              </w:rPr>
              <w:t>240 000 000 Kč</w:t>
            </w:r>
            <w:r>
              <w:rPr>
                <w:rFonts w:cs="Arial"/>
                <w:sz w:val="20"/>
              </w:rPr>
              <w:t>,</w:t>
            </w:r>
          </w:p>
          <w:p w14:paraId="3CD20A25" w14:textId="77777777" w:rsidR="00353BDC" w:rsidRPr="00827382" w:rsidRDefault="00353BDC" w:rsidP="00401306">
            <w:pPr>
              <w:tabs>
                <w:tab w:val="left" w:pos="360"/>
              </w:tabs>
              <w:rPr>
                <w:rFonts w:cs="Arial"/>
                <w:sz w:val="20"/>
              </w:rPr>
            </w:pPr>
            <w:r>
              <w:rPr>
                <w:rFonts w:cs="Arial"/>
                <w:sz w:val="20"/>
              </w:rPr>
              <w:t>c) průměrný počet zaměstnanců v průběhu účetního období 50.</w:t>
            </w:r>
          </w:p>
        </w:tc>
        <w:tc>
          <w:tcPr>
            <w:tcW w:w="1276" w:type="dxa"/>
            <w:tcBorders>
              <w:bottom w:val="nil"/>
            </w:tcBorders>
          </w:tcPr>
          <w:p w14:paraId="60DC1417" w14:textId="77777777" w:rsidR="00353BDC" w:rsidRPr="00827382" w:rsidRDefault="00353BDC" w:rsidP="00401306">
            <w:pPr>
              <w:tabs>
                <w:tab w:val="left" w:pos="360"/>
              </w:tabs>
              <w:rPr>
                <w:rFonts w:cs="Arial"/>
                <w:sz w:val="20"/>
              </w:rPr>
            </w:pPr>
            <w:r>
              <w:rPr>
                <w:rFonts w:cs="Arial"/>
                <w:sz w:val="20"/>
              </w:rPr>
              <w:t>32013L0034 ve znění 32023L2775</w:t>
            </w:r>
          </w:p>
        </w:tc>
        <w:tc>
          <w:tcPr>
            <w:tcW w:w="1559" w:type="dxa"/>
            <w:tcBorders>
              <w:bottom w:val="nil"/>
            </w:tcBorders>
            <w:shd w:val="clear" w:color="auto" w:fill="auto"/>
          </w:tcPr>
          <w:p w14:paraId="75FBB0B6" w14:textId="77777777" w:rsidR="00353BDC" w:rsidRPr="00827382" w:rsidRDefault="00353BDC" w:rsidP="00401306">
            <w:pPr>
              <w:tabs>
                <w:tab w:val="left" w:pos="360"/>
              </w:tabs>
              <w:rPr>
                <w:rFonts w:cs="Arial"/>
                <w:sz w:val="20"/>
              </w:rPr>
            </w:pPr>
            <w:r>
              <w:rPr>
                <w:rFonts w:cs="Arial"/>
                <w:sz w:val="20"/>
              </w:rPr>
              <w:t>Čl. 3 odst. 5 první pododstavec</w:t>
            </w:r>
          </w:p>
        </w:tc>
        <w:tc>
          <w:tcPr>
            <w:tcW w:w="4678" w:type="dxa"/>
            <w:tcBorders>
              <w:bottom w:val="nil"/>
            </w:tcBorders>
            <w:shd w:val="clear" w:color="auto" w:fill="auto"/>
          </w:tcPr>
          <w:p w14:paraId="53B727B5" w14:textId="77777777" w:rsidR="00353BDC" w:rsidRPr="00E65697" w:rsidRDefault="00353BDC" w:rsidP="00401306">
            <w:pPr>
              <w:tabs>
                <w:tab w:val="left" w:pos="360"/>
              </w:tabs>
              <w:rPr>
                <w:rFonts w:cs="Arial"/>
                <w:sz w:val="20"/>
              </w:rPr>
            </w:pPr>
            <w:r>
              <w:rPr>
                <w:rFonts w:cs="Arial"/>
                <w:sz w:val="20"/>
              </w:rPr>
              <w:t>Malými skupinami</w:t>
            </w:r>
            <w:r w:rsidRPr="00E65697">
              <w:rPr>
                <w:rFonts w:cs="Arial"/>
                <w:sz w:val="20"/>
              </w:rPr>
              <w:t xml:space="preserve"> jsou</w:t>
            </w:r>
            <w:r>
              <w:rPr>
                <w:rFonts w:cs="Arial"/>
                <w:sz w:val="20"/>
              </w:rPr>
              <w:t xml:space="preserve"> skupiny, které sestávají z mateřského podniku a dceřiných podniků, jež mají být zahrnuty do konsolidace, a</w:t>
            </w:r>
            <w:r w:rsidRPr="00E65697">
              <w:rPr>
                <w:rFonts w:cs="Arial"/>
                <w:sz w:val="20"/>
              </w:rPr>
              <w:t xml:space="preserve"> které</w:t>
            </w:r>
            <w:r>
              <w:rPr>
                <w:rFonts w:cs="Arial"/>
                <w:sz w:val="20"/>
              </w:rPr>
              <w:t xml:space="preserve"> na konsolidovaném základě nepřekračují k rozvahovému dni</w:t>
            </w:r>
            <w:r w:rsidRPr="00E65697">
              <w:rPr>
                <w:rFonts w:cs="Arial"/>
                <w:sz w:val="20"/>
              </w:rPr>
              <w:t xml:space="preserve"> alespoň dvě </w:t>
            </w:r>
            <w:r>
              <w:rPr>
                <w:rFonts w:cs="Arial"/>
                <w:sz w:val="20"/>
              </w:rPr>
              <w:t>z těchto tří hraničních hodnot:</w:t>
            </w:r>
          </w:p>
          <w:p w14:paraId="347B32AE" w14:textId="77777777" w:rsidR="00353BDC" w:rsidRPr="00E65697" w:rsidRDefault="00353BDC" w:rsidP="00401306">
            <w:pPr>
              <w:tabs>
                <w:tab w:val="left" w:pos="360"/>
              </w:tabs>
              <w:rPr>
                <w:rFonts w:cs="Arial"/>
                <w:sz w:val="20"/>
              </w:rPr>
            </w:pPr>
            <w:r>
              <w:rPr>
                <w:rFonts w:cs="Arial"/>
                <w:sz w:val="20"/>
              </w:rPr>
              <w:t>a) bilanční suma: 5 000 000 </w:t>
            </w:r>
            <w:r w:rsidRPr="00E65697">
              <w:rPr>
                <w:rFonts w:cs="Arial"/>
                <w:sz w:val="20"/>
              </w:rPr>
              <w:t xml:space="preserve">EUR, </w:t>
            </w:r>
          </w:p>
          <w:p w14:paraId="75541493" w14:textId="77777777" w:rsidR="00353BDC" w:rsidRPr="00E65697" w:rsidRDefault="00353BDC" w:rsidP="00401306">
            <w:pPr>
              <w:tabs>
                <w:tab w:val="left" w:pos="360"/>
              </w:tabs>
              <w:rPr>
                <w:rFonts w:cs="Arial"/>
                <w:sz w:val="20"/>
              </w:rPr>
            </w:pPr>
            <w:r>
              <w:rPr>
                <w:rFonts w:cs="Arial"/>
                <w:sz w:val="20"/>
              </w:rPr>
              <w:t>b) čistý obrat: 10 000 000 EUR,</w:t>
            </w:r>
            <w:r w:rsidRPr="00E65697">
              <w:rPr>
                <w:rFonts w:cs="Arial"/>
                <w:sz w:val="20"/>
              </w:rPr>
              <w:t xml:space="preserve"> </w:t>
            </w:r>
          </w:p>
          <w:p w14:paraId="35A643AA" w14:textId="77777777" w:rsidR="00353BDC" w:rsidRPr="00827382" w:rsidRDefault="00353BDC" w:rsidP="00401306">
            <w:pPr>
              <w:tabs>
                <w:tab w:val="left" w:pos="360"/>
              </w:tabs>
              <w:rPr>
                <w:rFonts w:cs="Arial"/>
                <w:sz w:val="20"/>
              </w:rPr>
            </w:pPr>
            <w:r w:rsidRPr="00E65697">
              <w:rPr>
                <w:rFonts w:cs="Arial"/>
                <w:sz w:val="20"/>
              </w:rPr>
              <w:t>c) průměrný počet zaměstnanců během účetního období: 50.</w:t>
            </w:r>
          </w:p>
        </w:tc>
      </w:tr>
      <w:tr w:rsidR="00353BDC" w:rsidRPr="00FA795B" w14:paraId="35B71DB6" w14:textId="77777777" w:rsidTr="00401306">
        <w:trPr>
          <w:cantSplit/>
        </w:trPr>
        <w:tc>
          <w:tcPr>
            <w:tcW w:w="1418" w:type="dxa"/>
            <w:tcBorders>
              <w:top w:val="nil"/>
            </w:tcBorders>
          </w:tcPr>
          <w:p w14:paraId="01B7600A" w14:textId="77777777" w:rsidR="00353BDC" w:rsidRDefault="00353BDC" w:rsidP="00401306">
            <w:pPr>
              <w:tabs>
                <w:tab w:val="left" w:pos="360"/>
              </w:tabs>
              <w:rPr>
                <w:rFonts w:cs="Arial"/>
                <w:sz w:val="20"/>
              </w:rPr>
            </w:pPr>
          </w:p>
        </w:tc>
        <w:tc>
          <w:tcPr>
            <w:tcW w:w="5245" w:type="dxa"/>
            <w:tcBorders>
              <w:top w:val="nil"/>
            </w:tcBorders>
          </w:tcPr>
          <w:p w14:paraId="72EC0206" w14:textId="77777777" w:rsidR="00353BDC" w:rsidRDefault="00353BDC" w:rsidP="00401306">
            <w:pPr>
              <w:tabs>
                <w:tab w:val="left" w:pos="360"/>
              </w:tabs>
              <w:rPr>
                <w:rFonts w:cs="Arial"/>
                <w:sz w:val="20"/>
              </w:rPr>
            </w:pPr>
          </w:p>
        </w:tc>
        <w:tc>
          <w:tcPr>
            <w:tcW w:w="1276" w:type="dxa"/>
            <w:tcBorders>
              <w:top w:val="nil"/>
            </w:tcBorders>
          </w:tcPr>
          <w:p w14:paraId="63168855" w14:textId="77777777" w:rsidR="00353BDC" w:rsidRDefault="00353BDC" w:rsidP="00401306">
            <w:pPr>
              <w:tabs>
                <w:tab w:val="left" w:pos="360"/>
              </w:tabs>
              <w:rPr>
                <w:rFonts w:cs="Arial"/>
                <w:sz w:val="20"/>
              </w:rPr>
            </w:pPr>
            <w:r>
              <w:rPr>
                <w:rFonts w:cs="Arial"/>
                <w:sz w:val="20"/>
              </w:rPr>
              <w:t>32013L0034</w:t>
            </w:r>
          </w:p>
        </w:tc>
        <w:tc>
          <w:tcPr>
            <w:tcW w:w="1559" w:type="dxa"/>
            <w:tcBorders>
              <w:top w:val="nil"/>
            </w:tcBorders>
            <w:shd w:val="clear" w:color="auto" w:fill="auto"/>
          </w:tcPr>
          <w:p w14:paraId="727901DD" w14:textId="77777777" w:rsidR="00353BDC" w:rsidRDefault="00353BDC" w:rsidP="00401306">
            <w:pPr>
              <w:tabs>
                <w:tab w:val="left" w:pos="360"/>
              </w:tabs>
              <w:rPr>
                <w:rFonts w:cs="Arial"/>
                <w:sz w:val="20"/>
              </w:rPr>
            </w:pPr>
            <w:r>
              <w:rPr>
                <w:rFonts w:cs="Arial"/>
                <w:sz w:val="20"/>
              </w:rPr>
              <w:t>Čl. 3 odst. 9</w:t>
            </w:r>
          </w:p>
        </w:tc>
        <w:tc>
          <w:tcPr>
            <w:tcW w:w="4678" w:type="dxa"/>
            <w:tcBorders>
              <w:top w:val="nil"/>
            </w:tcBorders>
            <w:shd w:val="clear" w:color="auto" w:fill="auto"/>
          </w:tcPr>
          <w:p w14:paraId="27496516" w14:textId="77777777" w:rsidR="00353BDC" w:rsidRDefault="00353BDC" w:rsidP="00401306">
            <w:pPr>
              <w:tabs>
                <w:tab w:val="left" w:pos="360"/>
              </w:tabs>
              <w:rPr>
                <w:rFonts w:cs="Arial"/>
                <w:sz w:val="20"/>
              </w:rPr>
            </w:pPr>
            <w:r w:rsidRPr="00954262">
              <w:rPr>
                <w:rFonts w:cs="Arial"/>
                <w:sz w:val="20"/>
              </w:rPr>
              <w:t>Pokud jde o členské státy, které nepřijaly euro, částka v národní měně odpovídající částkám uvedeným v odstavcích 1 až 7 se vypočte pomocí směnného kurzu zveřejněného v Úředním věstníku Evropské unie ke dni vstupu v platnost jakékoli směrnice, kterou se tyto částky stanoví.</w:t>
            </w:r>
          </w:p>
          <w:p w14:paraId="45B7C2C0" w14:textId="77777777" w:rsidR="00353BDC" w:rsidRPr="00874B53" w:rsidRDefault="00353BDC" w:rsidP="00401306">
            <w:pPr>
              <w:tabs>
                <w:tab w:val="left" w:pos="360"/>
              </w:tabs>
              <w:rPr>
                <w:rFonts w:cs="Arial"/>
                <w:sz w:val="20"/>
              </w:rPr>
            </w:pPr>
            <w:r w:rsidRPr="00954262">
              <w:rPr>
                <w:rFonts w:cs="Arial"/>
                <w:sz w:val="20"/>
              </w:rPr>
              <w:t>Pro účely převodu na národní měny členských států, které nepřijaly euro, mohou být částky v eurech uvedené v odstavcích 1, 3, 4, 6 a 7 v zájmu dosažení zaokrouhlených částek v národních měnách zvýšeny nebo sníženy nejvýše o 5 %.</w:t>
            </w:r>
          </w:p>
        </w:tc>
      </w:tr>
      <w:tr w:rsidR="00353BDC" w:rsidRPr="00FA795B" w14:paraId="68E14D63" w14:textId="77777777" w:rsidTr="00401306">
        <w:trPr>
          <w:cantSplit/>
        </w:trPr>
        <w:tc>
          <w:tcPr>
            <w:tcW w:w="1418" w:type="dxa"/>
            <w:tcBorders>
              <w:bottom w:val="nil"/>
            </w:tcBorders>
          </w:tcPr>
          <w:p w14:paraId="4CFBA06A" w14:textId="77777777" w:rsidR="00353BDC" w:rsidRPr="00827382" w:rsidRDefault="00353BDC" w:rsidP="00401306">
            <w:pPr>
              <w:tabs>
                <w:tab w:val="left" w:pos="360"/>
              </w:tabs>
              <w:rPr>
                <w:rFonts w:cs="Arial"/>
                <w:sz w:val="20"/>
              </w:rPr>
            </w:pPr>
            <w:r>
              <w:rPr>
                <w:rFonts w:cs="Arial"/>
                <w:sz w:val="20"/>
              </w:rPr>
              <w:t>§ 1c odst. 2</w:t>
            </w:r>
          </w:p>
        </w:tc>
        <w:tc>
          <w:tcPr>
            <w:tcW w:w="5245" w:type="dxa"/>
            <w:tcBorders>
              <w:bottom w:val="nil"/>
            </w:tcBorders>
          </w:tcPr>
          <w:p w14:paraId="6C45DF6B" w14:textId="77777777" w:rsidR="00353BDC" w:rsidRDefault="00353BDC" w:rsidP="00401306">
            <w:pPr>
              <w:tabs>
                <w:tab w:val="left" w:pos="360"/>
              </w:tabs>
              <w:rPr>
                <w:rFonts w:cs="Arial"/>
                <w:sz w:val="20"/>
              </w:rPr>
            </w:pPr>
            <w:r>
              <w:rPr>
                <w:rFonts w:cs="Arial"/>
                <w:sz w:val="20"/>
              </w:rPr>
              <w:t>Střední skupinou účetních jednotek je ta, která není malou skupinou účetních jednotek a sestává z konsolidující účetní jednotky a konsolidovaných účetních jednotek a která na konsolidovaném základě nepřekračuje k rozvahovému dni alespoň 2 z uvedených hraničních hodnot</w:t>
            </w:r>
          </w:p>
          <w:p w14:paraId="4F98EEB3" w14:textId="77777777" w:rsidR="00353BDC" w:rsidRDefault="00353BDC" w:rsidP="00401306">
            <w:pPr>
              <w:tabs>
                <w:tab w:val="left" w:pos="360"/>
              </w:tabs>
              <w:rPr>
                <w:rFonts w:cs="Arial"/>
                <w:sz w:val="20"/>
              </w:rPr>
            </w:pPr>
            <w:r>
              <w:rPr>
                <w:rFonts w:cs="Arial"/>
                <w:sz w:val="20"/>
              </w:rPr>
              <w:t xml:space="preserve">a) aktiva celkem </w:t>
            </w:r>
            <w:r>
              <w:rPr>
                <w:rFonts w:cs="Arial"/>
                <w:b/>
                <w:sz w:val="20"/>
                <w:u w:val="single"/>
              </w:rPr>
              <w:t>600 000 000 Kč</w:t>
            </w:r>
            <w:r>
              <w:rPr>
                <w:rFonts w:cs="Arial"/>
                <w:sz w:val="20"/>
              </w:rPr>
              <w:t>,</w:t>
            </w:r>
          </w:p>
          <w:p w14:paraId="390A3958" w14:textId="77777777" w:rsidR="00353BDC" w:rsidRDefault="00353BDC" w:rsidP="00401306">
            <w:pPr>
              <w:tabs>
                <w:tab w:val="left" w:pos="360"/>
              </w:tabs>
              <w:rPr>
                <w:rFonts w:cs="Arial"/>
                <w:sz w:val="20"/>
              </w:rPr>
            </w:pPr>
            <w:r>
              <w:rPr>
                <w:rFonts w:cs="Arial"/>
                <w:sz w:val="20"/>
              </w:rPr>
              <w:t xml:space="preserve">b) roční úhrn čistého obratu </w:t>
            </w:r>
            <w:r w:rsidRPr="00150DC5">
              <w:rPr>
                <w:rFonts w:cs="Arial"/>
                <w:b/>
                <w:sz w:val="20"/>
                <w:u w:val="single"/>
              </w:rPr>
              <w:t>1 </w:t>
            </w:r>
            <w:r>
              <w:rPr>
                <w:rFonts w:cs="Arial"/>
                <w:b/>
                <w:sz w:val="20"/>
                <w:u w:val="single"/>
              </w:rPr>
              <w:t>200 000 000 Kč</w:t>
            </w:r>
            <w:r>
              <w:rPr>
                <w:rFonts w:cs="Arial"/>
                <w:sz w:val="20"/>
              </w:rPr>
              <w:t>,</w:t>
            </w:r>
          </w:p>
          <w:p w14:paraId="5846C985" w14:textId="77777777" w:rsidR="00353BDC" w:rsidRPr="00827382" w:rsidRDefault="00353BDC" w:rsidP="00401306">
            <w:pPr>
              <w:tabs>
                <w:tab w:val="left" w:pos="360"/>
              </w:tabs>
              <w:rPr>
                <w:rFonts w:cs="Arial"/>
                <w:sz w:val="20"/>
              </w:rPr>
            </w:pPr>
            <w:r>
              <w:rPr>
                <w:rFonts w:cs="Arial"/>
                <w:sz w:val="20"/>
              </w:rPr>
              <w:t>c) průměrný počet zaměstnanců v průběhu účetního období 250.</w:t>
            </w:r>
          </w:p>
        </w:tc>
        <w:tc>
          <w:tcPr>
            <w:tcW w:w="1276" w:type="dxa"/>
            <w:tcBorders>
              <w:bottom w:val="nil"/>
            </w:tcBorders>
          </w:tcPr>
          <w:p w14:paraId="2EADEA61" w14:textId="77777777" w:rsidR="00353BDC" w:rsidRPr="00827382" w:rsidRDefault="00353BDC" w:rsidP="00401306">
            <w:pPr>
              <w:tabs>
                <w:tab w:val="left" w:pos="360"/>
              </w:tabs>
              <w:rPr>
                <w:rFonts w:cs="Arial"/>
                <w:sz w:val="20"/>
              </w:rPr>
            </w:pPr>
            <w:r>
              <w:rPr>
                <w:rFonts w:cs="Arial"/>
                <w:sz w:val="20"/>
              </w:rPr>
              <w:t>32013L0034 ve znění 32023L2775</w:t>
            </w:r>
          </w:p>
        </w:tc>
        <w:tc>
          <w:tcPr>
            <w:tcW w:w="1559" w:type="dxa"/>
            <w:tcBorders>
              <w:bottom w:val="nil"/>
            </w:tcBorders>
            <w:shd w:val="clear" w:color="auto" w:fill="auto"/>
          </w:tcPr>
          <w:p w14:paraId="610556C4" w14:textId="77777777" w:rsidR="00353BDC" w:rsidRPr="00827382" w:rsidRDefault="00353BDC" w:rsidP="00401306">
            <w:pPr>
              <w:tabs>
                <w:tab w:val="left" w:pos="360"/>
              </w:tabs>
              <w:rPr>
                <w:rFonts w:cs="Arial"/>
                <w:sz w:val="20"/>
              </w:rPr>
            </w:pPr>
            <w:r>
              <w:rPr>
                <w:rFonts w:cs="Arial"/>
                <w:sz w:val="20"/>
              </w:rPr>
              <w:t>Čl. 3 odst. 6</w:t>
            </w:r>
          </w:p>
        </w:tc>
        <w:tc>
          <w:tcPr>
            <w:tcW w:w="4678" w:type="dxa"/>
            <w:tcBorders>
              <w:bottom w:val="nil"/>
            </w:tcBorders>
            <w:shd w:val="clear" w:color="auto" w:fill="auto"/>
          </w:tcPr>
          <w:p w14:paraId="24DE7AA4" w14:textId="77777777" w:rsidR="00353BDC" w:rsidRPr="00E65697" w:rsidRDefault="00353BDC" w:rsidP="00401306">
            <w:pPr>
              <w:tabs>
                <w:tab w:val="left" w:pos="360"/>
              </w:tabs>
              <w:rPr>
                <w:rFonts w:cs="Arial"/>
                <w:sz w:val="20"/>
              </w:rPr>
            </w:pPr>
            <w:r>
              <w:rPr>
                <w:rFonts w:cs="Arial"/>
                <w:sz w:val="20"/>
              </w:rPr>
              <w:t>Střední skupiny</w:t>
            </w:r>
            <w:r w:rsidRPr="00E65697">
              <w:rPr>
                <w:rFonts w:cs="Arial"/>
                <w:sz w:val="20"/>
              </w:rPr>
              <w:t xml:space="preserve"> jsou</w:t>
            </w:r>
            <w:r>
              <w:rPr>
                <w:rFonts w:cs="Arial"/>
                <w:sz w:val="20"/>
              </w:rPr>
              <w:t xml:space="preserve"> skupiny, které nejsou malými skupinami, které sestávají z mateřského podniku a dceřiných podniků, jež mají být zahrnuty do konsolidace, a</w:t>
            </w:r>
            <w:r w:rsidRPr="00E65697">
              <w:rPr>
                <w:rFonts w:cs="Arial"/>
                <w:sz w:val="20"/>
              </w:rPr>
              <w:t xml:space="preserve"> které</w:t>
            </w:r>
            <w:r>
              <w:rPr>
                <w:rFonts w:cs="Arial"/>
                <w:sz w:val="20"/>
              </w:rPr>
              <w:t xml:space="preserve"> na konsolidovaném základě nepřekračují k rozvahovému dni</w:t>
            </w:r>
            <w:r w:rsidRPr="00E65697">
              <w:rPr>
                <w:rFonts w:cs="Arial"/>
                <w:sz w:val="20"/>
              </w:rPr>
              <w:t xml:space="preserve"> alespoň dvě </w:t>
            </w:r>
            <w:r>
              <w:rPr>
                <w:rFonts w:cs="Arial"/>
                <w:sz w:val="20"/>
              </w:rPr>
              <w:t>z těchto tří hraničních hodnot:</w:t>
            </w:r>
          </w:p>
          <w:p w14:paraId="0613AC77" w14:textId="77777777" w:rsidR="00353BDC" w:rsidRPr="00E65697" w:rsidRDefault="00353BDC" w:rsidP="00401306">
            <w:pPr>
              <w:tabs>
                <w:tab w:val="left" w:pos="360"/>
              </w:tabs>
              <w:rPr>
                <w:rFonts w:cs="Arial"/>
                <w:sz w:val="20"/>
              </w:rPr>
            </w:pPr>
            <w:r>
              <w:rPr>
                <w:rFonts w:cs="Arial"/>
                <w:sz w:val="20"/>
              </w:rPr>
              <w:t>a) bilanční suma: 25 000 000 </w:t>
            </w:r>
            <w:r w:rsidRPr="00E65697">
              <w:rPr>
                <w:rFonts w:cs="Arial"/>
                <w:sz w:val="20"/>
              </w:rPr>
              <w:t xml:space="preserve">EUR, </w:t>
            </w:r>
          </w:p>
          <w:p w14:paraId="3BCBFE43" w14:textId="77777777" w:rsidR="00353BDC" w:rsidRPr="00E65697" w:rsidRDefault="00353BDC" w:rsidP="00401306">
            <w:pPr>
              <w:tabs>
                <w:tab w:val="left" w:pos="360"/>
              </w:tabs>
              <w:rPr>
                <w:rFonts w:cs="Arial"/>
                <w:sz w:val="20"/>
              </w:rPr>
            </w:pPr>
            <w:r>
              <w:rPr>
                <w:rFonts w:cs="Arial"/>
                <w:sz w:val="20"/>
              </w:rPr>
              <w:t>b) čistý obrat: 50 000 000 EUR,</w:t>
            </w:r>
            <w:r w:rsidRPr="00E65697">
              <w:rPr>
                <w:rFonts w:cs="Arial"/>
                <w:sz w:val="20"/>
              </w:rPr>
              <w:t xml:space="preserve"> </w:t>
            </w:r>
          </w:p>
          <w:p w14:paraId="1BE6308D" w14:textId="77777777" w:rsidR="00353BDC" w:rsidRPr="00827382" w:rsidRDefault="00353BDC" w:rsidP="00401306">
            <w:pPr>
              <w:tabs>
                <w:tab w:val="left" w:pos="360"/>
              </w:tabs>
              <w:rPr>
                <w:rFonts w:cs="Arial"/>
                <w:sz w:val="20"/>
              </w:rPr>
            </w:pPr>
            <w:r w:rsidRPr="00E65697">
              <w:rPr>
                <w:rFonts w:cs="Arial"/>
                <w:sz w:val="20"/>
              </w:rPr>
              <w:t xml:space="preserve">c) průměrný počet zaměstnanců během účetního období: </w:t>
            </w:r>
            <w:r>
              <w:rPr>
                <w:rFonts w:cs="Arial"/>
                <w:sz w:val="20"/>
              </w:rPr>
              <w:t>2</w:t>
            </w:r>
            <w:r w:rsidRPr="00E65697">
              <w:rPr>
                <w:rFonts w:cs="Arial"/>
                <w:sz w:val="20"/>
              </w:rPr>
              <w:t>50.</w:t>
            </w:r>
          </w:p>
        </w:tc>
      </w:tr>
      <w:tr w:rsidR="00353BDC" w:rsidRPr="00FA795B" w14:paraId="0038682C" w14:textId="77777777" w:rsidTr="00401306">
        <w:trPr>
          <w:cantSplit/>
        </w:trPr>
        <w:tc>
          <w:tcPr>
            <w:tcW w:w="1418" w:type="dxa"/>
            <w:tcBorders>
              <w:top w:val="nil"/>
              <w:bottom w:val="single" w:sz="4" w:space="0" w:color="auto"/>
            </w:tcBorders>
          </w:tcPr>
          <w:p w14:paraId="2662C9B3" w14:textId="77777777" w:rsidR="00353BDC" w:rsidRDefault="00353BDC" w:rsidP="00401306">
            <w:pPr>
              <w:tabs>
                <w:tab w:val="left" w:pos="360"/>
              </w:tabs>
              <w:rPr>
                <w:rFonts w:cs="Arial"/>
                <w:sz w:val="20"/>
              </w:rPr>
            </w:pPr>
          </w:p>
        </w:tc>
        <w:tc>
          <w:tcPr>
            <w:tcW w:w="5245" w:type="dxa"/>
            <w:tcBorders>
              <w:top w:val="nil"/>
              <w:bottom w:val="single" w:sz="4" w:space="0" w:color="auto"/>
            </w:tcBorders>
          </w:tcPr>
          <w:p w14:paraId="36E09FBC" w14:textId="77777777" w:rsidR="00353BDC" w:rsidRDefault="00353BDC" w:rsidP="00401306">
            <w:pPr>
              <w:tabs>
                <w:tab w:val="left" w:pos="360"/>
              </w:tabs>
              <w:rPr>
                <w:rFonts w:cs="Arial"/>
                <w:sz w:val="20"/>
              </w:rPr>
            </w:pPr>
          </w:p>
        </w:tc>
        <w:tc>
          <w:tcPr>
            <w:tcW w:w="1276" w:type="dxa"/>
            <w:tcBorders>
              <w:top w:val="nil"/>
              <w:bottom w:val="single" w:sz="4" w:space="0" w:color="auto"/>
            </w:tcBorders>
          </w:tcPr>
          <w:p w14:paraId="625CC29E" w14:textId="77777777" w:rsidR="00353BDC" w:rsidRDefault="00353BDC" w:rsidP="00401306">
            <w:pPr>
              <w:tabs>
                <w:tab w:val="left" w:pos="360"/>
              </w:tabs>
              <w:rPr>
                <w:rFonts w:cs="Arial"/>
                <w:sz w:val="20"/>
              </w:rPr>
            </w:pPr>
            <w:r>
              <w:rPr>
                <w:rFonts w:cs="Arial"/>
                <w:sz w:val="20"/>
              </w:rPr>
              <w:t>32013L0034</w:t>
            </w:r>
          </w:p>
        </w:tc>
        <w:tc>
          <w:tcPr>
            <w:tcW w:w="1559" w:type="dxa"/>
            <w:tcBorders>
              <w:top w:val="nil"/>
              <w:bottom w:val="single" w:sz="4" w:space="0" w:color="auto"/>
            </w:tcBorders>
            <w:shd w:val="clear" w:color="auto" w:fill="auto"/>
          </w:tcPr>
          <w:p w14:paraId="1BA300A4" w14:textId="77777777" w:rsidR="00353BDC" w:rsidRDefault="00353BDC" w:rsidP="00401306">
            <w:pPr>
              <w:tabs>
                <w:tab w:val="left" w:pos="360"/>
              </w:tabs>
              <w:rPr>
                <w:rFonts w:cs="Arial"/>
                <w:sz w:val="20"/>
              </w:rPr>
            </w:pPr>
            <w:r>
              <w:rPr>
                <w:rFonts w:cs="Arial"/>
                <w:sz w:val="20"/>
              </w:rPr>
              <w:t>Čl. 3 odst. 9</w:t>
            </w:r>
          </w:p>
        </w:tc>
        <w:tc>
          <w:tcPr>
            <w:tcW w:w="4678" w:type="dxa"/>
            <w:tcBorders>
              <w:top w:val="nil"/>
              <w:bottom w:val="single" w:sz="4" w:space="0" w:color="auto"/>
            </w:tcBorders>
            <w:shd w:val="clear" w:color="auto" w:fill="auto"/>
          </w:tcPr>
          <w:p w14:paraId="575C53DE" w14:textId="77777777" w:rsidR="00353BDC" w:rsidRDefault="00353BDC" w:rsidP="00401306">
            <w:pPr>
              <w:tabs>
                <w:tab w:val="left" w:pos="360"/>
              </w:tabs>
              <w:rPr>
                <w:rFonts w:cs="Arial"/>
                <w:sz w:val="20"/>
              </w:rPr>
            </w:pPr>
            <w:r w:rsidRPr="00954262">
              <w:rPr>
                <w:rFonts w:cs="Arial"/>
                <w:sz w:val="20"/>
              </w:rPr>
              <w:t>Pokud jde o členské státy, které nepřijaly euro, částka v národní měně odpovídající částkám uvedeným v odstavcích 1 až 7 se vypočte pomocí směnného kurzu zveřejněného v Úředním věstníku Evropské unie ke dni vstupu v platnost jakékoli směrnice, kterou se tyto částky stanoví.</w:t>
            </w:r>
          </w:p>
          <w:p w14:paraId="0C0A3FA6" w14:textId="77777777" w:rsidR="00353BDC" w:rsidRPr="00874B53" w:rsidRDefault="00353BDC" w:rsidP="00401306">
            <w:pPr>
              <w:tabs>
                <w:tab w:val="left" w:pos="360"/>
              </w:tabs>
              <w:rPr>
                <w:rFonts w:cs="Arial"/>
                <w:sz w:val="20"/>
              </w:rPr>
            </w:pPr>
            <w:r w:rsidRPr="00954262">
              <w:rPr>
                <w:rFonts w:cs="Arial"/>
                <w:sz w:val="20"/>
              </w:rPr>
              <w:t>Pro účely převodu na národní měny členských států, které nepřijaly euro, mohou být částky v eurech uvedené v odstavcích 1, 3, 4, 6 a 7 v zájmu dosažení zaokrouhlených částek v národních měnách zvýšeny nebo sníženy nejvýše o 5 %.</w:t>
            </w:r>
          </w:p>
        </w:tc>
      </w:tr>
      <w:tr w:rsidR="00353BDC" w:rsidRPr="00FA795B" w14:paraId="66CC0F2A" w14:textId="77777777" w:rsidTr="00401306">
        <w:trPr>
          <w:cantSplit/>
        </w:trPr>
        <w:tc>
          <w:tcPr>
            <w:tcW w:w="1418" w:type="dxa"/>
            <w:tcBorders>
              <w:top w:val="single" w:sz="4" w:space="0" w:color="auto"/>
              <w:bottom w:val="nil"/>
            </w:tcBorders>
          </w:tcPr>
          <w:p w14:paraId="0F01218D" w14:textId="77777777" w:rsidR="00353BDC" w:rsidRDefault="00353BDC" w:rsidP="00401306">
            <w:pPr>
              <w:tabs>
                <w:tab w:val="left" w:pos="360"/>
              </w:tabs>
              <w:rPr>
                <w:rFonts w:cs="Arial"/>
                <w:sz w:val="20"/>
              </w:rPr>
            </w:pPr>
            <w:r>
              <w:rPr>
                <w:rFonts w:cs="Arial"/>
                <w:sz w:val="20"/>
              </w:rPr>
              <w:lastRenderedPageBreak/>
              <w:t>§ 21 odst. 3</w:t>
            </w:r>
          </w:p>
        </w:tc>
        <w:tc>
          <w:tcPr>
            <w:tcW w:w="5245" w:type="dxa"/>
            <w:tcBorders>
              <w:top w:val="single" w:sz="4" w:space="0" w:color="auto"/>
              <w:bottom w:val="nil"/>
            </w:tcBorders>
          </w:tcPr>
          <w:p w14:paraId="3970CF3A" w14:textId="77777777" w:rsidR="00353BDC" w:rsidRPr="00DA6DFF" w:rsidRDefault="00353BDC" w:rsidP="00401306">
            <w:pPr>
              <w:tabs>
                <w:tab w:val="left" w:pos="360"/>
              </w:tabs>
              <w:rPr>
                <w:rFonts w:cs="Arial"/>
                <w:b/>
                <w:sz w:val="20"/>
                <w:u w:val="single"/>
              </w:rPr>
            </w:pPr>
            <w:r w:rsidRPr="00DA6DFF">
              <w:rPr>
                <w:rFonts w:cs="Arial"/>
                <w:b/>
                <w:sz w:val="20"/>
                <w:u w:val="single"/>
              </w:rPr>
              <w:t>Výroční zpráva obsahuje také informace o nehmotných zdrojích, na kterých zásadně závisí obchodní model účetní jednotky a které jsou pro ni zdrojem tvorby hodnoty, a to včetně vysvětlení, jak jsou tyto nehmotné zdroje pro její obchodní model zásadní a jakým způsobem jsou pro ni zdrojem tvorby hodnoty, jedná-li se o účetní jednotku, která je obchodní společností nebo družstvem, jde-li o spořitelní a úvěrní družstvo nebo pojišťovnu, a která</w:t>
            </w:r>
          </w:p>
          <w:p w14:paraId="37CAC456" w14:textId="77777777" w:rsidR="00353BDC" w:rsidRPr="00DA6DFF" w:rsidRDefault="00353BDC" w:rsidP="00401306">
            <w:pPr>
              <w:tabs>
                <w:tab w:val="left" w:pos="360"/>
              </w:tabs>
              <w:rPr>
                <w:rFonts w:cs="Arial"/>
                <w:b/>
                <w:sz w:val="20"/>
                <w:u w:val="single"/>
              </w:rPr>
            </w:pPr>
            <w:r w:rsidRPr="00DA6DFF">
              <w:rPr>
                <w:rFonts w:cs="Arial"/>
                <w:b/>
                <w:sz w:val="20"/>
                <w:u w:val="single"/>
              </w:rPr>
              <w:t>a) splňuje kritéria pro</w:t>
            </w:r>
            <w:r>
              <w:rPr>
                <w:rFonts w:cs="Arial"/>
                <w:b/>
                <w:sz w:val="20"/>
                <w:u w:val="single"/>
              </w:rPr>
              <w:t xml:space="preserve"> velkou účetní jednotku podle § </w:t>
            </w:r>
            <w:r w:rsidRPr="00DA6DFF">
              <w:rPr>
                <w:rFonts w:cs="Arial"/>
                <w:b/>
                <w:sz w:val="20"/>
                <w:u w:val="single"/>
              </w:rPr>
              <w:t>1b odst. 4, nebo</w:t>
            </w:r>
          </w:p>
          <w:p w14:paraId="78DAE23E" w14:textId="77777777" w:rsidR="00353BDC" w:rsidRDefault="00353BDC" w:rsidP="00401306">
            <w:pPr>
              <w:tabs>
                <w:tab w:val="left" w:pos="360"/>
              </w:tabs>
              <w:rPr>
                <w:rFonts w:cs="Arial"/>
                <w:sz w:val="20"/>
              </w:rPr>
            </w:pPr>
            <w:r w:rsidRPr="00DA6DFF">
              <w:rPr>
                <w:rFonts w:cs="Arial"/>
                <w:b/>
                <w:sz w:val="20"/>
                <w:u w:val="single"/>
              </w:rPr>
              <w:t>b) je emitentem investičních cenných papírů přijatých k obchodování na evropském regulovaném trhu a nesplňuje kritéria pro mikro účetní jednotku podle § 1b odst. 1.</w:t>
            </w:r>
          </w:p>
        </w:tc>
        <w:tc>
          <w:tcPr>
            <w:tcW w:w="1276" w:type="dxa"/>
            <w:tcBorders>
              <w:top w:val="single" w:sz="4" w:space="0" w:color="auto"/>
              <w:bottom w:val="nil"/>
            </w:tcBorders>
          </w:tcPr>
          <w:p w14:paraId="00265DE9"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nil"/>
            </w:tcBorders>
            <w:shd w:val="clear" w:color="auto" w:fill="auto"/>
          </w:tcPr>
          <w:p w14:paraId="5AED7102" w14:textId="77777777" w:rsidR="00353BDC" w:rsidRDefault="00353BDC" w:rsidP="00401306">
            <w:pPr>
              <w:tabs>
                <w:tab w:val="left" w:pos="360"/>
              </w:tabs>
              <w:rPr>
                <w:rFonts w:cs="Arial"/>
                <w:sz w:val="20"/>
              </w:rPr>
            </w:pPr>
            <w:r>
              <w:rPr>
                <w:rFonts w:cs="Arial"/>
                <w:sz w:val="20"/>
              </w:rPr>
              <w:t>Čl. 19 odst. 1 čtvrtý pododstavec</w:t>
            </w:r>
          </w:p>
        </w:tc>
        <w:tc>
          <w:tcPr>
            <w:tcW w:w="4678" w:type="dxa"/>
            <w:tcBorders>
              <w:top w:val="single" w:sz="4" w:space="0" w:color="auto"/>
              <w:bottom w:val="nil"/>
            </w:tcBorders>
            <w:shd w:val="clear" w:color="auto" w:fill="auto"/>
          </w:tcPr>
          <w:p w14:paraId="621550DD" w14:textId="77777777" w:rsidR="00353BDC" w:rsidRPr="00954262" w:rsidRDefault="00353BDC" w:rsidP="00401306">
            <w:pPr>
              <w:tabs>
                <w:tab w:val="left" w:pos="360"/>
              </w:tabs>
              <w:rPr>
                <w:rFonts w:cs="Arial"/>
                <w:sz w:val="20"/>
              </w:rPr>
            </w:pPr>
            <w:r w:rsidRPr="00634295">
              <w:rPr>
                <w:rFonts w:cs="Arial"/>
                <w:sz w:val="20"/>
              </w:rPr>
              <w:t xml:space="preserve">Velké podniky a malé a střední podniky, s výjimkou </w:t>
            </w:r>
            <w:proofErr w:type="spellStart"/>
            <w:r w:rsidRPr="00634295">
              <w:rPr>
                <w:rFonts w:cs="Arial"/>
                <w:sz w:val="20"/>
              </w:rPr>
              <w:t>mikropodniků</w:t>
            </w:r>
            <w:proofErr w:type="spellEnd"/>
            <w:r w:rsidRPr="00634295">
              <w:rPr>
                <w:rFonts w:cs="Arial"/>
                <w:sz w:val="20"/>
              </w:rPr>
              <w:t>, které jsou subjekty veřejného zájmu ve smyslu čl. 2 bodu 1 písm. a), uvedou informace o klíčových nehmotných zdrojích a vysvětlí, jak obchodní model podniku zásadně závisí na těchto zdrojích a jak jsou tyto zdroje pro daný podnik zdrojem tvorby hodnoty.</w:t>
            </w:r>
          </w:p>
        </w:tc>
      </w:tr>
      <w:tr w:rsidR="00353BDC" w:rsidRPr="00FA795B" w14:paraId="7EF036CD" w14:textId="77777777" w:rsidTr="00401306">
        <w:trPr>
          <w:cantSplit/>
        </w:trPr>
        <w:tc>
          <w:tcPr>
            <w:tcW w:w="1418" w:type="dxa"/>
            <w:tcBorders>
              <w:top w:val="nil"/>
              <w:bottom w:val="nil"/>
            </w:tcBorders>
          </w:tcPr>
          <w:p w14:paraId="3D6EB924" w14:textId="77777777" w:rsidR="00353BDC" w:rsidRDefault="00353BDC" w:rsidP="00401306">
            <w:pPr>
              <w:tabs>
                <w:tab w:val="left" w:pos="360"/>
              </w:tabs>
              <w:rPr>
                <w:rFonts w:cs="Arial"/>
                <w:sz w:val="20"/>
              </w:rPr>
            </w:pPr>
          </w:p>
        </w:tc>
        <w:tc>
          <w:tcPr>
            <w:tcW w:w="5245" w:type="dxa"/>
            <w:tcBorders>
              <w:top w:val="nil"/>
              <w:bottom w:val="nil"/>
            </w:tcBorders>
          </w:tcPr>
          <w:p w14:paraId="5BC16FB8" w14:textId="77777777" w:rsidR="00353BDC" w:rsidRDefault="00353BDC" w:rsidP="00401306">
            <w:pPr>
              <w:tabs>
                <w:tab w:val="left" w:pos="360"/>
              </w:tabs>
              <w:rPr>
                <w:rFonts w:cs="Arial"/>
                <w:sz w:val="20"/>
              </w:rPr>
            </w:pPr>
          </w:p>
        </w:tc>
        <w:tc>
          <w:tcPr>
            <w:tcW w:w="1276" w:type="dxa"/>
            <w:tcBorders>
              <w:top w:val="nil"/>
              <w:bottom w:val="nil"/>
            </w:tcBorders>
          </w:tcPr>
          <w:p w14:paraId="26E7D749" w14:textId="77777777" w:rsidR="00353BDC" w:rsidRDefault="00353BDC" w:rsidP="00401306">
            <w:pPr>
              <w:tabs>
                <w:tab w:val="left" w:pos="360"/>
              </w:tabs>
              <w:rPr>
                <w:rFonts w:cs="Arial"/>
                <w:sz w:val="20"/>
              </w:rPr>
            </w:pPr>
            <w:r>
              <w:rPr>
                <w:rFonts w:cs="Arial"/>
                <w:sz w:val="20"/>
              </w:rPr>
              <w:t>31986L0635</w:t>
            </w:r>
          </w:p>
        </w:tc>
        <w:tc>
          <w:tcPr>
            <w:tcW w:w="1559" w:type="dxa"/>
            <w:tcBorders>
              <w:top w:val="nil"/>
              <w:bottom w:val="nil"/>
            </w:tcBorders>
            <w:shd w:val="clear" w:color="auto" w:fill="auto"/>
          </w:tcPr>
          <w:p w14:paraId="273AE583" w14:textId="77777777" w:rsidR="00353BDC" w:rsidRDefault="00353BDC" w:rsidP="00401306">
            <w:pPr>
              <w:tabs>
                <w:tab w:val="left" w:pos="360"/>
              </w:tabs>
              <w:rPr>
                <w:rFonts w:cs="Arial"/>
                <w:sz w:val="20"/>
              </w:rPr>
            </w:pPr>
            <w:r>
              <w:rPr>
                <w:rFonts w:cs="Arial"/>
                <w:sz w:val="20"/>
              </w:rPr>
              <w:t>Čl. 1 odst. 1</w:t>
            </w:r>
          </w:p>
        </w:tc>
        <w:tc>
          <w:tcPr>
            <w:tcW w:w="4678" w:type="dxa"/>
            <w:tcBorders>
              <w:top w:val="nil"/>
              <w:bottom w:val="nil"/>
            </w:tcBorders>
            <w:shd w:val="clear" w:color="auto" w:fill="auto"/>
          </w:tcPr>
          <w:p w14:paraId="19838BD6" w14:textId="77777777" w:rsidR="00353BDC" w:rsidRPr="005C3B16" w:rsidRDefault="00353BDC" w:rsidP="00401306">
            <w:pPr>
              <w:tabs>
                <w:tab w:val="left" w:pos="360"/>
              </w:tabs>
              <w:rPr>
                <w:rFonts w:cs="Arial"/>
                <w:sz w:val="20"/>
              </w:rPr>
            </w:pPr>
            <w:r w:rsidRPr="005C3B16">
              <w:rPr>
                <w:rFonts w:cs="Arial"/>
                <w:sz w:val="20"/>
              </w:rPr>
              <w:t>Nestanoví-li tato směrnice jinak, použijí se na instituce</w:t>
            </w:r>
          </w:p>
          <w:p w14:paraId="669861E3" w14:textId="77777777" w:rsidR="00353BDC" w:rsidRPr="00634295" w:rsidRDefault="00353BDC" w:rsidP="00401306">
            <w:pPr>
              <w:tabs>
                <w:tab w:val="left" w:pos="360"/>
              </w:tabs>
              <w:rPr>
                <w:rFonts w:cs="Arial"/>
                <w:sz w:val="20"/>
              </w:rPr>
            </w:pPr>
            <w:r w:rsidRPr="005C3B16">
              <w:rPr>
                <w:rFonts w:cs="Arial"/>
                <w:sz w:val="20"/>
              </w:rPr>
              <w:t xml:space="preserve">uvedené v článku 2 této směrnice články 2, 3, čl. 4 odst. 1, 3 až </w:t>
            </w:r>
            <w:r>
              <w:rPr>
                <w:rFonts w:cs="Arial"/>
                <w:sz w:val="20"/>
              </w:rPr>
              <w:t xml:space="preserve">6, </w:t>
            </w:r>
            <w:r w:rsidRPr="005C3B16">
              <w:rPr>
                <w:rFonts w:cs="Arial"/>
                <w:sz w:val="20"/>
              </w:rPr>
              <w:t>články 6, 7, 13, 14, čl. 15 odst. 3 a 4, články 16 až 21, 29 až 35, 37 a</w:t>
            </w:r>
            <w:r>
              <w:rPr>
                <w:rFonts w:cs="Arial"/>
                <w:sz w:val="20"/>
              </w:rPr>
              <w:t xml:space="preserve">ž </w:t>
            </w:r>
            <w:r w:rsidRPr="005C3B16">
              <w:rPr>
                <w:rFonts w:cs="Arial"/>
                <w:sz w:val="20"/>
              </w:rPr>
              <w:t xml:space="preserve">41, čl. 42 první věta, čl. 42a až 42f, čl. 45 odst. 1, </w:t>
            </w:r>
            <w:r w:rsidRPr="005C3B16">
              <w:rPr>
                <w:rFonts w:cs="Arial"/>
                <w:b/>
                <w:sz w:val="20"/>
              </w:rPr>
              <w:t>čl. 46 odst. 1 a 2</w:t>
            </w:r>
            <w:r>
              <w:rPr>
                <w:rFonts w:cs="Arial"/>
                <w:sz w:val="20"/>
              </w:rPr>
              <w:t xml:space="preserve">, </w:t>
            </w:r>
            <w:r w:rsidRPr="005C3B16">
              <w:rPr>
                <w:rFonts w:cs="Arial"/>
                <w:sz w:val="20"/>
              </w:rPr>
              <w:t>články 46a, 48 až 50, 50a, 50b, 50c, čl. 51 odst. 1 a články 51a, 56 a</w:t>
            </w:r>
            <w:r>
              <w:rPr>
                <w:rFonts w:cs="Arial"/>
                <w:sz w:val="20"/>
              </w:rPr>
              <w:t xml:space="preserve">ž </w:t>
            </w:r>
            <w:r w:rsidRPr="005C3B16">
              <w:rPr>
                <w:rFonts w:cs="Arial"/>
                <w:sz w:val="20"/>
              </w:rPr>
              <w:t>59, 60a, 61 a 61a směrnice 78/660/EHS.</w:t>
            </w:r>
          </w:p>
        </w:tc>
      </w:tr>
      <w:tr w:rsidR="00353BDC" w:rsidRPr="00FA795B" w14:paraId="64EEA67D" w14:textId="77777777" w:rsidTr="00401306">
        <w:trPr>
          <w:cantSplit/>
        </w:trPr>
        <w:tc>
          <w:tcPr>
            <w:tcW w:w="1418" w:type="dxa"/>
            <w:tcBorders>
              <w:top w:val="nil"/>
              <w:bottom w:val="nil"/>
            </w:tcBorders>
          </w:tcPr>
          <w:p w14:paraId="6073418B" w14:textId="77777777" w:rsidR="00353BDC" w:rsidRDefault="00353BDC" w:rsidP="00401306">
            <w:pPr>
              <w:tabs>
                <w:tab w:val="left" w:pos="360"/>
              </w:tabs>
              <w:rPr>
                <w:rFonts w:cs="Arial"/>
                <w:sz w:val="20"/>
              </w:rPr>
            </w:pPr>
          </w:p>
        </w:tc>
        <w:tc>
          <w:tcPr>
            <w:tcW w:w="5245" w:type="dxa"/>
            <w:tcBorders>
              <w:top w:val="nil"/>
              <w:bottom w:val="nil"/>
            </w:tcBorders>
          </w:tcPr>
          <w:p w14:paraId="40A66111" w14:textId="77777777" w:rsidR="00353BDC" w:rsidRDefault="00353BDC" w:rsidP="00401306">
            <w:pPr>
              <w:tabs>
                <w:tab w:val="left" w:pos="360"/>
              </w:tabs>
              <w:rPr>
                <w:rFonts w:cs="Arial"/>
                <w:sz w:val="20"/>
              </w:rPr>
            </w:pPr>
          </w:p>
        </w:tc>
        <w:tc>
          <w:tcPr>
            <w:tcW w:w="1276" w:type="dxa"/>
            <w:tcBorders>
              <w:top w:val="nil"/>
              <w:bottom w:val="nil"/>
            </w:tcBorders>
          </w:tcPr>
          <w:p w14:paraId="49E68E69" w14:textId="77777777" w:rsidR="00353BDC" w:rsidRDefault="00353BDC" w:rsidP="00401306">
            <w:pPr>
              <w:tabs>
                <w:tab w:val="left" w:pos="360"/>
              </w:tabs>
              <w:rPr>
                <w:rFonts w:cs="Arial"/>
                <w:sz w:val="20"/>
              </w:rPr>
            </w:pPr>
            <w:r>
              <w:rPr>
                <w:rFonts w:cs="Arial"/>
                <w:sz w:val="20"/>
              </w:rPr>
              <w:t>31991L0674</w:t>
            </w:r>
          </w:p>
        </w:tc>
        <w:tc>
          <w:tcPr>
            <w:tcW w:w="1559" w:type="dxa"/>
            <w:tcBorders>
              <w:top w:val="nil"/>
              <w:bottom w:val="nil"/>
            </w:tcBorders>
            <w:shd w:val="clear" w:color="auto" w:fill="auto"/>
          </w:tcPr>
          <w:p w14:paraId="2CF225B1" w14:textId="77777777" w:rsidR="00353BDC" w:rsidRDefault="00353BDC" w:rsidP="00401306">
            <w:pPr>
              <w:tabs>
                <w:tab w:val="left" w:pos="360"/>
              </w:tabs>
              <w:rPr>
                <w:rFonts w:cs="Arial"/>
                <w:sz w:val="20"/>
              </w:rPr>
            </w:pPr>
            <w:r>
              <w:rPr>
                <w:rFonts w:cs="Arial"/>
                <w:sz w:val="20"/>
              </w:rPr>
              <w:t>Čl. 1 odst. 1</w:t>
            </w:r>
          </w:p>
        </w:tc>
        <w:tc>
          <w:tcPr>
            <w:tcW w:w="4678" w:type="dxa"/>
            <w:tcBorders>
              <w:top w:val="nil"/>
              <w:bottom w:val="nil"/>
            </w:tcBorders>
            <w:shd w:val="clear" w:color="auto" w:fill="auto"/>
          </w:tcPr>
          <w:p w14:paraId="609CBF15" w14:textId="77777777" w:rsidR="00353BDC" w:rsidRPr="00F932D2" w:rsidRDefault="00353BDC" w:rsidP="00401306">
            <w:pPr>
              <w:tabs>
                <w:tab w:val="left" w:pos="360"/>
              </w:tabs>
              <w:rPr>
                <w:rFonts w:cs="Arial"/>
                <w:sz w:val="20"/>
              </w:rPr>
            </w:pPr>
            <w:r w:rsidRPr="00F932D2">
              <w:rPr>
                <w:rFonts w:cs="Arial"/>
                <w:sz w:val="20"/>
              </w:rPr>
              <w:t>Nestanoví-li tato směrnice jinak, použ</w:t>
            </w:r>
            <w:r>
              <w:rPr>
                <w:rFonts w:cs="Arial"/>
                <w:sz w:val="20"/>
              </w:rPr>
              <w:t xml:space="preserve">ijí se na podniky </w:t>
            </w:r>
            <w:r w:rsidRPr="00F932D2">
              <w:rPr>
                <w:rFonts w:cs="Arial"/>
                <w:sz w:val="20"/>
              </w:rPr>
              <w:t xml:space="preserve">uvedené v článku 2 </w:t>
            </w:r>
            <w:proofErr w:type="gramStart"/>
            <w:r w:rsidRPr="00F932D2">
              <w:rPr>
                <w:rFonts w:cs="Arial"/>
                <w:sz w:val="20"/>
              </w:rPr>
              <w:t>této</w:t>
            </w:r>
            <w:proofErr w:type="gramEnd"/>
            <w:r w:rsidRPr="00F932D2">
              <w:rPr>
                <w:rFonts w:cs="Arial"/>
                <w:sz w:val="20"/>
              </w:rPr>
              <w:t xml:space="preserve"> směrnice články 2, 3, čl. 4 odst. 1, 3 až </w:t>
            </w:r>
            <w:r>
              <w:rPr>
                <w:rFonts w:cs="Arial"/>
                <w:sz w:val="20"/>
              </w:rPr>
              <w:t xml:space="preserve">6, </w:t>
            </w:r>
            <w:r w:rsidRPr="00F932D2">
              <w:rPr>
                <w:rFonts w:cs="Arial"/>
                <w:sz w:val="20"/>
              </w:rPr>
              <w:t>články 6, 7, 13, 14, čl. 15 odst. 3 a 4, články 16 až 21, 29 až 35, 37 až</w:t>
            </w:r>
          </w:p>
          <w:p w14:paraId="785B62EA" w14:textId="77777777" w:rsidR="00353BDC" w:rsidRPr="00634295" w:rsidRDefault="00353BDC" w:rsidP="00401306">
            <w:pPr>
              <w:tabs>
                <w:tab w:val="left" w:pos="360"/>
              </w:tabs>
              <w:rPr>
                <w:rFonts w:cs="Arial"/>
                <w:sz w:val="20"/>
              </w:rPr>
            </w:pPr>
            <w:r w:rsidRPr="00F932D2">
              <w:rPr>
                <w:rFonts w:cs="Arial"/>
                <w:sz w:val="20"/>
              </w:rPr>
              <w:t>41, 42, 42a až 42f, čl. 43 odst. 1 body 1 až 7b a 9 až 14, č</w:t>
            </w:r>
            <w:r>
              <w:rPr>
                <w:rFonts w:cs="Arial"/>
                <w:sz w:val="20"/>
              </w:rPr>
              <w:t xml:space="preserve">l. 45 odst. 1, </w:t>
            </w:r>
            <w:r w:rsidRPr="00F932D2">
              <w:rPr>
                <w:rFonts w:cs="Arial"/>
                <w:sz w:val="20"/>
              </w:rPr>
              <w:t xml:space="preserve">čl. </w:t>
            </w:r>
            <w:r w:rsidRPr="00F932D2">
              <w:rPr>
                <w:rFonts w:cs="Arial"/>
                <w:b/>
                <w:sz w:val="20"/>
              </w:rPr>
              <w:t>46 odst. 1 a 2</w:t>
            </w:r>
            <w:r w:rsidRPr="00F932D2">
              <w:rPr>
                <w:rFonts w:cs="Arial"/>
                <w:sz w:val="20"/>
              </w:rPr>
              <w:t>, články 46a, 48 až 50, 50a, 50b, 50c, č</w:t>
            </w:r>
            <w:r>
              <w:rPr>
                <w:rFonts w:cs="Arial"/>
                <w:sz w:val="20"/>
              </w:rPr>
              <w:t xml:space="preserve">l. 51 </w:t>
            </w:r>
            <w:r w:rsidRPr="00F932D2">
              <w:rPr>
                <w:rFonts w:cs="Arial"/>
                <w:sz w:val="20"/>
              </w:rPr>
              <w:t>odst. 1 a články 51a, 56 až 59, 60a, 61 a 61a smě</w:t>
            </w:r>
            <w:r>
              <w:rPr>
                <w:rFonts w:cs="Arial"/>
                <w:sz w:val="20"/>
              </w:rPr>
              <w:t>rnice 78/660/EHS.</w:t>
            </w:r>
          </w:p>
        </w:tc>
      </w:tr>
      <w:tr w:rsidR="00353BDC" w:rsidRPr="00FA795B" w14:paraId="1176C0AF" w14:textId="77777777" w:rsidTr="00401306">
        <w:trPr>
          <w:cantSplit/>
        </w:trPr>
        <w:tc>
          <w:tcPr>
            <w:tcW w:w="1418" w:type="dxa"/>
            <w:tcBorders>
              <w:top w:val="nil"/>
              <w:bottom w:val="single" w:sz="4" w:space="0" w:color="auto"/>
            </w:tcBorders>
          </w:tcPr>
          <w:p w14:paraId="3275F070" w14:textId="77777777" w:rsidR="00353BDC" w:rsidRDefault="00353BDC" w:rsidP="00401306">
            <w:pPr>
              <w:tabs>
                <w:tab w:val="left" w:pos="360"/>
              </w:tabs>
              <w:rPr>
                <w:rFonts w:cs="Arial"/>
                <w:sz w:val="20"/>
              </w:rPr>
            </w:pPr>
          </w:p>
        </w:tc>
        <w:tc>
          <w:tcPr>
            <w:tcW w:w="5245" w:type="dxa"/>
            <w:tcBorders>
              <w:top w:val="nil"/>
              <w:bottom w:val="single" w:sz="4" w:space="0" w:color="auto"/>
            </w:tcBorders>
          </w:tcPr>
          <w:p w14:paraId="7195C928" w14:textId="77777777" w:rsidR="00353BDC" w:rsidRDefault="00353BDC" w:rsidP="00401306">
            <w:pPr>
              <w:tabs>
                <w:tab w:val="left" w:pos="360"/>
              </w:tabs>
              <w:rPr>
                <w:rFonts w:cs="Arial"/>
                <w:sz w:val="20"/>
              </w:rPr>
            </w:pPr>
          </w:p>
        </w:tc>
        <w:tc>
          <w:tcPr>
            <w:tcW w:w="1276" w:type="dxa"/>
            <w:tcBorders>
              <w:top w:val="nil"/>
              <w:bottom w:val="single" w:sz="4" w:space="0" w:color="auto"/>
            </w:tcBorders>
          </w:tcPr>
          <w:p w14:paraId="1A5306E2" w14:textId="77777777" w:rsidR="00353BDC" w:rsidRDefault="00353BDC" w:rsidP="00401306">
            <w:pPr>
              <w:tabs>
                <w:tab w:val="left" w:pos="360"/>
              </w:tabs>
              <w:rPr>
                <w:rFonts w:cs="Arial"/>
                <w:sz w:val="20"/>
              </w:rPr>
            </w:pPr>
            <w:r>
              <w:rPr>
                <w:rFonts w:cs="Arial"/>
                <w:sz w:val="20"/>
              </w:rPr>
              <w:t>32013L0034</w:t>
            </w:r>
          </w:p>
        </w:tc>
        <w:tc>
          <w:tcPr>
            <w:tcW w:w="1559" w:type="dxa"/>
            <w:tcBorders>
              <w:top w:val="nil"/>
              <w:bottom w:val="single" w:sz="4" w:space="0" w:color="auto"/>
            </w:tcBorders>
            <w:shd w:val="clear" w:color="auto" w:fill="auto"/>
          </w:tcPr>
          <w:p w14:paraId="7E3BCF9C" w14:textId="77777777" w:rsidR="00353BDC" w:rsidRDefault="00353BDC" w:rsidP="00401306">
            <w:pPr>
              <w:tabs>
                <w:tab w:val="left" w:pos="360"/>
              </w:tabs>
              <w:rPr>
                <w:rFonts w:cs="Arial"/>
                <w:sz w:val="20"/>
              </w:rPr>
            </w:pPr>
            <w:r>
              <w:rPr>
                <w:rFonts w:cs="Arial"/>
                <w:sz w:val="20"/>
              </w:rPr>
              <w:t>Příloha VII</w:t>
            </w:r>
          </w:p>
        </w:tc>
        <w:tc>
          <w:tcPr>
            <w:tcW w:w="4678" w:type="dxa"/>
            <w:tcBorders>
              <w:top w:val="nil"/>
              <w:bottom w:val="single" w:sz="4" w:space="0" w:color="auto"/>
            </w:tcBorders>
            <w:shd w:val="clear" w:color="auto" w:fill="auto"/>
          </w:tcPr>
          <w:p w14:paraId="579886C3" w14:textId="77777777" w:rsidR="00353BDC" w:rsidRPr="00634295" w:rsidRDefault="00353BDC" w:rsidP="00401306">
            <w:pPr>
              <w:tabs>
                <w:tab w:val="left" w:pos="360"/>
              </w:tabs>
              <w:rPr>
                <w:rFonts w:cs="Arial"/>
                <w:sz w:val="20"/>
              </w:rPr>
            </w:pPr>
            <w:r>
              <w:rPr>
                <w:rFonts w:cs="Arial"/>
                <w:sz w:val="20"/>
              </w:rPr>
              <w:t>Článek 46 směrnice 78/660/EHS odpovídá čl. 19 směrnice 2013/34/EU</w:t>
            </w:r>
          </w:p>
        </w:tc>
      </w:tr>
      <w:tr w:rsidR="00353BDC" w:rsidRPr="00FA795B" w14:paraId="1F62191C" w14:textId="77777777" w:rsidTr="00401306">
        <w:trPr>
          <w:cantSplit/>
        </w:trPr>
        <w:tc>
          <w:tcPr>
            <w:tcW w:w="1418" w:type="dxa"/>
            <w:tcBorders>
              <w:top w:val="single" w:sz="4" w:space="0" w:color="auto"/>
              <w:bottom w:val="single" w:sz="4" w:space="0" w:color="auto"/>
            </w:tcBorders>
          </w:tcPr>
          <w:p w14:paraId="13CAA4E3" w14:textId="77777777" w:rsidR="00353BDC" w:rsidRDefault="00353BDC" w:rsidP="00401306">
            <w:pPr>
              <w:tabs>
                <w:tab w:val="left" w:pos="360"/>
              </w:tabs>
              <w:rPr>
                <w:rFonts w:cs="Arial"/>
                <w:sz w:val="20"/>
              </w:rPr>
            </w:pPr>
            <w:r>
              <w:rPr>
                <w:rFonts w:cs="Arial"/>
                <w:sz w:val="20"/>
              </w:rPr>
              <w:t>§ 21 odst. 4</w:t>
            </w:r>
          </w:p>
        </w:tc>
        <w:tc>
          <w:tcPr>
            <w:tcW w:w="5245" w:type="dxa"/>
            <w:tcBorders>
              <w:top w:val="single" w:sz="4" w:space="0" w:color="auto"/>
              <w:bottom w:val="single" w:sz="4" w:space="0" w:color="auto"/>
            </w:tcBorders>
          </w:tcPr>
          <w:p w14:paraId="60244B7D" w14:textId="77777777" w:rsidR="00353BDC" w:rsidRPr="000A3F34" w:rsidRDefault="00353BDC" w:rsidP="00401306">
            <w:pPr>
              <w:tabs>
                <w:tab w:val="left" w:pos="360"/>
              </w:tabs>
              <w:rPr>
                <w:rFonts w:cs="Arial"/>
                <w:b/>
                <w:sz w:val="20"/>
                <w:u w:val="single"/>
              </w:rPr>
            </w:pPr>
            <w:r>
              <w:rPr>
                <w:rFonts w:cs="Arial"/>
                <w:sz w:val="20"/>
              </w:rPr>
              <w:t xml:space="preserve">Střední účetní jednotky, malé účetní jednotky a </w:t>
            </w:r>
            <w:proofErr w:type="spellStart"/>
            <w:r>
              <w:rPr>
                <w:rFonts w:cs="Arial"/>
                <w:sz w:val="20"/>
              </w:rPr>
              <w:t>mikroúčetní</w:t>
            </w:r>
            <w:proofErr w:type="spellEnd"/>
            <w:r>
              <w:rPr>
                <w:rFonts w:cs="Arial"/>
                <w:sz w:val="20"/>
              </w:rPr>
              <w:t xml:space="preserve"> jednotky neuvádějí ve výroční zprávě nefinanční informace podle odstavce 2 písm. a) až f). Účetní jednotka, která v souladu s tímto zákonem vyhotovila zprávu o udržitelnosti nebo konsolidovanou zprávu o udržitelnosti, není povinna uvádět ve výroční zprávě informace podle odstavce </w:t>
            </w:r>
            <w:r>
              <w:rPr>
                <w:rFonts w:cs="Arial"/>
                <w:b/>
                <w:sz w:val="20"/>
                <w:u w:val="single"/>
              </w:rPr>
              <w:t>2, uvede-li je ve zprávě o udržitelnosti nebo konsolidované zprávě o udržitelnosti.</w:t>
            </w:r>
          </w:p>
        </w:tc>
        <w:tc>
          <w:tcPr>
            <w:tcW w:w="1276" w:type="dxa"/>
            <w:tcBorders>
              <w:top w:val="single" w:sz="4" w:space="0" w:color="auto"/>
              <w:bottom w:val="single" w:sz="4" w:space="0" w:color="auto"/>
            </w:tcBorders>
          </w:tcPr>
          <w:p w14:paraId="6B70EEFF"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668D9EC0" w14:textId="77777777" w:rsidR="00353BDC" w:rsidRDefault="00353BDC" w:rsidP="00401306">
            <w:pPr>
              <w:tabs>
                <w:tab w:val="left" w:pos="360"/>
              </w:tabs>
              <w:rPr>
                <w:rFonts w:cs="Arial"/>
                <w:sz w:val="20"/>
              </w:rPr>
            </w:pPr>
            <w:r>
              <w:rPr>
                <w:rFonts w:cs="Arial"/>
                <w:sz w:val="20"/>
              </w:rPr>
              <w:t>Čl. 19a odst. 8</w:t>
            </w:r>
          </w:p>
        </w:tc>
        <w:tc>
          <w:tcPr>
            <w:tcW w:w="4678" w:type="dxa"/>
            <w:tcBorders>
              <w:top w:val="single" w:sz="4" w:space="0" w:color="auto"/>
              <w:bottom w:val="single" w:sz="4" w:space="0" w:color="auto"/>
            </w:tcBorders>
            <w:shd w:val="clear" w:color="auto" w:fill="auto"/>
          </w:tcPr>
          <w:p w14:paraId="62101E2A" w14:textId="77777777" w:rsidR="00353BDC" w:rsidRPr="00954262" w:rsidRDefault="00353BDC" w:rsidP="00401306">
            <w:pPr>
              <w:tabs>
                <w:tab w:val="left" w:pos="360"/>
              </w:tabs>
              <w:rPr>
                <w:rFonts w:cs="Arial"/>
                <w:sz w:val="20"/>
              </w:rPr>
            </w:pPr>
            <w:r w:rsidRPr="00AF36F3">
              <w:rPr>
                <w:rFonts w:cs="Arial"/>
                <w:sz w:val="20"/>
              </w:rPr>
              <w:t>Má se za to, že podniky, které splňují požadavky stanovené v odstavcích 1 až 4 tohoto článku, a podniky uplatňující výjimku stanovenou v odstavci 6 tohoto článku splnily požadavek stanovený v čl. 19 odst. 1 třetím pododstavci.</w:t>
            </w:r>
          </w:p>
        </w:tc>
      </w:tr>
      <w:tr w:rsidR="00353BDC" w:rsidRPr="00FA795B" w14:paraId="129DB36B" w14:textId="77777777" w:rsidTr="00401306">
        <w:trPr>
          <w:cantSplit/>
        </w:trPr>
        <w:tc>
          <w:tcPr>
            <w:tcW w:w="1418" w:type="dxa"/>
            <w:tcBorders>
              <w:top w:val="single" w:sz="4" w:space="0" w:color="auto"/>
              <w:bottom w:val="single" w:sz="4" w:space="0" w:color="auto"/>
            </w:tcBorders>
          </w:tcPr>
          <w:p w14:paraId="116A1793" w14:textId="77777777" w:rsidR="00353BDC" w:rsidRDefault="00353BDC" w:rsidP="00401306">
            <w:pPr>
              <w:tabs>
                <w:tab w:val="left" w:pos="360"/>
              </w:tabs>
              <w:rPr>
                <w:rFonts w:cs="Arial"/>
                <w:sz w:val="20"/>
              </w:rPr>
            </w:pPr>
            <w:r>
              <w:rPr>
                <w:rFonts w:cs="Arial"/>
                <w:sz w:val="20"/>
              </w:rPr>
              <w:lastRenderedPageBreak/>
              <w:t>§ 21a odst. 8</w:t>
            </w:r>
          </w:p>
        </w:tc>
        <w:tc>
          <w:tcPr>
            <w:tcW w:w="5245" w:type="dxa"/>
            <w:tcBorders>
              <w:top w:val="single" w:sz="4" w:space="0" w:color="auto"/>
              <w:bottom w:val="single" w:sz="4" w:space="0" w:color="auto"/>
            </w:tcBorders>
          </w:tcPr>
          <w:p w14:paraId="2E17120F" w14:textId="77777777" w:rsidR="00353BDC" w:rsidRPr="009272EF" w:rsidRDefault="00353BDC" w:rsidP="00401306">
            <w:pPr>
              <w:tabs>
                <w:tab w:val="left" w:pos="360"/>
              </w:tabs>
              <w:rPr>
                <w:rFonts w:cs="Arial"/>
                <w:sz w:val="20"/>
              </w:rPr>
            </w:pPr>
            <w:r>
              <w:rPr>
                <w:rFonts w:cs="Arial"/>
                <w:sz w:val="20"/>
              </w:rPr>
              <w:t xml:space="preserve">Odstavce 1 až 7 platí obdobně pro konsolidovanou účetní závěrku, výroční zprávu, zprávu o platbách, konsolidovanou zprávu o platbách podle části sedmé, </w:t>
            </w:r>
            <w:r w:rsidRPr="009272EF">
              <w:rPr>
                <w:rFonts w:cs="Arial"/>
                <w:b/>
                <w:sz w:val="20"/>
                <w:u w:val="single"/>
              </w:rPr>
              <w:t>zprávu o udržitelnosti osoby ze třetí země, konsolidovanou zprávu</w:t>
            </w:r>
            <w:r>
              <w:rPr>
                <w:rFonts w:cs="Arial"/>
                <w:b/>
                <w:sz w:val="20"/>
                <w:u w:val="single"/>
              </w:rPr>
              <w:t xml:space="preserve"> o udržitelnosti a konsolidovanou zprávu o udržitelnosti</w:t>
            </w:r>
            <w:r w:rsidRPr="009272EF">
              <w:rPr>
                <w:rFonts w:cs="Arial"/>
                <w:b/>
                <w:sz w:val="20"/>
                <w:u w:val="single"/>
              </w:rPr>
              <w:t xml:space="preserve"> osoby ze třetí země</w:t>
            </w:r>
            <w:r>
              <w:rPr>
                <w:rFonts w:cs="Arial"/>
                <w:b/>
                <w:sz w:val="20"/>
                <w:u w:val="single"/>
              </w:rPr>
              <w:t xml:space="preserve"> podle části osmé</w:t>
            </w:r>
            <w:r>
              <w:rPr>
                <w:rFonts w:cs="Arial"/>
                <w:sz w:val="20"/>
              </w:rPr>
              <w:t xml:space="preserve"> a pro zprávu o daních z příjmů a konsolidovanou zprávu o daních z příjmů podle části deváté.</w:t>
            </w:r>
          </w:p>
        </w:tc>
        <w:tc>
          <w:tcPr>
            <w:tcW w:w="1276" w:type="dxa"/>
            <w:tcBorders>
              <w:top w:val="single" w:sz="4" w:space="0" w:color="auto"/>
              <w:bottom w:val="single" w:sz="4" w:space="0" w:color="auto"/>
            </w:tcBorders>
          </w:tcPr>
          <w:p w14:paraId="461C9101"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50F3BF1C" w14:textId="77777777" w:rsidR="00353BDC" w:rsidRDefault="00353BDC" w:rsidP="00401306">
            <w:pPr>
              <w:tabs>
                <w:tab w:val="left" w:pos="360"/>
              </w:tabs>
              <w:rPr>
                <w:rFonts w:cs="Arial"/>
                <w:sz w:val="20"/>
              </w:rPr>
            </w:pPr>
            <w:r>
              <w:rPr>
                <w:rFonts w:cs="Arial"/>
                <w:sz w:val="20"/>
              </w:rPr>
              <w:t>Čl. 40d</w:t>
            </w:r>
          </w:p>
        </w:tc>
        <w:tc>
          <w:tcPr>
            <w:tcW w:w="4678" w:type="dxa"/>
            <w:tcBorders>
              <w:top w:val="single" w:sz="4" w:space="0" w:color="auto"/>
              <w:bottom w:val="single" w:sz="4" w:space="0" w:color="auto"/>
            </w:tcBorders>
            <w:shd w:val="clear" w:color="auto" w:fill="auto"/>
          </w:tcPr>
          <w:p w14:paraId="31F776A8" w14:textId="77777777" w:rsidR="00353BDC" w:rsidRPr="00693847" w:rsidRDefault="00353BDC" w:rsidP="00401306">
            <w:pPr>
              <w:tabs>
                <w:tab w:val="left" w:pos="360"/>
              </w:tabs>
              <w:rPr>
                <w:rFonts w:cs="Arial"/>
                <w:sz w:val="20"/>
              </w:rPr>
            </w:pPr>
            <w:r w:rsidRPr="00693847">
              <w:rPr>
                <w:rFonts w:cs="Arial"/>
                <w:sz w:val="20"/>
              </w:rPr>
              <w:t>1. Dceřiné podniky a pobočky uvedené v čl. 40a odst. 1 této směrnice zveřejní svou zprávu o udržitelnosti spolu s vyjádřením závěru o ověření a případně prohlášením uvedeným v čl. 40a odst. 2 čtvrtém pododstavci této směrnice do dvanácti měsíců od rozvahového dne účetního období, za které je zpráva vypracována, jak stanoví jednotlivé členské státy, v souladu s články 14 až 28 směrnice (EU) 2017/1132 a případně v souladu s článkem 36 uvedené směrnice.</w:t>
            </w:r>
          </w:p>
          <w:p w14:paraId="7D8FCA91" w14:textId="77777777" w:rsidR="00353BDC" w:rsidRDefault="00353BDC" w:rsidP="00401306">
            <w:pPr>
              <w:tabs>
                <w:tab w:val="left" w:pos="360"/>
              </w:tabs>
              <w:rPr>
                <w:rFonts w:cs="Arial"/>
                <w:sz w:val="20"/>
              </w:rPr>
            </w:pPr>
          </w:p>
          <w:p w14:paraId="105B1E15" w14:textId="77777777" w:rsidR="00353BDC" w:rsidRPr="00954262" w:rsidRDefault="00353BDC" w:rsidP="00401306">
            <w:pPr>
              <w:tabs>
                <w:tab w:val="left" w:pos="360"/>
              </w:tabs>
              <w:rPr>
                <w:rFonts w:cs="Arial"/>
                <w:sz w:val="20"/>
              </w:rPr>
            </w:pPr>
            <w:r w:rsidRPr="00693847">
              <w:rPr>
                <w:rFonts w:cs="Arial"/>
                <w:sz w:val="20"/>
              </w:rPr>
              <w:t>2. Pokud zpráva o udržitelnosti spolu s vyjádřením závěru o ověření a případně s prohlášením zveřejněným v souladu s odstavcem 1 tohoto článku nejsou bezplatně zpřístupněny veřejnosti na internetových stránkách rejstříku uvedeného v článku 16 směrnice (EU) 2017/1132, členské státy zajistí, aby zpráva o udržitelnosti spolu s vyjádřením závěru o ověření a případně s prohlášením zveřejněným podniky v souladu s odstavcem 1 tohoto článku byly bezplatně zpřístupněny veřejnosti alespoň v jednom z úředních jazyků Unie, a to nejpozději 12 měsíců po rozvahovém dni účetního období, za které je zpráva vypracována, na internetových stránkách dceřiného podniku nebo pobočky uvedených v čl. 40a odst. 1 této směrnice.</w:t>
            </w:r>
          </w:p>
        </w:tc>
      </w:tr>
      <w:tr w:rsidR="00353BDC" w:rsidRPr="00FA795B" w14:paraId="1945B3F2" w14:textId="77777777" w:rsidTr="00401306">
        <w:trPr>
          <w:cantSplit/>
        </w:trPr>
        <w:tc>
          <w:tcPr>
            <w:tcW w:w="1418" w:type="dxa"/>
            <w:tcBorders>
              <w:top w:val="single" w:sz="4" w:space="0" w:color="auto"/>
              <w:bottom w:val="nil"/>
            </w:tcBorders>
          </w:tcPr>
          <w:p w14:paraId="46F8D4A8" w14:textId="77777777" w:rsidR="00353BDC" w:rsidRDefault="00353BDC" w:rsidP="00401306">
            <w:pPr>
              <w:tabs>
                <w:tab w:val="left" w:pos="360"/>
              </w:tabs>
              <w:rPr>
                <w:rFonts w:cs="Arial"/>
                <w:sz w:val="20"/>
              </w:rPr>
            </w:pPr>
            <w:r>
              <w:rPr>
                <w:rFonts w:cs="Arial"/>
                <w:sz w:val="20"/>
              </w:rPr>
              <w:t>§ 22 odst. 2</w:t>
            </w:r>
          </w:p>
        </w:tc>
        <w:tc>
          <w:tcPr>
            <w:tcW w:w="5245" w:type="dxa"/>
            <w:tcBorders>
              <w:top w:val="single" w:sz="4" w:space="0" w:color="auto"/>
              <w:bottom w:val="nil"/>
            </w:tcBorders>
          </w:tcPr>
          <w:p w14:paraId="53030121" w14:textId="77777777" w:rsidR="00353BDC" w:rsidRPr="00FE14D9" w:rsidRDefault="00353BDC" w:rsidP="00401306">
            <w:pPr>
              <w:tabs>
                <w:tab w:val="left" w:pos="360"/>
              </w:tabs>
              <w:rPr>
                <w:rFonts w:cs="Arial"/>
                <w:sz w:val="20"/>
              </w:rPr>
            </w:pPr>
            <w:r>
              <w:rPr>
                <w:rFonts w:cs="Arial"/>
                <w:sz w:val="20"/>
              </w:rPr>
              <w:t xml:space="preserve">Povinnost sestavit konsolidovanou účetní závěrku má, za podmínek stanovených tímto zákonem a prováděcími právními předpisy, účetní jednotka, která je obchodní společností </w:t>
            </w:r>
            <w:r>
              <w:rPr>
                <w:rFonts w:cs="Arial"/>
                <w:b/>
                <w:sz w:val="20"/>
                <w:u w:val="single"/>
              </w:rPr>
              <w:t>nebo družstvem, jde-li o spořitelní a úvěrní družstvo nebo pojišťovnu</w:t>
            </w:r>
            <w:r>
              <w:rPr>
                <w:rFonts w:cs="Arial"/>
                <w:sz w:val="20"/>
              </w:rPr>
              <w:t>, a je ovládající osobou, s výjimkou ovládajících osobo, které vykonávají společný vliv podle odstavce 4 (dále jen „konsolidující účetní jednotka“)</w:t>
            </w:r>
          </w:p>
        </w:tc>
        <w:tc>
          <w:tcPr>
            <w:tcW w:w="1276" w:type="dxa"/>
            <w:tcBorders>
              <w:top w:val="single" w:sz="4" w:space="0" w:color="auto"/>
              <w:bottom w:val="nil"/>
            </w:tcBorders>
          </w:tcPr>
          <w:p w14:paraId="354F2F7F"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nil"/>
            </w:tcBorders>
            <w:shd w:val="clear" w:color="auto" w:fill="auto"/>
          </w:tcPr>
          <w:p w14:paraId="39DDF32E" w14:textId="77777777" w:rsidR="00353BDC" w:rsidRDefault="00353BDC" w:rsidP="00401306">
            <w:pPr>
              <w:tabs>
                <w:tab w:val="left" w:pos="360"/>
              </w:tabs>
              <w:rPr>
                <w:rFonts w:cs="Arial"/>
                <w:sz w:val="20"/>
              </w:rPr>
            </w:pPr>
            <w:r>
              <w:rPr>
                <w:rFonts w:cs="Arial"/>
                <w:sz w:val="20"/>
              </w:rPr>
              <w:t>Čl. 1 odst. 3 první pododstavec</w:t>
            </w:r>
          </w:p>
        </w:tc>
        <w:tc>
          <w:tcPr>
            <w:tcW w:w="4678" w:type="dxa"/>
            <w:tcBorders>
              <w:top w:val="single" w:sz="4" w:space="0" w:color="auto"/>
              <w:bottom w:val="nil"/>
            </w:tcBorders>
            <w:shd w:val="clear" w:color="auto" w:fill="auto"/>
          </w:tcPr>
          <w:p w14:paraId="12C6EF99" w14:textId="77777777" w:rsidR="00353BDC" w:rsidRPr="00062928" w:rsidRDefault="00353BDC" w:rsidP="00401306">
            <w:pPr>
              <w:tabs>
                <w:tab w:val="left" w:pos="360"/>
              </w:tabs>
              <w:rPr>
                <w:rFonts w:cs="Arial"/>
                <w:sz w:val="20"/>
              </w:rPr>
            </w:pPr>
            <w:r w:rsidRPr="00062928">
              <w:rPr>
                <w:rFonts w:cs="Arial"/>
                <w:sz w:val="20"/>
              </w:rPr>
              <w:t xml:space="preserve">Koordinační opatření stanovená v článcích 19a, 29a, 29d, 30 a 33, v čl. 34 odst. 1 druhém pododstavci písm. </w:t>
            </w:r>
            <w:proofErr w:type="spellStart"/>
            <w:r w:rsidRPr="00062928">
              <w:rPr>
                <w:rFonts w:cs="Arial"/>
                <w:sz w:val="20"/>
              </w:rPr>
              <w:t>aa</w:t>
            </w:r>
            <w:proofErr w:type="spellEnd"/>
            <w:r w:rsidRPr="00062928">
              <w:rPr>
                <w:rFonts w:cs="Arial"/>
                <w:sz w:val="20"/>
              </w:rPr>
              <w:t xml:space="preserve">), čl. 34 odst. 2 a 3 a v článku 51 této směrnice se použijí také na právní a správní předpisy členských států, které se vztahují na níže uvedené podniky bez ohledu na jejich právní formu, jsou-li velkými podniky nebo malými a středními podniky, s výjimkou </w:t>
            </w:r>
            <w:proofErr w:type="spellStart"/>
            <w:r w:rsidRPr="00062928">
              <w:rPr>
                <w:rFonts w:cs="Arial"/>
                <w:sz w:val="20"/>
              </w:rPr>
              <w:t>mikropodniků</w:t>
            </w:r>
            <w:proofErr w:type="spellEnd"/>
            <w:r w:rsidRPr="00062928">
              <w:rPr>
                <w:rFonts w:cs="Arial"/>
                <w:sz w:val="20"/>
              </w:rPr>
              <w:t xml:space="preserve">, které jsou subjekty veřejného zájmu ve smyslu čl. 2 bodu 1 písm. a) této směrnice: </w:t>
            </w:r>
          </w:p>
          <w:p w14:paraId="74E289C9" w14:textId="77777777" w:rsidR="00353BDC" w:rsidRPr="00062928" w:rsidRDefault="00353BDC" w:rsidP="00401306">
            <w:pPr>
              <w:tabs>
                <w:tab w:val="left" w:pos="360"/>
              </w:tabs>
              <w:rPr>
                <w:rFonts w:cs="Arial"/>
                <w:sz w:val="20"/>
              </w:rPr>
            </w:pPr>
            <w:r w:rsidRPr="00062928">
              <w:rPr>
                <w:rFonts w:cs="Arial"/>
                <w:sz w:val="20"/>
              </w:rPr>
              <w:t xml:space="preserve">a) pojišťovny ve smyslu čl. 2 odst. 1 směrnice Rady </w:t>
            </w:r>
            <w:proofErr w:type="gramStart"/>
            <w:r w:rsidRPr="00062928">
              <w:rPr>
                <w:rFonts w:cs="Arial"/>
                <w:sz w:val="20"/>
              </w:rPr>
              <w:t>91/674/EHS ( 1 );</w:t>
            </w:r>
            <w:proofErr w:type="gramEnd"/>
            <w:r w:rsidRPr="00062928">
              <w:rPr>
                <w:rFonts w:cs="Arial"/>
                <w:sz w:val="20"/>
              </w:rPr>
              <w:t xml:space="preserve"> </w:t>
            </w:r>
          </w:p>
          <w:p w14:paraId="31CCCF9E" w14:textId="77777777" w:rsidR="00353BDC" w:rsidRPr="00693847" w:rsidRDefault="00353BDC" w:rsidP="00401306">
            <w:pPr>
              <w:tabs>
                <w:tab w:val="left" w:pos="360"/>
              </w:tabs>
              <w:rPr>
                <w:rFonts w:cs="Arial"/>
                <w:sz w:val="20"/>
              </w:rPr>
            </w:pPr>
            <w:r w:rsidRPr="00062928">
              <w:rPr>
                <w:rFonts w:cs="Arial"/>
                <w:sz w:val="20"/>
              </w:rPr>
              <w:t xml:space="preserve">b) úvěrové instituce ve smyslu čl. 4 odst. 1 bodu 1 nařízení Evropského parlamentu a Rady (EU) č. </w:t>
            </w:r>
            <w:proofErr w:type="gramStart"/>
            <w:r w:rsidRPr="00062928">
              <w:rPr>
                <w:rFonts w:cs="Arial"/>
                <w:sz w:val="20"/>
              </w:rPr>
              <w:t>575/2013 ( 2 ).</w:t>
            </w:r>
            <w:proofErr w:type="gramEnd"/>
          </w:p>
        </w:tc>
      </w:tr>
      <w:tr w:rsidR="00353BDC" w:rsidRPr="00FA795B" w14:paraId="4BC1F5C5" w14:textId="77777777" w:rsidTr="00401306">
        <w:trPr>
          <w:cantSplit/>
        </w:trPr>
        <w:tc>
          <w:tcPr>
            <w:tcW w:w="1418" w:type="dxa"/>
            <w:tcBorders>
              <w:top w:val="nil"/>
              <w:bottom w:val="nil"/>
            </w:tcBorders>
          </w:tcPr>
          <w:p w14:paraId="221512B3" w14:textId="77777777" w:rsidR="00353BDC" w:rsidRDefault="00353BDC" w:rsidP="00401306">
            <w:pPr>
              <w:tabs>
                <w:tab w:val="left" w:pos="360"/>
              </w:tabs>
              <w:rPr>
                <w:rFonts w:cs="Arial"/>
                <w:sz w:val="20"/>
              </w:rPr>
            </w:pPr>
          </w:p>
        </w:tc>
        <w:tc>
          <w:tcPr>
            <w:tcW w:w="5245" w:type="dxa"/>
            <w:tcBorders>
              <w:top w:val="nil"/>
              <w:bottom w:val="nil"/>
            </w:tcBorders>
          </w:tcPr>
          <w:p w14:paraId="1D7B10F5" w14:textId="77777777" w:rsidR="00353BDC" w:rsidRDefault="00353BDC" w:rsidP="00401306">
            <w:pPr>
              <w:tabs>
                <w:tab w:val="left" w:pos="360"/>
              </w:tabs>
              <w:rPr>
                <w:rFonts w:cs="Arial"/>
                <w:sz w:val="20"/>
              </w:rPr>
            </w:pPr>
          </w:p>
        </w:tc>
        <w:tc>
          <w:tcPr>
            <w:tcW w:w="1276" w:type="dxa"/>
            <w:tcBorders>
              <w:top w:val="nil"/>
              <w:bottom w:val="nil"/>
            </w:tcBorders>
          </w:tcPr>
          <w:p w14:paraId="154635C3" w14:textId="77777777" w:rsidR="00353BDC" w:rsidRDefault="00353BDC" w:rsidP="00401306">
            <w:pPr>
              <w:tabs>
                <w:tab w:val="left" w:pos="360"/>
              </w:tabs>
              <w:rPr>
                <w:rFonts w:cs="Arial"/>
                <w:sz w:val="20"/>
              </w:rPr>
            </w:pPr>
            <w:r>
              <w:rPr>
                <w:rFonts w:cs="Arial"/>
                <w:sz w:val="20"/>
              </w:rPr>
              <w:t>31986L0635</w:t>
            </w:r>
          </w:p>
        </w:tc>
        <w:tc>
          <w:tcPr>
            <w:tcW w:w="1559" w:type="dxa"/>
            <w:tcBorders>
              <w:top w:val="nil"/>
              <w:bottom w:val="nil"/>
            </w:tcBorders>
            <w:shd w:val="clear" w:color="auto" w:fill="auto"/>
          </w:tcPr>
          <w:p w14:paraId="41893A81" w14:textId="77777777" w:rsidR="00353BDC" w:rsidRDefault="00353BDC" w:rsidP="00401306">
            <w:pPr>
              <w:tabs>
                <w:tab w:val="left" w:pos="360"/>
              </w:tabs>
              <w:rPr>
                <w:rFonts w:cs="Arial"/>
                <w:sz w:val="20"/>
              </w:rPr>
            </w:pPr>
            <w:r>
              <w:rPr>
                <w:rFonts w:cs="Arial"/>
                <w:sz w:val="20"/>
              </w:rPr>
              <w:t>Čl. 42 odst. 1</w:t>
            </w:r>
          </w:p>
        </w:tc>
        <w:tc>
          <w:tcPr>
            <w:tcW w:w="4678" w:type="dxa"/>
            <w:tcBorders>
              <w:top w:val="nil"/>
              <w:bottom w:val="nil"/>
            </w:tcBorders>
            <w:shd w:val="clear" w:color="auto" w:fill="auto"/>
          </w:tcPr>
          <w:p w14:paraId="48963756" w14:textId="77777777" w:rsidR="00353BDC" w:rsidRPr="00062928" w:rsidRDefault="00353BDC" w:rsidP="00401306">
            <w:pPr>
              <w:tabs>
                <w:tab w:val="left" w:pos="360"/>
              </w:tabs>
              <w:rPr>
                <w:rFonts w:cs="Arial"/>
                <w:sz w:val="20"/>
              </w:rPr>
            </w:pPr>
            <w:r w:rsidRPr="00062928">
              <w:rPr>
                <w:rFonts w:cs="Arial"/>
                <w:sz w:val="20"/>
              </w:rPr>
              <w:t>Úvěrové instituce sestavují konsolidovanou účetní závěrku</w:t>
            </w:r>
          </w:p>
          <w:p w14:paraId="45D5BB3A" w14:textId="77777777" w:rsidR="00353BDC" w:rsidRPr="00062928" w:rsidRDefault="00353BDC" w:rsidP="00401306">
            <w:pPr>
              <w:tabs>
                <w:tab w:val="left" w:pos="360"/>
              </w:tabs>
              <w:rPr>
                <w:rFonts w:cs="Arial"/>
                <w:sz w:val="20"/>
              </w:rPr>
            </w:pPr>
            <w:r w:rsidRPr="00062928">
              <w:rPr>
                <w:rFonts w:cs="Arial"/>
                <w:sz w:val="20"/>
              </w:rPr>
              <w:t>a konsolidovanou výroční zprávu v souladu se směrnicí 83/349/EHS,</w:t>
            </w:r>
          </w:p>
          <w:p w14:paraId="337C89DF" w14:textId="77777777" w:rsidR="00353BDC" w:rsidRPr="00062928" w:rsidRDefault="00353BDC" w:rsidP="00401306">
            <w:pPr>
              <w:tabs>
                <w:tab w:val="left" w:pos="360"/>
              </w:tabs>
              <w:rPr>
                <w:rFonts w:cs="Arial"/>
                <w:sz w:val="20"/>
              </w:rPr>
            </w:pPr>
            <w:r w:rsidRPr="00062928">
              <w:rPr>
                <w:rFonts w:cs="Arial"/>
                <w:sz w:val="20"/>
              </w:rPr>
              <w:t>pokud tento oddíl nestanoví jinak.</w:t>
            </w:r>
          </w:p>
        </w:tc>
      </w:tr>
      <w:tr w:rsidR="00353BDC" w:rsidRPr="00FA795B" w14:paraId="6552979D" w14:textId="77777777" w:rsidTr="00401306">
        <w:trPr>
          <w:cantSplit/>
        </w:trPr>
        <w:tc>
          <w:tcPr>
            <w:tcW w:w="1418" w:type="dxa"/>
            <w:tcBorders>
              <w:top w:val="nil"/>
              <w:bottom w:val="single" w:sz="4" w:space="0" w:color="auto"/>
            </w:tcBorders>
          </w:tcPr>
          <w:p w14:paraId="6AFE6486" w14:textId="77777777" w:rsidR="00353BDC" w:rsidRDefault="00353BDC" w:rsidP="00401306">
            <w:pPr>
              <w:tabs>
                <w:tab w:val="left" w:pos="360"/>
              </w:tabs>
              <w:rPr>
                <w:rFonts w:cs="Arial"/>
                <w:sz w:val="20"/>
              </w:rPr>
            </w:pPr>
          </w:p>
        </w:tc>
        <w:tc>
          <w:tcPr>
            <w:tcW w:w="5245" w:type="dxa"/>
            <w:tcBorders>
              <w:top w:val="nil"/>
              <w:bottom w:val="single" w:sz="4" w:space="0" w:color="auto"/>
            </w:tcBorders>
          </w:tcPr>
          <w:p w14:paraId="3C636057" w14:textId="77777777" w:rsidR="00353BDC" w:rsidRDefault="00353BDC" w:rsidP="00401306">
            <w:pPr>
              <w:tabs>
                <w:tab w:val="left" w:pos="360"/>
              </w:tabs>
              <w:rPr>
                <w:rFonts w:cs="Arial"/>
                <w:sz w:val="20"/>
              </w:rPr>
            </w:pPr>
          </w:p>
        </w:tc>
        <w:tc>
          <w:tcPr>
            <w:tcW w:w="1276" w:type="dxa"/>
            <w:tcBorders>
              <w:top w:val="nil"/>
              <w:bottom w:val="single" w:sz="4" w:space="0" w:color="auto"/>
            </w:tcBorders>
          </w:tcPr>
          <w:p w14:paraId="4B73C697" w14:textId="77777777" w:rsidR="00353BDC" w:rsidRDefault="00353BDC" w:rsidP="00401306">
            <w:pPr>
              <w:tabs>
                <w:tab w:val="left" w:pos="360"/>
              </w:tabs>
              <w:rPr>
                <w:rFonts w:cs="Arial"/>
                <w:sz w:val="20"/>
              </w:rPr>
            </w:pPr>
            <w:r>
              <w:rPr>
                <w:rFonts w:cs="Arial"/>
                <w:sz w:val="20"/>
              </w:rPr>
              <w:t>31991L0674</w:t>
            </w:r>
          </w:p>
        </w:tc>
        <w:tc>
          <w:tcPr>
            <w:tcW w:w="1559" w:type="dxa"/>
            <w:tcBorders>
              <w:top w:val="nil"/>
              <w:bottom w:val="single" w:sz="4" w:space="0" w:color="auto"/>
            </w:tcBorders>
            <w:shd w:val="clear" w:color="auto" w:fill="auto"/>
          </w:tcPr>
          <w:p w14:paraId="339678A8" w14:textId="77777777" w:rsidR="00353BDC" w:rsidRDefault="00353BDC" w:rsidP="00401306">
            <w:pPr>
              <w:tabs>
                <w:tab w:val="left" w:pos="360"/>
              </w:tabs>
              <w:rPr>
                <w:rFonts w:cs="Arial"/>
                <w:sz w:val="20"/>
              </w:rPr>
            </w:pPr>
            <w:r>
              <w:rPr>
                <w:rFonts w:cs="Arial"/>
                <w:sz w:val="20"/>
              </w:rPr>
              <w:t>Čl. 65 odst. 1</w:t>
            </w:r>
          </w:p>
        </w:tc>
        <w:tc>
          <w:tcPr>
            <w:tcW w:w="4678" w:type="dxa"/>
            <w:tcBorders>
              <w:top w:val="nil"/>
              <w:bottom w:val="single" w:sz="4" w:space="0" w:color="auto"/>
            </w:tcBorders>
            <w:shd w:val="clear" w:color="auto" w:fill="auto"/>
          </w:tcPr>
          <w:p w14:paraId="2E9F8ACA" w14:textId="77777777" w:rsidR="00353BDC" w:rsidRPr="00062928" w:rsidRDefault="00353BDC" w:rsidP="00401306">
            <w:pPr>
              <w:tabs>
                <w:tab w:val="left" w:pos="360"/>
              </w:tabs>
              <w:rPr>
                <w:rFonts w:cs="Arial"/>
                <w:sz w:val="20"/>
              </w:rPr>
            </w:pPr>
            <w:r w:rsidRPr="00062928">
              <w:rPr>
                <w:rFonts w:cs="Arial"/>
                <w:sz w:val="20"/>
              </w:rPr>
              <w:t>Pojišťovny sestavují konsolidované účetní závěrky</w:t>
            </w:r>
          </w:p>
          <w:p w14:paraId="399C4558" w14:textId="77777777" w:rsidR="00353BDC" w:rsidRPr="00062928" w:rsidRDefault="00353BDC" w:rsidP="00401306">
            <w:pPr>
              <w:tabs>
                <w:tab w:val="left" w:pos="360"/>
              </w:tabs>
              <w:rPr>
                <w:rFonts w:cs="Arial"/>
                <w:sz w:val="20"/>
              </w:rPr>
            </w:pPr>
            <w:r w:rsidRPr="00062928">
              <w:rPr>
                <w:rFonts w:cs="Arial"/>
                <w:sz w:val="20"/>
              </w:rPr>
              <w:t>a konsolidovanou výroční zprávu v souladu se směrnicí 83/349/EHS,</w:t>
            </w:r>
          </w:p>
          <w:p w14:paraId="3B1D1244" w14:textId="77777777" w:rsidR="00353BDC" w:rsidRPr="00062928" w:rsidRDefault="00353BDC" w:rsidP="00401306">
            <w:pPr>
              <w:tabs>
                <w:tab w:val="left" w:pos="360"/>
              </w:tabs>
              <w:rPr>
                <w:rFonts w:cs="Arial"/>
                <w:sz w:val="20"/>
              </w:rPr>
            </w:pPr>
            <w:r w:rsidRPr="00062928">
              <w:rPr>
                <w:rFonts w:cs="Arial"/>
                <w:sz w:val="20"/>
              </w:rPr>
              <w:t>pokud tento oddíl nestanoví jinak.</w:t>
            </w:r>
          </w:p>
        </w:tc>
      </w:tr>
      <w:tr w:rsidR="00353BDC" w:rsidRPr="00FA795B" w14:paraId="363C81BD" w14:textId="77777777" w:rsidTr="00401306">
        <w:trPr>
          <w:cantSplit/>
        </w:trPr>
        <w:tc>
          <w:tcPr>
            <w:tcW w:w="1418" w:type="dxa"/>
            <w:tcBorders>
              <w:top w:val="single" w:sz="4" w:space="0" w:color="auto"/>
              <w:bottom w:val="nil"/>
            </w:tcBorders>
          </w:tcPr>
          <w:p w14:paraId="2C8F44DE" w14:textId="77777777" w:rsidR="00353BDC" w:rsidRDefault="00353BDC" w:rsidP="00401306">
            <w:pPr>
              <w:tabs>
                <w:tab w:val="left" w:pos="360"/>
              </w:tabs>
              <w:rPr>
                <w:rFonts w:cs="Arial"/>
                <w:sz w:val="20"/>
              </w:rPr>
            </w:pPr>
            <w:r>
              <w:rPr>
                <w:rFonts w:cs="Arial"/>
                <w:sz w:val="20"/>
              </w:rPr>
              <w:t>§ 32f odst. 1</w:t>
            </w:r>
          </w:p>
        </w:tc>
        <w:tc>
          <w:tcPr>
            <w:tcW w:w="5245" w:type="dxa"/>
            <w:tcBorders>
              <w:top w:val="single" w:sz="4" w:space="0" w:color="auto"/>
              <w:bottom w:val="nil"/>
            </w:tcBorders>
          </w:tcPr>
          <w:p w14:paraId="0F51C288" w14:textId="77777777" w:rsidR="00353BDC" w:rsidRPr="0018740C" w:rsidRDefault="00353BDC" w:rsidP="00401306">
            <w:pPr>
              <w:tabs>
                <w:tab w:val="left" w:pos="360"/>
              </w:tabs>
              <w:rPr>
                <w:rFonts w:cs="Arial"/>
                <w:b/>
                <w:sz w:val="20"/>
                <w:u w:val="single"/>
              </w:rPr>
            </w:pPr>
            <w:r w:rsidRPr="0018740C">
              <w:rPr>
                <w:rFonts w:cs="Arial"/>
                <w:b/>
                <w:sz w:val="20"/>
                <w:u w:val="single"/>
              </w:rPr>
              <w:t>Zprávu o udržitelnosti vyhotovuje účetní jednotka, která je obchodní společností, nebo družstvem, jde-li o spořitelní a úvěrní družstvo nebo pojišťovnu, a která je</w:t>
            </w:r>
          </w:p>
          <w:p w14:paraId="4EA092A1" w14:textId="77777777" w:rsidR="00353BDC" w:rsidRPr="0018740C" w:rsidRDefault="00353BDC" w:rsidP="00401306">
            <w:pPr>
              <w:tabs>
                <w:tab w:val="left" w:pos="360"/>
              </w:tabs>
              <w:rPr>
                <w:rFonts w:cs="Arial"/>
                <w:b/>
                <w:sz w:val="20"/>
                <w:u w:val="single"/>
              </w:rPr>
            </w:pPr>
            <w:r w:rsidRPr="0018740C">
              <w:rPr>
                <w:rFonts w:cs="Arial"/>
                <w:b/>
                <w:sz w:val="20"/>
                <w:u w:val="single"/>
              </w:rPr>
              <w:t xml:space="preserve">a) </w:t>
            </w:r>
            <w:r w:rsidRPr="0018740C">
              <w:rPr>
                <w:rFonts w:cs="Arial"/>
                <w:b/>
                <w:sz w:val="20"/>
                <w:u w:val="single"/>
              </w:rPr>
              <w:tab/>
              <w:t xml:space="preserve">velkou účetní jednotkou nebo </w:t>
            </w:r>
          </w:p>
          <w:p w14:paraId="0125FF50" w14:textId="77777777" w:rsidR="00353BDC" w:rsidRPr="0018740C" w:rsidRDefault="00353BDC" w:rsidP="00401306">
            <w:pPr>
              <w:tabs>
                <w:tab w:val="left" w:pos="360"/>
              </w:tabs>
              <w:rPr>
                <w:rFonts w:cs="Arial"/>
                <w:b/>
                <w:sz w:val="20"/>
                <w:u w:val="single"/>
              </w:rPr>
            </w:pPr>
            <w:r w:rsidRPr="0018740C">
              <w:rPr>
                <w:rFonts w:cs="Arial"/>
                <w:b/>
                <w:sz w:val="20"/>
                <w:u w:val="single"/>
              </w:rPr>
              <w:t>b)</w:t>
            </w:r>
            <w:r w:rsidRPr="0018740C">
              <w:rPr>
                <w:rFonts w:cs="Arial"/>
                <w:b/>
                <w:sz w:val="20"/>
                <w:u w:val="single"/>
              </w:rPr>
              <w:tab/>
              <w:t>střední účetní jednotkou nebo malou účetní jednotkou, které jsou emitenty investičních cenných papírů přijatých k obchodování na evropském regulovaném trhu.</w:t>
            </w:r>
          </w:p>
        </w:tc>
        <w:tc>
          <w:tcPr>
            <w:tcW w:w="1276" w:type="dxa"/>
            <w:tcBorders>
              <w:top w:val="single" w:sz="4" w:space="0" w:color="auto"/>
              <w:bottom w:val="nil"/>
            </w:tcBorders>
          </w:tcPr>
          <w:p w14:paraId="29C044DB" w14:textId="77777777" w:rsidR="00353BDC" w:rsidRDefault="00353BDC" w:rsidP="00401306">
            <w:pPr>
              <w:tabs>
                <w:tab w:val="left" w:pos="360"/>
              </w:tabs>
              <w:rPr>
                <w:rFonts w:cs="Arial"/>
                <w:sz w:val="20"/>
              </w:rPr>
            </w:pPr>
            <w:r>
              <w:rPr>
                <w:rFonts w:cs="Arial"/>
                <w:sz w:val="20"/>
              </w:rPr>
              <w:t>32013L32022L2464</w:t>
            </w:r>
          </w:p>
        </w:tc>
        <w:tc>
          <w:tcPr>
            <w:tcW w:w="1559" w:type="dxa"/>
            <w:tcBorders>
              <w:top w:val="single" w:sz="4" w:space="0" w:color="auto"/>
              <w:bottom w:val="nil"/>
            </w:tcBorders>
            <w:shd w:val="clear" w:color="auto" w:fill="auto"/>
          </w:tcPr>
          <w:p w14:paraId="501E4027" w14:textId="77777777" w:rsidR="00353BDC" w:rsidRDefault="00353BDC" w:rsidP="00401306">
            <w:pPr>
              <w:tabs>
                <w:tab w:val="left" w:pos="360"/>
              </w:tabs>
              <w:rPr>
                <w:rFonts w:cs="Arial"/>
                <w:sz w:val="20"/>
              </w:rPr>
            </w:pPr>
            <w:r>
              <w:rPr>
                <w:rFonts w:cs="Arial"/>
                <w:sz w:val="20"/>
              </w:rPr>
              <w:t>Čl. 19a odst. 1 první pododstavec</w:t>
            </w:r>
          </w:p>
        </w:tc>
        <w:tc>
          <w:tcPr>
            <w:tcW w:w="4678" w:type="dxa"/>
            <w:tcBorders>
              <w:top w:val="single" w:sz="4" w:space="0" w:color="auto"/>
              <w:bottom w:val="nil"/>
            </w:tcBorders>
            <w:shd w:val="clear" w:color="auto" w:fill="auto"/>
          </w:tcPr>
          <w:p w14:paraId="338FFF28" w14:textId="77777777" w:rsidR="00353BDC" w:rsidRPr="00954262" w:rsidRDefault="00353BDC" w:rsidP="00401306">
            <w:pPr>
              <w:tabs>
                <w:tab w:val="left" w:pos="360"/>
              </w:tabs>
              <w:rPr>
                <w:rFonts w:cs="Arial"/>
                <w:sz w:val="20"/>
              </w:rPr>
            </w:pPr>
            <w:r w:rsidRPr="0018740C">
              <w:rPr>
                <w:rFonts w:cs="Arial"/>
                <w:sz w:val="20"/>
              </w:rPr>
              <w:t xml:space="preserve">Velké podniky a malé a střední podniky, s výjimkou </w:t>
            </w:r>
            <w:proofErr w:type="spellStart"/>
            <w:r w:rsidRPr="0018740C">
              <w:rPr>
                <w:rFonts w:cs="Arial"/>
                <w:sz w:val="20"/>
              </w:rPr>
              <w:t>mikropodniků</w:t>
            </w:r>
            <w:proofErr w:type="spellEnd"/>
            <w:r w:rsidRPr="0018740C">
              <w:rPr>
                <w:rFonts w:cs="Arial"/>
                <w:sz w:val="20"/>
              </w:rPr>
              <w:t>, které jsou subjekty veřejného zájmu ve smyslu čl. 2 bodu 1 písm. a), zahrnou do zprávy vedení podniku informace potřebné k pochopení dopadů podniku na otázky udržitelnosti a informace potřebné k pochopení toho, jak otázky udržitelnosti ovlivňují vývoj podniku, jeho výkonnost a postavení.</w:t>
            </w:r>
          </w:p>
        </w:tc>
      </w:tr>
      <w:tr w:rsidR="00353BDC" w:rsidRPr="00FA795B" w14:paraId="7C524556" w14:textId="77777777" w:rsidTr="00401306">
        <w:trPr>
          <w:cantSplit/>
        </w:trPr>
        <w:tc>
          <w:tcPr>
            <w:tcW w:w="1418" w:type="dxa"/>
            <w:tcBorders>
              <w:top w:val="nil"/>
              <w:bottom w:val="single" w:sz="4" w:space="0" w:color="auto"/>
            </w:tcBorders>
          </w:tcPr>
          <w:p w14:paraId="4A4A1231" w14:textId="77777777" w:rsidR="00353BDC" w:rsidRDefault="00353BDC" w:rsidP="00401306">
            <w:pPr>
              <w:tabs>
                <w:tab w:val="left" w:pos="360"/>
              </w:tabs>
              <w:rPr>
                <w:rFonts w:cs="Arial"/>
                <w:sz w:val="20"/>
              </w:rPr>
            </w:pPr>
          </w:p>
        </w:tc>
        <w:tc>
          <w:tcPr>
            <w:tcW w:w="5245" w:type="dxa"/>
            <w:tcBorders>
              <w:top w:val="nil"/>
              <w:bottom w:val="single" w:sz="4" w:space="0" w:color="auto"/>
            </w:tcBorders>
          </w:tcPr>
          <w:p w14:paraId="16A8B62C" w14:textId="77777777" w:rsidR="00353BDC" w:rsidRPr="0018740C" w:rsidRDefault="00353BDC" w:rsidP="00401306">
            <w:pPr>
              <w:tabs>
                <w:tab w:val="left" w:pos="360"/>
              </w:tabs>
              <w:rPr>
                <w:rFonts w:cs="Arial"/>
                <w:b/>
                <w:sz w:val="20"/>
                <w:u w:val="single"/>
              </w:rPr>
            </w:pPr>
          </w:p>
        </w:tc>
        <w:tc>
          <w:tcPr>
            <w:tcW w:w="1276" w:type="dxa"/>
            <w:tcBorders>
              <w:top w:val="nil"/>
              <w:bottom w:val="single" w:sz="4" w:space="0" w:color="auto"/>
            </w:tcBorders>
          </w:tcPr>
          <w:p w14:paraId="61617DB0"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nil"/>
              <w:bottom w:val="single" w:sz="4" w:space="0" w:color="auto"/>
            </w:tcBorders>
            <w:shd w:val="clear" w:color="auto" w:fill="auto"/>
          </w:tcPr>
          <w:p w14:paraId="741FC29E" w14:textId="77777777" w:rsidR="00353BDC" w:rsidRDefault="00353BDC" w:rsidP="00401306">
            <w:pPr>
              <w:tabs>
                <w:tab w:val="left" w:pos="360"/>
              </w:tabs>
              <w:rPr>
                <w:rFonts w:cs="Arial"/>
                <w:sz w:val="20"/>
              </w:rPr>
            </w:pPr>
            <w:r>
              <w:rPr>
                <w:rFonts w:cs="Arial"/>
                <w:sz w:val="20"/>
              </w:rPr>
              <w:t>Čl. 1 odst. 3 první pododstavec</w:t>
            </w:r>
          </w:p>
        </w:tc>
        <w:tc>
          <w:tcPr>
            <w:tcW w:w="4678" w:type="dxa"/>
            <w:tcBorders>
              <w:top w:val="nil"/>
              <w:bottom w:val="single" w:sz="4" w:space="0" w:color="auto"/>
            </w:tcBorders>
            <w:shd w:val="clear" w:color="auto" w:fill="auto"/>
          </w:tcPr>
          <w:p w14:paraId="017A2701" w14:textId="77777777" w:rsidR="00353BDC" w:rsidRPr="003A319A" w:rsidRDefault="00353BDC" w:rsidP="00401306">
            <w:pPr>
              <w:tabs>
                <w:tab w:val="left" w:pos="360"/>
              </w:tabs>
              <w:rPr>
                <w:rFonts w:cs="Arial"/>
                <w:sz w:val="20"/>
              </w:rPr>
            </w:pPr>
            <w:r w:rsidRPr="003A319A">
              <w:rPr>
                <w:rFonts w:cs="Arial"/>
                <w:sz w:val="20"/>
              </w:rPr>
              <w:t xml:space="preserve">Koordinační opatření stanovená v článcích 19a, 29a, 29d, 30 a 33, v čl. 34 odst. 1 druhém pododstavci písm. </w:t>
            </w:r>
            <w:proofErr w:type="spellStart"/>
            <w:r w:rsidRPr="003A319A">
              <w:rPr>
                <w:rFonts w:cs="Arial"/>
                <w:sz w:val="20"/>
              </w:rPr>
              <w:t>aa</w:t>
            </w:r>
            <w:proofErr w:type="spellEnd"/>
            <w:r w:rsidRPr="003A319A">
              <w:rPr>
                <w:rFonts w:cs="Arial"/>
                <w:sz w:val="20"/>
              </w:rPr>
              <w:t xml:space="preserve">), čl. 34 odst. 2 a 3 a v článku 51 této směrnice se použijí také na právní a správní předpisy členských států, které se vztahují na níže uvedené podniky bez ohledu na jejich právní formu, jsou-li velkými podniky nebo malými a středními podniky, s výjimkou </w:t>
            </w:r>
            <w:proofErr w:type="spellStart"/>
            <w:r w:rsidRPr="003A319A">
              <w:rPr>
                <w:rFonts w:cs="Arial"/>
                <w:sz w:val="20"/>
              </w:rPr>
              <w:t>mikropodniků</w:t>
            </w:r>
            <w:proofErr w:type="spellEnd"/>
            <w:r w:rsidRPr="003A319A">
              <w:rPr>
                <w:rFonts w:cs="Arial"/>
                <w:sz w:val="20"/>
              </w:rPr>
              <w:t xml:space="preserve">, které jsou subjekty veřejného zájmu ve smyslu čl. 2 bodu 1 písm. a) této směrnice: </w:t>
            </w:r>
          </w:p>
          <w:p w14:paraId="463711BA" w14:textId="77777777" w:rsidR="00353BDC" w:rsidRPr="003A319A" w:rsidRDefault="00353BDC" w:rsidP="00401306">
            <w:pPr>
              <w:tabs>
                <w:tab w:val="left" w:pos="360"/>
              </w:tabs>
              <w:rPr>
                <w:rFonts w:cs="Arial"/>
                <w:sz w:val="20"/>
              </w:rPr>
            </w:pPr>
            <w:r w:rsidRPr="003A319A">
              <w:rPr>
                <w:rFonts w:cs="Arial"/>
                <w:sz w:val="20"/>
              </w:rPr>
              <w:t xml:space="preserve">a) pojišťovny ve smyslu čl. 2 odst. 1 směrnice Rady </w:t>
            </w:r>
            <w:proofErr w:type="gramStart"/>
            <w:r w:rsidRPr="003A319A">
              <w:rPr>
                <w:rFonts w:cs="Arial"/>
                <w:sz w:val="20"/>
              </w:rPr>
              <w:t>91/674/EHS ( 1 );</w:t>
            </w:r>
            <w:proofErr w:type="gramEnd"/>
            <w:r w:rsidRPr="003A319A">
              <w:rPr>
                <w:rFonts w:cs="Arial"/>
                <w:sz w:val="20"/>
              </w:rPr>
              <w:t xml:space="preserve"> </w:t>
            </w:r>
          </w:p>
          <w:p w14:paraId="49AFE789" w14:textId="77777777" w:rsidR="00353BDC" w:rsidRPr="0018740C" w:rsidRDefault="00353BDC" w:rsidP="00401306">
            <w:pPr>
              <w:tabs>
                <w:tab w:val="left" w:pos="360"/>
              </w:tabs>
              <w:rPr>
                <w:rFonts w:cs="Arial"/>
                <w:sz w:val="20"/>
              </w:rPr>
            </w:pPr>
            <w:r w:rsidRPr="003A319A">
              <w:rPr>
                <w:rFonts w:cs="Arial"/>
                <w:sz w:val="20"/>
              </w:rPr>
              <w:t>b) úvěrové instituce ve smyslu čl. 4 odst. 1 bodu 1 nařízení Evropského parlamentu a Rady (EU) č. 575/2013</w:t>
            </w:r>
          </w:p>
        </w:tc>
      </w:tr>
      <w:tr w:rsidR="00353BDC" w:rsidRPr="00FA795B" w14:paraId="32379C12" w14:textId="77777777" w:rsidTr="00401306">
        <w:trPr>
          <w:cantSplit/>
        </w:trPr>
        <w:tc>
          <w:tcPr>
            <w:tcW w:w="1418" w:type="dxa"/>
            <w:tcBorders>
              <w:top w:val="single" w:sz="4" w:space="0" w:color="auto"/>
              <w:bottom w:val="single" w:sz="4" w:space="0" w:color="auto"/>
            </w:tcBorders>
          </w:tcPr>
          <w:p w14:paraId="7B3AFAE3" w14:textId="77777777" w:rsidR="00353BDC" w:rsidRDefault="00353BDC" w:rsidP="00401306">
            <w:pPr>
              <w:tabs>
                <w:tab w:val="left" w:pos="360"/>
              </w:tabs>
              <w:rPr>
                <w:rFonts w:cs="Arial"/>
                <w:sz w:val="20"/>
              </w:rPr>
            </w:pPr>
            <w:r>
              <w:rPr>
                <w:rFonts w:cs="Arial"/>
                <w:sz w:val="20"/>
              </w:rPr>
              <w:t>§ 32f odst. 2</w:t>
            </w:r>
          </w:p>
        </w:tc>
        <w:tc>
          <w:tcPr>
            <w:tcW w:w="5245" w:type="dxa"/>
            <w:tcBorders>
              <w:top w:val="single" w:sz="4" w:space="0" w:color="auto"/>
              <w:bottom w:val="single" w:sz="4" w:space="0" w:color="auto"/>
            </w:tcBorders>
          </w:tcPr>
          <w:p w14:paraId="20B7C00B" w14:textId="77777777" w:rsidR="00353BDC" w:rsidRDefault="00353BDC" w:rsidP="00401306">
            <w:pPr>
              <w:tabs>
                <w:tab w:val="left" w:pos="360"/>
              </w:tabs>
              <w:rPr>
                <w:rFonts w:cs="Arial"/>
                <w:sz w:val="20"/>
              </w:rPr>
            </w:pPr>
            <w:r w:rsidRPr="0018740C">
              <w:rPr>
                <w:rFonts w:cs="Arial"/>
                <w:sz w:val="20"/>
              </w:rPr>
              <w:t>Účetní jednotka podle odstav</w:t>
            </w:r>
            <w:r>
              <w:rPr>
                <w:rFonts w:cs="Arial"/>
                <w:sz w:val="20"/>
              </w:rPr>
              <w:t>ce 1 s výjimkou účetní jednotky</w:t>
            </w:r>
            <w:r w:rsidRPr="0018740C">
              <w:rPr>
                <w:rFonts w:cs="Arial"/>
                <w:b/>
                <w:sz w:val="20"/>
                <w:u w:val="single"/>
              </w:rPr>
              <w:t>, která je investičním fondem</w:t>
            </w:r>
            <w:r w:rsidRPr="0018740C">
              <w:rPr>
                <w:rFonts w:cs="Arial"/>
                <w:sz w:val="20"/>
              </w:rPr>
              <w:t>, informuje zástupce zaměstnanců a projedná s nimi informace o udržitelnosti včetně prostředků pro jejich získávání a ověření postupem podle zákoníku práce. Tato účetní jednotka také zajistí předání stanoviska zástupců zaměstnanců k informacím podle věty první příslušným orgánům účetní jednotky.</w:t>
            </w:r>
          </w:p>
        </w:tc>
        <w:tc>
          <w:tcPr>
            <w:tcW w:w="1276" w:type="dxa"/>
            <w:tcBorders>
              <w:top w:val="single" w:sz="4" w:space="0" w:color="auto"/>
              <w:bottom w:val="single" w:sz="4" w:space="0" w:color="auto"/>
            </w:tcBorders>
          </w:tcPr>
          <w:p w14:paraId="444F16ED"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292F4D07" w14:textId="77777777" w:rsidR="00353BDC" w:rsidRDefault="00353BDC" w:rsidP="00401306">
            <w:pPr>
              <w:tabs>
                <w:tab w:val="left" w:pos="360"/>
              </w:tabs>
              <w:rPr>
                <w:rFonts w:cs="Arial"/>
                <w:sz w:val="20"/>
              </w:rPr>
            </w:pPr>
            <w:r>
              <w:rPr>
                <w:rFonts w:cs="Arial"/>
                <w:sz w:val="20"/>
              </w:rPr>
              <w:t>Čl. 1 odst. 4</w:t>
            </w:r>
          </w:p>
        </w:tc>
        <w:tc>
          <w:tcPr>
            <w:tcW w:w="4678" w:type="dxa"/>
            <w:tcBorders>
              <w:top w:val="single" w:sz="4" w:space="0" w:color="auto"/>
              <w:bottom w:val="single" w:sz="4" w:space="0" w:color="auto"/>
            </w:tcBorders>
            <w:shd w:val="clear" w:color="auto" w:fill="auto"/>
          </w:tcPr>
          <w:p w14:paraId="16AAD199" w14:textId="77777777" w:rsidR="00353BDC" w:rsidRPr="00954262" w:rsidRDefault="00353BDC" w:rsidP="00401306">
            <w:pPr>
              <w:tabs>
                <w:tab w:val="left" w:pos="360"/>
              </w:tabs>
              <w:rPr>
                <w:rFonts w:cs="Arial"/>
                <w:sz w:val="20"/>
              </w:rPr>
            </w:pPr>
            <w:r w:rsidRPr="00F55646">
              <w:rPr>
                <w:rFonts w:cs="Arial"/>
                <w:sz w:val="20"/>
              </w:rPr>
              <w:t>Koordinační opatření stanovená v článcích 19a, 29a a 29d se nevztahují na finanční produkty uvedené v čl. 2 bodu 12 písm. b) a f) nařízení Evropského parlamentu a Rady (EU) 2019/2088.</w:t>
            </w:r>
          </w:p>
        </w:tc>
      </w:tr>
      <w:tr w:rsidR="00353BDC" w:rsidRPr="00FA795B" w14:paraId="60A53456" w14:textId="77777777" w:rsidTr="00401306">
        <w:trPr>
          <w:cantSplit/>
        </w:trPr>
        <w:tc>
          <w:tcPr>
            <w:tcW w:w="1418" w:type="dxa"/>
            <w:tcBorders>
              <w:top w:val="single" w:sz="4" w:space="0" w:color="auto"/>
              <w:bottom w:val="nil"/>
            </w:tcBorders>
          </w:tcPr>
          <w:p w14:paraId="1A6B2EF1" w14:textId="77777777" w:rsidR="00353BDC" w:rsidRDefault="00353BDC" w:rsidP="00401306">
            <w:pPr>
              <w:tabs>
                <w:tab w:val="left" w:pos="360"/>
              </w:tabs>
              <w:rPr>
                <w:rFonts w:cs="Arial"/>
                <w:sz w:val="20"/>
              </w:rPr>
            </w:pPr>
            <w:r>
              <w:rPr>
                <w:rFonts w:cs="Arial"/>
                <w:sz w:val="20"/>
              </w:rPr>
              <w:t>§ 32f odst. 3</w:t>
            </w:r>
          </w:p>
        </w:tc>
        <w:tc>
          <w:tcPr>
            <w:tcW w:w="5245" w:type="dxa"/>
            <w:tcBorders>
              <w:top w:val="single" w:sz="4" w:space="0" w:color="auto"/>
              <w:bottom w:val="nil"/>
            </w:tcBorders>
          </w:tcPr>
          <w:p w14:paraId="1CF48335" w14:textId="77777777" w:rsidR="00353BDC" w:rsidRPr="00F767C9" w:rsidRDefault="00353BDC" w:rsidP="00401306">
            <w:pPr>
              <w:tabs>
                <w:tab w:val="left" w:pos="360"/>
              </w:tabs>
              <w:rPr>
                <w:rFonts w:cs="Arial"/>
                <w:b/>
                <w:sz w:val="20"/>
                <w:u w:val="single"/>
              </w:rPr>
            </w:pPr>
            <w:r w:rsidRPr="00F767C9">
              <w:rPr>
                <w:b/>
                <w:color w:val="000000"/>
                <w:sz w:val="20"/>
                <w:u w:val="single"/>
              </w:rPr>
              <w:t>Pro účely zprávy o udržitelnosti, konsolidované zprávy o udržitelnosti, zprávy o udržitelnosti osoby ze třetí země a konsolidované zprávy o udržitelnosti osoby ze třetí země se § 1b odst. 5 písm. a) nepoužije.</w:t>
            </w:r>
          </w:p>
        </w:tc>
        <w:tc>
          <w:tcPr>
            <w:tcW w:w="1276" w:type="dxa"/>
            <w:tcBorders>
              <w:top w:val="single" w:sz="4" w:space="0" w:color="auto"/>
              <w:bottom w:val="nil"/>
            </w:tcBorders>
          </w:tcPr>
          <w:p w14:paraId="6B5A4FCF"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nil"/>
            </w:tcBorders>
            <w:shd w:val="clear" w:color="auto" w:fill="auto"/>
          </w:tcPr>
          <w:p w14:paraId="02B4A3F3" w14:textId="77777777" w:rsidR="00353BDC" w:rsidRDefault="00353BDC" w:rsidP="00401306">
            <w:pPr>
              <w:tabs>
                <w:tab w:val="left" w:pos="360"/>
              </w:tabs>
              <w:rPr>
                <w:rFonts w:cs="Arial"/>
                <w:sz w:val="20"/>
              </w:rPr>
            </w:pPr>
            <w:r>
              <w:rPr>
                <w:rFonts w:cs="Arial"/>
                <w:sz w:val="20"/>
              </w:rPr>
              <w:t>Čl. 19a odst. 1 první pododstavec</w:t>
            </w:r>
          </w:p>
        </w:tc>
        <w:tc>
          <w:tcPr>
            <w:tcW w:w="4678" w:type="dxa"/>
            <w:tcBorders>
              <w:top w:val="single" w:sz="4" w:space="0" w:color="auto"/>
              <w:bottom w:val="nil"/>
            </w:tcBorders>
            <w:shd w:val="clear" w:color="auto" w:fill="auto"/>
          </w:tcPr>
          <w:p w14:paraId="67025C8B" w14:textId="77777777" w:rsidR="00353BDC" w:rsidRPr="00F55646" w:rsidRDefault="00353BDC" w:rsidP="00401306">
            <w:pPr>
              <w:tabs>
                <w:tab w:val="left" w:pos="360"/>
              </w:tabs>
              <w:rPr>
                <w:color w:val="000000"/>
                <w:sz w:val="19"/>
                <w:szCs w:val="19"/>
              </w:rPr>
            </w:pPr>
            <w:r w:rsidRPr="0018740C">
              <w:rPr>
                <w:rFonts w:cs="Arial"/>
                <w:sz w:val="20"/>
              </w:rPr>
              <w:t xml:space="preserve">Velké podniky a malé a střední podniky, s výjimkou </w:t>
            </w:r>
            <w:proofErr w:type="spellStart"/>
            <w:r w:rsidRPr="0018740C">
              <w:rPr>
                <w:rFonts w:cs="Arial"/>
                <w:sz w:val="20"/>
              </w:rPr>
              <w:t>mikropodniků</w:t>
            </w:r>
            <w:proofErr w:type="spellEnd"/>
            <w:r w:rsidRPr="0018740C">
              <w:rPr>
                <w:rFonts w:cs="Arial"/>
                <w:sz w:val="20"/>
              </w:rPr>
              <w:t>, které jsou subjekty veřejného zájmu ve smyslu čl. 2 bodu 1 písm. a), zahrnou do zprávy vedení podniku informace potřebné k pochopení dopadů podniku na otázky udržitelnosti a informace potřebné k pochopení toho, jak otázky udržitelnosti ovlivňují vývoj podniku, jeho výkonnost a postavení.</w:t>
            </w:r>
          </w:p>
        </w:tc>
      </w:tr>
      <w:tr w:rsidR="00353BDC" w:rsidRPr="00FA795B" w14:paraId="7C560072" w14:textId="77777777" w:rsidTr="00401306">
        <w:trPr>
          <w:cantSplit/>
        </w:trPr>
        <w:tc>
          <w:tcPr>
            <w:tcW w:w="1418" w:type="dxa"/>
            <w:tcBorders>
              <w:top w:val="nil"/>
              <w:bottom w:val="nil"/>
            </w:tcBorders>
          </w:tcPr>
          <w:p w14:paraId="3CD5B10B" w14:textId="77777777" w:rsidR="00353BDC" w:rsidRDefault="00353BDC" w:rsidP="00401306">
            <w:pPr>
              <w:tabs>
                <w:tab w:val="left" w:pos="360"/>
              </w:tabs>
              <w:rPr>
                <w:rFonts w:cs="Arial"/>
                <w:sz w:val="20"/>
              </w:rPr>
            </w:pPr>
          </w:p>
        </w:tc>
        <w:tc>
          <w:tcPr>
            <w:tcW w:w="5245" w:type="dxa"/>
            <w:tcBorders>
              <w:top w:val="nil"/>
              <w:bottom w:val="nil"/>
            </w:tcBorders>
          </w:tcPr>
          <w:p w14:paraId="6CF5B8C0" w14:textId="77777777" w:rsidR="00353BDC" w:rsidRPr="000015F4" w:rsidRDefault="00353BDC" w:rsidP="00401306">
            <w:pPr>
              <w:tabs>
                <w:tab w:val="left" w:pos="360"/>
              </w:tabs>
              <w:rPr>
                <w:b/>
                <w:color w:val="000000"/>
                <w:sz w:val="19"/>
                <w:szCs w:val="19"/>
                <w:u w:val="single"/>
              </w:rPr>
            </w:pPr>
          </w:p>
        </w:tc>
        <w:tc>
          <w:tcPr>
            <w:tcW w:w="1276" w:type="dxa"/>
            <w:tcBorders>
              <w:top w:val="nil"/>
              <w:bottom w:val="nil"/>
            </w:tcBorders>
          </w:tcPr>
          <w:p w14:paraId="29BDA213"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nil"/>
              <w:bottom w:val="nil"/>
            </w:tcBorders>
            <w:shd w:val="clear" w:color="auto" w:fill="auto"/>
          </w:tcPr>
          <w:p w14:paraId="6AFF8459" w14:textId="77777777" w:rsidR="00353BDC" w:rsidRDefault="00353BDC" w:rsidP="00401306">
            <w:pPr>
              <w:tabs>
                <w:tab w:val="left" w:pos="360"/>
              </w:tabs>
              <w:rPr>
                <w:rFonts w:cs="Arial"/>
                <w:sz w:val="20"/>
              </w:rPr>
            </w:pPr>
            <w:r>
              <w:rPr>
                <w:rFonts w:cs="Arial"/>
                <w:sz w:val="20"/>
              </w:rPr>
              <w:t>Čl. 40a odst. 1 první pododstavec</w:t>
            </w:r>
          </w:p>
        </w:tc>
        <w:tc>
          <w:tcPr>
            <w:tcW w:w="4678" w:type="dxa"/>
            <w:tcBorders>
              <w:top w:val="nil"/>
              <w:bottom w:val="nil"/>
            </w:tcBorders>
            <w:shd w:val="clear" w:color="auto" w:fill="auto"/>
          </w:tcPr>
          <w:p w14:paraId="6785352D" w14:textId="77777777" w:rsidR="00353BDC" w:rsidRPr="0018740C" w:rsidRDefault="00353BDC" w:rsidP="00401306">
            <w:pPr>
              <w:tabs>
                <w:tab w:val="left" w:pos="360"/>
              </w:tabs>
              <w:rPr>
                <w:rFonts w:cs="Arial"/>
                <w:sz w:val="20"/>
              </w:rPr>
            </w:pPr>
            <w:r w:rsidRPr="00F767C9">
              <w:rPr>
                <w:rFonts w:cs="Arial"/>
                <w:sz w:val="20"/>
              </w:rPr>
              <w:t xml:space="preserve">První pododstavec se použije pouze na velké dceřiné podniky a na malé a střední dceřiné podniky, s výjimkou </w:t>
            </w:r>
            <w:proofErr w:type="spellStart"/>
            <w:r w:rsidRPr="00F767C9">
              <w:rPr>
                <w:rFonts w:cs="Arial"/>
                <w:sz w:val="20"/>
              </w:rPr>
              <w:t>mikropodniků</w:t>
            </w:r>
            <w:proofErr w:type="spellEnd"/>
            <w:r w:rsidRPr="00F767C9">
              <w:rPr>
                <w:rFonts w:cs="Arial"/>
                <w:sz w:val="20"/>
              </w:rPr>
              <w:t>, které jsou subjekty veřejného zájmu ve smyslu čl. 2 bodu 1 písm. a).</w:t>
            </w:r>
          </w:p>
        </w:tc>
      </w:tr>
      <w:tr w:rsidR="00353BDC" w:rsidRPr="00FA795B" w14:paraId="07E347DE" w14:textId="77777777" w:rsidTr="00401306">
        <w:trPr>
          <w:cantSplit/>
        </w:trPr>
        <w:tc>
          <w:tcPr>
            <w:tcW w:w="1418" w:type="dxa"/>
            <w:tcBorders>
              <w:top w:val="nil"/>
              <w:bottom w:val="single" w:sz="4" w:space="0" w:color="auto"/>
            </w:tcBorders>
          </w:tcPr>
          <w:p w14:paraId="0A5C1459" w14:textId="77777777" w:rsidR="00353BDC" w:rsidRDefault="00353BDC" w:rsidP="00401306">
            <w:pPr>
              <w:tabs>
                <w:tab w:val="left" w:pos="360"/>
              </w:tabs>
              <w:rPr>
                <w:rFonts w:cs="Arial"/>
                <w:sz w:val="20"/>
              </w:rPr>
            </w:pPr>
          </w:p>
        </w:tc>
        <w:tc>
          <w:tcPr>
            <w:tcW w:w="5245" w:type="dxa"/>
            <w:tcBorders>
              <w:top w:val="nil"/>
              <w:bottom w:val="single" w:sz="4" w:space="0" w:color="auto"/>
            </w:tcBorders>
          </w:tcPr>
          <w:p w14:paraId="0985426C" w14:textId="77777777" w:rsidR="00353BDC" w:rsidRPr="000015F4" w:rsidRDefault="00353BDC" w:rsidP="00401306">
            <w:pPr>
              <w:tabs>
                <w:tab w:val="left" w:pos="360"/>
              </w:tabs>
              <w:rPr>
                <w:b/>
                <w:color w:val="000000"/>
                <w:sz w:val="19"/>
                <w:szCs w:val="19"/>
                <w:u w:val="single"/>
              </w:rPr>
            </w:pPr>
          </w:p>
        </w:tc>
        <w:tc>
          <w:tcPr>
            <w:tcW w:w="1276" w:type="dxa"/>
            <w:tcBorders>
              <w:top w:val="nil"/>
              <w:bottom w:val="single" w:sz="4" w:space="0" w:color="auto"/>
            </w:tcBorders>
          </w:tcPr>
          <w:p w14:paraId="5851E387" w14:textId="77777777" w:rsidR="00353BDC" w:rsidRDefault="00353BDC" w:rsidP="00401306">
            <w:pPr>
              <w:tabs>
                <w:tab w:val="left" w:pos="360"/>
              </w:tabs>
              <w:rPr>
                <w:rFonts w:cs="Arial"/>
                <w:sz w:val="20"/>
              </w:rPr>
            </w:pPr>
            <w:r>
              <w:rPr>
                <w:rFonts w:cs="Arial"/>
                <w:sz w:val="20"/>
              </w:rPr>
              <w:t>32022L2464</w:t>
            </w:r>
          </w:p>
        </w:tc>
        <w:tc>
          <w:tcPr>
            <w:tcW w:w="1559" w:type="dxa"/>
            <w:tcBorders>
              <w:top w:val="nil"/>
              <w:bottom w:val="single" w:sz="4" w:space="0" w:color="auto"/>
            </w:tcBorders>
            <w:shd w:val="clear" w:color="auto" w:fill="auto"/>
          </w:tcPr>
          <w:p w14:paraId="58929805" w14:textId="77777777" w:rsidR="00353BDC" w:rsidRDefault="00353BDC" w:rsidP="00401306">
            <w:pPr>
              <w:tabs>
                <w:tab w:val="left" w:pos="360"/>
              </w:tabs>
              <w:rPr>
                <w:rFonts w:cs="Arial"/>
                <w:sz w:val="20"/>
              </w:rPr>
            </w:pPr>
            <w:r>
              <w:rPr>
                <w:rFonts w:cs="Arial"/>
                <w:sz w:val="20"/>
              </w:rPr>
              <w:t>Recitál 17</w:t>
            </w:r>
          </w:p>
        </w:tc>
        <w:tc>
          <w:tcPr>
            <w:tcW w:w="4678" w:type="dxa"/>
            <w:tcBorders>
              <w:top w:val="nil"/>
              <w:bottom w:val="single" w:sz="4" w:space="0" w:color="auto"/>
            </w:tcBorders>
            <w:shd w:val="clear" w:color="auto" w:fill="auto"/>
          </w:tcPr>
          <w:p w14:paraId="0ADED9D4" w14:textId="77777777" w:rsidR="00353BDC" w:rsidRPr="005F6C82" w:rsidRDefault="00353BDC" w:rsidP="00401306">
            <w:pPr>
              <w:tabs>
                <w:tab w:val="left" w:pos="360"/>
              </w:tabs>
              <w:rPr>
                <w:rFonts w:cs="Arial"/>
                <w:sz w:val="20"/>
              </w:rPr>
            </w:pPr>
            <w:r w:rsidRPr="005F6C82">
              <w:rPr>
                <w:rFonts w:cs="Arial"/>
                <w:sz w:val="20"/>
              </w:rPr>
              <w:t xml:space="preserve">… Ustanovení této pozměňující směrnice, kterými se mění články 19a a 29a směrnice 2013/34/EU, výslovně stanoví rozsah požadavků na podávání zpráv s odkazem na články 2 a 3 směrnice 2013/34/EU. „Nezjednodušují“ ani „nemění“ jiný požadavek, a omezení týkající se osvobození pro subjekty veřejného zájmu podle článku 40 směrnice 2013/34/EU se proto nepoužije. Subjekty veřejného zájmu by zejména neměly být pro účely uplatňování požadavků na podávání zpráv o udržitelnosti považovány za velké podniky. Malým a středním podnikům, jejichž cenné papíry jsou přijaty k obchodování na regulovaném trhu v Unii a které jsou subjekty veřejného zájmu, by proto mělo být umožněno podávat zprávy podle standardů pro podávání </w:t>
            </w:r>
          </w:p>
          <w:p w14:paraId="22573D9C" w14:textId="77777777" w:rsidR="00353BDC" w:rsidRPr="00F55646" w:rsidRDefault="00353BDC" w:rsidP="00401306">
            <w:pPr>
              <w:tabs>
                <w:tab w:val="left" w:pos="360"/>
              </w:tabs>
              <w:rPr>
                <w:color w:val="000000"/>
                <w:sz w:val="19"/>
                <w:szCs w:val="19"/>
              </w:rPr>
            </w:pPr>
            <w:r w:rsidRPr="005F6C82">
              <w:rPr>
                <w:rFonts w:cs="Arial"/>
                <w:sz w:val="20"/>
              </w:rPr>
              <w:t>zpráv o udržitelnosti pro malé a střední podniky…</w:t>
            </w:r>
          </w:p>
        </w:tc>
      </w:tr>
      <w:tr w:rsidR="00353BDC" w:rsidRPr="00FA795B" w14:paraId="36376366" w14:textId="77777777" w:rsidTr="00401306">
        <w:trPr>
          <w:cantSplit/>
        </w:trPr>
        <w:tc>
          <w:tcPr>
            <w:tcW w:w="1418" w:type="dxa"/>
            <w:tcBorders>
              <w:top w:val="nil"/>
              <w:bottom w:val="single" w:sz="4" w:space="0" w:color="auto"/>
            </w:tcBorders>
          </w:tcPr>
          <w:p w14:paraId="3548B9FC" w14:textId="77777777" w:rsidR="00353BDC" w:rsidRDefault="00353BDC" w:rsidP="00401306">
            <w:pPr>
              <w:tabs>
                <w:tab w:val="left" w:pos="360"/>
              </w:tabs>
              <w:rPr>
                <w:rFonts w:cs="Arial"/>
                <w:sz w:val="20"/>
              </w:rPr>
            </w:pPr>
            <w:r>
              <w:rPr>
                <w:rFonts w:cs="Arial"/>
                <w:sz w:val="20"/>
              </w:rPr>
              <w:t>§ 32f odst. 4</w:t>
            </w:r>
          </w:p>
        </w:tc>
        <w:tc>
          <w:tcPr>
            <w:tcW w:w="5245" w:type="dxa"/>
            <w:tcBorders>
              <w:top w:val="nil"/>
              <w:bottom w:val="single" w:sz="4" w:space="0" w:color="auto"/>
            </w:tcBorders>
          </w:tcPr>
          <w:p w14:paraId="4213C413" w14:textId="77777777" w:rsidR="00353BDC" w:rsidRPr="000015F4" w:rsidRDefault="00353BDC" w:rsidP="00401306">
            <w:pPr>
              <w:tabs>
                <w:tab w:val="left" w:pos="360"/>
              </w:tabs>
              <w:rPr>
                <w:b/>
                <w:color w:val="000000"/>
                <w:sz w:val="19"/>
                <w:szCs w:val="19"/>
                <w:u w:val="single"/>
              </w:rPr>
            </w:pPr>
            <w:r>
              <w:rPr>
                <w:b/>
                <w:color w:val="000000"/>
                <w:sz w:val="19"/>
                <w:szCs w:val="19"/>
                <w:u w:val="single"/>
              </w:rPr>
              <w:t>Zpráva o udržitelnosti musí být ověřena auditorem; předmět ověření je upraven zákonem upravujícím činnost auditorů</w:t>
            </w:r>
          </w:p>
        </w:tc>
        <w:tc>
          <w:tcPr>
            <w:tcW w:w="1276" w:type="dxa"/>
            <w:tcBorders>
              <w:top w:val="nil"/>
              <w:bottom w:val="single" w:sz="4" w:space="0" w:color="auto"/>
            </w:tcBorders>
          </w:tcPr>
          <w:p w14:paraId="0B55EA57"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nil"/>
              <w:bottom w:val="single" w:sz="4" w:space="0" w:color="auto"/>
            </w:tcBorders>
            <w:shd w:val="clear" w:color="auto" w:fill="auto"/>
          </w:tcPr>
          <w:p w14:paraId="7A0BD27C" w14:textId="77777777" w:rsidR="00353BDC" w:rsidRDefault="00353BDC" w:rsidP="00401306">
            <w:pPr>
              <w:tabs>
                <w:tab w:val="left" w:pos="360"/>
              </w:tabs>
              <w:rPr>
                <w:rFonts w:cs="Arial"/>
                <w:sz w:val="20"/>
              </w:rPr>
            </w:pPr>
            <w:r>
              <w:rPr>
                <w:rFonts w:cs="Arial"/>
                <w:sz w:val="20"/>
              </w:rPr>
              <w:t xml:space="preserve">Čl. 34 odst. 1 druhý pododstavec písm. </w:t>
            </w:r>
            <w:proofErr w:type="spellStart"/>
            <w:r>
              <w:rPr>
                <w:rFonts w:cs="Arial"/>
                <w:sz w:val="20"/>
              </w:rPr>
              <w:t>aa</w:t>
            </w:r>
            <w:proofErr w:type="spellEnd"/>
            <w:r>
              <w:rPr>
                <w:rFonts w:cs="Arial"/>
                <w:sz w:val="20"/>
              </w:rPr>
              <w:t>)</w:t>
            </w:r>
          </w:p>
        </w:tc>
        <w:tc>
          <w:tcPr>
            <w:tcW w:w="4678" w:type="dxa"/>
            <w:tcBorders>
              <w:top w:val="nil"/>
              <w:bottom w:val="single" w:sz="4" w:space="0" w:color="auto"/>
            </w:tcBorders>
            <w:shd w:val="clear" w:color="auto" w:fill="auto"/>
          </w:tcPr>
          <w:p w14:paraId="3296D8CE" w14:textId="77777777" w:rsidR="00353BDC" w:rsidRDefault="00353BDC" w:rsidP="00401306">
            <w:pPr>
              <w:tabs>
                <w:tab w:val="left" w:pos="360"/>
              </w:tabs>
              <w:rPr>
                <w:rFonts w:cs="Arial"/>
                <w:sz w:val="20"/>
              </w:rPr>
            </w:pPr>
            <w:r>
              <w:rPr>
                <w:rFonts w:cs="Arial"/>
                <w:sz w:val="20"/>
              </w:rPr>
              <w:t>Statutární auditor či auditoři nebo auditorská společnost či společnosti rovněž</w:t>
            </w:r>
          </w:p>
          <w:p w14:paraId="6008371E" w14:textId="77777777" w:rsidR="00353BDC" w:rsidRPr="005F6C82" w:rsidRDefault="00353BDC" w:rsidP="00401306">
            <w:pPr>
              <w:tabs>
                <w:tab w:val="left" w:pos="360"/>
              </w:tabs>
              <w:rPr>
                <w:rFonts w:cs="Arial"/>
                <w:sz w:val="20"/>
              </w:rPr>
            </w:pPr>
            <w:proofErr w:type="spellStart"/>
            <w:r>
              <w:rPr>
                <w:rFonts w:cs="Arial"/>
                <w:sz w:val="20"/>
              </w:rPr>
              <w:t>aa</w:t>
            </w:r>
            <w:proofErr w:type="spellEnd"/>
            <w:r>
              <w:rPr>
                <w:rFonts w:cs="Arial"/>
                <w:sz w:val="20"/>
              </w:rPr>
              <w:t>) v příslušných případech vyjádří na základě ověřovací zakázky poskytující omezenou jistotu závěr k souladu zprávy o udržitelnosti s požadavky této směrnice, včetně souladu zprávy o udržitelnosti se standardy pro podávání zpráv o udržitelnosti přijatými podle článku 29b nebo článku 29c, postupu podniku při určování informací vykazovaných podle těchto standardů pro podávání zpráv o udržitelnosti a souladu s požadavkem na značkování zpráv o udržitelnosti podle článku 29d, a k dodržení požadavků na podávání zpráv stanovených v článku 8 nařízení (EU) 2020/852.</w:t>
            </w:r>
          </w:p>
        </w:tc>
      </w:tr>
      <w:tr w:rsidR="00353BDC" w:rsidRPr="00FA795B" w14:paraId="72AC0FDF" w14:textId="77777777" w:rsidTr="00401306">
        <w:trPr>
          <w:cantSplit/>
        </w:trPr>
        <w:tc>
          <w:tcPr>
            <w:tcW w:w="1418" w:type="dxa"/>
            <w:tcBorders>
              <w:top w:val="single" w:sz="4" w:space="0" w:color="auto"/>
              <w:bottom w:val="single" w:sz="4" w:space="0" w:color="auto"/>
            </w:tcBorders>
          </w:tcPr>
          <w:p w14:paraId="05ED104F" w14:textId="77777777" w:rsidR="00353BDC" w:rsidRDefault="00353BDC" w:rsidP="00401306">
            <w:pPr>
              <w:tabs>
                <w:tab w:val="left" w:pos="360"/>
              </w:tabs>
              <w:rPr>
                <w:rFonts w:cs="Arial"/>
                <w:sz w:val="20"/>
              </w:rPr>
            </w:pPr>
            <w:r>
              <w:rPr>
                <w:rFonts w:cs="Arial"/>
                <w:sz w:val="20"/>
              </w:rPr>
              <w:t>§ 32g odst. 1</w:t>
            </w:r>
          </w:p>
        </w:tc>
        <w:tc>
          <w:tcPr>
            <w:tcW w:w="5245" w:type="dxa"/>
            <w:tcBorders>
              <w:top w:val="single" w:sz="4" w:space="0" w:color="auto"/>
              <w:bottom w:val="single" w:sz="4" w:space="0" w:color="auto"/>
            </w:tcBorders>
          </w:tcPr>
          <w:p w14:paraId="7297486A" w14:textId="77777777" w:rsidR="00353BDC" w:rsidRPr="00F767C9" w:rsidRDefault="00353BDC" w:rsidP="00401306">
            <w:pPr>
              <w:tabs>
                <w:tab w:val="left" w:pos="360"/>
              </w:tabs>
              <w:rPr>
                <w:b/>
                <w:color w:val="000000"/>
                <w:sz w:val="20"/>
                <w:u w:val="single"/>
              </w:rPr>
            </w:pPr>
            <w:r w:rsidRPr="00F767C9">
              <w:rPr>
                <w:b/>
                <w:color w:val="000000"/>
                <w:sz w:val="20"/>
                <w:u w:val="single"/>
              </w:rPr>
              <w:t>Zprávu o udržitelnosti není povinna vyhotovovat účetní jednotka, která je investičním fondem.</w:t>
            </w:r>
          </w:p>
        </w:tc>
        <w:tc>
          <w:tcPr>
            <w:tcW w:w="1276" w:type="dxa"/>
            <w:tcBorders>
              <w:top w:val="single" w:sz="4" w:space="0" w:color="auto"/>
              <w:bottom w:val="single" w:sz="4" w:space="0" w:color="auto"/>
            </w:tcBorders>
          </w:tcPr>
          <w:p w14:paraId="30C200AC"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1DA08B32" w14:textId="77777777" w:rsidR="00353BDC" w:rsidRDefault="00353BDC" w:rsidP="00401306">
            <w:pPr>
              <w:tabs>
                <w:tab w:val="left" w:pos="360"/>
              </w:tabs>
              <w:rPr>
                <w:rFonts w:cs="Arial"/>
                <w:sz w:val="20"/>
              </w:rPr>
            </w:pPr>
            <w:r>
              <w:rPr>
                <w:rFonts w:cs="Arial"/>
                <w:sz w:val="20"/>
              </w:rPr>
              <w:t>Čl. 1 odst. 4</w:t>
            </w:r>
          </w:p>
        </w:tc>
        <w:tc>
          <w:tcPr>
            <w:tcW w:w="4678" w:type="dxa"/>
            <w:tcBorders>
              <w:top w:val="single" w:sz="4" w:space="0" w:color="auto"/>
              <w:bottom w:val="single" w:sz="4" w:space="0" w:color="auto"/>
            </w:tcBorders>
            <w:shd w:val="clear" w:color="auto" w:fill="auto"/>
          </w:tcPr>
          <w:p w14:paraId="3308C64C" w14:textId="77777777" w:rsidR="00353BDC" w:rsidRPr="00F55646" w:rsidRDefault="00353BDC" w:rsidP="00401306">
            <w:pPr>
              <w:tabs>
                <w:tab w:val="left" w:pos="360"/>
              </w:tabs>
              <w:rPr>
                <w:color w:val="000000"/>
                <w:sz w:val="19"/>
                <w:szCs w:val="19"/>
              </w:rPr>
            </w:pPr>
            <w:r>
              <w:rPr>
                <w:color w:val="000000"/>
                <w:sz w:val="19"/>
                <w:szCs w:val="19"/>
              </w:rPr>
              <w:t xml:space="preserve">Koordinační opatření stanovená v článcích 19a, 29a a 29d se nevztahují na finanční produkty uvedené v čl. 2 bodu 12 písm. b) a f) nařízení Evropského parlamentu a Rady (EU) 2019/2088.                                                                                                                                                                                                                                                                                                                                                                                                                                                                                                                                                                                                                                                                                                                                                                            </w:t>
            </w:r>
          </w:p>
        </w:tc>
      </w:tr>
      <w:tr w:rsidR="00353BDC" w:rsidRPr="00FA795B" w14:paraId="323C2CF4" w14:textId="77777777" w:rsidTr="00401306">
        <w:trPr>
          <w:cantSplit/>
        </w:trPr>
        <w:tc>
          <w:tcPr>
            <w:tcW w:w="1418" w:type="dxa"/>
            <w:tcBorders>
              <w:top w:val="single" w:sz="4" w:space="0" w:color="auto"/>
              <w:bottom w:val="single" w:sz="4" w:space="0" w:color="auto"/>
            </w:tcBorders>
          </w:tcPr>
          <w:p w14:paraId="4DE9DC0A" w14:textId="77777777" w:rsidR="00353BDC" w:rsidRDefault="00353BDC" w:rsidP="00401306">
            <w:pPr>
              <w:tabs>
                <w:tab w:val="left" w:pos="360"/>
              </w:tabs>
              <w:rPr>
                <w:rFonts w:cs="Arial"/>
                <w:sz w:val="20"/>
              </w:rPr>
            </w:pPr>
            <w:r>
              <w:rPr>
                <w:rFonts w:cs="Arial"/>
                <w:sz w:val="20"/>
              </w:rPr>
              <w:t>§ 32g odst. 2 písm. a)</w:t>
            </w:r>
          </w:p>
        </w:tc>
        <w:tc>
          <w:tcPr>
            <w:tcW w:w="5245" w:type="dxa"/>
            <w:tcBorders>
              <w:top w:val="single" w:sz="4" w:space="0" w:color="auto"/>
              <w:bottom w:val="single" w:sz="4" w:space="0" w:color="auto"/>
            </w:tcBorders>
          </w:tcPr>
          <w:p w14:paraId="1FAB598E" w14:textId="77777777" w:rsidR="00353BDC" w:rsidRPr="00F767C9" w:rsidRDefault="00353BDC" w:rsidP="00401306">
            <w:pPr>
              <w:tabs>
                <w:tab w:val="left" w:pos="360"/>
              </w:tabs>
              <w:rPr>
                <w:color w:val="000000"/>
                <w:sz w:val="20"/>
              </w:rPr>
            </w:pPr>
            <w:r w:rsidRPr="00F767C9">
              <w:rPr>
                <w:color w:val="000000"/>
                <w:sz w:val="20"/>
              </w:rPr>
              <w:t>Zprávu o udržitelnosti není povinna vyhotovovat také účetní jednotka, pokud</w:t>
            </w:r>
          </w:p>
          <w:p w14:paraId="0B9761F9" w14:textId="77777777" w:rsidR="00353BDC" w:rsidRPr="00F767C9" w:rsidRDefault="00353BDC" w:rsidP="00401306">
            <w:pPr>
              <w:tabs>
                <w:tab w:val="left" w:pos="360"/>
              </w:tabs>
              <w:rPr>
                <w:color w:val="000000"/>
                <w:sz w:val="20"/>
              </w:rPr>
            </w:pPr>
            <w:r w:rsidRPr="00F767C9">
              <w:rPr>
                <w:color w:val="000000"/>
                <w:sz w:val="20"/>
              </w:rPr>
              <w:t>a)</w:t>
            </w:r>
            <w:r w:rsidRPr="00F767C9">
              <w:rPr>
                <w:color w:val="000000"/>
                <w:sz w:val="20"/>
              </w:rPr>
              <w:tab/>
              <w:t xml:space="preserve">není </w:t>
            </w:r>
            <w:r w:rsidRPr="00F767C9">
              <w:rPr>
                <w:b/>
                <w:color w:val="000000"/>
                <w:sz w:val="20"/>
                <w:u w:val="single"/>
              </w:rPr>
              <w:t xml:space="preserve">velkou účetní jednotkou, která je </w:t>
            </w:r>
            <w:r w:rsidRPr="00F767C9">
              <w:rPr>
                <w:color w:val="000000"/>
                <w:sz w:val="20"/>
              </w:rPr>
              <w:t>emitentem investičních cenných papírů přijatých k obchodování na evropském regulovaném trhu,</w:t>
            </w:r>
          </w:p>
        </w:tc>
        <w:tc>
          <w:tcPr>
            <w:tcW w:w="1276" w:type="dxa"/>
            <w:tcBorders>
              <w:top w:val="single" w:sz="4" w:space="0" w:color="auto"/>
              <w:bottom w:val="single" w:sz="4" w:space="0" w:color="auto"/>
            </w:tcBorders>
          </w:tcPr>
          <w:p w14:paraId="49964893"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256B154F" w14:textId="77777777" w:rsidR="00353BDC" w:rsidRDefault="00353BDC" w:rsidP="00401306">
            <w:pPr>
              <w:tabs>
                <w:tab w:val="left" w:pos="360"/>
              </w:tabs>
              <w:rPr>
                <w:rFonts w:cs="Arial"/>
                <w:sz w:val="20"/>
              </w:rPr>
            </w:pPr>
            <w:r>
              <w:rPr>
                <w:rFonts w:cs="Arial"/>
                <w:sz w:val="20"/>
              </w:rPr>
              <w:t>Čl. 19a odst. 10</w:t>
            </w:r>
          </w:p>
        </w:tc>
        <w:tc>
          <w:tcPr>
            <w:tcW w:w="4678" w:type="dxa"/>
            <w:tcBorders>
              <w:top w:val="single" w:sz="4" w:space="0" w:color="auto"/>
              <w:bottom w:val="single" w:sz="4" w:space="0" w:color="auto"/>
            </w:tcBorders>
            <w:shd w:val="clear" w:color="auto" w:fill="auto"/>
          </w:tcPr>
          <w:p w14:paraId="181D2C60" w14:textId="77777777" w:rsidR="00353BDC" w:rsidRPr="00954262" w:rsidRDefault="00353BDC" w:rsidP="00401306">
            <w:pPr>
              <w:tabs>
                <w:tab w:val="left" w:pos="360"/>
              </w:tabs>
              <w:rPr>
                <w:rFonts w:cs="Arial"/>
                <w:sz w:val="20"/>
              </w:rPr>
            </w:pPr>
            <w:r w:rsidRPr="005F6C82">
              <w:rPr>
                <w:rFonts w:cs="Arial"/>
                <w:sz w:val="20"/>
              </w:rPr>
              <w:t>Výjimka stanovená v odstavci 9 se vztahuje rovněž na subjekty veřejného zájmu, které podléhají požadavkům tohoto článku, s výjimkou velkých podniků, které jsou subjekty veřejného zájmu ve smyslu čl. 2 bodu 1 písm. a) této směrnice.</w:t>
            </w:r>
          </w:p>
        </w:tc>
      </w:tr>
      <w:tr w:rsidR="00353BDC" w:rsidRPr="00FA795B" w14:paraId="339090B2" w14:textId="77777777" w:rsidTr="00401306">
        <w:trPr>
          <w:cantSplit/>
        </w:trPr>
        <w:tc>
          <w:tcPr>
            <w:tcW w:w="1418" w:type="dxa"/>
            <w:tcBorders>
              <w:top w:val="single" w:sz="4" w:space="0" w:color="auto"/>
              <w:bottom w:val="single" w:sz="4" w:space="0" w:color="auto"/>
            </w:tcBorders>
          </w:tcPr>
          <w:p w14:paraId="49954A75" w14:textId="77777777" w:rsidR="00353BDC" w:rsidRDefault="00353BDC" w:rsidP="00401306">
            <w:pPr>
              <w:tabs>
                <w:tab w:val="left" w:pos="360"/>
              </w:tabs>
              <w:rPr>
                <w:rFonts w:cs="Arial"/>
                <w:sz w:val="20"/>
              </w:rPr>
            </w:pPr>
            <w:r>
              <w:rPr>
                <w:rFonts w:cs="Arial"/>
                <w:sz w:val="20"/>
              </w:rPr>
              <w:lastRenderedPageBreak/>
              <w:t>§ 32g odst. 2 písm. b) – úvodní část</w:t>
            </w:r>
          </w:p>
        </w:tc>
        <w:tc>
          <w:tcPr>
            <w:tcW w:w="5245" w:type="dxa"/>
            <w:tcBorders>
              <w:top w:val="single" w:sz="4" w:space="0" w:color="auto"/>
              <w:bottom w:val="single" w:sz="4" w:space="0" w:color="auto"/>
            </w:tcBorders>
          </w:tcPr>
          <w:p w14:paraId="7F563EB8" w14:textId="77777777" w:rsidR="00353BDC" w:rsidRPr="00214EFE" w:rsidRDefault="00353BDC" w:rsidP="00401306">
            <w:pPr>
              <w:tabs>
                <w:tab w:val="left" w:pos="360"/>
              </w:tabs>
              <w:rPr>
                <w:color w:val="000000"/>
                <w:sz w:val="20"/>
              </w:rPr>
            </w:pPr>
            <w:r w:rsidRPr="00214EFE">
              <w:rPr>
                <w:color w:val="000000"/>
                <w:sz w:val="20"/>
              </w:rPr>
              <w:t>Zprávu o udržitelnosti není povinna vyhotovovat také účetní jednotka, pokud</w:t>
            </w:r>
          </w:p>
          <w:p w14:paraId="2AB11F57" w14:textId="77777777" w:rsidR="00353BDC" w:rsidRPr="00373A59" w:rsidRDefault="00353BDC" w:rsidP="00401306">
            <w:pPr>
              <w:tabs>
                <w:tab w:val="left" w:pos="360"/>
              </w:tabs>
              <w:rPr>
                <w:color w:val="000000"/>
                <w:sz w:val="19"/>
                <w:szCs w:val="19"/>
              </w:rPr>
            </w:pPr>
            <w:r w:rsidRPr="00214EFE">
              <w:rPr>
                <w:color w:val="000000"/>
                <w:sz w:val="20"/>
              </w:rPr>
              <w:t xml:space="preserve">b) konsolidovaná výroční zpráva nebo konsolidovaná zpráva vedení jiné konsolidující osoby z Evropské unie </w:t>
            </w:r>
            <w:r w:rsidRPr="00214EFE">
              <w:rPr>
                <w:b/>
                <w:color w:val="000000"/>
                <w:sz w:val="20"/>
                <w:u w:val="single"/>
              </w:rPr>
              <w:t>obsahující konsolidovanou zprávu o udržitelnosti</w:t>
            </w:r>
          </w:p>
        </w:tc>
        <w:tc>
          <w:tcPr>
            <w:tcW w:w="1276" w:type="dxa"/>
            <w:tcBorders>
              <w:top w:val="single" w:sz="4" w:space="0" w:color="auto"/>
              <w:bottom w:val="single" w:sz="4" w:space="0" w:color="auto"/>
            </w:tcBorders>
          </w:tcPr>
          <w:p w14:paraId="680C283E"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3570B1FC" w14:textId="77777777" w:rsidR="00353BDC" w:rsidRDefault="00353BDC" w:rsidP="00401306">
            <w:pPr>
              <w:tabs>
                <w:tab w:val="left" w:pos="360"/>
              </w:tabs>
              <w:rPr>
                <w:rFonts w:cs="Arial"/>
                <w:sz w:val="20"/>
              </w:rPr>
            </w:pPr>
            <w:r>
              <w:rPr>
                <w:rFonts w:cs="Arial"/>
                <w:sz w:val="20"/>
              </w:rPr>
              <w:t>Čl. 19a odst. 9 první pododstavec</w:t>
            </w:r>
          </w:p>
        </w:tc>
        <w:tc>
          <w:tcPr>
            <w:tcW w:w="4678" w:type="dxa"/>
            <w:tcBorders>
              <w:top w:val="single" w:sz="4" w:space="0" w:color="auto"/>
              <w:bottom w:val="single" w:sz="4" w:space="0" w:color="auto"/>
            </w:tcBorders>
            <w:shd w:val="clear" w:color="auto" w:fill="auto"/>
          </w:tcPr>
          <w:p w14:paraId="3F68D3C2" w14:textId="77777777" w:rsidR="00353BDC" w:rsidRPr="00B75142" w:rsidRDefault="00353BDC" w:rsidP="00401306">
            <w:pPr>
              <w:tabs>
                <w:tab w:val="left" w:pos="360"/>
              </w:tabs>
              <w:rPr>
                <w:rFonts w:cs="Arial"/>
                <w:sz w:val="20"/>
              </w:rPr>
            </w:pPr>
            <w:r w:rsidRPr="00B75142">
              <w:rPr>
                <w:color w:val="000000"/>
                <w:sz w:val="20"/>
              </w:rPr>
              <w:t>Za předpokladu, že jsou splněny podmínky stanovené v druhém pododstavci tohoto odstavce, je podnik, který je dceřiným podnikem, osvobozen od povinností stanovených v odstavcích 1 až 4 tohoto článku (dále jen „osvobozený dceřiný podnik“), jestliže jsou on sám a jeho dceřiné podniky zahrnuty do konsolidované zprávy vedení mateřského podniku, která je sestavena v souladu s články 29 a 29a. Podnik, který je dceřiným podnikem mateřského podniku usazeného ve třetí zemi, je rovněž osvobozen od povinností stanovených v odstavcích 1 až 4 tohoto článku, jestliže jsou on sám a jeho dceřiné podniky zahrnuty do konsolidované zprávy o udržitelnosti daného mateřského podniku usazeného ve třetí zemi a tato konsolidovaná zpráva o udržitelnosti je vypracována v souladu se standardy pro podávání zpráv o udržitelnosti přijatými podle článku 29b nebo způsobem, který je rovnocenný těmto standardům pro podávání zpráv o udržitelnosti, jak je určen v souladu s prováděcím aktem Komise o rovnocennosti standardů pro podávání zpráv o udržitelnosti přijatým podle čl. 23 odst. 4 třetího pododstavce</w:t>
            </w:r>
          </w:p>
        </w:tc>
      </w:tr>
      <w:tr w:rsidR="00353BDC" w:rsidRPr="00FA795B" w14:paraId="13E9EDF3" w14:textId="77777777" w:rsidTr="00401306">
        <w:trPr>
          <w:cantSplit/>
        </w:trPr>
        <w:tc>
          <w:tcPr>
            <w:tcW w:w="1418" w:type="dxa"/>
            <w:tcBorders>
              <w:top w:val="single" w:sz="4" w:space="0" w:color="auto"/>
              <w:bottom w:val="single" w:sz="4" w:space="0" w:color="auto"/>
            </w:tcBorders>
          </w:tcPr>
          <w:p w14:paraId="4C0BC0A0" w14:textId="77777777" w:rsidR="00353BDC" w:rsidRDefault="00353BDC" w:rsidP="00401306">
            <w:pPr>
              <w:tabs>
                <w:tab w:val="left" w:pos="360"/>
              </w:tabs>
              <w:rPr>
                <w:rFonts w:cs="Arial"/>
                <w:sz w:val="20"/>
              </w:rPr>
            </w:pPr>
            <w:r>
              <w:rPr>
                <w:rFonts w:cs="Arial"/>
                <w:sz w:val="20"/>
              </w:rPr>
              <w:t>§ 32g odst. 2 písm. c) – úvodní část</w:t>
            </w:r>
          </w:p>
        </w:tc>
        <w:tc>
          <w:tcPr>
            <w:tcW w:w="5245" w:type="dxa"/>
            <w:tcBorders>
              <w:top w:val="single" w:sz="4" w:space="0" w:color="auto"/>
              <w:bottom w:val="single" w:sz="4" w:space="0" w:color="auto"/>
            </w:tcBorders>
          </w:tcPr>
          <w:p w14:paraId="79E98A4C" w14:textId="77777777" w:rsidR="00353BDC" w:rsidRPr="00214EFE" w:rsidRDefault="00353BDC" w:rsidP="00401306">
            <w:pPr>
              <w:tabs>
                <w:tab w:val="left" w:pos="360"/>
              </w:tabs>
              <w:rPr>
                <w:color w:val="000000"/>
                <w:sz w:val="20"/>
              </w:rPr>
            </w:pPr>
            <w:r w:rsidRPr="00214EFE">
              <w:rPr>
                <w:color w:val="000000"/>
                <w:sz w:val="20"/>
              </w:rPr>
              <w:t>Zprávu o udržitelnosti není povinna vyhotovovat také účetní jednotka, pokud</w:t>
            </w:r>
          </w:p>
          <w:p w14:paraId="0F6B6D17" w14:textId="77777777" w:rsidR="00353BDC" w:rsidRPr="000C66E4" w:rsidRDefault="00353BDC" w:rsidP="00401306">
            <w:pPr>
              <w:tabs>
                <w:tab w:val="left" w:pos="360"/>
              </w:tabs>
              <w:rPr>
                <w:color w:val="000000"/>
                <w:sz w:val="19"/>
                <w:szCs w:val="19"/>
              </w:rPr>
            </w:pPr>
            <w:r w:rsidRPr="00214EFE">
              <w:rPr>
                <w:color w:val="000000"/>
                <w:sz w:val="20"/>
              </w:rPr>
              <w:t xml:space="preserve">c)výroční zpráva </w:t>
            </w:r>
            <w:r w:rsidRPr="00214EFE">
              <w:rPr>
                <w:b/>
                <w:color w:val="000000"/>
                <w:sz w:val="20"/>
                <w:u w:val="single"/>
              </w:rPr>
              <w:t>nebo konsolidovaná výroční zpráva</w:t>
            </w:r>
            <w:r w:rsidRPr="00214EFE">
              <w:rPr>
                <w:color w:val="000000"/>
                <w:sz w:val="20"/>
              </w:rPr>
              <w:t xml:space="preserve"> této účetní jednotky obsahuje</w:t>
            </w:r>
          </w:p>
        </w:tc>
        <w:tc>
          <w:tcPr>
            <w:tcW w:w="1276" w:type="dxa"/>
            <w:tcBorders>
              <w:top w:val="single" w:sz="4" w:space="0" w:color="auto"/>
              <w:bottom w:val="single" w:sz="4" w:space="0" w:color="auto"/>
            </w:tcBorders>
          </w:tcPr>
          <w:p w14:paraId="2744B8FD"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12798D24" w14:textId="77777777" w:rsidR="00353BDC" w:rsidRDefault="00353BDC" w:rsidP="00401306">
            <w:pPr>
              <w:tabs>
                <w:tab w:val="left" w:pos="360"/>
              </w:tabs>
              <w:rPr>
                <w:rFonts w:cs="Arial"/>
                <w:sz w:val="20"/>
              </w:rPr>
            </w:pPr>
            <w:r>
              <w:rPr>
                <w:rFonts w:cs="Arial"/>
                <w:sz w:val="20"/>
              </w:rPr>
              <w:t>Čl. 19a odst. 9 první pododstavec</w:t>
            </w:r>
          </w:p>
        </w:tc>
        <w:tc>
          <w:tcPr>
            <w:tcW w:w="4678" w:type="dxa"/>
            <w:tcBorders>
              <w:top w:val="single" w:sz="4" w:space="0" w:color="auto"/>
              <w:bottom w:val="single" w:sz="4" w:space="0" w:color="auto"/>
            </w:tcBorders>
            <w:shd w:val="clear" w:color="auto" w:fill="auto"/>
          </w:tcPr>
          <w:p w14:paraId="5C285FA4" w14:textId="77777777" w:rsidR="00353BDC" w:rsidRPr="00B75142" w:rsidRDefault="00353BDC" w:rsidP="00401306">
            <w:pPr>
              <w:tabs>
                <w:tab w:val="left" w:pos="360"/>
              </w:tabs>
              <w:rPr>
                <w:rFonts w:cs="Arial"/>
                <w:sz w:val="20"/>
              </w:rPr>
            </w:pPr>
            <w:r w:rsidRPr="00B75142">
              <w:rPr>
                <w:color w:val="000000"/>
                <w:sz w:val="20"/>
              </w:rPr>
              <w:t>Za předpokladu, že jsou splněny podmínky stanovené v druhém pododstavci tohoto odstavce, je podnik, který je dceřiným podnikem, osvobozen od povinností stanovených v odstavcích 1 až 4 tohoto článku (dále jen „osvobozený dceřiný podnik“), jestliže jsou on sám a jeho dceřiné podniky zahrnuty do konsolidované zprávy vedení mateřského podniku, která je sestavena v souladu s články 29 a 29a. Podnik, který je dceřiným podnikem mateřského podniku usazeného ve třetí zemi, je rovněž osvobozen od povinností stanovených v odstavcích 1 až 4 tohoto článku, jestliže jsou on sám a jeho dceřiné podniky zahrnuty do konsolidované zprávy o udržitelnosti daného mateřského podniku usazeného ve třetí zemi a tato konsolidovaná zpráva o udržitelnosti je vypracována v souladu se standardy pro podávání zpráv o udržitelnosti přijatými podle článku 29b nebo způsobem, který je rovnocenný těmto standardům pro podávání zpráv o udržitelnosti, jak je určen v souladu s prováděcím aktem Komise o rovnocennosti standardů pro podávání zpráv o udržitelnosti přijatým podle čl. 23 odst. 4 třetího pododstavce</w:t>
            </w:r>
          </w:p>
        </w:tc>
      </w:tr>
      <w:tr w:rsidR="00353BDC" w:rsidRPr="00FA795B" w14:paraId="5C1EB0AA" w14:textId="77777777" w:rsidTr="00401306">
        <w:trPr>
          <w:cantSplit/>
        </w:trPr>
        <w:tc>
          <w:tcPr>
            <w:tcW w:w="1418" w:type="dxa"/>
            <w:tcBorders>
              <w:top w:val="single" w:sz="4" w:space="0" w:color="auto"/>
              <w:bottom w:val="single" w:sz="4" w:space="0" w:color="auto"/>
            </w:tcBorders>
          </w:tcPr>
          <w:p w14:paraId="105A2ED0" w14:textId="77777777" w:rsidR="00353BDC" w:rsidRDefault="00353BDC" w:rsidP="00401306">
            <w:pPr>
              <w:tabs>
                <w:tab w:val="left" w:pos="360"/>
              </w:tabs>
              <w:rPr>
                <w:rFonts w:cs="Arial"/>
                <w:sz w:val="20"/>
              </w:rPr>
            </w:pPr>
            <w:r>
              <w:rPr>
                <w:rFonts w:cs="Arial"/>
                <w:sz w:val="20"/>
              </w:rPr>
              <w:lastRenderedPageBreak/>
              <w:t>§ 32g odst. 3 písm. a)</w:t>
            </w:r>
          </w:p>
        </w:tc>
        <w:tc>
          <w:tcPr>
            <w:tcW w:w="5245" w:type="dxa"/>
            <w:tcBorders>
              <w:top w:val="single" w:sz="4" w:space="0" w:color="auto"/>
              <w:bottom w:val="single" w:sz="4" w:space="0" w:color="auto"/>
            </w:tcBorders>
          </w:tcPr>
          <w:p w14:paraId="6EC2A97E" w14:textId="77777777" w:rsidR="00353BDC" w:rsidRPr="00214EFE" w:rsidRDefault="00353BDC" w:rsidP="00401306">
            <w:pPr>
              <w:tabs>
                <w:tab w:val="left" w:pos="360"/>
              </w:tabs>
              <w:rPr>
                <w:color w:val="000000"/>
                <w:sz w:val="20"/>
              </w:rPr>
            </w:pPr>
            <w:r w:rsidRPr="00214EFE">
              <w:rPr>
                <w:color w:val="000000"/>
                <w:sz w:val="20"/>
              </w:rPr>
              <w:t>Zprávu o udržitelnosti není povinna vyhotovovat také účetní jednotka, pokud</w:t>
            </w:r>
          </w:p>
          <w:p w14:paraId="3CED2F00" w14:textId="77777777" w:rsidR="00353BDC" w:rsidRPr="005F6C82" w:rsidRDefault="00353BDC" w:rsidP="00401306">
            <w:pPr>
              <w:tabs>
                <w:tab w:val="left" w:pos="360"/>
              </w:tabs>
              <w:rPr>
                <w:color w:val="000000"/>
                <w:sz w:val="19"/>
                <w:szCs w:val="19"/>
              </w:rPr>
            </w:pPr>
            <w:r w:rsidRPr="00214EFE">
              <w:rPr>
                <w:color w:val="000000"/>
                <w:sz w:val="20"/>
              </w:rPr>
              <w:t>a)</w:t>
            </w:r>
            <w:r w:rsidRPr="00214EFE">
              <w:rPr>
                <w:color w:val="000000"/>
                <w:sz w:val="20"/>
              </w:rPr>
              <w:tab/>
              <w:t xml:space="preserve">není </w:t>
            </w:r>
            <w:r w:rsidRPr="00214EFE">
              <w:rPr>
                <w:b/>
                <w:color w:val="000000"/>
                <w:sz w:val="20"/>
                <w:u w:val="single"/>
              </w:rPr>
              <w:t xml:space="preserve">velkou účetní jednotkou, která je </w:t>
            </w:r>
            <w:r w:rsidRPr="00214EFE">
              <w:rPr>
                <w:color w:val="000000"/>
                <w:sz w:val="20"/>
              </w:rPr>
              <w:t>emitentem investičních cenných papírů přijatých k obchodování na evropském regulovaném trhu,</w:t>
            </w:r>
          </w:p>
        </w:tc>
        <w:tc>
          <w:tcPr>
            <w:tcW w:w="1276" w:type="dxa"/>
            <w:tcBorders>
              <w:top w:val="single" w:sz="4" w:space="0" w:color="auto"/>
              <w:bottom w:val="single" w:sz="4" w:space="0" w:color="auto"/>
            </w:tcBorders>
          </w:tcPr>
          <w:p w14:paraId="7230DFF3"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580C5C05" w14:textId="77777777" w:rsidR="00353BDC" w:rsidRDefault="00353BDC" w:rsidP="00401306">
            <w:pPr>
              <w:tabs>
                <w:tab w:val="left" w:pos="360"/>
              </w:tabs>
              <w:rPr>
                <w:rFonts w:cs="Arial"/>
                <w:sz w:val="20"/>
              </w:rPr>
            </w:pPr>
            <w:r>
              <w:rPr>
                <w:rFonts w:cs="Arial"/>
                <w:sz w:val="20"/>
              </w:rPr>
              <w:t>Čl. 19a odst. 10</w:t>
            </w:r>
          </w:p>
        </w:tc>
        <w:tc>
          <w:tcPr>
            <w:tcW w:w="4678" w:type="dxa"/>
            <w:tcBorders>
              <w:top w:val="single" w:sz="4" w:space="0" w:color="auto"/>
              <w:bottom w:val="single" w:sz="4" w:space="0" w:color="auto"/>
            </w:tcBorders>
            <w:shd w:val="clear" w:color="auto" w:fill="auto"/>
          </w:tcPr>
          <w:p w14:paraId="6D3317A3" w14:textId="77777777" w:rsidR="00353BDC" w:rsidRPr="00954262" w:rsidRDefault="00353BDC" w:rsidP="00401306">
            <w:pPr>
              <w:tabs>
                <w:tab w:val="left" w:pos="360"/>
              </w:tabs>
              <w:rPr>
                <w:rFonts w:cs="Arial"/>
                <w:sz w:val="20"/>
              </w:rPr>
            </w:pPr>
            <w:r w:rsidRPr="005F6C82">
              <w:rPr>
                <w:rFonts w:cs="Arial"/>
                <w:sz w:val="20"/>
              </w:rPr>
              <w:t>Výjimka stanovená v odstavci 9 se vztahuje rovněž na subjekty veřejného zájmu, které podléhají požadavkům tohoto článku, s výjimkou velkých podniků, které jsou subjekty veřejného zájmu ve smyslu čl. 2 bodu 1 písm. a) této směrnice.</w:t>
            </w:r>
          </w:p>
        </w:tc>
      </w:tr>
      <w:tr w:rsidR="00353BDC" w:rsidRPr="00FA795B" w14:paraId="47DC5312" w14:textId="77777777" w:rsidTr="00401306">
        <w:trPr>
          <w:cantSplit/>
        </w:trPr>
        <w:tc>
          <w:tcPr>
            <w:tcW w:w="1418" w:type="dxa"/>
            <w:tcBorders>
              <w:top w:val="single" w:sz="4" w:space="0" w:color="auto"/>
              <w:bottom w:val="single" w:sz="4" w:space="0" w:color="auto"/>
            </w:tcBorders>
          </w:tcPr>
          <w:p w14:paraId="206C4BB1" w14:textId="77777777" w:rsidR="00353BDC" w:rsidRDefault="00353BDC" w:rsidP="00401306">
            <w:pPr>
              <w:tabs>
                <w:tab w:val="left" w:pos="360"/>
              </w:tabs>
              <w:rPr>
                <w:rFonts w:cs="Arial"/>
                <w:sz w:val="20"/>
              </w:rPr>
            </w:pPr>
            <w:r>
              <w:rPr>
                <w:rFonts w:cs="Arial"/>
                <w:sz w:val="20"/>
              </w:rPr>
              <w:t>§ 32g odst. 3 písm. b) – úvodní část</w:t>
            </w:r>
          </w:p>
        </w:tc>
        <w:tc>
          <w:tcPr>
            <w:tcW w:w="5245" w:type="dxa"/>
            <w:tcBorders>
              <w:top w:val="single" w:sz="4" w:space="0" w:color="auto"/>
              <w:bottom w:val="single" w:sz="4" w:space="0" w:color="auto"/>
            </w:tcBorders>
          </w:tcPr>
          <w:p w14:paraId="75A08849" w14:textId="77777777" w:rsidR="00353BDC" w:rsidRPr="00214EFE" w:rsidRDefault="00353BDC" w:rsidP="00401306">
            <w:pPr>
              <w:tabs>
                <w:tab w:val="left" w:pos="360"/>
              </w:tabs>
              <w:rPr>
                <w:color w:val="000000"/>
                <w:sz w:val="20"/>
              </w:rPr>
            </w:pPr>
            <w:r w:rsidRPr="00214EFE">
              <w:rPr>
                <w:color w:val="000000"/>
                <w:sz w:val="20"/>
              </w:rPr>
              <w:t>Zprávu o udržitelnosti není povinna vyhotovovat také účetní jednotka, pokud</w:t>
            </w:r>
          </w:p>
          <w:p w14:paraId="2A994132" w14:textId="77777777" w:rsidR="00353BDC" w:rsidRPr="00373A59" w:rsidRDefault="00353BDC" w:rsidP="00401306">
            <w:pPr>
              <w:tabs>
                <w:tab w:val="left" w:pos="360"/>
              </w:tabs>
              <w:rPr>
                <w:color w:val="000000"/>
                <w:sz w:val="19"/>
                <w:szCs w:val="19"/>
              </w:rPr>
            </w:pPr>
            <w:r w:rsidRPr="00214EFE">
              <w:rPr>
                <w:color w:val="000000"/>
                <w:sz w:val="20"/>
              </w:rPr>
              <w:t xml:space="preserve">b) konsolidovaná zpráva o udržitelnosti jiné konsolidující </w:t>
            </w:r>
            <w:r w:rsidRPr="00214EFE">
              <w:rPr>
                <w:b/>
                <w:color w:val="000000"/>
                <w:sz w:val="20"/>
                <w:u w:val="single"/>
              </w:rPr>
              <w:t>zahraniční osoby řídící se právem jiného než členského státu Evropské unie (dále jen „jiná konsolidující osoba ze třetí země“)</w:t>
            </w:r>
          </w:p>
        </w:tc>
        <w:tc>
          <w:tcPr>
            <w:tcW w:w="1276" w:type="dxa"/>
            <w:tcBorders>
              <w:top w:val="single" w:sz="4" w:space="0" w:color="auto"/>
              <w:bottom w:val="single" w:sz="4" w:space="0" w:color="auto"/>
            </w:tcBorders>
          </w:tcPr>
          <w:p w14:paraId="5466EB90"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0B67C955" w14:textId="77777777" w:rsidR="00353BDC" w:rsidRDefault="00353BDC" w:rsidP="00401306">
            <w:pPr>
              <w:tabs>
                <w:tab w:val="left" w:pos="360"/>
              </w:tabs>
              <w:rPr>
                <w:rFonts w:cs="Arial"/>
                <w:sz w:val="20"/>
              </w:rPr>
            </w:pPr>
            <w:r>
              <w:rPr>
                <w:rFonts w:cs="Arial"/>
                <w:sz w:val="20"/>
              </w:rPr>
              <w:t>Čl. 19a odst. 9 první pododstavec</w:t>
            </w:r>
          </w:p>
        </w:tc>
        <w:tc>
          <w:tcPr>
            <w:tcW w:w="4678" w:type="dxa"/>
            <w:tcBorders>
              <w:top w:val="single" w:sz="4" w:space="0" w:color="auto"/>
              <w:bottom w:val="single" w:sz="4" w:space="0" w:color="auto"/>
            </w:tcBorders>
            <w:shd w:val="clear" w:color="auto" w:fill="auto"/>
          </w:tcPr>
          <w:p w14:paraId="27A38970" w14:textId="77777777" w:rsidR="00353BDC" w:rsidRPr="00B75142" w:rsidRDefault="00353BDC" w:rsidP="00401306">
            <w:pPr>
              <w:tabs>
                <w:tab w:val="left" w:pos="360"/>
              </w:tabs>
              <w:rPr>
                <w:rFonts w:cs="Arial"/>
                <w:sz w:val="20"/>
              </w:rPr>
            </w:pPr>
            <w:r w:rsidRPr="00B75142">
              <w:rPr>
                <w:color w:val="000000"/>
                <w:sz w:val="20"/>
              </w:rPr>
              <w:t>Za předpokladu, že jsou splněny podmínky stanovené v druhém pododstavci tohoto odstavce, je podnik, který je dceřiným podnikem, osvobozen od povinností stanovených v odstavcích 1 až 4 tohoto článku (dále jen „osvobozený dceřiný podnik“), jestliže jsou on sám a jeho dceřiné podniky zahrnuty do konsolidované zprávy vedení mateřského podniku, která je sestavena v souladu s články 29 a 29a. Podnik, který je dceřiným podnikem mateřského podniku usazeného ve třetí zemi, je rovněž osvobozen od povinností stanovených v odstavcích 1 až 4 tohoto článku, jestliže jsou on sám a jeho dceřiné podniky zahrnuty do konsolidované zprávy o udržitelnosti daného mateřského podniku usazeného ve třetí zemi a tato konsolidovaná zpráva o udržitelnosti je vypracována v souladu se standardy pro podávání zpráv o udržitelnosti přijatými podle článku 29b nebo způsobem, který je rovnocenný těmto standardům pro podávání zpráv o udržitelnosti, jak je určen v souladu s prováděcím aktem Komise o rovnocennosti standardů pro podávání zpráv o udržitelnosti přijatým podle čl. 23 odst. 4 třetího pododstavce</w:t>
            </w:r>
          </w:p>
        </w:tc>
      </w:tr>
      <w:tr w:rsidR="00353BDC" w:rsidRPr="00FA795B" w14:paraId="0BDCFBCF" w14:textId="77777777" w:rsidTr="00401306">
        <w:trPr>
          <w:cantSplit/>
        </w:trPr>
        <w:tc>
          <w:tcPr>
            <w:tcW w:w="1418" w:type="dxa"/>
            <w:tcBorders>
              <w:top w:val="single" w:sz="4" w:space="0" w:color="auto"/>
              <w:bottom w:val="single" w:sz="4" w:space="0" w:color="auto"/>
            </w:tcBorders>
          </w:tcPr>
          <w:p w14:paraId="6A6BBB05" w14:textId="77777777" w:rsidR="00353BDC" w:rsidRDefault="00353BDC" w:rsidP="00401306">
            <w:pPr>
              <w:tabs>
                <w:tab w:val="left" w:pos="360"/>
              </w:tabs>
              <w:rPr>
                <w:rFonts w:cs="Arial"/>
                <w:sz w:val="20"/>
              </w:rPr>
            </w:pPr>
            <w:r>
              <w:rPr>
                <w:rFonts w:cs="Arial"/>
                <w:sz w:val="20"/>
              </w:rPr>
              <w:t>§ 32g odst. 3 písm. b) bod 6</w:t>
            </w:r>
          </w:p>
        </w:tc>
        <w:tc>
          <w:tcPr>
            <w:tcW w:w="5245" w:type="dxa"/>
            <w:tcBorders>
              <w:top w:val="single" w:sz="4" w:space="0" w:color="auto"/>
              <w:bottom w:val="single" w:sz="4" w:space="0" w:color="auto"/>
            </w:tcBorders>
          </w:tcPr>
          <w:p w14:paraId="41F294B8" w14:textId="77777777" w:rsidR="00353BDC" w:rsidRPr="00214EFE" w:rsidRDefault="00353BDC" w:rsidP="00401306">
            <w:pPr>
              <w:tabs>
                <w:tab w:val="left" w:pos="360"/>
              </w:tabs>
              <w:rPr>
                <w:color w:val="000000"/>
                <w:sz w:val="20"/>
              </w:rPr>
            </w:pPr>
            <w:r w:rsidRPr="00214EFE">
              <w:rPr>
                <w:color w:val="000000"/>
                <w:sz w:val="20"/>
              </w:rPr>
              <w:t>Zprávu o udržitelnosti není povinna vyhotovovat také účetní jednotka, pokud</w:t>
            </w:r>
          </w:p>
          <w:p w14:paraId="124031E2" w14:textId="77777777" w:rsidR="00353BDC" w:rsidRPr="00214EFE" w:rsidRDefault="00353BDC" w:rsidP="00401306">
            <w:pPr>
              <w:tabs>
                <w:tab w:val="left" w:pos="360"/>
              </w:tabs>
              <w:rPr>
                <w:b/>
                <w:color w:val="000000"/>
                <w:sz w:val="20"/>
                <w:u w:val="single"/>
              </w:rPr>
            </w:pPr>
            <w:r w:rsidRPr="00214EFE">
              <w:rPr>
                <w:color w:val="000000"/>
                <w:sz w:val="20"/>
              </w:rPr>
              <w:t xml:space="preserve">b) konsolidovaná zpráva o udržitelnosti jiné konsolidující </w:t>
            </w:r>
            <w:r w:rsidRPr="00214EFE">
              <w:rPr>
                <w:b/>
                <w:color w:val="000000"/>
                <w:sz w:val="20"/>
                <w:u w:val="single"/>
              </w:rPr>
              <w:t>zahraniční osoby řídící se právem jiného než členského státu Evropské unie (dále jen „jiná konsolidující osoba ze třetí země“)</w:t>
            </w:r>
          </w:p>
          <w:p w14:paraId="43C6792D" w14:textId="77777777" w:rsidR="00353BDC" w:rsidRPr="00893590" w:rsidRDefault="00353BDC" w:rsidP="00401306">
            <w:pPr>
              <w:tabs>
                <w:tab w:val="left" w:pos="360"/>
              </w:tabs>
              <w:rPr>
                <w:color w:val="000000"/>
                <w:sz w:val="19"/>
                <w:szCs w:val="19"/>
              </w:rPr>
            </w:pPr>
            <w:r w:rsidRPr="00214EFE">
              <w:rPr>
                <w:color w:val="000000"/>
                <w:sz w:val="20"/>
              </w:rPr>
              <w:t xml:space="preserve">6. je společně se zprávou o jejím ověření zveřejněna ve veřejném rejstříku, v němž je zapsána tato účetní jednotka, </w:t>
            </w:r>
            <w:r w:rsidRPr="00214EFE">
              <w:rPr>
                <w:b/>
                <w:color w:val="000000"/>
                <w:sz w:val="20"/>
                <w:u w:val="single"/>
              </w:rPr>
              <w:t>ve lhůtě pro zveřejnění výroční zprávy</w:t>
            </w:r>
            <w:r w:rsidRPr="00214EFE">
              <w:rPr>
                <w:color w:val="000000"/>
                <w:sz w:val="20"/>
              </w:rPr>
              <w:t xml:space="preserve"> a</w:t>
            </w:r>
          </w:p>
        </w:tc>
        <w:tc>
          <w:tcPr>
            <w:tcW w:w="1276" w:type="dxa"/>
            <w:tcBorders>
              <w:top w:val="single" w:sz="4" w:space="0" w:color="auto"/>
              <w:bottom w:val="single" w:sz="4" w:space="0" w:color="auto"/>
            </w:tcBorders>
          </w:tcPr>
          <w:p w14:paraId="30239787"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6078EA43" w14:textId="77777777" w:rsidR="00353BDC" w:rsidRDefault="00353BDC" w:rsidP="00401306">
            <w:pPr>
              <w:tabs>
                <w:tab w:val="left" w:pos="360"/>
              </w:tabs>
              <w:rPr>
                <w:rFonts w:cs="Arial"/>
                <w:sz w:val="20"/>
              </w:rPr>
            </w:pPr>
            <w:r>
              <w:rPr>
                <w:rFonts w:cs="Arial"/>
                <w:sz w:val="20"/>
              </w:rPr>
              <w:t>Čl. 19a odst. 9 druhý pododstavec písm. b)</w:t>
            </w:r>
          </w:p>
        </w:tc>
        <w:tc>
          <w:tcPr>
            <w:tcW w:w="4678" w:type="dxa"/>
            <w:tcBorders>
              <w:top w:val="single" w:sz="4" w:space="0" w:color="auto"/>
              <w:bottom w:val="single" w:sz="4" w:space="0" w:color="auto"/>
            </w:tcBorders>
            <w:shd w:val="clear" w:color="auto" w:fill="auto"/>
          </w:tcPr>
          <w:p w14:paraId="19BFEC7A" w14:textId="77777777" w:rsidR="00353BDC" w:rsidRPr="009C31AE" w:rsidRDefault="00353BDC" w:rsidP="00401306">
            <w:pPr>
              <w:tabs>
                <w:tab w:val="left" w:pos="360"/>
              </w:tabs>
              <w:rPr>
                <w:color w:val="000000"/>
                <w:sz w:val="20"/>
              </w:rPr>
            </w:pPr>
            <w:r w:rsidRPr="009C31AE">
              <w:rPr>
                <w:color w:val="000000"/>
                <w:sz w:val="20"/>
              </w:rPr>
              <w:t>Na osvobození uvedené v prvním pododstavci se vztahují tyto podmínky:</w:t>
            </w:r>
          </w:p>
          <w:p w14:paraId="72DFB984" w14:textId="77777777" w:rsidR="00353BDC" w:rsidRPr="00B75142" w:rsidRDefault="00353BDC" w:rsidP="00401306">
            <w:pPr>
              <w:tabs>
                <w:tab w:val="left" w:pos="360"/>
              </w:tabs>
              <w:rPr>
                <w:rFonts w:cs="Arial"/>
                <w:sz w:val="20"/>
              </w:rPr>
            </w:pPr>
            <w:r w:rsidRPr="009C31AE">
              <w:rPr>
                <w:color w:val="000000"/>
                <w:sz w:val="20"/>
              </w:rPr>
              <w:t>b) je-li mateřský podnik usazen ve třetí zemi, jeho konsolidovaná zpráva o udržitelnosti a vyjádření závěru o ověření ke konsolidované zprávě o udržitelnosti vydané jednou nebo více osobami nebo společnostmi, které jsou k takovému vyjadřování závěru o ověření oprávněny na základě práva, jímž se řídí daný mateřský podnik, se zveřejní v souladu s článkem 30 této směrnice a v souladu s právem členského státu, jímž se osvobozený dceřiný podnik řídí;</w:t>
            </w:r>
          </w:p>
        </w:tc>
      </w:tr>
      <w:tr w:rsidR="00353BDC" w:rsidRPr="00FA795B" w14:paraId="11B7B503" w14:textId="77777777" w:rsidTr="00401306">
        <w:trPr>
          <w:cantSplit/>
        </w:trPr>
        <w:tc>
          <w:tcPr>
            <w:tcW w:w="1418" w:type="dxa"/>
            <w:tcBorders>
              <w:top w:val="single" w:sz="4" w:space="0" w:color="auto"/>
              <w:bottom w:val="single" w:sz="4" w:space="0" w:color="auto"/>
            </w:tcBorders>
          </w:tcPr>
          <w:p w14:paraId="37B4FB9B" w14:textId="77777777" w:rsidR="00353BDC" w:rsidRDefault="00353BDC" w:rsidP="00401306">
            <w:pPr>
              <w:tabs>
                <w:tab w:val="left" w:pos="360"/>
              </w:tabs>
              <w:rPr>
                <w:rFonts w:cs="Arial"/>
                <w:sz w:val="20"/>
              </w:rPr>
            </w:pPr>
            <w:r>
              <w:rPr>
                <w:rFonts w:cs="Arial"/>
                <w:sz w:val="20"/>
              </w:rPr>
              <w:lastRenderedPageBreak/>
              <w:t>§ 32g odst. 3 písm. c) – úvodní část</w:t>
            </w:r>
          </w:p>
        </w:tc>
        <w:tc>
          <w:tcPr>
            <w:tcW w:w="5245" w:type="dxa"/>
            <w:tcBorders>
              <w:top w:val="single" w:sz="4" w:space="0" w:color="auto"/>
              <w:bottom w:val="single" w:sz="4" w:space="0" w:color="auto"/>
            </w:tcBorders>
          </w:tcPr>
          <w:p w14:paraId="3525471F" w14:textId="77777777" w:rsidR="00353BDC" w:rsidRPr="00214EFE" w:rsidRDefault="00353BDC" w:rsidP="00401306">
            <w:pPr>
              <w:tabs>
                <w:tab w:val="left" w:pos="360"/>
              </w:tabs>
              <w:rPr>
                <w:color w:val="000000"/>
                <w:sz w:val="20"/>
              </w:rPr>
            </w:pPr>
            <w:r w:rsidRPr="00214EFE">
              <w:rPr>
                <w:color w:val="000000"/>
                <w:sz w:val="20"/>
              </w:rPr>
              <w:t>Zprávu o udržitelnosti není povinna vyhotovovat také účetní jednotka, pokud</w:t>
            </w:r>
          </w:p>
          <w:p w14:paraId="7226339F" w14:textId="77777777" w:rsidR="00353BDC" w:rsidRPr="00214EFE" w:rsidRDefault="00353BDC" w:rsidP="00401306">
            <w:pPr>
              <w:tabs>
                <w:tab w:val="left" w:pos="360"/>
              </w:tabs>
              <w:rPr>
                <w:color w:val="000000"/>
                <w:sz w:val="19"/>
                <w:szCs w:val="19"/>
              </w:rPr>
            </w:pPr>
            <w:r w:rsidRPr="00214EFE">
              <w:rPr>
                <w:color w:val="000000"/>
                <w:sz w:val="20"/>
              </w:rPr>
              <w:t>c)</w:t>
            </w:r>
            <w:r>
              <w:rPr>
                <w:color w:val="000000"/>
                <w:sz w:val="19"/>
                <w:szCs w:val="19"/>
              </w:rPr>
              <w:t xml:space="preserve"> výroční zpráva </w:t>
            </w:r>
            <w:r>
              <w:rPr>
                <w:b/>
                <w:color w:val="000000"/>
                <w:sz w:val="19"/>
                <w:szCs w:val="19"/>
                <w:u w:val="single"/>
              </w:rPr>
              <w:t>nebo konsolidovaná výroční zpráva</w:t>
            </w:r>
            <w:r>
              <w:rPr>
                <w:color w:val="000000"/>
                <w:sz w:val="19"/>
                <w:szCs w:val="19"/>
              </w:rPr>
              <w:t xml:space="preserve"> této účetní jednotky obsahuje</w:t>
            </w:r>
          </w:p>
        </w:tc>
        <w:tc>
          <w:tcPr>
            <w:tcW w:w="1276" w:type="dxa"/>
            <w:tcBorders>
              <w:top w:val="single" w:sz="4" w:space="0" w:color="auto"/>
              <w:bottom w:val="single" w:sz="4" w:space="0" w:color="auto"/>
            </w:tcBorders>
          </w:tcPr>
          <w:p w14:paraId="3E973FEA"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4B7BD63D" w14:textId="77777777" w:rsidR="00353BDC" w:rsidRDefault="00353BDC" w:rsidP="00401306">
            <w:pPr>
              <w:tabs>
                <w:tab w:val="left" w:pos="360"/>
              </w:tabs>
              <w:rPr>
                <w:rFonts w:cs="Arial"/>
                <w:sz w:val="20"/>
              </w:rPr>
            </w:pPr>
            <w:r>
              <w:rPr>
                <w:rFonts w:cs="Arial"/>
                <w:sz w:val="20"/>
              </w:rPr>
              <w:t>Čl. 19a odst. 9 první pododstavec</w:t>
            </w:r>
          </w:p>
        </w:tc>
        <w:tc>
          <w:tcPr>
            <w:tcW w:w="4678" w:type="dxa"/>
            <w:tcBorders>
              <w:top w:val="single" w:sz="4" w:space="0" w:color="auto"/>
              <w:bottom w:val="single" w:sz="4" w:space="0" w:color="auto"/>
            </w:tcBorders>
            <w:shd w:val="clear" w:color="auto" w:fill="auto"/>
          </w:tcPr>
          <w:p w14:paraId="68D6C104" w14:textId="77777777" w:rsidR="00353BDC" w:rsidRPr="00B75142" w:rsidRDefault="00353BDC" w:rsidP="00401306">
            <w:pPr>
              <w:tabs>
                <w:tab w:val="left" w:pos="360"/>
              </w:tabs>
              <w:rPr>
                <w:rFonts w:cs="Arial"/>
                <w:sz w:val="20"/>
              </w:rPr>
            </w:pPr>
            <w:r w:rsidRPr="00B75142">
              <w:rPr>
                <w:color w:val="000000"/>
                <w:sz w:val="20"/>
              </w:rPr>
              <w:t>Za předpokladu, že jsou splněny podmínky stanovené v druhém pododstavci tohoto odstavce, je podnik, který je dceřiným podnikem, osvobozen od povinností stanovených v odstavcích 1 až 4 tohoto článku (dále jen „osvobozený dceřiný podnik“), jestliže jsou on sám a jeho dceřiné podniky zahrnuty do konsolidované zprávy vedení mateřského podniku, která je sestavena v souladu s články 29 a 29a. Podnik, který je dceřiným podnikem mateřského podniku usazeného ve třetí zemi, je rovněž osvobozen od povinností stanovených v odstavcích 1 až 4 tohoto článku, jestliže jsou on sám a jeho dceřiné podniky zahrnuty do konsolidované zprávy o udržitelnosti daného mateřského podniku usazeného ve třetí zemi a tato konsolidovaná zpráva o udržitelnosti je vypracována v souladu se standardy pro podávání zpráv o udržitelnosti přijatými podle článku 29b nebo způsobem, který je rovnocenný těmto standardům pro podávání zpráv o udržitelnosti, jak je určen v souladu s prováděcím aktem Komise o rovnocennosti standardů pro podávání zpráv o udržitelnosti přijatým podle čl. 23 odst. 4 třetího pododstavce</w:t>
            </w:r>
          </w:p>
        </w:tc>
      </w:tr>
      <w:tr w:rsidR="00353BDC" w:rsidRPr="00FA795B" w14:paraId="62605344" w14:textId="77777777" w:rsidTr="00401306">
        <w:trPr>
          <w:cantSplit/>
        </w:trPr>
        <w:tc>
          <w:tcPr>
            <w:tcW w:w="1418" w:type="dxa"/>
            <w:tcBorders>
              <w:top w:val="single" w:sz="4" w:space="0" w:color="auto"/>
              <w:bottom w:val="single" w:sz="4" w:space="0" w:color="auto"/>
            </w:tcBorders>
          </w:tcPr>
          <w:p w14:paraId="4FA7DF8C" w14:textId="77777777" w:rsidR="00353BDC" w:rsidRDefault="00353BDC" w:rsidP="00401306">
            <w:pPr>
              <w:tabs>
                <w:tab w:val="left" w:pos="360"/>
              </w:tabs>
              <w:rPr>
                <w:rFonts w:cs="Arial"/>
                <w:sz w:val="20"/>
              </w:rPr>
            </w:pPr>
            <w:r>
              <w:rPr>
                <w:rFonts w:cs="Arial"/>
                <w:sz w:val="20"/>
              </w:rPr>
              <w:t>§ 32h odst. 9</w:t>
            </w:r>
          </w:p>
        </w:tc>
        <w:tc>
          <w:tcPr>
            <w:tcW w:w="5245" w:type="dxa"/>
            <w:tcBorders>
              <w:top w:val="single" w:sz="4" w:space="0" w:color="auto"/>
              <w:bottom w:val="single" w:sz="4" w:space="0" w:color="auto"/>
            </w:tcBorders>
          </w:tcPr>
          <w:p w14:paraId="7637E52F" w14:textId="77777777" w:rsidR="00353BDC" w:rsidRPr="006A726F" w:rsidRDefault="00353BDC" w:rsidP="00401306">
            <w:pPr>
              <w:tabs>
                <w:tab w:val="left" w:pos="360"/>
              </w:tabs>
              <w:rPr>
                <w:color w:val="000000"/>
                <w:sz w:val="20"/>
              </w:rPr>
            </w:pPr>
            <w:r w:rsidRPr="006A726F">
              <w:rPr>
                <w:color w:val="000000"/>
                <w:sz w:val="20"/>
              </w:rPr>
              <w:t>Zpráva o udržitelnosti se vyhotovuje</w:t>
            </w:r>
            <w:r>
              <w:rPr>
                <w:color w:val="000000"/>
                <w:sz w:val="20"/>
              </w:rPr>
              <w:t xml:space="preserve"> v souladu se standardy pro podávání zpráv o udržitelnosti přijatými Evropskou </w:t>
            </w:r>
            <w:r w:rsidRPr="006A726F">
              <w:rPr>
                <w:b/>
                <w:color w:val="000000"/>
                <w:sz w:val="20"/>
                <w:u w:val="single"/>
              </w:rPr>
              <w:t>komisí</w:t>
            </w:r>
            <w:r w:rsidRPr="006A726F">
              <w:rPr>
                <w:b/>
                <w:color w:val="000000"/>
                <w:sz w:val="20"/>
                <w:u w:val="single"/>
                <w:vertAlign w:val="superscript"/>
              </w:rPr>
              <w:t>48)</w:t>
            </w:r>
            <w:r>
              <w:rPr>
                <w:color w:val="000000"/>
                <w:sz w:val="20"/>
              </w:rPr>
              <w:t>.</w:t>
            </w:r>
          </w:p>
          <w:p w14:paraId="5960286B" w14:textId="77777777" w:rsidR="00353BDC" w:rsidRDefault="00353BDC" w:rsidP="00401306">
            <w:pPr>
              <w:tabs>
                <w:tab w:val="left" w:pos="360"/>
              </w:tabs>
              <w:rPr>
                <w:b/>
                <w:color w:val="000000"/>
                <w:sz w:val="20"/>
                <w:u w:val="single"/>
              </w:rPr>
            </w:pPr>
          </w:p>
          <w:p w14:paraId="58FB83E3" w14:textId="77777777" w:rsidR="00353BDC" w:rsidRPr="00B40668" w:rsidRDefault="00353BDC" w:rsidP="00401306">
            <w:pPr>
              <w:tabs>
                <w:tab w:val="left" w:pos="360"/>
              </w:tabs>
              <w:rPr>
                <w:b/>
                <w:color w:val="000000"/>
                <w:sz w:val="20"/>
                <w:u w:val="single"/>
              </w:rPr>
            </w:pPr>
            <w:r>
              <w:rPr>
                <w:b/>
                <w:color w:val="000000"/>
                <w:sz w:val="20"/>
                <w:u w:val="single"/>
              </w:rPr>
              <w:t>48) Nařízení Komise v přenesené pravomoci (EU) 2023/2772 ze dne 31. července 2023, kterým se doplňuje směrnice Evropského parlamentu a Rady 2013/34/EU, pokud jde o standardy pro podávání zpráv o udržitelnosti.</w:t>
            </w:r>
          </w:p>
        </w:tc>
        <w:tc>
          <w:tcPr>
            <w:tcW w:w="1276" w:type="dxa"/>
            <w:tcBorders>
              <w:top w:val="single" w:sz="4" w:space="0" w:color="auto"/>
              <w:bottom w:val="single" w:sz="4" w:space="0" w:color="auto"/>
            </w:tcBorders>
          </w:tcPr>
          <w:p w14:paraId="43FF6E56" w14:textId="77777777" w:rsidR="00353BDC" w:rsidRPr="00827382" w:rsidRDefault="00353BDC" w:rsidP="00401306">
            <w:pPr>
              <w:tabs>
                <w:tab w:val="left" w:pos="360"/>
              </w:tabs>
              <w:rPr>
                <w:rFonts w:cs="Arial"/>
                <w:sz w:val="20"/>
              </w:rPr>
            </w:pPr>
            <w:r w:rsidRPr="00827382">
              <w:rPr>
                <w:rFonts w:cs="Arial"/>
                <w:sz w:val="20"/>
              </w:rPr>
              <w:t>3202</w:t>
            </w:r>
            <w:r>
              <w:rPr>
                <w:rFonts w:cs="Arial"/>
                <w:sz w:val="20"/>
              </w:rPr>
              <w:t>2L2464</w:t>
            </w:r>
          </w:p>
        </w:tc>
        <w:tc>
          <w:tcPr>
            <w:tcW w:w="1559" w:type="dxa"/>
            <w:tcBorders>
              <w:top w:val="single" w:sz="4" w:space="0" w:color="auto"/>
              <w:bottom w:val="single" w:sz="4" w:space="0" w:color="auto"/>
            </w:tcBorders>
            <w:shd w:val="clear" w:color="auto" w:fill="auto"/>
          </w:tcPr>
          <w:p w14:paraId="3938AF09" w14:textId="77777777" w:rsidR="00353BDC" w:rsidRPr="00827382" w:rsidRDefault="00353BDC" w:rsidP="00401306">
            <w:pPr>
              <w:tabs>
                <w:tab w:val="left" w:pos="360"/>
              </w:tabs>
              <w:rPr>
                <w:rFonts w:cs="Arial"/>
                <w:sz w:val="20"/>
              </w:rPr>
            </w:pPr>
            <w:r>
              <w:rPr>
                <w:rFonts w:cs="Arial"/>
                <w:sz w:val="20"/>
              </w:rPr>
              <w:t>Čl. 5 odst. 3</w:t>
            </w:r>
          </w:p>
        </w:tc>
        <w:tc>
          <w:tcPr>
            <w:tcW w:w="4678" w:type="dxa"/>
            <w:tcBorders>
              <w:top w:val="single" w:sz="4" w:space="0" w:color="auto"/>
              <w:bottom w:val="single" w:sz="4" w:space="0" w:color="auto"/>
            </w:tcBorders>
            <w:shd w:val="clear" w:color="auto" w:fill="auto"/>
          </w:tcPr>
          <w:p w14:paraId="4E9FC549" w14:textId="77777777" w:rsidR="00353BDC" w:rsidRPr="00827382" w:rsidRDefault="00353BDC" w:rsidP="00401306">
            <w:pPr>
              <w:tabs>
                <w:tab w:val="left" w:pos="360"/>
              </w:tabs>
              <w:rPr>
                <w:rFonts w:cs="Arial"/>
                <w:sz w:val="20"/>
              </w:rPr>
            </w:pPr>
            <w:r>
              <w:rPr>
                <w:rFonts w:cs="Arial"/>
                <w:sz w:val="20"/>
              </w:rPr>
              <w:t>Předpisy uvedené v odstavci 1 přijaté členskými státy musí obsahovat odkaz na tuto směrnici nebo musí být takový odkaz učiněn při jejich úředním vyhlášení. Způsob odkazu si stanoví členské státy.</w:t>
            </w:r>
          </w:p>
        </w:tc>
      </w:tr>
      <w:tr w:rsidR="00353BDC" w:rsidRPr="00FA795B" w14:paraId="6B81A38C" w14:textId="77777777" w:rsidTr="00401306">
        <w:trPr>
          <w:cantSplit/>
        </w:trPr>
        <w:tc>
          <w:tcPr>
            <w:tcW w:w="1418" w:type="dxa"/>
            <w:tcBorders>
              <w:top w:val="single" w:sz="4" w:space="0" w:color="auto"/>
              <w:bottom w:val="single" w:sz="4" w:space="0" w:color="auto"/>
            </w:tcBorders>
          </w:tcPr>
          <w:p w14:paraId="24673810" w14:textId="77777777" w:rsidR="00353BDC" w:rsidRDefault="00353BDC" w:rsidP="00401306">
            <w:pPr>
              <w:tabs>
                <w:tab w:val="left" w:pos="360"/>
              </w:tabs>
              <w:rPr>
                <w:rFonts w:cs="Arial"/>
                <w:sz w:val="20"/>
              </w:rPr>
            </w:pPr>
            <w:r>
              <w:rPr>
                <w:rFonts w:cs="Arial"/>
                <w:sz w:val="20"/>
              </w:rPr>
              <w:t>§ 32h odst. 10</w:t>
            </w:r>
          </w:p>
        </w:tc>
        <w:tc>
          <w:tcPr>
            <w:tcW w:w="5245" w:type="dxa"/>
            <w:tcBorders>
              <w:top w:val="single" w:sz="4" w:space="0" w:color="auto"/>
              <w:bottom w:val="single" w:sz="4" w:space="0" w:color="auto"/>
            </w:tcBorders>
          </w:tcPr>
          <w:p w14:paraId="26DE87EB" w14:textId="77777777" w:rsidR="00353BDC" w:rsidRPr="00F84038" w:rsidRDefault="00353BDC" w:rsidP="00401306">
            <w:pPr>
              <w:tabs>
                <w:tab w:val="left" w:pos="360"/>
              </w:tabs>
              <w:rPr>
                <w:color w:val="000000"/>
                <w:sz w:val="20"/>
              </w:rPr>
            </w:pPr>
            <w:r>
              <w:rPr>
                <w:color w:val="000000"/>
                <w:sz w:val="20"/>
              </w:rPr>
              <w:t>Zpráva o udržitelnosti</w:t>
            </w:r>
            <w:r>
              <w:rPr>
                <w:b/>
                <w:color w:val="000000"/>
                <w:sz w:val="20"/>
                <w:u w:val="single"/>
              </w:rPr>
              <w:t xml:space="preserve"> včetně informace podle přímo použitelného předpisu Evropské unie upravujícího rámec pro usnadnění udržitelných investic</w:t>
            </w:r>
            <w:r>
              <w:rPr>
                <w:b/>
                <w:color w:val="000000"/>
                <w:sz w:val="20"/>
                <w:u w:val="single"/>
                <w:vertAlign w:val="superscript"/>
              </w:rPr>
              <w:t>44)</w:t>
            </w:r>
            <w:r>
              <w:rPr>
                <w:color w:val="000000"/>
                <w:sz w:val="20"/>
              </w:rPr>
              <w:t xml:space="preserve"> je značkována podle přímo použitelného předpisu Evropské unie upravujícího jednotný elektronický formát pro podávání zpráv</w:t>
            </w:r>
            <w:r>
              <w:rPr>
                <w:color w:val="000000"/>
                <w:sz w:val="20"/>
                <w:vertAlign w:val="superscript"/>
              </w:rPr>
              <w:t>45)</w:t>
            </w:r>
            <w:r>
              <w:rPr>
                <w:color w:val="000000"/>
                <w:sz w:val="20"/>
              </w:rPr>
              <w:t>.</w:t>
            </w:r>
          </w:p>
        </w:tc>
        <w:tc>
          <w:tcPr>
            <w:tcW w:w="1276" w:type="dxa"/>
            <w:tcBorders>
              <w:top w:val="single" w:sz="4" w:space="0" w:color="auto"/>
              <w:bottom w:val="single" w:sz="4" w:space="0" w:color="auto"/>
            </w:tcBorders>
          </w:tcPr>
          <w:p w14:paraId="42110E80" w14:textId="77777777" w:rsidR="00353BDC" w:rsidRPr="00827382"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23660CF5" w14:textId="77777777" w:rsidR="00353BDC" w:rsidRDefault="00353BDC" w:rsidP="00401306">
            <w:pPr>
              <w:tabs>
                <w:tab w:val="left" w:pos="360"/>
              </w:tabs>
              <w:rPr>
                <w:rFonts w:cs="Arial"/>
                <w:sz w:val="20"/>
              </w:rPr>
            </w:pPr>
            <w:r>
              <w:rPr>
                <w:rFonts w:cs="Arial"/>
                <w:sz w:val="20"/>
              </w:rPr>
              <w:t>Čl. 29dodst. 1</w:t>
            </w:r>
          </w:p>
        </w:tc>
        <w:tc>
          <w:tcPr>
            <w:tcW w:w="4678" w:type="dxa"/>
            <w:tcBorders>
              <w:top w:val="single" w:sz="4" w:space="0" w:color="auto"/>
              <w:bottom w:val="single" w:sz="4" w:space="0" w:color="auto"/>
            </w:tcBorders>
            <w:shd w:val="clear" w:color="auto" w:fill="auto"/>
          </w:tcPr>
          <w:p w14:paraId="1D0BDF49" w14:textId="77777777" w:rsidR="00353BDC" w:rsidRPr="00F84038" w:rsidRDefault="00353BDC" w:rsidP="00401306">
            <w:pPr>
              <w:tabs>
                <w:tab w:val="left" w:pos="360"/>
              </w:tabs>
              <w:rPr>
                <w:color w:val="000000"/>
              </w:rPr>
            </w:pPr>
            <w:r w:rsidRPr="00F84038">
              <w:rPr>
                <w:rFonts w:cs="Arial"/>
                <w:sz w:val="20"/>
              </w:rPr>
              <w:t xml:space="preserve">Podniky, na něž se vztahují požadavky článku 19a této směrnice, sestavují svou zprávu vedení podniku v elektronickém formátu pro podávání zpráv specifikovaném v článku 3 nařízení Komise v přenesené pravomoci (EU) </w:t>
            </w:r>
            <w:proofErr w:type="gramStart"/>
            <w:r w:rsidRPr="00F84038">
              <w:rPr>
                <w:rFonts w:cs="Arial"/>
                <w:sz w:val="20"/>
              </w:rPr>
              <w:t>2019/815 ( 1 ) a značkují</w:t>
            </w:r>
            <w:proofErr w:type="gramEnd"/>
            <w:r w:rsidRPr="00F84038">
              <w:rPr>
                <w:rFonts w:cs="Arial"/>
                <w:sz w:val="20"/>
              </w:rPr>
              <w:t xml:space="preserve"> své zprávy o udržitelnosti, včetně informací povinně zveřejňovaných podle článku 8 nařízení (EU) 2020/852, v souladu s elektronickým formátem pro podávání zpráv specifikovaném v daném nařízení v přenesené pravomoci.</w:t>
            </w:r>
          </w:p>
        </w:tc>
      </w:tr>
      <w:tr w:rsidR="00353BDC" w:rsidRPr="00FA795B" w14:paraId="7D15E448" w14:textId="77777777" w:rsidTr="00401306">
        <w:trPr>
          <w:cantSplit/>
        </w:trPr>
        <w:tc>
          <w:tcPr>
            <w:tcW w:w="1418" w:type="dxa"/>
            <w:tcBorders>
              <w:top w:val="single" w:sz="4" w:space="0" w:color="auto"/>
              <w:bottom w:val="single" w:sz="4" w:space="0" w:color="auto"/>
            </w:tcBorders>
          </w:tcPr>
          <w:p w14:paraId="676C1C41" w14:textId="77777777" w:rsidR="00353BDC" w:rsidRDefault="00353BDC" w:rsidP="00401306">
            <w:pPr>
              <w:tabs>
                <w:tab w:val="left" w:pos="360"/>
              </w:tabs>
              <w:rPr>
                <w:rFonts w:cs="Arial"/>
                <w:sz w:val="20"/>
              </w:rPr>
            </w:pPr>
            <w:r>
              <w:rPr>
                <w:rFonts w:cs="Arial"/>
                <w:sz w:val="20"/>
              </w:rPr>
              <w:lastRenderedPageBreak/>
              <w:t>§ 32ha odst. 1</w:t>
            </w:r>
          </w:p>
        </w:tc>
        <w:tc>
          <w:tcPr>
            <w:tcW w:w="5245" w:type="dxa"/>
            <w:tcBorders>
              <w:top w:val="single" w:sz="4" w:space="0" w:color="auto"/>
              <w:bottom w:val="single" w:sz="4" w:space="0" w:color="auto"/>
            </w:tcBorders>
          </w:tcPr>
          <w:p w14:paraId="3984E71E" w14:textId="77777777" w:rsidR="00353BDC" w:rsidRPr="00B13968" w:rsidRDefault="00353BDC" w:rsidP="00401306">
            <w:pPr>
              <w:tabs>
                <w:tab w:val="left" w:pos="360"/>
              </w:tabs>
              <w:rPr>
                <w:b/>
                <w:color w:val="000000"/>
                <w:sz w:val="20"/>
                <w:u w:val="single"/>
              </w:rPr>
            </w:pPr>
            <w:r w:rsidRPr="00B13968">
              <w:rPr>
                <w:b/>
                <w:color w:val="000000"/>
                <w:sz w:val="20"/>
                <w:u w:val="single"/>
              </w:rPr>
              <w:t>Zpráva o udržitelnosti účetní jednotky, která je střední nebo malou účetní jednotkou, malou a nepříliš složitou institucí podle přímo použitelného předpisu Evropské unie upravujícího obezřetnostní požadavky na úvěrové instituce</w:t>
            </w:r>
            <w:r w:rsidRPr="00B13968">
              <w:rPr>
                <w:b/>
                <w:color w:val="000000"/>
                <w:sz w:val="20"/>
                <w:u w:val="single"/>
                <w:vertAlign w:val="superscript"/>
              </w:rPr>
              <w:t>43</w:t>
            </w:r>
            <w:r>
              <w:rPr>
                <w:b/>
                <w:color w:val="000000"/>
                <w:sz w:val="20"/>
                <w:u w:val="single"/>
                <w:vertAlign w:val="superscript"/>
              </w:rPr>
              <w:t>)</w:t>
            </w:r>
            <w:r w:rsidRPr="00B13968">
              <w:rPr>
                <w:b/>
                <w:color w:val="000000"/>
                <w:sz w:val="20"/>
                <w:u w:val="single"/>
              </w:rPr>
              <w:t xml:space="preserve"> nebo </w:t>
            </w:r>
            <w:proofErr w:type="spellStart"/>
            <w:r w:rsidRPr="00B13968">
              <w:rPr>
                <w:b/>
                <w:color w:val="000000"/>
                <w:sz w:val="20"/>
                <w:u w:val="single"/>
              </w:rPr>
              <w:t>kaptivní</w:t>
            </w:r>
            <w:proofErr w:type="spellEnd"/>
            <w:r w:rsidRPr="00B13968">
              <w:rPr>
                <w:b/>
                <w:color w:val="000000"/>
                <w:sz w:val="20"/>
                <w:u w:val="single"/>
              </w:rPr>
              <w:t xml:space="preserve"> pojišťovnou nebo </w:t>
            </w:r>
            <w:proofErr w:type="spellStart"/>
            <w:r w:rsidRPr="00B13968">
              <w:rPr>
                <w:b/>
                <w:color w:val="000000"/>
                <w:sz w:val="20"/>
                <w:u w:val="single"/>
              </w:rPr>
              <w:t>kaptivní</w:t>
            </w:r>
            <w:proofErr w:type="spellEnd"/>
            <w:r w:rsidRPr="00B13968">
              <w:rPr>
                <w:b/>
                <w:color w:val="000000"/>
                <w:sz w:val="20"/>
                <w:u w:val="single"/>
              </w:rPr>
              <w:t xml:space="preserve"> zajišťovnou podle zákona upravujícího pojišťovnictví, obsahuje alespoň</w:t>
            </w:r>
          </w:p>
          <w:p w14:paraId="3AA34D41" w14:textId="77777777" w:rsidR="00353BDC" w:rsidRPr="00B13968" w:rsidRDefault="00353BDC" w:rsidP="00401306">
            <w:pPr>
              <w:tabs>
                <w:tab w:val="left" w:pos="360"/>
              </w:tabs>
              <w:rPr>
                <w:b/>
                <w:color w:val="000000"/>
                <w:sz w:val="20"/>
                <w:u w:val="single"/>
              </w:rPr>
            </w:pPr>
            <w:r w:rsidRPr="00B13968">
              <w:rPr>
                <w:b/>
                <w:color w:val="000000"/>
                <w:sz w:val="20"/>
                <w:u w:val="single"/>
              </w:rPr>
              <w:t xml:space="preserve">a) </w:t>
            </w:r>
            <w:r w:rsidRPr="00B13968">
              <w:rPr>
                <w:b/>
                <w:color w:val="000000"/>
                <w:sz w:val="20"/>
                <w:u w:val="single"/>
              </w:rPr>
              <w:tab/>
              <w:t>stručný popis obchodního modelu a strategie účetní jednotky,</w:t>
            </w:r>
          </w:p>
          <w:p w14:paraId="25D78AE9" w14:textId="77777777" w:rsidR="00353BDC" w:rsidRPr="00B13968" w:rsidRDefault="00353BDC" w:rsidP="00401306">
            <w:pPr>
              <w:tabs>
                <w:tab w:val="left" w:pos="360"/>
              </w:tabs>
              <w:rPr>
                <w:b/>
                <w:color w:val="000000"/>
                <w:sz w:val="20"/>
                <w:u w:val="single"/>
              </w:rPr>
            </w:pPr>
            <w:r w:rsidRPr="00B13968">
              <w:rPr>
                <w:b/>
                <w:color w:val="000000"/>
                <w:sz w:val="20"/>
                <w:u w:val="single"/>
              </w:rPr>
              <w:t>b)</w:t>
            </w:r>
            <w:r w:rsidRPr="00B13968">
              <w:rPr>
                <w:b/>
                <w:color w:val="000000"/>
                <w:sz w:val="20"/>
                <w:u w:val="single"/>
              </w:rPr>
              <w:tab/>
              <w:t>popis politiky účetní jednotky ve vztahu k udržitelnosti,</w:t>
            </w:r>
          </w:p>
          <w:p w14:paraId="58F8CD62" w14:textId="77777777" w:rsidR="00353BDC" w:rsidRPr="00B13968" w:rsidRDefault="00353BDC" w:rsidP="00401306">
            <w:pPr>
              <w:tabs>
                <w:tab w:val="left" w:pos="360"/>
              </w:tabs>
              <w:rPr>
                <w:b/>
                <w:color w:val="000000"/>
                <w:sz w:val="20"/>
                <w:u w:val="single"/>
              </w:rPr>
            </w:pPr>
            <w:r w:rsidRPr="00B13968">
              <w:rPr>
                <w:b/>
                <w:color w:val="000000"/>
                <w:sz w:val="20"/>
                <w:u w:val="single"/>
              </w:rPr>
              <w:t>c)</w:t>
            </w:r>
            <w:r w:rsidRPr="00B13968">
              <w:rPr>
                <w:b/>
                <w:color w:val="000000"/>
                <w:sz w:val="20"/>
                <w:u w:val="single"/>
              </w:rPr>
              <w:tab/>
              <w:t xml:space="preserve">hlavní skutečné nebo potenciální nepříznivé dopady podniku na udržitelnost a veškerá přijatá opatření, která mají tyto skutečné nebo potenciální nepříznivé dopady identifikovat, sledovat, předcházet jim, zmírnit je nebo je napravit, </w:t>
            </w:r>
          </w:p>
          <w:p w14:paraId="5BEC000B" w14:textId="77777777" w:rsidR="00353BDC" w:rsidRPr="00B13968" w:rsidRDefault="00353BDC" w:rsidP="00401306">
            <w:pPr>
              <w:tabs>
                <w:tab w:val="left" w:pos="360"/>
              </w:tabs>
              <w:rPr>
                <w:b/>
                <w:color w:val="000000"/>
                <w:sz w:val="20"/>
                <w:u w:val="single"/>
              </w:rPr>
            </w:pPr>
            <w:r w:rsidRPr="00B13968">
              <w:rPr>
                <w:b/>
                <w:color w:val="000000"/>
                <w:sz w:val="20"/>
                <w:u w:val="single"/>
              </w:rPr>
              <w:t>d)</w:t>
            </w:r>
            <w:r w:rsidRPr="00B13968">
              <w:rPr>
                <w:b/>
                <w:color w:val="000000"/>
                <w:sz w:val="20"/>
                <w:u w:val="single"/>
              </w:rPr>
              <w:tab/>
              <w:t>popis hlavních rizik pro účetní jednotku spojených s udržitelností a způsob, jakým účetní jednotka tato rizika řídí, a</w:t>
            </w:r>
          </w:p>
          <w:p w14:paraId="07CA7EDD" w14:textId="77777777" w:rsidR="00353BDC" w:rsidRPr="00B13968" w:rsidRDefault="00353BDC" w:rsidP="00401306">
            <w:pPr>
              <w:tabs>
                <w:tab w:val="left" w:pos="360"/>
              </w:tabs>
              <w:rPr>
                <w:b/>
                <w:color w:val="000000"/>
                <w:sz w:val="20"/>
                <w:u w:val="single"/>
              </w:rPr>
            </w:pPr>
            <w:r w:rsidRPr="00B13968">
              <w:rPr>
                <w:b/>
                <w:color w:val="000000"/>
                <w:sz w:val="20"/>
                <w:u w:val="single"/>
              </w:rPr>
              <w:t>e)</w:t>
            </w:r>
            <w:r w:rsidRPr="00B13968">
              <w:rPr>
                <w:b/>
                <w:color w:val="000000"/>
                <w:sz w:val="20"/>
                <w:u w:val="single"/>
              </w:rPr>
              <w:tab/>
              <w:t>významné ukazatele vztahující se k informacím podle písmen a) až d).</w:t>
            </w:r>
          </w:p>
          <w:p w14:paraId="7E71A817" w14:textId="77777777" w:rsidR="00353BDC" w:rsidRDefault="00353BDC" w:rsidP="00401306">
            <w:pPr>
              <w:tabs>
                <w:tab w:val="left" w:pos="360"/>
              </w:tabs>
              <w:rPr>
                <w:b/>
                <w:color w:val="000000"/>
                <w:sz w:val="20"/>
                <w:u w:val="single"/>
              </w:rPr>
            </w:pPr>
          </w:p>
          <w:p w14:paraId="694A8951" w14:textId="77777777" w:rsidR="00353BDC" w:rsidRPr="00B13968" w:rsidRDefault="00353BDC" w:rsidP="00401306">
            <w:pPr>
              <w:tabs>
                <w:tab w:val="left" w:pos="360"/>
              </w:tabs>
              <w:rPr>
                <w:b/>
                <w:color w:val="000000"/>
                <w:sz w:val="20"/>
                <w:u w:val="single"/>
              </w:rPr>
            </w:pPr>
          </w:p>
          <w:p w14:paraId="6B82D824" w14:textId="77777777" w:rsidR="00353BDC" w:rsidRPr="00B13968" w:rsidRDefault="00353BDC" w:rsidP="00401306">
            <w:pPr>
              <w:tabs>
                <w:tab w:val="left" w:pos="360"/>
              </w:tabs>
              <w:rPr>
                <w:rFonts w:cs="Arial"/>
                <w:sz w:val="20"/>
              </w:rPr>
            </w:pPr>
          </w:p>
        </w:tc>
        <w:tc>
          <w:tcPr>
            <w:tcW w:w="1276" w:type="dxa"/>
            <w:tcBorders>
              <w:top w:val="single" w:sz="4" w:space="0" w:color="auto"/>
              <w:bottom w:val="single" w:sz="4" w:space="0" w:color="auto"/>
            </w:tcBorders>
          </w:tcPr>
          <w:p w14:paraId="15AAD69D"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55F8107D" w14:textId="77777777" w:rsidR="00353BDC" w:rsidRDefault="00353BDC" w:rsidP="00401306">
            <w:pPr>
              <w:tabs>
                <w:tab w:val="left" w:pos="360"/>
              </w:tabs>
              <w:rPr>
                <w:rFonts w:cs="Arial"/>
                <w:sz w:val="20"/>
              </w:rPr>
            </w:pPr>
            <w:r>
              <w:rPr>
                <w:rFonts w:cs="Arial"/>
                <w:sz w:val="20"/>
              </w:rPr>
              <w:t>Čl. 19a odst. 6 první pododstavec</w:t>
            </w:r>
          </w:p>
        </w:tc>
        <w:tc>
          <w:tcPr>
            <w:tcW w:w="4678" w:type="dxa"/>
            <w:tcBorders>
              <w:top w:val="single" w:sz="4" w:space="0" w:color="auto"/>
              <w:bottom w:val="single" w:sz="4" w:space="0" w:color="auto"/>
            </w:tcBorders>
            <w:shd w:val="clear" w:color="auto" w:fill="auto"/>
          </w:tcPr>
          <w:p w14:paraId="289D61E1" w14:textId="77777777" w:rsidR="00353BDC" w:rsidRPr="00A35B4B" w:rsidRDefault="00353BDC" w:rsidP="00401306">
            <w:pPr>
              <w:tabs>
                <w:tab w:val="left" w:pos="360"/>
              </w:tabs>
              <w:rPr>
                <w:rFonts w:cs="Arial"/>
                <w:sz w:val="20"/>
              </w:rPr>
            </w:pPr>
            <w:r w:rsidRPr="00A35B4B">
              <w:rPr>
                <w:rFonts w:cs="Arial"/>
                <w:sz w:val="20"/>
              </w:rPr>
              <w:t xml:space="preserve">Odchylně od odstavců 2 až 4 tohoto článku a aniž jsou dotčeny odstavce 9 a 10 tohoto článku, mohou malé a střední podniky uvedené v odstavci 1 tohoto článku, malé a nepříliš složité instituce ve smyslu čl. 4 odst. 1 bodu 145 nařízení (EU) č. 575/2013, jakož i </w:t>
            </w:r>
            <w:proofErr w:type="spellStart"/>
            <w:r w:rsidRPr="00A35B4B">
              <w:rPr>
                <w:rFonts w:cs="Arial"/>
                <w:sz w:val="20"/>
              </w:rPr>
              <w:t>kaptivní</w:t>
            </w:r>
            <w:proofErr w:type="spellEnd"/>
            <w:r w:rsidRPr="00A35B4B">
              <w:rPr>
                <w:rFonts w:cs="Arial"/>
                <w:sz w:val="20"/>
              </w:rPr>
              <w:t xml:space="preserve"> pojišťovny ve smyslu článku 13 bodu 2 směrnice Evropského parlamentu a Rady </w:t>
            </w:r>
            <w:proofErr w:type="gramStart"/>
            <w:r w:rsidRPr="00A35B4B">
              <w:rPr>
                <w:rFonts w:cs="Arial"/>
                <w:sz w:val="20"/>
              </w:rPr>
              <w:t xml:space="preserve">2009/138/ES ( 1 ) a </w:t>
            </w:r>
            <w:proofErr w:type="spellStart"/>
            <w:r w:rsidRPr="00A35B4B">
              <w:rPr>
                <w:rFonts w:cs="Arial"/>
                <w:sz w:val="20"/>
              </w:rPr>
              <w:t>kaptivní</w:t>
            </w:r>
            <w:proofErr w:type="spellEnd"/>
            <w:proofErr w:type="gramEnd"/>
            <w:r w:rsidRPr="00A35B4B">
              <w:rPr>
                <w:rFonts w:cs="Arial"/>
                <w:sz w:val="20"/>
              </w:rPr>
              <w:t xml:space="preserve"> zajišťovny ve smyslu článku 13 bodu 5 uvedené směrnice omezit podávání zpráv o udržitelnosti na tyto informace: </w:t>
            </w:r>
          </w:p>
          <w:p w14:paraId="38C0BFBE" w14:textId="77777777" w:rsidR="00353BDC" w:rsidRPr="00A35B4B" w:rsidRDefault="00353BDC" w:rsidP="00401306">
            <w:pPr>
              <w:tabs>
                <w:tab w:val="left" w:pos="360"/>
              </w:tabs>
              <w:rPr>
                <w:rFonts w:cs="Arial"/>
                <w:sz w:val="20"/>
              </w:rPr>
            </w:pPr>
            <w:r w:rsidRPr="00A35B4B">
              <w:rPr>
                <w:rFonts w:cs="Arial"/>
                <w:sz w:val="20"/>
              </w:rPr>
              <w:t xml:space="preserve">a) stručný popis obchodního modelu a strategie podniku; </w:t>
            </w:r>
          </w:p>
          <w:p w14:paraId="5588AF0B" w14:textId="77777777" w:rsidR="00353BDC" w:rsidRPr="00A35B4B" w:rsidRDefault="00353BDC" w:rsidP="00401306">
            <w:pPr>
              <w:tabs>
                <w:tab w:val="left" w:pos="360"/>
              </w:tabs>
              <w:rPr>
                <w:rFonts w:cs="Arial"/>
                <w:sz w:val="20"/>
              </w:rPr>
            </w:pPr>
            <w:r w:rsidRPr="00A35B4B">
              <w:rPr>
                <w:rFonts w:cs="Arial"/>
                <w:sz w:val="20"/>
              </w:rPr>
              <w:t xml:space="preserve">b) popis politik podniku ve vztahu k otázkám udržitelnosti; </w:t>
            </w:r>
          </w:p>
          <w:p w14:paraId="77B01CB9" w14:textId="77777777" w:rsidR="00353BDC" w:rsidRPr="00A35B4B" w:rsidRDefault="00353BDC" w:rsidP="00401306">
            <w:pPr>
              <w:tabs>
                <w:tab w:val="left" w:pos="360"/>
              </w:tabs>
              <w:rPr>
                <w:rFonts w:cs="Arial"/>
                <w:sz w:val="20"/>
              </w:rPr>
            </w:pPr>
            <w:r w:rsidRPr="00A35B4B">
              <w:rPr>
                <w:rFonts w:cs="Arial"/>
                <w:sz w:val="20"/>
              </w:rPr>
              <w:t xml:space="preserve">c) hlavní skutečné nebo potenciální nepříznivé dopady podniku na otázky udržitelnosti a veškerá přijatá opatření, která mají tyto skutečné nebo potenciální nepříznivé dopady identifikovat, sledovat, předcházet jim, zmírnit je nebo je napravit; </w:t>
            </w:r>
          </w:p>
          <w:p w14:paraId="3A4ADC58" w14:textId="77777777" w:rsidR="00353BDC" w:rsidRPr="00A35B4B" w:rsidRDefault="00353BDC" w:rsidP="00401306">
            <w:pPr>
              <w:tabs>
                <w:tab w:val="left" w:pos="360"/>
              </w:tabs>
              <w:rPr>
                <w:rFonts w:cs="Arial"/>
                <w:sz w:val="20"/>
              </w:rPr>
            </w:pPr>
            <w:r w:rsidRPr="00A35B4B">
              <w:rPr>
                <w:rFonts w:cs="Arial"/>
                <w:sz w:val="20"/>
              </w:rPr>
              <w:t xml:space="preserve">d) hlavní rizika pro podnik související s otázkami udržitelnosti a způsob, jakým podnik tato rizika řídí; </w:t>
            </w:r>
          </w:p>
          <w:p w14:paraId="64F3EE9D" w14:textId="77777777" w:rsidR="00353BDC" w:rsidRPr="00954262" w:rsidRDefault="00353BDC" w:rsidP="00401306">
            <w:pPr>
              <w:tabs>
                <w:tab w:val="left" w:pos="360"/>
              </w:tabs>
              <w:rPr>
                <w:rFonts w:cs="Arial"/>
                <w:sz w:val="20"/>
              </w:rPr>
            </w:pPr>
            <w:r w:rsidRPr="00A35B4B">
              <w:rPr>
                <w:rFonts w:cs="Arial"/>
                <w:sz w:val="20"/>
              </w:rPr>
              <w:t>e) klíčové ukazatele nezbytné pro uvádění informací u</w:t>
            </w:r>
            <w:r>
              <w:rPr>
                <w:rFonts w:cs="Arial"/>
                <w:sz w:val="20"/>
              </w:rPr>
              <w:t xml:space="preserve">vedených v písmenech a) až d). </w:t>
            </w:r>
          </w:p>
        </w:tc>
      </w:tr>
      <w:tr w:rsidR="00353BDC" w:rsidRPr="00FA795B" w14:paraId="5A0E3723" w14:textId="77777777" w:rsidTr="00401306">
        <w:trPr>
          <w:cantSplit/>
        </w:trPr>
        <w:tc>
          <w:tcPr>
            <w:tcW w:w="1418" w:type="dxa"/>
            <w:tcBorders>
              <w:top w:val="single" w:sz="4" w:space="0" w:color="auto"/>
              <w:bottom w:val="single" w:sz="4" w:space="0" w:color="auto"/>
            </w:tcBorders>
          </w:tcPr>
          <w:p w14:paraId="4BE3A9E6" w14:textId="77777777" w:rsidR="00353BDC" w:rsidRDefault="00353BDC" w:rsidP="00401306">
            <w:pPr>
              <w:tabs>
                <w:tab w:val="left" w:pos="360"/>
              </w:tabs>
              <w:rPr>
                <w:rFonts w:cs="Arial"/>
                <w:sz w:val="20"/>
              </w:rPr>
            </w:pPr>
            <w:r>
              <w:rPr>
                <w:rFonts w:cs="Arial"/>
                <w:sz w:val="20"/>
              </w:rPr>
              <w:t>§ 32ha odst. 2</w:t>
            </w:r>
          </w:p>
        </w:tc>
        <w:tc>
          <w:tcPr>
            <w:tcW w:w="5245" w:type="dxa"/>
            <w:tcBorders>
              <w:top w:val="single" w:sz="4" w:space="0" w:color="auto"/>
              <w:bottom w:val="single" w:sz="4" w:space="0" w:color="auto"/>
            </w:tcBorders>
          </w:tcPr>
          <w:p w14:paraId="77F9AD40" w14:textId="77777777" w:rsidR="00353BDC" w:rsidRPr="00B13968" w:rsidRDefault="00353BDC" w:rsidP="00401306">
            <w:pPr>
              <w:tabs>
                <w:tab w:val="left" w:pos="360"/>
              </w:tabs>
              <w:rPr>
                <w:b/>
                <w:color w:val="000000"/>
                <w:sz w:val="20"/>
                <w:u w:val="single"/>
              </w:rPr>
            </w:pPr>
            <w:r w:rsidRPr="00B13968">
              <w:rPr>
                <w:b/>
                <w:color w:val="000000"/>
                <w:sz w:val="20"/>
                <w:u w:val="single"/>
              </w:rPr>
              <w:t>Postupuje-li účetní jednotka podle odstavce 1, zpráva o udržitelnosti se vyhotovuje v souladu se standardy pro podávání zpráv o udržitelnosti pro malé a střední podniky přijatými Evropskou komisí.</w:t>
            </w:r>
          </w:p>
        </w:tc>
        <w:tc>
          <w:tcPr>
            <w:tcW w:w="1276" w:type="dxa"/>
            <w:tcBorders>
              <w:top w:val="single" w:sz="4" w:space="0" w:color="auto"/>
              <w:bottom w:val="single" w:sz="4" w:space="0" w:color="auto"/>
            </w:tcBorders>
          </w:tcPr>
          <w:p w14:paraId="40786224"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6559DC83" w14:textId="77777777" w:rsidR="00353BDC" w:rsidRDefault="00353BDC" w:rsidP="00401306">
            <w:pPr>
              <w:tabs>
                <w:tab w:val="left" w:pos="360"/>
              </w:tabs>
              <w:rPr>
                <w:rFonts w:cs="Arial"/>
                <w:sz w:val="20"/>
              </w:rPr>
            </w:pPr>
            <w:r>
              <w:rPr>
                <w:rFonts w:cs="Arial"/>
                <w:sz w:val="20"/>
              </w:rPr>
              <w:t>Čl. 19 odst. 6 druhý pododstavec</w:t>
            </w:r>
          </w:p>
        </w:tc>
        <w:tc>
          <w:tcPr>
            <w:tcW w:w="4678" w:type="dxa"/>
            <w:tcBorders>
              <w:top w:val="single" w:sz="4" w:space="0" w:color="auto"/>
              <w:bottom w:val="single" w:sz="4" w:space="0" w:color="auto"/>
            </w:tcBorders>
            <w:shd w:val="clear" w:color="auto" w:fill="auto"/>
          </w:tcPr>
          <w:p w14:paraId="436D7AD6" w14:textId="77777777" w:rsidR="00353BDC" w:rsidRPr="00A35B4B" w:rsidRDefault="00353BDC" w:rsidP="00401306">
            <w:pPr>
              <w:tabs>
                <w:tab w:val="left" w:pos="360"/>
              </w:tabs>
              <w:rPr>
                <w:rFonts w:cs="Arial"/>
                <w:sz w:val="20"/>
              </w:rPr>
            </w:pPr>
            <w:r w:rsidRPr="00A35B4B">
              <w:rPr>
                <w:rFonts w:cs="Arial"/>
                <w:sz w:val="20"/>
              </w:rPr>
              <w:t xml:space="preserve">Malé a střední podniky, malé a nepříliš složité instituce, jakož i </w:t>
            </w:r>
            <w:proofErr w:type="spellStart"/>
            <w:r w:rsidRPr="00A35B4B">
              <w:rPr>
                <w:rFonts w:cs="Arial"/>
                <w:sz w:val="20"/>
              </w:rPr>
              <w:t>kaptivní</w:t>
            </w:r>
            <w:proofErr w:type="spellEnd"/>
            <w:r w:rsidRPr="00A35B4B">
              <w:rPr>
                <w:rFonts w:cs="Arial"/>
                <w:sz w:val="20"/>
              </w:rPr>
              <w:t xml:space="preserve"> pojišťovny a </w:t>
            </w:r>
            <w:proofErr w:type="spellStart"/>
            <w:r w:rsidRPr="00A35B4B">
              <w:rPr>
                <w:rFonts w:cs="Arial"/>
                <w:sz w:val="20"/>
              </w:rPr>
              <w:t>kaptivní</w:t>
            </w:r>
            <w:proofErr w:type="spellEnd"/>
            <w:r w:rsidRPr="00A35B4B">
              <w:rPr>
                <w:rFonts w:cs="Arial"/>
                <w:sz w:val="20"/>
              </w:rPr>
              <w:t xml:space="preserve"> zajišťovny, které uplatňují výjimku uvedenou v prvním pododstavci, podávají zprávy v souladu se standardy pro podávání zpráv o udržitelnosti pro malé a střední podniky uvedenými v článku 29c.</w:t>
            </w:r>
          </w:p>
        </w:tc>
      </w:tr>
      <w:tr w:rsidR="00353BDC" w:rsidRPr="00FA795B" w14:paraId="6DFCDEB7" w14:textId="77777777" w:rsidTr="00401306">
        <w:trPr>
          <w:cantSplit/>
        </w:trPr>
        <w:tc>
          <w:tcPr>
            <w:tcW w:w="1418" w:type="dxa"/>
            <w:tcBorders>
              <w:top w:val="single" w:sz="4" w:space="0" w:color="auto"/>
              <w:bottom w:val="single" w:sz="4" w:space="0" w:color="auto"/>
            </w:tcBorders>
          </w:tcPr>
          <w:p w14:paraId="6E6619EC" w14:textId="77777777" w:rsidR="00353BDC" w:rsidRDefault="00353BDC" w:rsidP="00401306">
            <w:pPr>
              <w:tabs>
                <w:tab w:val="left" w:pos="360"/>
              </w:tabs>
              <w:rPr>
                <w:rFonts w:cs="Arial"/>
                <w:sz w:val="20"/>
              </w:rPr>
            </w:pPr>
            <w:r>
              <w:rPr>
                <w:rFonts w:cs="Arial"/>
                <w:sz w:val="20"/>
              </w:rPr>
              <w:t>§ 32i odst. 1</w:t>
            </w:r>
          </w:p>
        </w:tc>
        <w:tc>
          <w:tcPr>
            <w:tcW w:w="5245" w:type="dxa"/>
            <w:tcBorders>
              <w:top w:val="single" w:sz="4" w:space="0" w:color="auto"/>
              <w:bottom w:val="single" w:sz="4" w:space="0" w:color="auto"/>
            </w:tcBorders>
          </w:tcPr>
          <w:p w14:paraId="5DFD5543" w14:textId="77777777" w:rsidR="00353BDC" w:rsidRPr="00874B79" w:rsidRDefault="00353BDC" w:rsidP="00401306">
            <w:pPr>
              <w:tabs>
                <w:tab w:val="left" w:pos="360"/>
              </w:tabs>
              <w:rPr>
                <w:b/>
                <w:color w:val="000000"/>
                <w:sz w:val="19"/>
                <w:szCs w:val="19"/>
                <w:u w:val="single"/>
              </w:rPr>
            </w:pPr>
            <w:r w:rsidRPr="00874B79">
              <w:rPr>
                <w:b/>
                <w:color w:val="000000"/>
                <w:sz w:val="19"/>
                <w:szCs w:val="19"/>
                <w:u w:val="single"/>
              </w:rPr>
              <w:t>Konsolidovanou zprávu o udržitelnosti vyhotovuje konsolidující účetní jednotka velké skupiny účetních jednotek.</w:t>
            </w:r>
          </w:p>
        </w:tc>
        <w:tc>
          <w:tcPr>
            <w:tcW w:w="1276" w:type="dxa"/>
            <w:tcBorders>
              <w:top w:val="single" w:sz="4" w:space="0" w:color="auto"/>
              <w:bottom w:val="single" w:sz="4" w:space="0" w:color="auto"/>
            </w:tcBorders>
          </w:tcPr>
          <w:p w14:paraId="5ABCE625"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1BD60E7B" w14:textId="77777777" w:rsidR="00353BDC" w:rsidRDefault="00353BDC" w:rsidP="00401306">
            <w:pPr>
              <w:tabs>
                <w:tab w:val="left" w:pos="360"/>
              </w:tabs>
              <w:rPr>
                <w:rFonts w:cs="Arial"/>
                <w:sz w:val="20"/>
              </w:rPr>
            </w:pPr>
            <w:r>
              <w:rPr>
                <w:rFonts w:cs="Arial"/>
                <w:sz w:val="20"/>
              </w:rPr>
              <w:t>Čl. 29a odst. 1 první pododstavec</w:t>
            </w:r>
          </w:p>
        </w:tc>
        <w:tc>
          <w:tcPr>
            <w:tcW w:w="4678" w:type="dxa"/>
            <w:tcBorders>
              <w:top w:val="single" w:sz="4" w:space="0" w:color="auto"/>
              <w:bottom w:val="single" w:sz="4" w:space="0" w:color="auto"/>
            </w:tcBorders>
            <w:shd w:val="clear" w:color="auto" w:fill="auto"/>
          </w:tcPr>
          <w:p w14:paraId="7DF653E1" w14:textId="77777777" w:rsidR="00353BDC" w:rsidRPr="00954262" w:rsidRDefault="00353BDC" w:rsidP="00401306">
            <w:pPr>
              <w:tabs>
                <w:tab w:val="left" w:pos="360"/>
              </w:tabs>
              <w:rPr>
                <w:rFonts w:cs="Arial"/>
                <w:sz w:val="20"/>
              </w:rPr>
            </w:pPr>
            <w:r>
              <w:rPr>
                <w:color w:val="000000"/>
                <w:sz w:val="19"/>
                <w:szCs w:val="19"/>
              </w:rPr>
              <w:t>Mateřské podniky velké skupiny podle čl. 3 odst. 7 zahrnou do konsolidované zprávy vedení podniku informace nezbytné pro pochopení dopadů skupiny na otázky udržitelnosti a informace nezbytné pro pochopení toho, jak otázky udržitelnosti ovlivňují vývoj skupiny, její výkonnost a postavení.</w:t>
            </w:r>
          </w:p>
        </w:tc>
      </w:tr>
      <w:tr w:rsidR="00353BDC" w:rsidRPr="00FA795B" w14:paraId="534034AF" w14:textId="77777777" w:rsidTr="00401306">
        <w:trPr>
          <w:cantSplit/>
        </w:trPr>
        <w:tc>
          <w:tcPr>
            <w:tcW w:w="1418" w:type="dxa"/>
            <w:tcBorders>
              <w:top w:val="single" w:sz="4" w:space="0" w:color="auto"/>
              <w:bottom w:val="single" w:sz="4" w:space="0" w:color="auto"/>
            </w:tcBorders>
          </w:tcPr>
          <w:p w14:paraId="18F8F59D" w14:textId="77777777" w:rsidR="00353BDC" w:rsidRDefault="00353BDC" w:rsidP="00401306">
            <w:pPr>
              <w:tabs>
                <w:tab w:val="left" w:pos="360"/>
              </w:tabs>
              <w:rPr>
                <w:rFonts w:cs="Arial"/>
                <w:sz w:val="20"/>
              </w:rPr>
            </w:pPr>
            <w:r>
              <w:rPr>
                <w:rFonts w:cs="Arial"/>
                <w:sz w:val="20"/>
              </w:rPr>
              <w:t>§ 32i odst. 2</w:t>
            </w:r>
          </w:p>
        </w:tc>
        <w:tc>
          <w:tcPr>
            <w:tcW w:w="5245" w:type="dxa"/>
            <w:tcBorders>
              <w:top w:val="single" w:sz="4" w:space="0" w:color="auto"/>
              <w:bottom w:val="single" w:sz="4" w:space="0" w:color="auto"/>
            </w:tcBorders>
          </w:tcPr>
          <w:p w14:paraId="21F34780" w14:textId="77777777" w:rsidR="00353BDC" w:rsidRPr="00211C25" w:rsidRDefault="00353BDC" w:rsidP="00401306">
            <w:pPr>
              <w:tabs>
                <w:tab w:val="left" w:pos="360"/>
              </w:tabs>
              <w:rPr>
                <w:rFonts w:cs="Arial"/>
                <w:sz w:val="20"/>
              </w:rPr>
            </w:pPr>
            <w:r w:rsidRPr="00211C25">
              <w:rPr>
                <w:color w:val="000000"/>
                <w:sz w:val="19"/>
                <w:szCs w:val="19"/>
              </w:rPr>
              <w:t>Povinnosti podle § 32f odst. 2 platí obdobně i pro konsolidující účetní jednotku podle odstavce 1 s výjimko</w:t>
            </w:r>
            <w:r>
              <w:rPr>
                <w:color w:val="000000"/>
                <w:sz w:val="19"/>
                <w:szCs w:val="19"/>
              </w:rPr>
              <w:t>u konsolidující účetní jednotky</w:t>
            </w:r>
            <w:r w:rsidRPr="00211C25">
              <w:rPr>
                <w:color w:val="000000"/>
                <w:sz w:val="19"/>
                <w:szCs w:val="19"/>
              </w:rPr>
              <w:t xml:space="preserve">, </w:t>
            </w:r>
            <w:r w:rsidRPr="00211C25">
              <w:rPr>
                <w:b/>
                <w:color w:val="000000"/>
                <w:sz w:val="19"/>
                <w:szCs w:val="19"/>
                <w:u w:val="single"/>
              </w:rPr>
              <w:t>která je investičním fondem</w:t>
            </w:r>
            <w:r w:rsidRPr="00211C25">
              <w:rPr>
                <w:color w:val="000000"/>
                <w:sz w:val="19"/>
                <w:szCs w:val="19"/>
              </w:rPr>
              <w:t>.</w:t>
            </w:r>
          </w:p>
        </w:tc>
        <w:tc>
          <w:tcPr>
            <w:tcW w:w="1276" w:type="dxa"/>
            <w:tcBorders>
              <w:top w:val="single" w:sz="4" w:space="0" w:color="auto"/>
              <w:bottom w:val="single" w:sz="4" w:space="0" w:color="auto"/>
            </w:tcBorders>
          </w:tcPr>
          <w:p w14:paraId="0D0ACD93"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727D2C3C" w14:textId="77777777" w:rsidR="00353BDC" w:rsidRDefault="00353BDC" w:rsidP="00401306">
            <w:pPr>
              <w:tabs>
                <w:tab w:val="left" w:pos="360"/>
              </w:tabs>
              <w:rPr>
                <w:rFonts w:cs="Arial"/>
                <w:sz w:val="20"/>
              </w:rPr>
            </w:pPr>
            <w:r>
              <w:rPr>
                <w:rFonts w:cs="Arial"/>
                <w:sz w:val="20"/>
              </w:rPr>
              <w:t>Čl. 1 odst. 4</w:t>
            </w:r>
          </w:p>
        </w:tc>
        <w:tc>
          <w:tcPr>
            <w:tcW w:w="4678" w:type="dxa"/>
            <w:tcBorders>
              <w:top w:val="single" w:sz="4" w:space="0" w:color="auto"/>
              <w:bottom w:val="single" w:sz="4" w:space="0" w:color="auto"/>
            </w:tcBorders>
            <w:shd w:val="clear" w:color="auto" w:fill="auto"/>
          </w:tcPr>
          <w:p w14:paraId="4716DD9A" w14:textId="77777777" w:rsidR="00353BDC" w:rsidRPr="00F55646" w:rsidRDefault="00353BDC" w:rsidP="00401306">
            <w:pPr>
              <w:tabs>
                <w:tab w:val="left" w:pos="360"/>
              </w:tabs>
              <w:rPr>
                <w:color w:val="000000"/>
                <w:sz w:val="19"/>
                <w:szCs w:val="19"/>
              </w:rPr>
            </w:pPr>
            <w:r>
              <w:rPr>
                <w:color w:val="000000"/>
                <w:sz w:val="19"/>
                <w:szCs w:val="19"/>
              </w:rPr>
              <w:t xml:space="preserve">Koordinační opatření stanovená v článcích 19a, 29a a 29d se nevztahují na finanční produkty uvedené v čl. 2 bodu 12 písm. b) a f) nařízení Evropského parlamentu a Rady (EU) 2019/2088.                                                                                                                                                                                                                                                                                                                                                                                                                                                                                                                                                                                                                                                                                                                                                                            </w:t>
            </w:r>
          </w:p>
        </w:tc>
      </w:tr>
      <w:tr w:rsidR="00353BDC" w:rsidRPr="00FA795B" w14:paraId="25C3AD8D" w14:textId="77777777" w:rsidTr="00401306">
        <w:trPr>
          <w:cantSplit/>
        </w:trPr>
        <w:tc>
          <w:tcPr>
            <w:tcW w:w="1418" w:type="dxa"/>
            <w:tcBorders>
              <w:top w:val="single" w:sz="4" w:space="0" w:color="auto"/>
              <w:bottom w:val="single" w:sz="4" w:space="0" w:color="auto"/>
            </w:tcBorders>
          </w:tcPr>
          <w:p w14:paraId="61321250" w14:textId="77777777" w:rsidR="00353BDC" w:rsidRDefault="00353BDC" w:rsidP="00401306">
            <w:pPr>
              <w:tabs>
                <w:tab w:val="left" w:pos="360"/>
              </w:tabs>
              <w:rPr>
                <w:rFonts w:cs="Arial"/>
                <w:sz w:val="20"/>
              </w:rPr>
            </w:pPr>
            <w:r>
              <w:rPr>
                <w:rFonts w:cs="Arial"/>
                <w:sz w:val="20"/>
              </w:rPr>
              <w:t>§ 32i odst. 3</w:t>
            </w:r>
          </w:p>
        </w:tc>
        <w:tc>
          <w:tcPr>
            <w:tcW w:w="5245" w:type="dxa"/>
            <w:tcBorders>
              <w:top w:val="single" w:sz="4" w:space="0" w:color="auto"/>
              <w:bottom w:val="single" w:sz="4" w:space="0" w:color="auto"/>
            </w:tcBorders>
          </w:tcPr>
          <w:p w14:paraId="58F560C0" w14:textId="77777777" w:rsidR="00353BDC" w:rsidRPr="008A2050" w:rsidRDefault="00353BDC" w:rsidP="00401306">
            <w:pPr>
              <w:tabs>
                <w:tab w:val="left" w:pos="360"/>
              </w:tabs>
              <w:rPr>
                <w:b/>
                <w:color w:val="000000"/>
                <w:sz w:val="19"/>
                <w:szCs w:val="19"/>
                <w:u w:val="single"/>
              </w:rPr>
            </w:pPr>
            <w:r>
              <w:rPr>
                <w:b/>
                <w:color w:val="000000"/>
                <w:sz w:val="19"/>
                <w:szCs w:val="19"/>
                <w:u w:val="single"/>
              </w:rPr>
              <w:t>Konsolidovaná zpráva o udržitelnosti musí být ověřena auditorem; předmět ověření je upraven zákonem upravujícím činnost auditorů.</w:t>
            </w:r>
          </w:p>
        </w:tc>
        <w:tc>
          <w:tcPr>
            <w:tcW w:w="1276" w:type="dxa"/>
            <w:tcBorders>
              <w:top w:val="single" w:sz="4" w:space="0" w:color="auto"/>
              <w:bottom w:val="single" w:sz="4" w:space="0" w:color="auto"/>
            </w:tcBorders>
          </w:tcPr>
          <w:p w14:paraId="588D8FD9"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49D45977" w14:textId="77777777" w:rsidR="00353BDC" w:rsidRDefault="00353BDC" w:rsidP="00401306">
            <w:pPr>
              <w:tabs>
                <w:tab w:val="left" w:pos="360"/>
              </w:tabs>
              <w:rPr>
                <w:rFonts w:cs="Arial"/>
                <w:sz w:val="20"/>
              </w:rPr>
            </w:pPr>
            <w:r>
              <w:rPr>
                <w:rFonts w:cs="Arial"/>
                <w:sz w:val="20"/>
              </w:rPr>
              <w:t>Čl. 34 odst. 2</w:t>
            </w:r>
          </w:p>
        </w:tc>
        <w:tc>
          <w:tcPr>
            <w:tcW w:w="4678" w:type="dxa"/>
            <w:tcBorders>
              <w:top w:val="single" w:sz="4" w:space="0" w:color="auto"/>
              <w:bottom w:val="single" w:sz="4" w:space="0" w:color="auto"/>
            </w:tcBorders>
            <w:shd w:val="clear" w:color="auto" w:fill="auto"/>
          </w:tcPr>
          <w:p w14:paraId="7278F7B4" w14:textId="77777777" w:rsidR="00353BDC" w:rsidRDefault="00353BDC" w:rsidP="00401306">
            <w:pPr>
              <w:tabs>
                <w:tab w:val="left" w:pos="360"/>
              </w:tabs>
              <w:rPr>
                <w:color w:val="000000"/>
                <w:sz w:val="19"/>
                <w:szCs w:val="19"/>
              </w:rPr>
            </w:pPr>
            <w:r>
              <w:rPr>
                <w:color w:val="000000"/>
                <w:sz w:val="19"/>
                <w:szCs w:val="19"/>
              </w:rPr>
              <w:t>Ustanovení odst. 1 prvního pododstavce se obdobně použije na konsolidované účetní závěrky. Ustanovení odst. 1 druhého pododstavce se obdobně použije na konsolidované účetní závěrky a konsolidované zprávy vedení podniku.</w:t>
            </w:r>
          </w:p>
        </w:tc>
      </w:tr>
      <w:tr w:rsidR="00353BDC" w:rsidRPr="00FA795B" w14:paraId="670C2741" w14:textId="77777777" w:rsidTr="00401306">
        <w:trPr>
          <w:cantSplit/>
        </w:trPr>
        <w:tc>
          <w:tcPr>
            <w:tcW w:w="1418" w:type="dxa"/>
            <w:tcBorders>
              <w:top w:val="single" w:sz="4" w:space="0" w:color="auto"/>
              <w:bottom w:val="single" w:sz="4" w:space="0" w:color="auto"/>
            </w:tcBorders>
          </w:tcPr>
          <w:p w14:paraId="5EE5C91F" w14:textId="77777777" w:rsidR="00353BDC" w:rsidRDefault="00353BDC" w:rsidP="00401306">
            <w:pPr>
              <w:tabs>
                <w:tab w:val="left" w:pos="360"/>
              </w:tabs>
              <w:rPr>
                <w:rFonts w:cs="Arial"/>
                <w:sz w:val="20"/>
              </w:rPr>
            </w:pPr>
            <w:r>
              <w:rPr>
                <w:rFonts w:cs="Arial"/>
                <w:sz w:val="20"/>
              </w:rPr>
              <w:lastRenderedPageBreak/>
              <w:t>§ 32j odst. 2 písm. a)</w:t>
            </w:r>
          </w:p>
        </w:tc>
        <w:tc>
          <w:tcPr>
            <w:tcW w:w="5245" w:type="dxa"/>
            <w:tcBorders>
              <w:top w:val="single" w:sz="4" w:space="0" w:color="auto"/>
              <w:bottom w:val="single" w:sz="4" w:space="0" w:color="auto"/>
            </w:tcBorders>
          </w:tcPr>
          <w:p w14:paraId="30618E5E" w14:textId="77777777" w:rsidR="00353BDC" w:rsidRPr="003A319A" w:rsidRDefault="00353BDC" w:rsidP="00401306">
            <w:pPr>
              <w:tabs>
                <w:tab w:val="left" w:pos="360"/>
              </w:tabs>
              <w:rPr>
                <w:color w:val="000000"/>
                <w:sz w:val="19"/>
                <w:szCs w:val="19"/>
              </w:rPr>
            </w:pPr>
            <w:r w:rsidRPr="003A319A">
              <w:rPr>
                <w:color w:val="000000"/>
                <w:sz w:val="19"/>
                <w:szCs w:val="19"/>
              </w:rPr>
              <w:t>Konsolidovanou zprávu o udržitelnosti není povinna vyhotovovat konsolidující účetní jednotka, pokud</w:t>
            </w:r>
          </w:p>
          <w:p w14:paraId="299F7967" w14:textId="77777777" w:rsidR="00353BDC" w:rsidRPr="003A319A" w:rsidRDefault="00353BDC" w:rsidP="00401306">
            <w:pPr>
              <w:tabs>
                <w:tab w:val="left" w:pos="360"/>
              </w:tabs>
              <w:rPr>
                <w:color w:val="000000"/>
                <w:sz w:val="19"/>
                <w:szCs w:val="19"/>
              </w:rPr>
            </w:pPr>
            <w:r w:rsidRPr="003A319A">
              <w:rPr>
                <w:color w:val="000000"/>
                <w:sz w:val="19"/>
                <w:szCs w:val="19"/>
              </w:rPr>
              <w:t>a)</w:t>
            </w:r>
            <w:r w:rsidRPr="003A319A">
              <w:rPr>
                <w:color w:val="000000"/>
                <w:sz w:val="19"/>
                <w:szCs w:val="19"/>
              </w:rPr>
              <w:tab/>
              <w:t xml:space="preserve">není </w:t>
            </w:r>
            <w:r w:rsidRPr="00F53A97">
              <w:rPr>
                <w:b/>
                <w:color w:val="000000"/>
                <w:sz w:val="19"/>
                <w:szCs w:val="19"/>
                <w:u w:val="single"/>
              </w:rPr>
              <w:t>velkou účetní jednotkou, která je</w:t>
            </w:r>
            <w:r w:rsidRPr="003A319A">
              <w:rPr>
                <w:color w:val="000000"/>
                <w:sz w:val="19"/>
                <w:szCs w:val="19"/>
              </w:rPr>
              <w:t xml:space="preserve"> emitentem investičních cenných papírů přijatých k obchodování na evropském regulovaném trhu,</w:t>
            </w:r>
          </w:p>
        </w:tc>
        <w:tc>
          <w:tcPr>
            <w:tcW w:w="1276" w:type="dxa"/>
            <w:tcBorders>
              <w:top w:val="single" w:sz="4" w:space="0" w:color="auto"/>
              <w:bottom w:val="single" w:sz="4" w:space="0" w:color="auto"/>
            </w:tcBorders>
          </w:tcPr>
          <w:p w14:paraId="6601224F"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548E0BE3" w14:textId="77777777" w:rsidR="00353BDC" w:rsidRDefault="00353BDC" w:rsidP="00401306">
            <w:pPr>
              <w:tabs>
                <w:tab w:val="left" w:pos="360"/>
              </w:tabs>
              <w:rPr>
                <w:rFonts w:cs="Arial"/>
                <w:sz w:val="20"/>
              </w:rPr>
            </w:pPr>
            <w:r>
              <w:rPr>
                <w:rFonts w:cs="Arial"/>
                <w:sz w:val="20"/>
              </w:rPr>
              <w:t>Čl. 29a odst. 9</w:t>
            </w:r>
          </w:p>
        </w:tc>
        <w:tc>
          <w:tcPr>
            <w:tcW w:w="4678" w:type="dxa"/>
            <w:tcBorders>
              <w:top w:val="single" w:sz="4" w:space="0" w:color="auto"/>
              <w:bottom w:val="single" w:sz="4" w:space="0" w:color="auto"/>
            </w:tcBorders>
            <w:shd w:val="clear" w:color="auto" w:fill="auto"/>
          </w:tcPr>
          <w:p w14:paraId="686ADF7A" w14:textId="77777777" w:rsidR="00353BDC" w:rsidRPr="00954262" w:rsidRDefault="00353BDC" w:rsidP="00401306">
            <w:pPr>
              <w:tabs>
                <w:tab w:val="left" w:pos="360"/>
              </w:tabs>
              <w:rPr>
                <w:rFonts w:cs="Arial"/>
                <w:sz w:val="20"/>
              </w:rPr>
            </w:pPr>
            <w:r w:rsidRPr="00F53A97">
              <w:rPr>
                <w:rFonts w:cs="Arial"/>
                <w:sz w:val="20"/>
              </w:rPr>
              <w:t>Výjimka stanovená v odstavci 8 se vztahuje rovněž na subjekty veřejného zájmu, na něž se vztahují požadavky tohoto článku, s výjimkou velkých podniků, které jsou subjekty veřejného zájmu ve smyslu čl. 2 bodu 1 písm. a) této směrnice.</w:t>
            </w:r>
          </w:p>
        </w:tc>
      </w:tr>
      <w:tr w:rsidR="00353BDC" w:rsidRPr="00FA795B" w14:paraId="68A38A5B" w14:textId="77777777" w:rsidTr="00401306">
        <w:trPr>
          <w:cantSplit/>
        </w:trPr>
        <w:tc>
          <w:tcPr>
            <w:tcW w:w="1418" w:type="dxa"/>
            <w:tcBorders>
              <w:top w:val="single" w:sz="4" w:space="0" w:color="auto"/>
              <w:bottom w:val="single" w:sz="4" w:space="0" w:color="auto"/>
            </w:tcBorders>
          </w:tcPr>
          <w:p w14:paraId="584AE3F2" w14:textId="77777777" w:rsidR="00353BDC" w:rsidRDefault="00353BDC" w:rsidP="00401306">
            <w:pPr>
              <w:tabs>
                <w:tab w:val="left" w:pos="360"/>
              </w:tabs>
              <w:rPr>
                <w:rFonts w:cs="Arial"/>
                <w:sz w:val="20"/>
              </w:rPr>
            </w:pPr>
            <w:r>
              <w:rPr>
                <w:rFonts w:cs="Arial"/>
                <w:sz w:val="20"/>
              </w:rPr>
              <w:t xml:space="preserve">§ 32j odst. 2 písm. b) </w:t>
            </w:r>
          </w:p>
        </w:tc>
        <w:tc>
          <w:tcPr>
            <w:tcW w:w="5245" w:type="dxa"/>
            <w:tcBorders>
              <w:top w:val="single" w:sz="4" w:space="0" w:color="auto"/>
              <w:bottom w:val="single" w:sz="4" w:space="0" w:color="auto"/>
            </w:tcBorders>
          </w:tcPr>
          <w:p w14:paraId="4C179401" w14:textId="77777777" w:rsidR="00353BDC" w:rsidRPr="003A319A" w:rsidRDefault="00353BDC" w:rsidP="00401306">
            <w:pPr>
              <w:tabs>
                <w:tab w:val="left" w:pos="360"/>
              </w:tabs>
              <w:rPr>
                <w:color w:val="000000"/>
                <w:sz w:val="19"/>
                <w:szCs w:val="19"/>
              </w:rPr>
            </w:pPr>
            <w:r w:rsidRPr="003A319A">
              <w:rPr>
                <w:color w:val="000000"/>
                <w:sz w:val="19"/>
                <w:szCs w:val="19"/>
              </w:rPr>
              <w:t>Konsolidovanou zprávu o udržitelnosti není povinna vyhotovovat konsolidující účetní jednotka, pokud</w:t>
            </w:r>
          </w:p>
          <w:p w14:paraId="3F95C314" w14:textId="77777777" w:rsidR="00353BDC" w:rsidRPr="00FE4703" w:rsidRDefault="00353BDC" w:rsidP="00401306">
            <w:pPr>
              <w:tabs>
                <w:tab w:val="left" w:pos="360"/>
              </w:tabs>
              <w:rPr>
                <w:color w:val="000000"/>
                <w:sz w:val="19"/>
                <w:szCs w:val="19"/>
              </w:rPr>
            </w:pPr>
            <w:r>
              <w:rPr>
                <w:color w:val="000000"/>
                <w:sz w:val="19"/>
                <w:szCs w:val="19"/>
              </w:rPr>
              <w:t xml:space="preserve">b) konsolidovaná výroční zpráva nebo konsolidovaná zpráva vedení jiné konsolidující osoby z Evropské unie </w:t>
            </w:r>
            <w:r>
              <w:rPr>
                <w:b/>
                <w:color w:val="000000"/>
                <w:sz w:val="19"/>
                <w:szCs w:val="19"/>
                <w:u w:val="single"/>
              </w:rPr>
              <w:t>obsahující konsolidovanou zprávu o udržitelnosti</w:t>
            </w:r>
          </w:p>
        </w:tc>
        <w:tc>
          <w:tcPr>
            <w:tcW w:w="1276" w:type="dxa"/>
            <w:tcBorders>
              <w:top w:val="single" w:sz="4" w:space="0" w:color="auto"/>
              <w:bottom w:val="single" w:sz="4" w:space="0" w:color="auto"/>
            </w:tcBorders>
          </w:tcPr>
          <w:p w14:paraId="6F69B280"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44F1C958" w14:textId="77777777" w:rsidR="00353BDC" w:rsidRDefault="00353BDC" w:rsidP="00401306">
            <w:pPr>
              <w:tabs>
                <w:tab w:val="left" w:pos="360"/>
              </w:tabs>
              <w:rPr>
                <w:rFonts w:cs="Arial"/>
                <w:sz w:val="20"/>
              </w:rPr>
            </w:pPr>
            <w:r>
              <w:rPr>
                <w:rFonts w:cs="Arial"/>
                <w:sz w:val="20"/>
              </w:rPr>
              <w:t>Čl. 29a odst. 8 první pododstavec</w:t>
            </w:r>
          </w:p>
        </w:tc>
        <w:tc>
          <w:tcPr>
            <w:tcW w:w="4678" w:type="dxa"/>
            <w:tcBorders>
              <w:top w:val="single" w:sz="4" w:space="0" w:color="auto"/>
              <w:bottom w:val="single" w:sz="4" w:space="0" w:color="auto"/>
            </w:tcBorders>
            <w:shd w:val="clear" w:color="auto" w:fill="auto"/>
          </w:tcPr>
          <w:p w14:paraId="0AC5FDBA" w14:textId="77777777" w:rsidR="00353BDC" w:rsidRPr="00346035" w:rsidRDefault="00353BDC" w:rsidP="00401306">
            <w:pPr>
              <w:tabs>
                <w:tab w:val="left" w:pos="360"/>
              </w:tabs>
              <w:rPr>
                <w:color w:val="000000"/>
              </w:rPr>
            </w:pPr>
            <w:r w:rsidRPr="00346035">
              <w:rPr>
                <w:rFonts w:cs="Arial"/>
                <w:sz w:val="20"/>
              </w:rPr>
              <w:t>Za předpokladu, že jsou splněny podmínky stanovené v druhém pododstavci tohoto odstavce, je mateřský podnik, který je dceřiným podnikem, osvobozen od povinností stanovených v odstavcích 1 až 5 tohoto článku (dále jen „osvobozený mateřský podnik“), jestliže jsou on sám a jeho dceřiné podniky zahrnuty do konsolidované zprávy vedení jiného podniku, která je sestavena v souladu s článkem 29 a tímto článkem. Mateřský podnik, který je dceřiným podnikem mateřského podniku usazeného ve třetí zemi, je rovněž osvobozen od povinností stanovených v odstavcích 1 až 5 tohoto článku, jestliže jsou on sám a jeho dceřiné podniky zahrnuty do konsolidované zprávy o udržitelnosti daného mateřského podniku usazeného ve třetí zemi a tato konsolidovaná zpráva o udržitelnosti je vypracována v souladu se standardy pro podávání zpráv o udržitelnosti přijatými podle článku 29b nebo způsobem, který je rovnocenný těmto standardům pro podávání zpráv o udržitelnosti, jak je určen v souladu s prováděcím aktem Komise o rovnocennosti standardů pro podávání zpráv o udržitelnosti přijatým podle čl. 23 odst. 4 třetího pododstavce směrnice 2004/109/ES.</w:t>
            </w:r>
          </w:p>
        </w:tc>
      </w:tr>
      <w:tr w:rsidR="00353BDC" w:rsidRPr="00FA795B" w14:paraId="5D47C53F" w14:textId="77777777" w:rsidTr="00401306">
        <w:trPr>
          <w:cantSplit/>
        </w:trPr>
        <w:tc>
          <w:tcPr>
            <w:tcW w:w="1418" w:type="dxa"/>
            <w:tcBorders>
              <w:top w:val="single" w:sz="4" w:space="0" w:color="auto"/>
              <w:bottom w:val="single" w:sz="4" w:space="0" w:color="auto"/>
            </w:tcBorders>
          </w:tcPr>
          <w:p w14:paraId="64FFB154" w14:textId="77777777" w:rsidR="00353BDC" w:rsidRDefault="00353BDC" w:rsidP="00401306">
            <w:pPr>
              <w:tabs>
                <w:tab w:val="left" w:pos="360"/>
              </w:tabs>
              <w:rPr>
                <w:rFonts w:cs="Arial"/>
                <w:sz w:val="20"/>
              </w:rPr>
            </w:pPr>
            <w:r>
              <w:rPr>
                <w:rFonts w:cs="Arial"/>
                <w:sz w:val="20"/>
              </w:rPr>
              <w:t>§ 32j odst. 2 písm. c)</w:t>
            </w:r>
          </w:p>
        </w:tc>
        <w:tc>
          <w:tcPr>
            <w:tcW w:w="5245" w:type="dxa"/>
            <w:tcBorders>
              <w:top w:val="single" w:sz="4" w:space="0" w:color="auto"/>
              <w:bottom w:val="single" w:sz="4" w:space="0" w:color="auto"/>
            </w:tcBorders>
          </w:tcPr>
          <w:p w14:paraId="4042CF6A" w14:textId="77777777" w:rsidR="00353BDC" w:rsidRPr="003A319A" w:rsidRDefault="00353BDC" w:rsidP="00401306">
            <w:pPr>
              <w:tabs>
                <w:tab w:val="left" w:pos="360"/>
              </w:tabs>
              <w:rPr>
                <w:color w:val="000000"/>
                <w:sz w:val="19"/>
                <w:szCs w:val="19"/>
              </w:rPr>
            </w:pPr>
            <w:r w:rsidRPr="003A319A">
              <w:rPr>
                <w:color w:val="000000"/>
                <w:sz w:val="19"/>
                <w:szCs w:val="19"/>
              </w:rPr>
              <w:t>Konsolidovanou zprávu o udržitelnosti není povinna vyhotovovat konsolidující účetní jednotka, pokud</w:t>
            </w:r>
          </w:p>
          <w:p w14:paraId="5E1BDE90" w14:textId="77777777" w:rsidR="00353BDC" w:rsidRPr="00346035" w:rsidRDefault="00353BDC" w:rsidP="00401306">
            <w:pPr>
              <w:tabs>
                <w:tab w:val="left" w:pos="360"/>
              </w:tabs>
              <w:rPr>
                <w:color w:val="000000"/>
                <w:sz w:val="19"/>
                <w:szCs w:val="19"/>
              </w:rPr>
            </w:pPr>
            <w:r>
              <w:rPr>
                <w:color w:val="000000"/>
                <w:sz w:val="19"/>
                <w:szCs w:val="19"/>
              </w:rPr>
              <w:t>c) výroční zpráva</w:t>
            </w:r>
            <w:r>
              <w:rPr>
                <w:b/>
                <w:color w:val="000000"/>
                <w:sz w:val="19"/>
                <w:szCs w:val="19"/>
                <w:u w:val="single"/>
              </w:rPr>
              <w:t xml:space="preserve"> nebo konsolidovaná výroční zpráva</w:t>
            </w:r>
            <w:r>
              <w:rPr>
                <w:color w:val="000000"/>
                <w:sz w:val="19"/>
                <w:szCs w:val="19"/>
              </w:rPr>
              <w:t xml:space="preserve"> této konsolidující účetní jednotky</w:t>
            </w:r>
          </w:p>
        </w:tc>
        <w:tc>
          <w:tcPr>
            <w:tcW w:w="1276" w:type="dxa"/>
            <w:tcBorders>
              <w:top w:val="single" w:sz="4" w:space="0" w:color="auto"/>
              <w:bottom w:val="single" w:sz="4" w:space="0" w:color="auto"/>
            </w:tcBorders>
          </w:tcPr>
          <w:p w14:paraId="6E3617F8"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2C42873F" w14:textId="77777777" w:rsidR="00353BDC" w:rsidRDefault="00353BDC" w:rsidP="00401306">
            <w:pPr>
              <w:tabs>
                <w:tab w:val="left" w:pos="360"/>
              </w:tabs>
              <w:rPr>
                <w:rFonts w:cs="Arial"/>
                <w:sz w:val="20"/>
              </w:rPr>
            </w:pPr>
            <w:r>
              <w:rPr>
                <w:rFonts w:cs="Arial"/>
                <w:sz w:val="20"/>
              </w:rPr>
              <w:t xml:space="preserve">Čl. 29a odst. 8 druhý pododstavec písm. a) </w:t>
            </w:r>
            <w:proofErr w:type="spellStart"/>
            <w:r>
              <w:rPr>
                <w:rFonts w:cs="Arial"/>
                <w:sz w:val="20"/>
              </w:rPr>
              <w:t>návětí</w:t>
            </w:r>
            <w:proofErr w:type="spellEnd"/>
          </w:p>
        </w:tc>
        <w:tc>
          <w:tcPr>
            <w:tcW w:w="4678" w:type="dxa"/>
            <w:tcBorders>
              <w:top w:val="single" w:sz="4" w:space="0" w:color="auto"/>
              <w:bottom w:val="single" w:sz="4" w:space="0" w:color="auto"/>
            </w:tcBorders>
            <w:shd w:val="clear" w:color="auto" w:fill="auto"/>
          </w:tcPr>
          <w:p w14:paraId="0F4B42FF" w14:textId="77777777" w:rsidR="00353BDC" w:rsidRPr="00346035" w:rsidRDefault="00353BDC" w:rsidP="00401306">
            <w:pPr>
              <w:tabs>
                <w:tab w:val="left" w:pos="360"/>
              </w:tabs>
              <w:rPr>
                <w:rFonts w:cs="Arial"/>
                <w:sz w:val="20"/>
              </w:rPr>
            </w:pPr>
            <w:r w:rsidRPr="00346035">
              <w:rPr>
                <w:rFonts w:cs="Arial"/>
                <w:sz w:val="20"/>
              </w:rPr>
              <w:t xml:space="preserve">Na osvobození uvedené v prvním pododstavci se vztahují tyto podmínky: </w:t>
            </w:r>
          </w:p>
          <w:p w14:paraId="5555F293" w14:textId="77777777" w:rsidR="00353BDC" w:rsidRPr="00346035" w:rsidRDefault="00353BDC" w:rsidP="00401306">
            <w:pPr>
              <w:tabs>
                <w:tab w:val="left" w:pos="360"/>
              </w:tabs>
              <w:rPr>
                <w:rFonts w:cs="Arial"/>
                <w:sz w:val="20"/>
              </w:rPr>
            </w:pPr>
            <w:r w:rsidRPr="00346035">
              <w:rPr>
                <w:rFonts w:cs="Arial"/>
                <w:sz w:val="20"/>
              </w:rPr>
              <w:t>a) zpráva vedení osvobozeného mateřského podniku obsahuje všechny tyto informace:</w:t>
            </w:r>
          </w:p>
        </w:tc>
      </w:tr>
      <w:tr w:rsidR="00353BDC" w:rsidRPr="00FA795B" w14:paraId="40ABB163" w14:textId="77777777" w:rsidTr="00401306">
        <w:trPr>
          <w:cantSplit/>
        </w:trPr>
        <w:tc>
          <w:tcPr>
            <w:tcW w:w="1418" w:type="dxa"/>
            <w:tcBorders>
              <w:top w:val="single" w:sz="4" w:space="0" w:color="auto"/>
              <w:bottom w:val="single" w:sz="4" w:space="0" w:color="auto"/>
            </w:tcBorders>
          </w:tcPr>
          <w:p w14:paraId="2566E58B" w14:textId="77777777" w:rsidR="00353BDC" w:rsidRDefault="00353BDC" w:rsidP="00401306">
            <w:pPr>
              <w:tabs>
                <w:tab w:val="left" w:pos="360"/>
              </w:tabs>
              <w:rPr>
                <w:rFonts w:cs="Arial"/>
                <w:sz w:val="20"/>
              </w:rPr>
            </w:pPr>
            <w:r>
              <w:rPr>
                <w:rFonts w:cs="Arial"/>
                <w:sz w:val="20"/>
              </w:rPr>
              <w:t>§ 32j odst. 3 písm. a)</w:t>
            </w:r>
          </w:p>
        </w:tc>
        <w:tc>
          <w:tcPr>
            <w:tcW w:w="5245" w:type="dxa"/>
            <w:tcBorders>
              <w:top w:val="single" w:sz="4" w:space="0" w:color="auto"/>
              <w:bottom w:val="single" w:sz="4" w:space="0" w:color="auto"/>
            </w:tcBorders>
          </w:tcPr>
          <w:p w14:paraId="7780CF4C" w14:textId="77777777" w:rsidR="00353BDC" w:rsidRPr="003A319A" w:rsidRDefault="00353BDC" w:rsidP="00401306">
            <w:pPr>
              <w:tabs>
                <w:tab w:val="left" w:pos="360"/>
              </w:tabs>
              <w:rPr>
                <w:color w:val="000000"/>
                <w:sz w:val="19"/>
                <w:szCs w:val="19"/>
              </w:rPr>
            </w:pPr>
            <w:r w:rsidRPr="003A319A">
              <w:rPr>
                <w:color w:val="000000"/>
                <w:sz w:val="19"/>
                <w:szCs w:val="19"/>
              </w:rPr>
              <w:t xml:space="preserve">Konsolidovanou zprávu o udržitelnosti není povinna vyhotovovat </w:t>
            </w:r>
            <w:r>
              <w:rPr>
                <w:color w:val="000000"/>
                <w:sz w:val="19"/>
                <w:szCs w:val="19"/>
              </w:rPr>
              <w:t xml:space="preserve">také </w:t>
            </w:r>
            <w:r w:rsidRPr="003A319A">
              <w:rPr>
                <w:color w:val="000000"/>
                <w:sz w:val="19"/>
                <w:szCs w:val="19"/>
              </w:rPr>
              <w:t>konsolidující účetní jednotka, pokud</w:t>
            </w:r>
          </w:p>
          <w:p w14:paraId="239D9398" w14:textId="77777777" w:rsidR="00353BDC" w:rsidRPr="003A319A" w:rsidRDefault="00353BDC" w:rsidP="00401306">
            <w:pPr>
              <w:tabs>
                <w:tab w:val="left" w:pos="360"/>
              </w:tabs>
              <w:rPr>
                <w:color w:val="000000"/>
                <w:sz w:val="19"/>
                <w:szCs w:val="19"/>
              </w:rPr>
            </w:pPr>
            <w:r w:rsidRPr="003A319A">
              <w:rPr>
                <w:color w:val="000000"/>
                <w:sz w:val="19"/>
                <w:szCs w:val="19"/>
              </w:rPr>
              <w:t>a)</w:t>
            </w:r>
            <w:r w:rsidRPr="003A319A">
              <w:rPr>
                <w:color w:val="000000"/>
                <w:sz w:val="19"/>
                <w:szCs w:val="19"/>
              </w:rPr>
              <w:tab/>
              <w:t xml:space="preserve">není </w:t>
            </w:r>
            <w:r w:rsidRPr="00F53A97">
              <w:rPr>
                <w:b/>
                <w:color w:val="000000"/>
                <w:sz w:val="19"/>
                <w:szCs w:val="19"/>
                <w:u w:val="single"/>
              </w:rPr>
              <w:t>velkou účetní jednotkou, která je</w:t>
            </w:r>
            <w:r w:rsidRPr="003A319A">
              <w:rPr>
                <w:color w:val="000000"/>
                <w:sz w:val="19"/>
                <w:szCs w:val="19"/>
              </w:rPr>
              <w:t xml:space="preserve"> emitentem investičních cenných papírů přijatých k obchodování na evropském regulovaném trhu,</w:t>
            </w:r>
          </w:p>
        </w:tc>
        <w:tc>
          <w:tcPr>
            <w:tcW w:w="1276" w:type="dxa"/>
            <w:tcBorders>
              <w:top w:val="single" w:sz="4" w:space="0" w:color="auto"/>
              <w:bottom w:val="single" w:sz="4" w:space="0" w:color="auto"/>
            </w:tcBorders>
          </w:tcPr>
          <w:p w14:paraId="6F33E0CB"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3443BCE4" w14:textId="77777777" w:rsidR="00353BDC" w:rsidRDefault="00353BDC" w:rsidP="00401306">
            <w:pPr>
              <w:tabs>
                <w:tab w:val="left" w:pos="360"/>
              </w:tabs>
              <w:rPr>
                <w:rFonts w:cs="Arial"/>
                <w:sz w:val="20"/>
              </w:rPr>
            </w:pPr>
            <w:r>
              <w:rPr>
                <w:rFonts w:cs="Arial"/>
                <w:sz w:val="20"/>
              </w:rPr>
              <w:t>Čl. 29a odst. 9</w:t>
            </w:r>
          </w:p>
        </w:tc>
        <w:tc>
          <w:tcPr>
            <w:tcW w:w="4678" w:type="dxa"/>
            <w:tcBorders>
              <w:top w:val="single" w:sz="4" w:space="0" w:color="auto"/>
              <w:bottom w:val="single" w:sz="4" w:space="0" w:color="auto"/>
            </w:tcBorders>
            <w:shd w:val="clear" w:color="auto" w:fill="auto"/>
          </w:tcPr>
          <w:p w14:paraId="25B23518" w14:textId="77777777" w:rsidR="00353BDC" w:rsidRPr="00954262" w:rsidRDefault="00353BDC" w:rsidP="00401306">
            <w:pPr>
              <w:tabs>
                <w:tab w:val="left" w:pos="360"/>
              </w:tabs>
              <w:rPr>
                <w:rFonts w:cs="Arial"/>
                <w:sz w:val="20"/>
              </w:rPr>
            </w:pPr>
            <w:r w:rsidRPr="00F53A97">
              <w:rPr>
                <w:rFonts w:cs="Arial"/>
                <w:sz w:val="20"/>
              </w:rPr>
              <w:t>Výjimka stanovená v odstavci 8 se vztahuje rovněž na subjekty veřejného zájmu, na něž se vztahují požadavky tohoto článku, s výjimkou velkých podniků, které jsou subjekty veřejného zájmu ve smyslu čl. 2 bodu 1 písm. a) této směrnice.</w:t>
            </w:r>
          </w:p>
        </w:tc>
      </w:tr>
      <w:tr w:rsidR="00353BDC" w:rsidRPr="00FA795B" w14:paraId="5E10BFB6" w14:textId="77777777" w:rsidTr="00401306">
        <w:trPr>
          <w:cantSplit/>
        </w:trPr>
        <w:tc>
          <w:tcPr>
            <w:tcW w:w="1418" w:type="dxa"/>
            <w:tcBorders>
              <w:top w:val="single" w:sz="4" w:space="0" w:color="auto"/>
              <w:bottom w:val="single" w:sz="4" w:space="0" w:color="auto"/>
            </w:tcBorders>
          </w:tcPr>
          <w:p w14:paraId="15C0EA60" w14:textId="77777777" w:rsidR="00353BDC" w:rsidRDefault="00353BDC" w:rsidP="00401306">
            <w:pPr>
              <w:tabs>
                <w:tab w:val="left" w:pos="360"/>
              </w:tabs>
              <w:rPr>
                <w:rFonts w:cs="Arial"/>
                <w:sz w:val="20"/>
              </w:rPr>
            </w:pPr>
            <w:r>
              <w:rPr>
                <w:rFonts w:cs="Arial"/>
                <w:sz w:val="20"/>
              </w:rPr>
              <w:lastRenderedPageBreak/>
              <w:t>§ 32j odst. 3 písm. b) bod 6.</w:t>
            </w:r>
          </w:p>
        </w:tc>
        <w:tc>
          <w:tcPr>
            <w:tcW w:w="5245" w:type="dxa"/>
            <w:tcBorders>
              <w:top w:val="single" w:sz="4" w:space="0" w:color="auto"/>
              <w:bottom w:val="single" w:sz="4" w:space="0" w:color="auto"/>
            </w:tcBorders>
          </w:tcPr>
          <w:p w14:paraId="24EC1C53" w14:textId="77777777" w:rsidR="00353BDC" w:rsidRPr="003A319A" w:rsidRDefault="00353BDC" w:rsidP="00401306">
            <w:pPr>
              <w:tabs>
                <w:tab w:val="left" w:pos="360"/>
              </w:tabs>
              <w:rPr>
                <w:color w:val="000000"/>
                <w:sz w:val="19"/>
                <w:szCs w:val="19"/>
              </w:rPr>
            </w:pPr>
            <w:r w:rsidRPr="003A319A">
              <w:rPr>
                <w:color w:val="000000"/>
                <w:sz w:val="19"/>
                <w:szCs w:val="19"/>
              </w:rPr>
              <w:t xml:space="preserve">Konsolidovanou zprávu o udržitelnosti není povinna vyhotovovat </w:t>
            </w:r>
            <w:r>
              <w:rPr>
                <w:color w:val="000000"/>
                <w:sz w:val="19"/>
                <w:szCs w:val="19"/>
              </w:rPr>
              <w:t xml:space="preserve">také </w:t>
            </w:r>
            <w:r w:rsidRPr="003A319A">
              <w:rPr>
                <w:color w:val="000000"/>
                <w:sz w:val="19"/>
                <w:szCs w:val="19"/>
              </w:rPr>
              <w:t>konsolidující účetní jednotka, pokud</w:t>
            </w:r>
          </w:p>
          <w:p w14:paraId="11075F84" w14:textId="77777777" w:rsidR="00353BDC" w:rsidRDefault="00353BDC" w:rsidP="00401306">
            <w:pPr>
              <w:tabs>
                <w:tab w:val="left" w:pos="360"/>
              </w:tabs>
              <w:rPr>
                <w:color w:val="000000"/>
                <w:sz w:val="19"/>
                <w:szCs w:val="19"/>
              </w:rPr>
            </w:pPr>
            <w:r>
              <w:rPr>
                <w:color w:val="000000"/>
                <w:sz w:val="19"/>
                <w:szCs w:val="19"/>
              </w:rPr>
              <w:t>b) konsolidovaná zpráva o udržitelnosti jiné konsolidující osoby ze třetí země</w:t>
            </w:r>
          </w:p>
          <w:p w14:paraId="62E809BE" w14:textId="77777777" w:rsidR="00353BDC" w:rsidRPr="00C80940" w:rsidRDefault="00353BDC" w:rsidP="00401306">
            <w:pPr>
              <w:tabs>
                <w:tab w:val="left" w:pos="360"/>
              </w:tabs>
              <w:rPr>
                <w:color w:val="000000"/>
                <w:sz w:val="19"/>
                <w:szCs w:val="19"/>
              </w:rPr>
            </w:pPr>
            <w:r>
              <w:rPr>
                <w:color w:val="000000"/>
                <w:sz w:val="19"/>
                <w:szCs w:val="19"/>
              </w:rPr>
              <w:t xml:space="preserve">6. je společně se zprávou o jejím ověření zveřejněna ve veřejném rejstříku, v němž je zapsána tato konsolidující účetní jednotka, </w:t>
            </w:r>
            <w:r>
              <w:rPr>
                <w:b/>
                <w:color w:val="000000"/>
                <w:sz w:val="19"/>
                <w:szCs w:val="19"/>
                <w:u w:val="single"/>
              </w:rPr>
              <w:t>ve lhůtě pro zveřejnění výroční zprávy</w:t>
            </w:r>
            <w:r>
              <w:rPr>
                <w:color w:val="000000"/>
                <w:sz w:val="19"/>
                <w:szCs w:val="19"/>
              </w:rPr>
              <w:t xml:space="preserve"> a</w:t>
            </w:r>
          </w:p>
        </w:tc>
        <w:tc>
          <w:tcPr>
            <w:tcW w:w="1276" w:type="dxa"/>
            <w:tcBorders>
              <w:top w:val="single" w:sz="4" w:space="0" w:color="auto"/>
              <w:bottom w:val="single" w:sz="4" w:space="0" w:color="auto"/>
            </w:tcBorders>
          </w:tcPr>
          <w:p w14:paraId="7ACAA01A"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4A6CFCBB" w14:textId="77777777" w:rsidR="00353BDC" w:rsidRDefault="00353BDC" w:rsidP="00401306">
            <w:pPr>
              <w:tabs>
                <w:tab w:val="left" w:pos="360"/>
              </w:tabs>
              <w:rPr>
                <w:rFonts w:cs="Arial"/>
                <w:sz w:val="20"/>
              </w:rPr>
            </w:pPr>
            <w:r>
              <w:rPr>
                <w:rFonts w:cs="Arial"/>
                <w:sz w:val="20"/>
              </w:rPr>
              <w:t>Čl. 29a odst. 8 druhý pododstavec písm. b)</w:t>
            </w:r>
          </w:p>
        </w:tc>
        <w:tc>
          <w:tcPr>
            <w:tcW w:w="4678" w:type="dxa"/>
            <w:tcBorders>
              <w:top w:val="single" w:sz="4" w:space="0" w:color="auto"/>
              <w:bottom w:val="single" w:sz="4" w:space="0" w:color="auto"/>
            </w:tcBorders>
            <w:shd w:val="clear" w:color="auto" w:fill="auto"/>
          </w:tcPr>
          <w:p w14:paraId="5228725E" w14:textId="77777777" w:rsidR="00353BDC" w:rsidRPr="00C80940" w:rsidRDefault="00353BDC" w:rsidP="00401306">
            <w:pPr>
              <w:tabs>
                <w:tab w:val="left" w:pos="360"/>
              </w:tabs>
              <w:rPr>
                <w:rFonts w:cs="Arial"/>
                <w:sz w:val="20"/>
              </w:rPr>
            </w:pPr>
            <w:r w:rsidRPr="00C80940">
              <w:rPr>
                <w:rFonts w:cs="Arial"/>
                <w:sz w:val="20"/>
              </w:rPr>
              <w:t>Na osvobození uvedené v prvním pododstavci se vztahují tyto podmínky:</w:t>
            </w:r>
          </w:p>
          <w:p w14:paraId="74B85138" w14:textId="77777777" w:rsidR="00353BDC" w:rsidRPr="00C80940" w:rsidRDefault="00353BDC" w:rsidP="00401306">
            <w:pPr>
              <w:tabs>
                <w:tab w:val="left" w:pos="360"/>
              </w:tabs>
              <w:rPr>
                <w:rFonts w:cs="Arial"/>
                <w:sz w:val="20"/>
              </w:rPr>
            </w:pPr>
            <w:r w:rsidRPr="00C80940">
              <w:rPr>
                <w:rFonts w:cs="Arial"/>
                <w:sz w:val="20"/>
              </w:rPr>
              <w:t>b) je-li mateřský podnik usazen ve třetí zemi, jeho konsolidovaná zpráva o udržitelnosti a vyjádření závěru o ověření vydané jednou nebo více osobami nebo společnostmi, které jsou k takovému vyjadřování závěru o ověření oprávněny na základě vnitrostátního práva, jímž se řídí daný mateřský podnik, se zveřejní v souladu s článkem 30 a v souladu s právem členského státu, jímž se osvobozený mateřský podnik řídí;</w:t>
            </w:r>
          </w:p>
        </w:tc>
      </w:tr>
      <w:tr w:rsidR="00353BDC" w:rsidRPr="00FA795B" w14:paraId="406916A9" w14:textId="77777777" w:rsidTr="00401306">
        <w:trPr>
          <w:cantSplit/>
        </w:trPr>
        <w:tc>
          <w:tcPr>
            <w:tcW w:w="1418" w:type="dxa"/>
            <w:tcBorders>
              <w:top w:val="single" w:sz="4" w:space="0" w:color="auto"/>
              <w:bottom w:val="single" w:sz="4" w:space="0" w:color="auto"/>
            </w:tcBorders>
          </w:tcPr>
          <w:p w14:paraId="43979863" w14:textId="77777777" w:rsidR="00353BDC" w:rsidRDefault="00353BDC" w:rsidP="00401306">
            <w:pPr>
              <w:tabs>
                <w:tab w:val="left" w:pos="360"/>
              </w:tabs>
              <w:rPr>
                <w:rFonts w:cs="Arial"/>
                <w:sz w:val="20"/>
              </w:rPr>
            </w:pPr>
            <w:r>
              <w:rPr>
                <w:rFonts w:cs="Arial"/>
                <w:sz w:val="20"/>
              </w:rPr>
              <w:t>§ 32j odst. 3 písm. c) úvodní část</w:t>
            </w:r>
          </w:p>
        </w:tc>
        <w:tc>
          <w:tcPr>
            <w:tcW w:w="5245" w:type="dxa"/>
            <w:tcBorders>
              <w:top w:val="single" w:sz="4" w:space="0" w:color="auto"/>
              <w:bottom w:val="single" w:sz="4" w:space="0" w:color="auto"/>
            </w:tcBorders>
          </w:tcPr>
          <w:p w14:paraId="29BDDDB1" w14:textId="77777777" w:rsidR="00353BDC" w:rsidRPr="003A319A" w:rsidRDefault="00353BDC" w:rsidP="00401306">
            <w:pPr>
              <w:tabs>
                <w:tab w:val="left" w:pos="360"/>
              </w:tabs>
              <w:rPr>
                <w:color w:val="000000"/>
                <w:sz w:val="19"/>
                <w:szCs w:val="19"/>
              </w:rPr>
            </w:pPr>
            <w:r w:rsidRPr="003A319A">
              <w:rPr>
                <w:color w:val="000000"/>
                <w:sz w:val="19"/>
                <w:szCs w:val="19"/>
              </w:rPr>
              <w:t xml:space="preserve">Konsolidovanou zprávu o udržitelnosti není povinna vyhotovovat </w:t>
            </w:r>
            <w:r>
              <w:rPr>
                <w:color w:val="000000"/>
                <w:sz w:val="19"/>
                <w:szCs w:val="19"/>
              </w:rPr>
              <w:t xml:space="preserve">také </w:t>
            </w:r>
            <w:r w:rsidRPr="003A319A">
              <w:rPr>
                <w:color w:val="000000"/>
                <w:sz w:val="19"/>
                <w:szCs w:val="19"/>
              </w:rPr>
              <w:t>konsolidující účetní jednotka, pokud</w:t>
            </w:r>
          </w:p>
          <w:p w14:paraId="73EE8CF7" w14:textId="77777777" w:rsidR="00353BDC" w:rsidRPr="00C80940" w:rsidRDefault="00353BDC" w:rsidP="00401306">
            <w:pPr>
              <w:tabs>
                <w:tab w:val="left" w:pos="360"/>
              </w:tabs>
              <w:rPr>
                <w:color w:val="000000"/>
                <w:sz w:val="19"/>
                <w:szCs w:val="19"/>
              </w:rPr>
            </w:pPr>
            <w:r>
              <w:rPr>
                <w:color w:val="000000"/>
                <w:sz w:val="19"/>
                <w:szCs w:val="19"/>
              </w:rPr>
              <w:t xml:space="preserve">c) výroční zpráva </w:t>
            </w:r>
            <w:r>
              <w:rPr>
                <w:b/>
                <w:color w:val="000000"/>
                <w:sz w:val="19"/>
                <w:szCs w:val="19"/>
                <w:u w:val="single"/>
              </w:rPr>
              <w:t>nebo konsolidovaná výroční zpráva</w:t>
            </w:r>
            <w:r>
              <w:rPr>
                <w:color w:val="000000"/>
                <w:sz w:val="19"/>
                <w:szCs w:val="19"/>
              </w:rPr>
              <w:t xml:space="preserve"> této konsolidující účetní jednotky obsahuje</w:t>
            </w:r>
          </w:p>
        </w:tc>
        <w:tc>
          <w:tcPr>
            <w:tcW w:w="1276" w:type="dxa"/>
            <w:tcBorders>
              <w:top w:val="single" w:sz="4" w:space="0" w:color="auto"/>
              <w:bottom w:val="single" w:sz="4" w:space="0" w:color="auto"/>
            </w:tcBorders>
          </w:tcPr>
          <w:p w14:paraId="21A2CC61"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7D876766" w14:textId="77777777" w:rsidR="00353BDC" w:rsidRDefault="00353BDC" w:rsidP="00401306">
            <w:pPr>
              <w:tabs>
                <w:tab w:val="left" w:pos="360"/>
              </w:tabs>
              <w:rPr>
                <w:rFonts w:cs="Arial"/>
                <w:sz w:val="20"/>
              </w:rPr>
            </w:pPr>
            <w:r>
              <w:rPr>
                <w:rFonts w:cs="Arial"/>
                <w:sz w:val="20"/>
              </w:rPr>
              <w:t xml:space="preserve">Čl. 29a odst. 8 druhý pododstavec písm. a) </w:t>
            </w:r>
            <w:proofErr w:type="spellStart"/>
            <w:r>
              <w:rPr>
                <w:rFonts w:cs="Arial"/>
                <w:sz w:val="20"/>
              </w:rPr>
              <w:t>návětí</w:t>
            </w:r>
            <w:proofErr w:type="spellEnd"/>
          </w:p>
        </w:tc>
        <w:tc>
          <w:tcPr>
            <w:tcW w:w="4678" w:type="dxa"/>
            <w:tcBorders>
              <w:top w:val="single" w:sz="4" w:space="0" w:color="auto"/>
              <w:bottom w:val="single" w:sz="4" w:space="0" w:color="auto"/>
            </w:tcBorders>
            <w:shd w:val="clear" w:color="auto" w:fill="auto"/>
          </w:tcPr>
          <w:p w14:paraId="4E969CCE" w14:textId="77777777" w:rsidR="00353BDC" w:rsidRPr="00346035" w:rsidRDefault="00353BDC" w:rsidP="00401306">
            <w:pPr>
              <w:tabs>
                <w:tab w:val="left" w:pos="360"/>
              </w:tabs>
              <w:rPr>
                <w:rFonts w:cs="Arial"/>
                <w:sz w:val="20"/>
              </w:rPr>
            </w:pPr>
            <w:r w:rsidRPr="00346035">
              <w:rPr>
                <w:rFonts w:cs="Arial"/>
                <w:sz w:val="20"/>
              </w:rPr>
              <w:t xml:space="preserve">Na osvobození uvedené v prvním pododstavci se vztahují tyto podmínky: </w:t>
            </w:r>
          </w:p>
          <w:p w14:paraId="030A6248" w14:textId="77777777" w:rsidR="00353BDC" w:rsidRPr="00C80940" w:rsidRDefault="00353BDC" w:rsidP="00401306">
            <w:pPr>
              <w:tabs>
                <w:tab w:val="left" w:pos="360"/>
              </w:tabs>
              <w:rPr>
                <w:rFonts w:cs="Arial"/>
                <w:sz w:val="20"/>
              </w:rPr>
            </w:pPr>
            <w:r w:rsidRPr="00346035">
              <w:rPr>
                <w:rFonts w:cs="Arial"/>
                <w:sz w:val="20"/>
              </w:rPr>
              <w:t>a) zpráva vedení osvobozeného mateřského podniku obsahuje všechny tyto informace:</w:t>
            </w:r>
          </w:p>
        </w:tc>
      </w:tr>
      <w:tr w:rsidR="00353BDC" w:rsidRPr="00FA795B" w14:paraId="6B487B56" w14:textId="77777777" w:rsidTr="00401306">
        <w:trPr>
          <w:cantSplit/>
        </w:trPr>
        <w:tc>
          <w:tcPr>
            <w:tcW w:w="1418" w:type="dxa"/>
            <w:tcBorders>
              <w:top w:val="single" w:sz="4" w:space="0" w:color="auto"/>
              <w:bottom w:val="single" w:sz="4" w:space="0" w:color="auto"/>
            </w:tcBorders>
          </w:tcPr>
          <w:p w14:paraId="1A971536" w14:textId="77777777" w:rsidR="00353BDC" w:rsidRDefault="00353BDC" w:rsidP="00401306">
            <w:pPr>
              <w:tabs>
                <w:tab w:val="left" w:pos="360"/>
              </w:tabs>
              <w:rPr>
                <w:rFonts w:cs="Arial"/>
                <w:sz w:val="20"/>
              </w:rPr>
            </w:pPr>
            <w:r>
              <w:rPr>
                <w:rFonts w:cs="Arial"/>
                <w:sz w:val="20"/>
              </w:rPr>
              <w:t>§ 32k odst. 4</w:t>
            </w:r>
          </w:p>
        </w:tc>
        <w:tc>
          <w:tcPr>
            <w:tcW w:w="5245" w:type="dxa"/>
            <w:tcBorders>
              <w:top w:val="single" w:sz="4" w:space="0" w:color="auto"/>
              <w:bottom w:val="single" w:sz="4" w:space="0" w:color="auto"/>
            </w:tcBorders>
          </w:tcPr>
          <w:p w14:paraId="31156B7F" w14:textId="77777777" w:rsidR="00353BDC" w:rsidRPr="00247919" w:rsidRDefault="00353BDC" w:rsidP="00401306">
            <w:pPr>
              <w:tabs>
                <w:tab w:val="left" w:pos="360"/>
              </w:tabs>
              <w:rPr>
                <w:color w:val="000000"/>
                <w:sz w:val="19"/>
                <w:szCs w:val="19"/>
              </w:rPr>
            </w:pPr>
            <w:r>
              <w:rPr>
                <w:color w:val="000000"/>
                <w:sz w:val="19"/>
                <w:szCs w:val="19"/>
              </w:rPr>
              <w:t xml:space="preserve">Jsou-li významné rozdíly mezi nepříznivými dopady podle § 32h odst. 3 písm. g) u </w:t>
            </w:r>
            <w:r>
              <w:rPr>
                <w:b/>
                <w:color w:val="000000"/>
                <w:sz w:val="19"/>
                <w:szCs w:val="19"/>
                <w:u w:val="single"/>
              </w:rPr>
              <w:t>skupiny</w:t>
            </w:r>
            <w:r>
              <w:rPr>
                <w:color w:val="000000"/>
                <w:sz w:val="19"/>
                <w:szCs w:val="19"/>
              </w:rPr>
              <w:t xml:space="preserve"> a u jedné nebo více konsolidovaných účetních jednotek patřících do této </w:t>
            </w:r>
            <w:r>
              <w:rPr>
                <w:b/>
                <w:color w:val="000000"/>
                <w:sz w:val="19"/>
                <w:szCs w:val="19"/>
                <w:u w:val="single"/>
              </w:rPr>
              <w:t>skupiny</w:t>
            </w:r>
            <w:r>
              <w:rPr>
                <w:color w:val="000000"/>
                <w:sz w:val="19"/>
                <w:szCs w:val="19"/>
              </w:rPr>
              <w:t>, konsolidovaná zpráva o udržitelnosti obsahuje také informaci o nepříznivých dopadech podle § 32h odst. 3 písm. g) ve vztahu ke konsolidovaným účetním jednotkám, kterých se významné rozdíly v těchto dopadech týkají.</w:t>
            </w:r>
          </w:p>
        </w:tc>
        <w:tc>
          <w:tcPr>
            <w:tcW w:w="1276" w:type="dxa"/>
            <w:tcBorders>
              <w:top w:val="single" w:sz="4" w:space="0" w:color="auto"/>
              <w:bottom w:val="single" w:sz="4" w:space="0" w:color="auto"/>
            </w:tcBorders>
          </w:tcPr>
          <w:p w14:paraId="1DC9A76D"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5C28D497" w14:textId="77777777" w:rsidR="00353BDC" w:rsidRDefault="00353BDC" w:rsidP="00401306">
            <w:pPr>
              <w:tabs>
                <w:tab w:val="left" w:pos="360"/>
              </w:tabs>
              <w:rPr>
                <w:rFonts w:cs="Arial"/>
                <w:sz w:val="20"/>
              </w:rPr>
            </w:pPr>
            <w:r>
              <w:rPr>
                <w:rFonts w:cs="Arial"/>
                <w:sz w:val="20"/>
              </w:rPr>
              <w:t>Čl. 29a odst. 4 první pododstavec</w:t>
            </w:r>
          </w:p>
        </w:tc>
        <w:tc>
          <w:tcPr>
            <w:tcW w:w="4678" w:type="dxa"/>
            <w:tcBorders>
              <w:top w:val="single" w:sz="4" w:space="0" w:color="auto"/>
              <w:bottom w:val="single" w:sz="4" w:space="0" w:color="auto"/>
            </w:tcBorders>
            <w:shd w:val="clear" w:color="auto" w:fill="auto"/>
          </w:tcPr>
          <w:p w14:paraId="25709673" w14:textId="77777777" w:rsidR="00353BDC" w:rsidRPr="007C7519" w:rsidRDefault="00353BDC" w:rsidP="00401306">
            <w:pPr>
              <w:tabs>
                <w:tab w:val="left" w:pos="360"/>
              </w:tabs>
              <w:rPr>
                <w:rFonts w:cs="Arial"/>
                <w:sz w:val="20"/>
              </w:rPr>
            </w:pPr>
            <w:r w:rsidRPr="000743BC">
              <w:rPr>
                <w:rFonts w:cs="Arial"/>
                <w:sz w:val="20"/>
              </w:rPr>
              <w:t>Pokud podnik podávající zprávu zjistí, že existují významné rozdíly mezi riziky pro skupinu a riziky pro jeden nebo více jejích dceřiných podniků nebo mezi dopady skupiny a dopady jednoho nebo více jejích dceřiných podniků, odpovídajícím způsobem objasní rizika pro dotčený dceřiný podnik nebo dceřiné podniky a dopady dotčeného dceřiného podniku nebo podniků.</w:t>
            </w:r>
          </w:p>
        </w:tc>
      </w:tr>
      <w:tr w:rsidR="00353BDC" w:rsidRPr="00FA795B" w14:paraId="7DEE4F5E" w14:textId="77777777" w:rsidTr="00401306">
        <w:trPr>
          <w:cantSplit/>
        </w:trPr>
        <w:tc>
          <w:tcPr>
            <w:tcW w:w="1418" w:type="dxa"/>
            <w:tcBorders>
              <w:top w:val="single" w:sz="4" w:space="0" w:color="auto"/>
              <w:bottom w:val="single" w:sz="4" w:space="0" w:color="auto"/>
            </w:tcBorders>
          </w:tcPr>
          <w:p w14:paraId="56B08FF9" w14:textId="77777777" w:rsidR="00353BDC" w:rsidRDefault="00353BDC" w:rsidP="00401306">
            <w:pPr>
              <w:tabs>
                <w:tab w:val="left" w:pos="360"/>
              </w:tabs>
              <w:rPr>
                <w:rFonts w:cs="Arial"/>
                <w:sz w:val="20"/>
              </w:rPr>
            </w:pPr>
            <w:r>
              <w:rPr>
                <w:rFonts w:cs="Arial"/>
                <w:sz w:val="20"/>
              </w:rPr>
              <w:t>§ 32k odst. 5</w:t>
            </w:r>
          </w:p>
        </w:tc>
        <w:tc>
          <w:tcPr>
            <w:tcW w:w="5245" w:type="dxa"/>
            <w:tcBorders>
              <w:top w:val="single" w:sz="4" w:space="0" w:color="auto"/>
              <w:bottom w:val="single" w:sz="4" w:space="0" w:color="auto"/>
            </w:tcBorders>
          </w:tcPr>
          <w:p w14:paraId="4E901581" w14:textId="77777777" w:rsidR="00353BDC" w:rsidRPr="000743BC" w:rsidRDefault="00353BDC" w:rsidP="00401306">
            <w:pPr>
              <w:tabs>
                <w:tab w:val="left" w:pos="360"/>
              </w:tabs>
              <w:rPr>
                <w:color w:val="000000"/>
                <w:sz w:val="19"/>
                <w:szCs w:val="19"/>
              </w:rPr>
            </w:pPr>
            <w:r>
              <w:rPr>
                <w:color w:val="000000"/>
                <w:sz w:val="19"/>
                <w:szCs w:val="19"/>
              </w:rPr>
              <w:t xml:space="preserve">Jsou-li významné rozdíly mezi hlavními riziky spojenými s udržitelností pro </w:t>
            </w:r>
            <w:r>
              <w:rPr>
                <w:b/>
                <w:color w:val="000000"/>
                <w:sz w:val="19"/>
                <w:szCs w:val="19"/>
                <w:u w:val="single"/>
              </w:rPr>
              <w:t>skupinu</w:t>
            </w:r>
            <w:r>
              <w:rPr>
                <w:color w:val="000000"/>
                <w:sz w:val="19"/>
                <w:szCs w:val="19"/>
              </w:rPr>
              <w:t xml:space="preserve"> a u jedné nebo více konsolidovaných účetních jednotek patřících do této </w:t>
            </w:r>
            <w:r>
              <w:rPr>
                <w:b/>
                <w:color w:val="000000"/>
                <w:sz w:val="19"/>
                <w:szCs w:val="19"/>
                <w:u w:val="single"/>
              </w:rPr>
              <w:t>skupiny</w:t>
            </w:r>
            <w:r>
              <w:rPr>
                <w:color w:val="000000"/>
                <w:sz w:val="19"/>
                <w:szCs w:val="19"/>
              </w:rPr>
              <w:t>, konsolidovaná zpráva o udržitelnosti obsahuje také informaci o hlavních rizicích spojených s otázkami udržitelnosti pro konsolidované účetní jednotky, kterých se významné rozdíly v těchto rizicích týkají.</w:t>
            </w:r>
          </w:p>
        </w:tc>
        <w:tc>
          <w:tcPr>
            <w:tcW w:w="1276" w:type="dxa"/>
            <w:tcBorders>
              <w:top w:val="single" w:sz="4" w:space="0" w:color="auto"/>
              <w:bottom w:val="single" w:sz="4" w:space="0" w:color="auto"/>
            </w:tcBorders>
          </w:tcPr>
          <w:p w14:paraId="0895CBBC"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75B5A4EA" w14:textId="77777777" w:rsidR="00353BDC" w:rsidRDefault="00353BDC" w:rsidP="00401306">
            <w:pPr>
              <w:tabs>
                <w:tab w:val="left" w:pos="360"/>
              </w:tabs>
              <w:rPr>
                <w:rFonts w:cs="Arial"/>
                <w:sz w:val="20"/>
              </w:rPr>
            </w:pPr>
            <w:r>
              <w:rPr>
                <w:rFonts w:cs="Arial"/>
                <w:sz w:val="20"/>
              </w:rPr>
              <w:t>Čl. 29a odst. 4 první pododstavec</w:t>
            </w:r>
          </w:p>
        </w:tc>
        <w:tc>
          <w:tcPr>
            <w:tcW w:w="4678" w:type="dxa"/>
            <w:tcBorders>
              <w:top w:val="single" w:sz="4" w:space="0" w:color="auto"/>
              <w:bottom w:val="single" w:sz="4" w:space="0" w:color="auto"/>
            </w:tcBorders>
            <w:shd w:val="clear" w:color="auto" w:fill="auto"/>
          </w:tcPr>
          <w:p w14:paraId="548498FF" w14:textId="77777777" w:rsidR="00353BDC" w:rsidRPr="007C7519" w:rsidRDefault="00353BDC" w:rsidP="00401306">
            <w:pPr>
              <w:tabs>
                <w:tab w:val="left" w:pos="360"/>
              </w:tabs>
              <w:rPr>
                <w:rFonts w:cs="Arial"/>
                <w:sz w:val="20"/>
              </w:rPr>
            </w:pPr>
            <w:r w:rsidRPr="000743BC">
              <w:rPr>
                <w:rFonts w:cs="Arial"/>
                <w:sz w:val="20"/>
              </w:rPr>
              <w:t>Pokud podnik podávající zprávu zjistí, že existují významné rozdíly mezi riziky pro skupinu a riziky pro jeden nebo více jejích dceřiných podniků nebo mezi dopady skupiny a dopady jednoho nebo více jejích dceřiných podniků, odpovídajícím způsobem objasní rizika pro dotčený dceřiný podnik nebo dceřiné podniky a dopady dotčeného dceřiného podniku nebo podniků.</w:t>
            </w:r>
          </w:p>
        </w:tc>
      </w:tr>
      <w:tr w:rsidR="00353BDC" w:rsidRPr="00FA795B" w14:paraId="5E035EDC" w14:textId="77777777" w:rsidTr="00401306">
        <w:trPr>
          <w:cantSplit/>
        </w:trPr>
        <w:tc>
          <w:tcPr>
            <w:tcW w:w="1418" w:type="dxa"/>
            <w:tcBorders>
              <w:top w:val="nil"/>
              <w:bottom w:val="nil"/>
            </w:tcBorders>
          </w:tcPr>
          <w:p w14:paraId="3A67B618" w14:textId="77777777" w:rsidR="00353BDC" w:rsidRDefault="00353BDC" w:rsidP="00401306">
            <w:pPr>
              <w:tabs>
                <w:tab w:val="left" w:pos="360"/>
              </w:tabs>
              <w:rPr>
                <w:rFonts w:cs="Arial"/>
                <w:sz w:val="20"/>
              </w:rPr>
            </w:pPr>
            <w:r>
              <w:rPr>
                <w:rFonts w:cs="Arial"/>
                <w:sz w:val="20"/>
              </w:rPr>
              <w:t>§ 32l odst. 1</w:t>
            </w:r>
          </w:p>
        </w:tc>
        <w:tc>
          <w:tcPr>
            <w:tcW w:w="5245" w:type="dxa"/>
            <w:tcBorders>
              <w:top w:val="nil"/>
              <w:bottom w:val="nil"/>
            </w:tcBorders>
          </w:tcPr>
          <w:p w14:paraId="37C194C1" w14:textId="77777777" w:rsidR="00353BDC" w:rsidRDefault="00353BDC" w:rsidP="00401306">
            <w:pPr>
              <w:tabs>
                <w:tab w:val="left" w:pos="360"/>
              </w:tabs>
              <w:rPr>
                <w:b/>
                <w:color w:val="000000"/>
                <w:sz w:val="19"/>
                <w:szCs w:val="19"/>
                <w:u w:val="single"/>
              </w:rPr>
            </w:pPr>
            <w:r>
              <w:rPr>
                <w:b/>
                <w:color w:val="000000"/>
                <w:sz w:val="19"/>
                <w:szCs w:val="19"/>
                <w:u w:val="single"/>
              </w:rPr>
              <w:t>Konsolidovaná účetní jednotka nejvyšší konsolidující osoby ze třetí země zveřejní konsolidovanou zprávu o udržitelnosti osoby ze třetí země, pokud je tato konsolidovaná účetní jednotka obchodní společností a</w:t>
            </w:r>
          </w:p>
          <w:p w14:paraId="18748862" w14:textId="77777777" w:rsidR="00353BDC" w:rsidRDefault="00353BDC" w:rsidP="00401306">
            <w:pPr>
              <w:tabs>
                <w:tab w:val="left" w:pos="360"/>
              </w:tabs>
              <w:rPr>
                <w:b/>
                <w:color w:val="000000"/>
                <w:sz w:val="19"/>
                <w:szCs w:val="19"/>
                <w:u w:val="single"/>
              </w:rPr>
            </w:pPr>
            <w:r>
              <w:rPr>
                <w:b/>
                <w:color w:val="000000"/>
                <w:sz w:val="19"/>
                <w:szCs w:val="19"/>
                <w:u w:val="single"/>
              </w:rPr>
              <w:t>a) velkou účetní jednotkou, nebo</w:t>
            </w:r>
          </w:p>
          <w:p w14:paraId="49A0CA07" w14:textId="77777777" w:rsidR="00353BDC" w:rsidRPr="00B054E4" w:rsidRDefault="00353BDC" w:rsidP="00401306">
            <w:pPr>
              <w:tabs>
                <w:tab w:val="left" w:pos="360"/>
              </w:tabs>
              <w:rPr>
                <w:b/>
                <w:color w:val="000000"/>
                <w:sz w:val="19"/>
                <w:szCs w:val="19"/>
                <w:u w:val="single"/>
              </w:rPr>
            </w:pPr>
            <w:r>
              <w:rPr>
                <w:b/>
                <w:color w:val="000000"/>
                <w:sz w:val="19"/>
                <w:szCs w:val="19"/>
                <w:u w:val="single"/>
              </w:rPr>
              <w:t xml:space="preserve">b) střední účetní jednotkou nebo malou účetní jednotkou, které jsou emitenty investičních cenných papírů </w:t>
            </w:r>
            <w:proofErr w:type="spellStart"/>
            <w:r>
              <w:rPr>
                <w:b/>
                <w:color w:val="000000"/>
                <w:sz w:val="19"/>
                <w:szCs w:val="19"/>
                <w:u w:val="single"/>
              </w:rPr>
              <w:t>prijatých</w:t>
            </w:r>
            <w:proofErr w:type="spellEnd"/>
            <w:r>
              <w:rPr>
                <w:b/>
                <w:color w:val="000000"/>
                <w:sz w:val="19"/>
                <w:szCs w:val="19"/>
                <w:u w:val="single"/>
              </w:rPr>
              <w:t xml:space="preserve"> k obchodování na evropském regulovaném trhu.</w:t>
            </w:r>
          </w:p>
        </w:tc>
        <w:tc>
          <w:tcPr>
            <w:tcW w:w="1276" w:type="dxa"/>
            <w:tcBorders>
              <w:top w:val="nil"/>
              <w:bottom w:val="nil"/>
            </w:tcBorders>
          </w:tcPr>
          <w:p w14:paraId="387351C0"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nil"/>
              <w:bottom w:val="nil"/>
            </w:tcBorders>
            <w:shd w:val="clear" w:color="auto" w:fill="auto"/>
          </w:tcPr>
          <w:p w14:paraId="3B13F91C" w14:textId="77777777" w:rsidR="00353BDC" w:rsidRDefault="00353BDC" w:rsidP="00401306">
            <w:pPr>
              <w:tabs>
                <w:tab w:val="left" w:pos="360"/>
              </w:tabs>
              <w:rPr>
                <w:rFonts w:cs="Arial"/>
                <w:sz w:val="20"/>
              </w:rPr>
            </w:pPr>
            <w:r>
              <w:rPr>
                <w:rFonts w:cs="Arial"/>
                <w:sz w:val="20"/>
              </w:rPr>
              <w:t>Čl. 40a odst. 1 první pododstavec</w:t>
            </w:r>
          </w:p>
        </w:tc>
        <w:tc>
          <w:tcPr>
            <w:tcW w:w="4678" w:type="dxa"/>
            <w:tcBorders>
              <w:top w:val="nil"/>
              <w:bottom w:val="nil"/>
            </w:tcBorders>
            <w:shd w:val="clear" w:color="auto" w:fill="auto"/>
          </w:tcPr>
          <w:p w14:paraId="08487028" w14:textId="77777777" w:rsidR="00353BDC" w:rsidRPr="00954262" w:rsidRDefault="00353BDC" w:rsidP="00401306">
            <w:pPr>
              <w:tabs>
                <w:tab w:val="left" w:pos="360"/>
              </w:tabs>
              <w:rPr>
                <w:rFonts w:cs="Arial"/>
                <w:sz w:val="20"/>
              </w:rPr>
            </w:pPr>
            <w:r w:rsidRPr="00250121">
              <w:rPr>
                <w:rFonts w:cs="Arial"/>
                <w:sz w:val="20"/>
              </w:rPr>
              <w:t xml:space="preserve">Členský stát vyžaduje, aby dceřiný podnik usazený na jeho území, jehož nejvyšší mateřský podnik se řídí právem třetí země, zveřejnil a zpřístupnil zprávu o udržitelnosti zahrnující informace vymezené v čl. 29a odst. 2 písm. a) bodech </w:t>
            </w:r>
            <w:proofErr w:type="spellStart"/>
            <w:r w:rsidRPr="00250121">
              <w:rPr>
                <w:rFonts w:cs="Arial"/>
                <w:sz w:val="20"/>
              </w:rPr>
              <w:t>iii</w:t>
            </w:r>
            <w:proofErr w:type="spellEnd"/>
            <w:r w:rsidRPr="00250121">
              <w:rPr>
                <w:rFonts w:cs="Arial"/>
                <w:sz w:val="20"/>
              </w:rPr>
              <w:t xml:space="preserve">) až </w:t>
            </w:r>
            <w:proofErr w:type="spellStart"/>
            <w:r w:rsidRPr="00250121">
              <w:rPr>
                <w:rFonts w:cs="Arial"/>
                <w:sz w:val="20"/>
              </w:rPr>
              <w:t>vi</w:t>
            </w:r>
            <w:proofErr w:type="spellEnd"/>
            <w:r w:rsidRPr="00250121">
              <w:rPr>
                <w:rFonts w:cs="Arial"/>
                <w:sz w:val="20"/>
              </w:rPr>
              <w:t>), písm. b) až e) a případně písm. g) na úrovni skupiny tohoto nejvyššího mateřského podniku ze třetí země.</w:t>
            </w:r>
          </w:p>
        </w:tc>
      </w:tr>
      <w:tr w:rsidR="00353BDC" w:rsidRPr="00FA795B" w14:paraId="6B6BB3F4" w14:textId="77777777" w:rsidTr="00401306">
        <w:trPr>
          <w:cantSplit/>
        </w:trPr>
        <w:tc>
          <w:tcPr>
            <w:tcW w:w="1418" w:type="dxa"/>
            <w:tcBorders>
              <w:top w:val="nil"/>
              <w:bottom w:val="single" w:sz="4" w:space="0" w:color="auto"/>
            </w:tcBorders>
          </w:tcPr>
          <w:p w14:paraId="425AFDD5" w14:textId="77777777" w:rsidR="00353BDC" w:rsidRDefault="00353BDC" w:rsidP="00401306">
            <w:pPr>
              <w:tabs>
                <w:tab w:val="left" w:pos="360"/>
              </w:tabs>
              <w:rPr>
                <w:rFonts w:cs="Arial"/>
                <w:sz w:val="20"/>
              </w:rPr>
            </w:pPr>
          </w:p>
        </w:tc>
        <w:tc>
          <w:tcPr>
            <w:tcW w:w="5245" w:type="dxa"/>
            <w:tcBorders>
              <w:top w:val="nil"/>
              <w:bottom w:val="single" w:sz="4" w:space="0" w:color="auto"/>
            </w:tcBorders>
          </w:tcPr>
          <w:p w14:paraId="37C89B0A" w14:textId="77777777" w:rsidR="00353BDC" w:rsidRDefault="00353BDC" w:rsidP="00401306">
            <w:pPr>
              <w:tabs>
                <w:tab w:val="left" w:pos="360"/>
              </w:tabs>
              <w:rPr>
                <w:b/>
                <w:color w:val="000000"/>
                <w:sz w:val="19"/>
                <w:szCs w:val="19"/>
                <w:u w:val="single"/>
              </w:rPr>
            </w:pPr>
          </w:p>
        </w:tc>
        <w:tc>
          <w:tcPr>
            <w:tcW w:w="1276" w:type="dxa"/>
            <w:tcBorders>
              <w:top w:val="nil"/>
              <w:bottom w:val="single" w:sz="4" w:space="0" w:color="auto"/>
            </w:tcBorders>
          </w:tcPr>
          <w:p w14:paraId="25F08D20"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nil"/>
              <w:bottom w:val="single" w:sz="4" w:space="0" w:color="auto"/>
            </w:tcBorders>
            <w:shd w:val="clear" w:color="auto" w:fill="auto"/>
          </w:tcPr>
          <w:p w14:paraId="1862CAD6" w14:textId="77777777" w:rsidR="00353BDC" w:rsidRDefault="00353BDC" w:rsidP="00401306">
            <w:pPr>
              <w:tabs>
                <w:tab w:val="left" w:pos="360"/>
              </w:tabs>
              <w:rPr>
                <w:rFonts w:cs="Arial"/>
                <w:sz w:val="20"/>
              </w:rPr>
            </w:pPr>
            <w:r>
              <w:rPr>
                <w:rFonts w:cs="Arial"/>
                <w:sz w:val="20"/>
              </w:rPr>
              <w:t>Čl. 40a odst. 1 druhý pododstavec</w:t>
            </w:r>
          </w:p>
        </w:tc>
        <w:tc>
          <w:tcPr>
            <w:tcW w:w="4678" w:type="dxa"/>
            <w:tcBorders>
              <w:top w:val="nil"/>
              <w:bottom w:val="single" w:sz="4" w:space="0" w:color="auto"/>
            </w:tcBorders>
            <w:shd w:val="clear" w:color="auto" w:fill="auto"/>
          </w:tcPr>
          <w:p w14:paraId="210C2ECA" w14:textId="77777777" w:rsidR="00353BDC" w:rsidRPr="00250121" w:rsidRDefault="00353BDC" w:rsidP="00401306">
            <w:pPr>
              <w:tabs>
                <w:tab w:val="left" w:pos="360"/>
              </w:tabs>
              <w:rPr>
                <w:rFonts w:cs="Arial"/>
                <w:sz w:val="20"/>
              </w:rPr>
            </w:pPr>
            <w:r w:rsidRPr="00250121">
              <w:rPr>
                <w:rFonts w:cs="Arial"/>
                <w:sz w:val="20"/>
              </w:rPr>
              <w:t xml:space="preserve">První pododstavec se použije pouze na velké dceřiné podniky a na malé a střední dceřiné podniky, s výjimkou </w:t>
            </w:r>
            <w:proofErr w:type="spellStart"/>
            <w:r w:rsidRPr="00250121">
              <w:rPr>
                <w:rFonts w:cs="Arial"/>
                <w:sz w:val="20"/>
              </w:rPr>
              <w:t>mikropodniků</w:t>
            </w:r>
            <w:proofErr w:type="spellEnd"/>
            <w:r w:rsidRPr="00250121">
              <w:rPr>
                <w:rFonts w:cs="Arial"/>
                <w:sz w:val="20"/>
              </w:rPr>
              <w:t>, které jsou subjekty veřejného zájmu ve smyslu čl. 2 bodu 1 písm. a).</w:t>
            </w:r>
          </w:p>
        </w:tc>
      </w:tr>
      <w:tr w:rsidR="00353BDC" w:rsidRPr="00FA795B" w14:paraId="78A1DFAB" w14:textId="77777777" w:rsidTr="00401306">
        <w:trPr>
          <w:cantSplit/>
        </w:trPr>
        <w:tc>
          <w:tcPr>
            <w:tcW w:w="1418" w:type="dxa"/>
            <w:tcBorders>
              <w:top w:val="single" w:sz="4" w:space="0" w:color="auto"/>
              <w:bottom w:val="nil"/>
            </w:tcBorders>
          </w:tcPr>
          <w:p w14:paraId="1DE376CD" w14:textId="77777777" w:rsidR="00353BDC" w:rsidRDefault="00353BDC" w:rsidP="00401306">
            <w:pPr>
              <w:tabs>
                <w:tab w:val="left" w:pos="360"/>
              </w:tabs>
              <w:rPr>
                <w:rFonts w:cs="Arial"/>
                <w:sz w:val="20"/>
              </w:rPr>
            </w:pPr>
            <w:r>
              <w:rPr>
                <w:rFonts w:cs="Arial"/>
                <w:sz w:val="20"/>
              </w:rPr>
              <w:lastRenderedPageBreak/>
              <w:t>§ 32l odst. 2</w:t>
            </w:r>
          </w:p>
        </w:tc>
        <w:tc>
          <w:tcPr>
            <w:tcW w:w="5245" w:type="dxa"/>
            <w:tcBorders>
              <w:top w:val="single" w:sz="4" w:space="0" w:color="auto"/>
              <w:bottom w:val="nil"/>
            </w:tcBorders>
          </w:tcPr>
          <w:p w14:paraId="3A516453" w14:textId="77777777" w:rsidR="00353BDC" w:rsidRPr="00250121" w:rsidRDefault="00353BDC" w:rsidP="00401306">
            <w:pPr>
              <w:tabs>
                <w:tab w:val="left" w:pos="360"/>
              </w:tabs>
              <w:rPr>
                <w:b/>
                <w:color w:val="000000"/>
                <w:sz w:val="19"/>
                <w:szCs w:val="19"/>
                <w:u w:val="single"/>
              </w:rPr>
            </w:pPr>
            <w:r w:rsidRPr="00250121">
              <w:rPr>
                <w:b/>
                <w:color w:val="000000"/>
                <w:sz w:val="19"/>
                <w:szCs w:val="19"/>
                <w:u w:val="single"/>
              </w:rPr>
              <w:t>Zprávu o udržitelnosti osoby ze třetí země nebo konsolidovanou zprávu o udržitelnosti osoby ze třetí země zveřejní účetní jednotka podle § 1 odst. 2 písm. b), která má právní formu srovnatelnou s obchodní společností</w:t>
            </w:r>
            <w:r>
              <w:rPr>
                <w:b/>
                <w:color w:val="000000"/>
                <w:sz w:val="19"/>
                <w:szCs w:val="19"/>
                <w:u w:val="single"/>
              </w:rPr>
              <w:t>, je ustavena podle právního řádu jiného státu než členského státu Evropské unie</w:t>
            </w:r>
            <w:r w:rsidRPr="00250121">
              <w:rPr>
                <w:b/>
                <w:color w:val="000000"/>
                <w:sz w:val="19"/>
                <w:szCs w:val="19"/>
                <w:u w:val="single"/>
              </w:rPr>
              <w:t xml:space="preserve"> a na území České republiky provozuje svou činnost prostřednictvím pobočky, a to prostřednictvím této pobočky, pokud </w:t>
            </w:r>
          </w:p>
          <w:p w14:paraId="5F82936D" w14:textId="77777777" w:rsidR="00353BDC" w:rsidRPr="00250121" w:rsidRDefault="00353BDC" w:rsidP="00401306">
            <w:pPr>
              <w:tabs>
                <w:tab w:val="left" w:pos="360"/>
              </w:tabs>
              <w:rPr>
                <w:b/>
                <w:color w:val="000000"/>
                <w:sz w:val="19"/>
                <w:szCs w:val="19"/>
                <w:u w:val="single"/>
              </w:rPr>
            </w:pPr>
            <w:r w:rsidRPr="00250121">
              <w:rPr>
                <w:b/>
                <w:color w:val="000000"/>
                <w:sz w:val="19"/>
                <w:szCs w:val="19"/>
                <w:u w:val="single"/>
              </w:rPr>
              <w:t xml:space="preserve">a) </w:t>
            </w:r>
            <w:r w:rsidRPr="00250121">
              <w:rPr>
                <w:b/>
                <w:color w:val="000000"/>
                <w:sz w:val="19"/>
                <w:szCs w:val="19"/>
                <w:u w:val="single"/>
              </w:rPr>
              <w:tab/>
              <w:t xml:space="preserve">tato účetní jednotka </w:t>
            </w:r>
          </w:p>
          <w:p w14:paraId="2F5E9D2E" w14:textId="77777777" w:rsidR="00353BDC" w:rsidRPr="00250121" w:rsidRDefault="00353BDC" w:rsidP="00401306">
            <w:pPr>
              <w:tabs>
                <w:tab w:val="left" w:pos="360"/>
              </w:tabs>
              <w:rPr>
                <w:b/>
                <w:color w:val="000000"/>
                <w:sz w:val="19"/>
                <w:szCs w:val="19"/>
                <w:u w:val="single"/>
              </w:rPr>
            </w:pPr>
            <w:r w:rsidRPr="00250121">
              <w:rPr>
                <w:b/>
                <w:color w:val="000000"/>
                <w:sz w:val="19"/>
                <w:szCs w:val="19"/>
                <w:u w:val="single"/>
              </w:rPr>
              <w:t xml:space="preserve">1. </w:t>
            </w:r>
            <w:r w:rsidRPr="00250121">
              <w:rPr>
                <w:b/>
                <w:color w:val="000000"/>
                <w:sz w:val="19"/>
                <w:szCs w:val="19"/>
                <w:u w:val="single"/>
              </w:rPr>
              <w:tab/>
              <w:t>není ovládající ani ovládanou osobou s výjimkou ovládání na základě společného vlivu,</w:t>
            </w:r>
          </w:p>
          <w:p w14:paraId="5BC0CCB8" w14:textId="77777777" w:rsidR="00353BDC" w:rsidRPr="00250121" w:rsidRDefault="00353BDC" w:rsidP="00401306">
            <w:pPr>
              <w:tabs>
                <w:tab w:val="left" w:pos="360"/>
              </w:tabs>
              <w:rPr>
                <w:b/>
                <w:color w:val="000000"/>
                <w:sz w:val="19"/>
                <w:szCs w:val="19"/>
                <w:u w:val="single"/>
              </w:rPr>
            </w:pPr>
            <w:r w:rsidRPr="00250121">
              <w:rPr>
                <w:b/>
                <w:color w:val="000000"/>
                <w:sz w:val="19"/>
                <w:szCs w:val="19"/>
                <w:u w:val="single"/>
              </w:rPr>
              <w:t xml:space="preserve">2. </w:t>
            </w:r>
            <w:r w:rsidRPr="00250121">
              <w:rPr>
                <w:b/>
                <w:color w:val="000000"/>
                <w:sz w:val="19"/>
                <w:szCs w:val="19"/>
                <w:u w:val="single"/>
              </w:rPr>
              <w:tab/>
              <w:t>je konsolidovanou účetní jednotkou nejvyšší konsolidující osoby ze třetí země, která nemá konsolidovanou účetní jednotku ustavenou podle právního řádu členského státu Evro</w:t>
            </w:r>
            <w:r>
              <w:rPr>
                <w:b/>
                <w:color w:val="000000"/>
                <w:sz w:val="19"/>
                <w:szCs w:val="19"/>
                <w:u w:val="single"/>
              </w:rPr>
              <w:t>pské unie a povinnou zveřejnit</w:t>
            </w:r>
            <w:r w:rsidRPr="00250121">
              <w:rPr>
                <w:b/>
                <w:color w:val="000000"/>
                <w:sz w:val="19"/>
                <w:szCs w:val="19"/>
                <w:u w:val="single"/>
              </w:rPr>
              <w:t xml:space="preserve"> konsolidovanou zprávu o udržitelnosti osoby ze třetí země, nebo</w:t>
            </w:r>
          </w:p>
          <w:p w14:paraId="0E7A94F9" w14:textId="77777777" w:rsidR="00353BDC" w:rsidRPr="00250121" w:rsidRDefault="00353BDC" w:rsidP="00401306">
            <w:pPr>
              <w:tabs>
                <w:tab w:val="left" w:pos="360"/>
              </w:tabs>
              <w:rPr>
                <w:b/>
                <w:color w:val="000000"/>
                <w:sz w:val="19"/>
                <w:szCs w:val="19"/>
                <w:u w:val="single"/>
              </w:rPr>
            </w:pPr>
            <w:r w:rsidRPr="00250121">
              <w:rPr>
                <w:b/>
                <w:color w:val="000000"/>
                <w:sz w:val="19"/>
                <w:szCs w:val="19"/>
                <w:u w:val="single"/>
              </w:rPr>
              <w:t>3.</w:t>
            </w:r>
            <w:r w:rsidRPr="00250121">
              <w:rPr>
                <w:b/>
                <w:color w:val="000000"/>
                <w:sz w:val="19"/>
                <w:szCs w:val="19"/>
                <w:u w:val="single"/>
              </w:rPr>
              <w:tab/>
              <w:t>je nejvyšší konsolidující osobou ze třetí země, která nemá konsolidovanou účetní jednotku</w:t>
            </w:r>
            <w:r>
              <w:rPr>
                <w:b/>
                <w:color w:val="000000"/>
                <w:sz w:val="19"/>
                <w:szCs w:val="19"/>
                <w:u w:val="single"/>
              </w:rPr>
              <w:t xml:space="preserve"> ustavenou podle právního řádu členského státu Evropské unie a povinnou zveřejnit</w:t>
            </w:r>
            <w:r w:rsidRPr="00250121">
              <w:rPr>
                <w:b/>
                <w:color w:val="000000"/>
                <w:sz w:val="19"/>
                <w:szCs w:val="19"/>
                <w:u w:val="single"/>
              </w:rPr>
              <w:t xml:space="preserve"> konsolidovanou zprávu o udržitelnosti osoby ze třetí země, a</w:t>
            </w:r>
          </w:p>
          <w:p w14:paraId="0FB1DE0A" w14:textId="77777777" w:rsidR="00353BDC" w:rsidRPr="00250121" w:rsidRDefault="00353BDC" w:rsidP="00401306">
            <w:pPr>
              <w:tabs>
                <w:tab w:val="left" w:pos="360"/>
              </w:tabs>
              <w:rPr>
                <w:b/>
                <w:color w:val="000000"/>
                <w:sz w:val="19"/>
                <w:szCs w:val="19"/>
                <w:u w:val="single"/>
              </w:rPr>
            </w:pPr>
            <w:r w:rsidRPr="00250121">
              <w:rPr>
                <w:b/>
                <w:color w:val="000000"/>
                <w:sz w:val="19"/>
                <w:szCs w:val="19"/>
                <w:u w:val="single"/>
              </w:rPr>
              <w:t xml:space="preserve">b) </w:t>
            </w:r>
            <w:r w:rsidRPr="00250121">
              <w:rPr>
                <w:b/>
                <w:color w:val="000000"/>
                <w:sz w:val="19"/>
                <w:szCs w:val="19"/>
                <w:u w:val="single"/>
              </w:rPr>
              <w:tab/>
              <w:t>roční úhrn čistého obratu pobočky za bezprostředně předcházející účetní období přesáhl 40 000 000 EUR.</w:t>
            </w:r>
          </w:p>
        </w:tc>
        <w:tc>
          <w:tcPr>
            <w:tcW w:w="1276" w:type="dxa"/>
            <w:tcBorders>
              <w:top w:val="single" w:sz="4" w:space="0" w:color="auto"/>
              <w:bottom w:val="nil"/>
            </w:tcBorders>
          </w:tcPr>
          <w:p w14:paraId="359FE759"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nil"/>
            </w:tcBorders>
            <w:shd w:val="clear" w:color="auto" w:fill="auto"/>
          </w:tcPr>
          <w:p w14:paraId="527B0045" w14:textId="77777777" w:rsidR="00353BDC" w:rsidRDefault="00353BDC" w:rsidP="00401306">
            <w:pPr>
              <w:tabs>
                <w:tab w:val="left" w:pos="360"/>
              </w:tabs>
              <w:rPr>
                <w:rFonts w:cs="Arial"/>
                <w:sz w:val="20"/>
              </w:rPr>
            </w:pPr>
            <w:r>
              <w:rPr>
                <w:rFonts w:cs="Arial"/>
                <w:sz w:val="20"/>
              </w:rPr>
              <w:t>Čl. 40a třetí pododstavec</w:t>
            </w:r>
          </w:p>
        </w:tc>
        <w:tc>
          <w:tcPr>
            <w:tcW w:w="4678" w:type="dxa"/>
            <w:tcBorders>
              <w:top w:val="single" w:sz="4" w:space="0" w:color="auto"/>
              <w:bottom w:val="nil"/>
            </w:tcBorders>
            <w:shd w:val="clear" w:color="auto" w:fill="auto"/>
          </w:tcPr>
          <w:p w14:paraId="53C64715" w14:textId="77777777" w:rsidR="00353BDC" w:rsidRPr="00954262" w:rsidRDefault="00353BDC" w:rsidP="00401306">
            <w:pPr>
              <w:tabs>
                <w:tab w:val="left" w:pos="360"/>
              </w:tabs>
              <w:rPr>
                <w:rFonts w:cs="Arial"/>
                <w:sz w:val="20"/>
              </w:rPr>
            </w:pPr>
            <w:r w:rsidRPr="00161095">
              <w:rPr>
                <w:rFonts w:cs="Arial"/>
                <w:sz w:val="20"/>
              </w:rPr>
              <w:t xml:space="preserve">Členský stát vyžaduje, aby pobočka nacházející se na jeho území, která je pobočkou podniku, jenž se řídí právem třetí země, a která buď není součástí skupiny, nebo je v konečném důsledku vlastněna podnikem, který je založen v souladu s právem třetí země, zveřejnila a zpřístupnila zprávu o udržitelnosti zahrnující informace vymezené v čl. 29a odst. 2 písm. a) bodech </w:t>
            </w:r>
            <w:proofErr w:type="spellStart"/>
            <w:r w:rsidRPr="00161095">
              <w:rPr>
                <w:rFonts w:cs="Arial"/>
                <w:sz w:val="20"/>
              </w:rPr>
              <w:t>iii</w:t>
            </w:r>
            <w:proofErr w:type="spellEnd"/>
            <w:r w:rsidRPr="00161095">
              <w:rPr>
                <w:rFonts w:cs="Arial"/>
                <w:sz w:val="20"/>
              </w:rPr>
              <w:t xml:space="preserve">) až </w:t>
            </w:r>
            <w:proofErr w:type="spellStart"/>
            <w:r w:rsidRPr="00161095">
              <w:rPr>
                <w:rFonts w:cs="Arial"/>
                <w:sz w:val="20"/>
              </w:rPr>
              <w:t>vi</w:t>
            </w:r>
            <w:proofErr w:type="spellEnd"/>
            <w:r w:rsidRPr="00161095">
              <w:rPr>
                <w:rFonts w:cs="Arial"/>
                <w:sz w:val="20"/>
              </w:rPr>
              <w:t>), písm. b) až e) a případně písm. g) na úrovni skupiny, nebo případně na individuální úrovni podniku ze třetí země.</w:t>
            </w:r>
          </w:p>
        </w:tc>
      </w:tr>
      <w:tr w:rsidR="00353BDC" w:rsidRPr="00FA795B" w14:paraId="5256E13F" w14:textId="77777777" w:rsidTr="00401306">
        <w:trPr>
          <w:cantSplit/>
        </w:trPr>
        <w:tc>
          <w:tcPr>
            <w:tcW w:w="1418" w:type="dxa"/>
            <w:tcBorders>
              <w:top w:val="nil"/>
              <w:bottom w:val="single" w:sz="4" w:space="0" w:color="auto"/>
            </w:tcBorders>
          </w:tcPr>
          <w:p w14:paraId="750EAAAA" w14:textId="77777777" w:rsidR="00353BDC" w:rsidRDefault="00353BDC" w:rsidP="00401306">
            <w:pPr>
              <w:tabs>
                <w:tab w:val="left" w:pos="360"/>
              </w:tabs>
              <w:rPr>
                <w:rFonts w:cs="Arial"/>
                <w:sz w:val="20"/>
              </w:rPr>
            </w:pPr>
          </w:p>
        </w:tc>
        <w:tc>
          <w:tcPr>
            <w:tcW w:w="5245" w:type="dxa"/>
            <w:tcBorders>
              <w:top w:val="nil"/>
              <w:bottom w:val="single" w:sz="4" w:space="0" w:color="auto"/>
            </w:tcBorders>
          </w:tcPr>
          <w:p w14:paraId="4EB62C3A" w14:textId="77777777" w:rsidR="00353BDC" w:rsidRPr="00250121" w:rsidRDefault="00353BDC" w:rsidP="00401306">
            <w:pPr>
              <w:tabs>
                <w:tab w:val="left" w:pos="360"/>
              </w:tabs>
              <w:rPr>
                <w:b/>
                <w:color w:val="000000"/>
                <w:sz w:val="19"/>
                <w:szCs w:val="19"/>
                <w:u w:val="single"/>
              </w:rPr>
            </w:pPr>
          </w:p>
        </w:tc>
        <w:tc>
          <w:tcPr>
            <w:tcW w:w="1276" w:type="dxa"/>
            <w:tcBorders>
              <w:top w:val="nil"/>
              <w:bottom w:val="single" w:sz="4" w:space="0" w:color="auto"/>
            </w:tcBorders>
          </w:tcPr>
          <w:p w14:paraId="3DCB7946"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nil"/>
              <w:bottom w:val="single" w:sz="4" w:space="0" w:color="auto"/>
            </w:tcBorders>
            <w:shd w:val="clear" w:color="auto" w:fill="auto"/>
          </w:tcPr>
          <w:p w14:paraId="41F841DB" w14:textId="77777777" w:rsidR="00353BDC" w:rsidRDefault="00353BDC" w:rsidP="00401306">
            <w:pPr>
              <w:tabs>
                <w:tab w:val="left" w:pos="360"/>
              </w:tabs>
              <w:rPr>
                <w:rFonts w:cs="Arial"/>
                <w:sz w:val="20"/>
              </w:rPr>
            </w:pPr>
            <w:r>
              <w:rPr>
                <w:rFonts w:cs="Arial"/>
                <w:sz w:val="20"/>
              </w:rPr>
              <w:t>Čl. 40a odst. 1 čtvrtý pododstavec</w:t>
            </w:r>
          </w:p>
        </w:tc>
        <w:tc>
          <w:tcPr>
            <w:tcW w:w="4678" w:type="dxa"/>
            <w:tcBorders>
              <w:top w:val="nil"/>
              <w:bottom w:val="single" w:sz="4" w:space="0" w:color="auto"/>
            </w:tcBorders>
            <w:shd w:val="clear" w:color="auto" w:fill="auto"/>
          </w:tcPr>
          <w:p w14:paraId="6C0336B6" w14:textId="77777777" w:rsidR="00353BDC" w:rsidRPr="00161095" w:rsidRDefault="00353BDC" w:rsidP="00401306">
            <w:pPr>
              <w:tabs>
                <w:tab w:val="left" w:pos="360"/>
              </w:tabs>
              <w:rPr>
                <w:rFonts w:cs="Arial"/>
                <w:sz w:val="20"/>
              </w:rPr>
            </w:pPr>
            <w:r w:rsidRPr="00161095">
              <w:rPr>
                <w:rFonts w:cs="Arial"/>
                <w:sz w:val="20"/>
              </w:rPr>
              <w:t xml:space="preserve">Pravidlo uvedené ve třetím pododstavci se vztahuje pouze na pobočku, pokud podnik ze třetí země nemá dceřiný podnik uvedený v prvním pododstavci a pokud tato pobočka dosáhla v předchozím účetním období </w:t>
            </w:r>
            <w:r>
              <w:rPr>
                <w:rFonts w:cs="Arial"/>
                <w:sz w:val="20"/>
              </w:rPr>
              <w:t>čistého obratu přesahujícího 40 </w:t>
            </w:r>
            <w:r w:rsidRPr="00161095">
              <w:rPr>
                <w:rFonts w:cs="Arial"/>
                <w:sz w:val="20"/>
              </w:rPr>
              <w:t>milionů EUR.</w:t>
            </w:r>
          </w:p>
        </w:tc>
      </w:tr>
      <w:tr w:rsidR="00353BDC" w:rsidRPr="00FA795B" w14:paraId="0F2C1DA1" w14:textId="77777777" w:rsidTr="00401306">
        <w:trPr>
          <w:cantSplit/>
        </w:trPr>
        <w:tc>
          <w:tcPr>
            <w:tcW w:w="1418" w:type="dxa"/>
            <w:tcBorders>
              <w:top w:val="single" w:sz="4" w:space="0" w:color="auto"/>
              <w:bottom w:val="single" w:sz="4" w:space="0" w:color="auto"/>
            </w:tcBorders>
          </w:tcPr>
          <w:p w14:paraId="6A0C14E9" w14:textId="77777777" w:rsidR="00353BDC" w:rsidRDefault="00353BDC" w:rsidP="00401306">
            <w:pPr>
              <w:tabs>
                <w:tab w:val="left" w:pos="360"/>
              </w:tabs>
              <w:rPr>
                <w:rFonts w:cs="Arial"/>
                <w:sz w:val="20"/>
              </w:rPr>
            </w:pPr>
            <w:r>
              <w:rPr>
                <w:rFonts w:cs="Arial"/>
                <w:sz w:val="20"/>
              </w:rPr>
              <w:t>§ 32l odst. 3</w:t>
            </w:r>
          </w:p>
        </w:tc>
        <w:tc>
          <w:tcPr>
            <w:tcW w:w="5245" w:type="dxa"/>
            <w:tcBorders>
              <w:top w:val="single" w:sz="4" w:space="0" w:color="auto"/>
              <w:bottom w:val="single" w:sz="4" w:space="0" w:color="auto"/>
            </w:tcBorders>
          </w:tcPr>
          <w:p w14:paraId="6C8B257A" w14:textId="77777777" w:rsidR="00353BDC" w:rsidRPr="00250121" w:rsidRDefault="00353BDC" w:rsidP="00401306">
            <w:pPr>
              <w:tabs>
                <w:tab w:val="left" w:pos="360"/>
              </w:tabs>
              <w:rPr>
                <w:b/>
                <w:color w:val="000000"/>
                <w:sz w:val="19"/>
                <w:szCs w:val="19"/>
                <w:u w:val="single"/>
              </w:rPr>
            </w:pPr>
            <w:r>
              <w:rPr>
                <w:b/>
                <w:color w:val="000000"/>
                <w:sz w:val="19"/>
                <w:szCs w:val="19"/>
                <w:u w:val="single"/>
              </w:rPr>
              <w:t>Pro účely konsolidované zprávy o udržitelnosti osoby ze třetí země se nejvyšší konsolidující osobou ze třetí země rozumí jiná konsolidující osoba ze třetí země, která není ovládanou osobou, nejedná-li se o ovládání na základě společného vlivu, zahrnutou do konsolidačního celku jiné konsolidující účetní jednotky nebo konsolidující zahraniční osoby.</w:t>
            </w:r>
          </w:p>
        </w:tc>
        <w:tc>
          <w:tcPr>
            <w:tcW w:w="1276" w:type="dxa"/>
            <w:tcBorders>
              <w:top w:val="single" w:sz="4" w:space="0" w:color="auto"/>
              <w:bottom w:val="single" w:sz="4" w:space="0" w:color="auto"/>
            </w:tcBorders>
          </w:tcPr>
          <w:p w14:paraId="3129BCAC"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2937D5FF" w14:textId="77777777" w:rsidR="00353BDC" w:rsidRDefault="00353BDC" w:rsidP="00401306">
            <w:pPr>
              <w:tabs>
                <w:tab w:val="left" w:pos="360"/>
              </w:tabs>
              <w:rPr>
                <w:rFonts w:cs="Arial"/>
                <w:sz w:val="20"/>
              </w:rPr>
            </w:pPr>
            <w:r>
              <w:rPr>
                <w:rFonts w:cs="Arial"/>
                <w:sz w:val="20"/>
              </w:rPr>
              <w:t>Čl. 40a odst. 1 první pododstavec</w:t>
            </w:r>
          </w:p>
        </w:tc>
        <w:tc>
          <w:tcPr>
            <w:tcW w:w="4678" w:type="dxa"/>
            <w:tcBorders>
              <w:top w:val="single" w:sz="4" w:space="0" w:color="auto"/>
              <w:bottom w:val="single" w:sz="4" w:space="0" w:color="auto"/>
            </w:tcBorders>
            <w:shd w:val="clear" w:color="auto" w:fill="auto"/>
          </w:tcPr>
          <w:p w14:paraId="5E19645D" w14:textId="77777777" w:rsidR="00353BDC" w:rsidRPr="00954262" w:rsidRDefault="00353BDC" w:rsidP="00401306">
            <w:pPr>
              <w:tabs>
                <w:tab w:val="left" w:pos="360"/>
              </w:tabs>
              <w:rPr>
                <w:rFonts w:cs="Arial"/>
                <w:sz w:val="20"/>
              </w:rPr>
            </w:pPr>
            <w:r w:rsidRPr="00250121">
              <w:rPr>
                <w:rFonts w:cs="Arial"/>
                <w:sz w:val="20"/>
              </w:rPr>
              <w:t xml:space="preserve">Členský stát vyžaduje, aby dceřiný podnik usazený na jeho území, jehož nejvyšší mateřský podnik se řídí právem třetí země, zveřejnil a zpřístupnil zprávu o udržitelnosti zahrnující informace vymezené v čl. 29a odst. 2 písm. a) bodech </w:t>
            </w:r>
            <w:proofErr w:type="spellStart"/>
            <w:r w:rsidRPr="00250121">
              <w:rPr>
                <w:rFonts w:cs="Arial"/>
                <w:sz w:val="20"/>
              </w:rPr>
              <w:t>iii</w:t>
            </w:r>
            <w:proofErr w:type="spellEnd"/>
            <w:r w:rsidRPr="00250121">
              <w:rPr>
                <w:rFonts w:cs="Arial"/>
                <w:sz w:val="20"/>
              </w:rPr>
              <w:t xml:space="preserve">) až </w:t>
            </w:r>
            <w:proofErr w:type="spellStart"/>
            <w:r w:rsidRPr="00250121">
              <w:rPr>
                <w:rFonts w:cs="Arial"/>
                <w:sz w:val="20"/>
              </w:rPr>
              <w:t>vi</w:t>
            </w:r>
            <w:proofErr w:type="spellEnd"/>
            <w:r w:rsidRPr="00250121">
              <w:rPr>
                <w:rFonts w:cs="Arial"/>
                <w:sz w:val="20"/>
              </w:rPr>
              <w:t>), písm. b) až e) a případně písm. g) na úrovni skupiny tohoto nejvyššího mateřského podniku ze třetí země.</w:t>
            </w:r>
          </w:p>
        </w:tc>
      </w:tr>
      <w:tr w:rsidR="00353BDC" w:rsidRPr="00FA795B" w14:paraId="5E68660C" w14:textId="77777777" w:rsidTr="00401306">
        <w:trPr>
          <w:cantSplit/>
        </w:trPr>
        <w:tc>
          <w:tcPr>
            <w:tcW w:w="1418" w:type="dxa"/>
            <w:tcBorders>
              <w:top w:val="single" w:sz="4" w:space="0" w:color="auto"/>
              <w:bottom w:val="single" w:sz="4" w:space="0" w:color="auto"/>
            </w:tcBorders>
          </w:tcPr>
          <w:p w14:paraId="2A7954CC" w14:textId="77777777" w:rsidR="00353BDC" w:rsidRDefault="00353BDC" w:rsidP="00401306">
            <w:pPr>
              <w:tabs>
                <w:tab w:val="left" w:pos="360"/>
              </w:tabs>
              <w:rPr>
                <w:rFonts w:cs="Arial"/>
                <w:sz w:val="20"/>
              </w:rPr>
            </w:pPr>
            <w:r>
              <w:rPr>
                <w:rFonts w:cs="Arial"/>
                <w:sz w:val="20"/>
              </w:rPr>
              <w:t>§ 32l odst. 4</w:t>
            </w:r>
          </w:p>
        </w:tc>
        <w:tc>
          <w:tcPr>
            <w:tcW w:w="5245" w:type="dxa"/>
            <w:tcBorders>
              <w:top w:val="single" w:sz="4" w:space="0" w:color="auto"/>
              <w:bottom w:val="single" w:sz="4" w:space="0" w:color="auto"/>
            </w:tcBorders>
          </w:tcPr>
          <w:p w14:paraId="0BB6EF81" w14:textId="77777777" w:rsidR="00353BDC" w:rsidRPr="00223775" w:rsidRDefault="00353BDC" w:rsidP="00401306">
            <w:pPr>
              <w:tabs>
                <w:tab w:val="left" w:pos="360"/>
              </w:tabs>
              <w:rPr>
                <w:b/>
                <w:color w:val="000000"/>
                <w:sz w:val="19"/>
                <w:szCs w:val="19"/>
                <w:u w:val="single"/>
              </w:rPr>
            </w:pPr>
            <w:r w:rsidRPr="00223775">
              <w:rPr>
                <w:b/>
                <w:color w:val="000000"/>
                <w:sz w:val="19"/>
                <w:szCs w:val="19"/>
                <w:u w:val="single"/>
              </w:rPr>
              <w:t xml:space="preserve">Zpráva o udržitelnosti osoby ze třetí země nebo konsolidovaná zpráva osoby ze třetí země se zveřejní za druhé </w:t>
            </w:r>
            <w:proofErr w:type="gramStart"/>
            <w:r w:rsidRPr="00223775">
              <w:rPr>
                <w:b/>
                <w:color w:val="000000"/>
                <w:sz w:val="19"/>
                <w:szCs w:val="19"/>
                <w:u w:val="single"/>
              </w:rPr>
              <w:t>ze</w:t>
            </w:r>
            <w:proofErr w:type="gramEnd"/>
            <w:r w:rsidRPr="00223775">
              <w:rPr>
                <w:b/>
                <w:color w:val="000000"/>
                <w:sz w:val="19"/>
                <w:szCs w:val="19"/>
                <w:u w:val="single"/>
              </w:rPr>
              <w:t xml:space="preserve"> 2 bezprostředně po sobě následujících účetních období, ve kterých ve vztahu k činnosti vykonávané na území Evropské unie roční úhrn čistého obratu </w:t>
            </w:r>
          </w:p>
          <w:p w14:paraId="040ECFBB" w14:textId="77777777" w:rsidR="00353BDC" w:rsidRPr="00223775" w:rsidRDefault="00353BDC" w:rsidP="00401306">
            <w:pPr>
              <w:tabs>
                <w:tab w:val="left" w:pos="360"/>
              </w:tabs>
              <w:rPr>
                <w:b/>
                <w:color w:val="000000"/>
                <w:sz w:val="19"/>
                <w:szCs w:val="19"/>
                <w:u w:val="single"/>
              </w:rPr>
            </w:pPr>
            <w:r w:rsidRPr="00223775">
              <w:rPr>
                <w:b/>
                <w:color w:val="000000"/>
                <w:sz w:val="19"/>
                <w:szCs w:val="19"/>
                <w:u w:val="single"/>
              </w:rPr>
              <w:t xml:space="preserve">a) </w:t>
            </w:r>
            <w:r w:rsidRPr="00223775">
              <w:rPr>
                <w:b/>
                <w:color w:val="000000"/>
                <w:sz w:val="19"/>
                <w:szCs w:val="19"/>
                <w:u w:val="single"/>
              </w:rPr>
              <w:tab/>
              <w:t xml:space="preserve">skupiny, jejíž součástí je nejvyšší konsolidující osoba ze třetí země, přesahuje 150 000 000 EUR nebo </w:t>
            </w:r>
          </w:p>
          <w:p w14:paraId="4743DE53" w14:textId="77777777" w:rsidR="00353BDC" w:rsidRPr="00223775" w:rsidRDefault="00353BDC" w:rsidP="00401306">
            <w:pPr>
              <w:tabs>
                <w:tab w:val="left" w:pos="360"/>
              </w:tabs>
              <w:rPr>
                <w:b/>
                <w:color w:val="000000"/>
                <w:sz w:val="19"/>
                <w:szCs w:val="19"/>
                <w:u w:val="single"/>
              </w:rPr>
            </w:pPr>
            <w:r w:rsidRPr="00223775">
              <w:rPr>
                <w:b/>
                <w:color w:val="000000"/>
                <w:sz w:val="19"/>
                <w:szCs w:val="19"/>
                <w:u w:val="single"/>
              </w:rPr>
              <w:t xml:space="preserve">b) </w:t>
            </w:r>
            <w:r w:rsidRPr="00223775">
              <w:rPr>
                <w:b/>
                <w:color w:val="000000"/>
                <w:sz w:val="19"/>
                <w:szCs w:val="19"/>
                <w:u w:val="single"/>
              </w:rPr>
              <w:tab/>
              <w:t>účetní jednotky podle odstavce 2 písm. a) bodu 1 přesahuje 150 000 000 EUR.</w:t>
            </w:r>
          </w:p>
        </w:tc>
        <w:tc>
          <w:tcPr>
            <w:tcW w:w="1276" w:type="dxa"/>
            <w:tcBorders>
              <w:top w:val="single" w:sz="4" w:space="0" w:color="auto"/>
              <w:bottom w:val="single" w:sz="4" w:space="0" w:color="auto"/>
            </w:tcBorders>
          </w:tcPr>
          <w:p w14:paraId="11B4E222"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6353ECDE" w14:textId="77777777" w:rsidR="00353BDC" w:rsidRDefault="00353BDC" w:rsidP="00401306">
            <w:pPr>
              <w:tabs>
                <w:tab w:val="left" w:pos="360"/>
              </w:tabs>
              <w:rPr>
                <w:rFonts w:cs="Arial"/>
                <w:sz w:val="20"/>
              </w:rPr>
            </w:pPr>
            <w:r>
              <w:rPr>
                <w:rFonts w:cs="Arial"/>
                <w:sz w:val="20"/>
              </w:rPr>
              <w:t>Čl. 40a odst. 1 pátý pododstavec</w:t>
            </w:r>
          </w:p>
        </w:tc>
        <w:tc>
          <w:tcPr>
            <w:tcW w:w="4678" w:type="dxa"/>
            <w:tcBorders>
              <w:top w:val="single" w:sz="4" w:space="0" w:color="auto"/>
              <w:bottom w:val="single" w:sz="4" w:space="0" w:color="auto"/>
            </w:tcBorders>
            <w:shd w:val="clear" w:color="auto" w:fill="auto"/>
          </w:tcPr>
          <w:p w14:paraId="25B2FB88" w14:textId="77777777" w:rsidR="00353BDC" w:rsidRPr="00954262" w:rsidRDefault="00353BDC" w:rsidP="00401306">
            <w:pPr>
              <w:tabs>
                <w:tab w:val="left" w:pos="360"/>
              </w:tabs>
              <w:rPr>
                <w:rFonts w:cs="Arial"/>
                <w:sz w:val="20"/>
              </w:rPr>
            </w:pPr>
            <w:r w:rsidRPr="00223775">
              <w:rPr>
                <w:rFonts w:cs="Arial"/>
                <w:sz w:val="20"/>
              </w:rPr>
              <w:t>První a třetí pododstavec se použijí na dceřiné podniky nebo pobočky uvedené ve zmíněných pododstavcích pouze tehdy, pokud podnik ze třetí země na své úrovni skupiny, nebo případně na individuální úrovni, dosáhl v Unii za každé z posledních dvou po sobě jdoucích účetních období čistého obratu přesahujícího 150 milionů EUR.</w:t>
            </w:r>
          </w:p>
        </w:tc>
      </w:tr>
      <w:tr w:rsidR="00353BDC" w:rsidRPr="00FA795B" w14:paraId="34898FC0" w14:textId="77777777" w:rsidTr="00401306">
        <w:trPr>
          <w:cantSplit/>
        </w:trPr>
        <w:tc>
          <w:tcPr>
            <w:tcW w:w="1418" w:type="dxa"/>
            <w:tcBorders>
              <w:top w:val="single" w:sz="4" w:space="0" w:color="auto"/>
              <w:bottom w:val="nil"/>
            </w:tcBorders>
          </w:tcPr>
          <w:p w14:paraId="661FCBCC" w14:textId="77777777" w:rsidR="00353BDC" w:rsidRDefault="00353BDC" w:rsidP="00401306">
            <w:pPr>
              <w:tabs>
                <w:tab w:val="left" w:pos="360"/>
              </w:tabs>
              <w:rPr>
                <w:rFonts w:cs="Arial"/>
                <w:sz w:val="20"/>
              </w:rPr>
            </w:pPr>
            <w:r>
              <w:rPr>
                <w:rFonts w:cs="Arial"/>
                <w:sz w:val="20"/>
              </w:rPr>
              <w:lastRenderedPageBreak/>
              <w:t>§ 32l odst. 5</w:t>
            </w:r>
          </w:p>
        </w:tc>
        <w:tc>
          <w:tcPr>
            <w:tcW w:w="5245" w:type="dxa"/>
            <w:tcBorders>
              <w:top w:val="single" w:sz="4" w:space="0" w:color="auto"/>
              <w:bottom w:val="nil"/>
            </w:tcBorders>
          </w:tcPr>
          <w:p w14:paraId="6CDA5176" w14:textId="77777777" w:rsidR="00353BDC" w:rsidRPr="00E5423D" w:rsidRDefault="00353BDC" w:rsidP="00401306">
            <w:pPr>
              <w:tabs>
                <w:tab w:val="left" w:pos="360"/>
              </w:tabs>
              <w:rPr>
                <w:b/>
                <w:color w:val="000000"/>
                <w:sz w:val="19"/>
                <w:szCs w:val="19"/>
                <w:u w:val="single"/>
              </w:rPr>
            </w:pPr>
            <w:r>
              <w:rPr>
                <w:b/>
                <w:color w:val="000000"/>
                <w:sz w:val="19"/>
                <w:szCs w:val="19"/>
                <w:u w:val="single"/>
              </w:rPr>
              <w:t xml:space="preserve">Pokud není k dispozici konsolidovaná zpráva o udržitelnosti osoby ze třetí země, která by mohla být zveřejněna podle odstavce 1, účetní jednotka podle </w:t>
            </w:r>
            <w:proofErr w:type="spellStart"/>
            <w:r>
              <w:rPr>
                <w:b/>
                <w:color w:val="000000"/>
                <w:sz w:val="19"/>
                <w:szCs w:val="19"/>
                <w:u w:val="single"/>
              </w:rPr>
              <w:t>ostavce</w:t>
            </w:r>
            <w:proofErr w:type="spellEnd"/>
            <w:r>
              <w:rPr>
                <w:b/>
                <w:color w:val="000000"/>
                <w:sz w:val="19"/>
                <w:szCs w:val="19"/>
                <w:u w:val="single"/>
              </w:rPr>
              <w:t xml:space="preserve"> 1 ji vyhotoví. Nemá-li účetní jednotka podle odstavce 1 údaje potřebné k vyhotovení konsolidované zprávy o udržitelnosti osoby ze třetí země, požádá o poskytnutí těchto údajů nejvyšší konsolidující osobu ze třetí země. Pokud neobdrží všechny potřebné údaje, vyhotoví zprávu na základě údajů, které má k dispozici, a její součástí je prohlášení o tom, že jí tato osoba neposkytla všechny potřebné údaje.</w:t>
            </w:r>
          </w:p>
        </w:tc>
        <w:tc>
          <w:tcPr>
            <w:tcW w:w="1276" w:type="dxa"/>
            <w:tcBorders>
              <w:top w:val="single" w:sz="4" w:space="0" w:color="auto"/>
              <w:bottom w:val="nil"/>
            </w:tcBorders>
          </w:tcPr>
          <w:p w14:paraId="0E73FB7B" w14:textId="77777777" w:rsidR="00353BDC" w:rsidRDefault="00353BDC" w:rsidP="00401306">
            <w:pPr>
              <w:tabs>
                <w:tab w:val="left" w:pos="360"/>
              </w:tabs>
              <w:rPr>
                <w:rFonts w:cs="Arial"/>
                <w:sz w:val="20"/>
              </w:rPr>
            </w:pPr>
            <w:r>
              <w:rPr>
                <w:rFonts w:cs="Arial"/>
                <w:sz w:val="20"/>
              </w:rPr>
              <w:t xml:space="preserve">32013L0034 ve znění 32022L2464 </w:t>
            </w:r>
          </w:p>
        </w:tc>
        <w:tc>
          <w:tcPr>
            <w:tcW w:w="1559" w:type="dxa"/>
            <w:tcBorders>
              <w:top w:val="single" w:sz="4" w:space="0" w:color="auto"/>
              <w:bottom w:val="nil"/>
            </w:tcBorders>
            <w:shd w:val="clear" w:color="auto" w:fill="auto"/>
          </w:tcPr>
          <w:p w14:paraId="12834879" w14:textId="77777777" w:rsidR="00353BDC" w:rsidRDefault="00353BDC" w:rsidP="00401306">
            <w:pPr>
              <w:tabs>
                <w:tab w:val="left" w:pos="360"/>
              </w:tabs>
              <w:rPr>
                <w:rFonts w:cs="Arial"/>
                <w:sz w:val="20"/>
              </w:rPr>
            </w:pPr>
            <w:r>
              <w:rPr>
                <w:rFonts w:cs="Arial"/>
                <w:sz w:val="20"/>
              </w:rPr>
              <w:t>Čl. 40a odst. 2 třetí pododstavec</w:t>
            </w:r>
          </w:p>
        </w:tc>
        <w:tc>
          <w:tcPr>
            <w:tcW w:w="4678" w:type="dxa"/>
            <w:tcBorders>
              <w:top w:val="single" w:sz="4" w:space="0" w:color="auto"/>
              <w:bottom w:val="nil"/>
            </w:tcBorders>
            <w:shd w:val="clear" w:color="auto" w:fill="auto"/>
          </w:tcPr>
          <w:p w14:paraId="517FF291" w14:textId="77777777" w:rsidR="00353BDC" w:rsidRPr="00954262" w:rsidRDefault="00353BDC" w:rsidP="00401306">
            <w:pPr>
              <w:tabs>
                <w:tab w:val="left" w:pos="360"/>
              </w:tabs>
              <w:rPr>
                <w:rFonts w:cs="Arial"/>
                <w:sz w:val="20"/>
              </w:rPr>
            </w:pPr>
            <w:r w:rsidRPr="00E5423D">
              <w:rPr>
                <w:rFonts w:cs="Arial"/>
                <w:sz w:val="20"/>
              </w:rPr>
              <w:t>Nejsou-li informace vyžadované pro vypracování zprávy o udržitelnosti podle prvního pododstavce tohoto odstavce k dispozici, požádá dceřiný podnik nebo pobočka uvedené v odstavci 1 podnik ze třetí země, aby jim poskytl veškeré informace nezbytné k tomu, aby mohly splnit své povinnosti.</w:t>
            </w:r>
          </w:p>
        </w:tc>
      </w:tr>
      <w:tr w:rsidR="00353BDC" w:rsidRPr="00FA795B" w14:paraId="034446AA" w14:textId="77777777" w:rsidTr="00401306">
        <w:trPr>
          <w:cantSplit/>
        </w:trPr>
        <w:tc>
          <w:tcPr>
            <w:tcW w:w="1418" w:type="dxa"/>
            <w:tcBorders>
              <w:top w:val="nil"/>
              <w:bottom w:val="single" w:sz="4" w:space="0" w:color="auto"/>
            </w:tcBorders>
          </w:tcPr>
          <w:p w14:paraId="1C5C81E2" w14:textId="77777777" w:rsidR="00353BDC" w:rsidRDefault="00353BDC" w:rsidP="00401306">
            <w:pPr>
              <w:tabs>
                <w:tab w:val="left" w:pos="360"/>
              </w:tabs>
              <w:rPr>
                <w:rFonts w:cs="Arial"/>
                <w:sz w:val="20"/>
              </w:rPr>
            </w:pPr>
          </w:p>
        </w:tc>
        <w:tc>
          <w:tcPr>
            <w:tcW w:w="5245" w:type="dxa"/>
            <w:tcBorders>
              <w:top w:val="nil"/>
              <w:bottom w:val="single" w:sz="4" w:space="0" w:color="auto"/>
            </w:tcBorders>
          </w:tcPr>
          <w:p w14:paraId="23EF795E" w14:textId="77777777" w:rsidR="00353BDC" w:rsidRPr="00E5423D" w:rsidRDefault="00353BDC" w:rsidP="00401306">
            <w:pPr>
              <w:tabs>
                <w:tab w:val="left" w:pos="360"/>
              </w:tabs>
              <w:rPr>
                <w:b/>
                <w:color w:val="000000"/>
                <w:sz w:val="19"/>
                <w:szCs w:val="19"/>
                <w:u w:val="single"/>
              </w:rPr>
            </w:pPr>
          </w:p>
        </w:tc>
        <w:tc>
          <w:tcPr>
            <w:tcW w:w="1276" w:type="dxa"/>
            <w:tcBorders>
              <w:top w:val="nil"/>
              <w:bottom w:val="single" w:sz="4" w:space="0" w:color="auto"/>
            </w:tcBorders>
          </w:tcPr>
          <w:p w14:paraId="350FE2D1"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nil"/>
              <w:bottom w:val="single" w:sz="4" w:space="0" w:color="auto"/>
            </w:tcBorders>
            <w:shd w:val="clear" w:color="auto" w:fill="auto"/>
          </w:tcPr>
          <w:p w14:paraId="3D7D3355" w14:textId="77777777" w:rsidR="00353BDC" w:rsidRDefault="00353BDC" w:rsidP="00401306">
            <w:pPr>
              <w:tabs>
                <w:tab w:val="left" w:pos="360"/>
              </w:tabs>
              <w:rPr>
                <w:rFonts w:cs="Arial"/>
                <w:sz w:val="20"/>
              </w:rPr>
            </w:pPr>
            <w:r>
              <w:rPr>
                <w:rFonts w:cs="Arial"/>
                <w:sz w:val="20"/>
              </w:rPr>
              <w:t>Čl. 40a odst. 2 čtvrtý pododstavec</w:t>
            </w:r>
          </w:p>
        </w:tc>
        <w:tc>
          <w:tcPr>
            <w:tcW w:w="4678" w:type="dxa"/>
            <w:tcBorders>
              <w:top w:val="nil"/>
              <w:bottom w:val="single" w:sz="4" w:space="0" w:color="auto"/>
            </w:tcBorders>
            <w:shd w:val="clear" w:color="auto" w:fill="auto"/>
          </w:tcPr>
          <w:p w14:paraId="072721B1" w14:textId="77777777" w:rsidR="00353BDC" w:rsidRPr="00E5423D" w:rsidRDefault="00353BDC" w:rsidP="00401306">
            <w:pPr>
              <w:tabs>
                <w:tab w:val="left" w:pos="360"/>
              </w:tabs>
              <w:rPr>
                <w:rFonts w:cs="Arial"/>
                <w:sz w:val="20"/>
              </w:rPr>
            </w:pPr>
            <w:r w:rsidRPr="00E5423D">
              <w:rPr>
                <w:rFonts w:cs="Arial"/>
                <w:sz w:val="20"/>
              </w:rPr>
              <w:t>V případě, že nejsou poskytnuty všechny požadované informace, dceřiný podnik nebo pobočka uvedené v odstavci 1 vypracují, zveřejní a zpřístupní zprávu o udržitelnosti uvedenou v odstavci 1, která obsahuje veškeré informace, které mají k dispozici, které získaly nebo obdržely, a vydají prohlášení, v němž uvedou, že podnik ze třetí země potřebné informace nezpřístupnil</w:t>
            </w:r>
            <w:r>
              <w:rPr>
                <w:color w:val="000000"/>
                <w:sz w:val="19"/>
                <w:szCs w:val="19"/>
              </w:rPr>
              <w:t>.</w:t>
            </w:r>
          </w:p>
        </w:tc>
      </w:tr>
      <w:tr w:rsidR="00353BDC" w:rsidRPr="00FA795B" w14:paraId="551460AC" w14:textId="77777777" w:rsidTr="00401306">
        <w:trPr>
          <w:cantSplit/>
        </w:trPr>
        <w:tc>
          <w:tcPr>
            <w:tcW w:w="1418" w:type="dxa"/>
            <w:tcBorders>
              <w:top w:val="single" w:sz="4" w:space="0" w:color="auto"/>
              <w:bottom w:val="single" w:sz="4" w:space="0" w:color="auto"/>
            </w:tcBorders>
          </w:tcPr>
          <w:p w14:paraId="6D57A68C" w14:textId="77777777" w:rsidR="00353BDC" w:rsidRDefault="00353BDC" w:rsidP="00401306">
            <w:pPr>
              <w:tabs>
                <w:tab w:val="left" w:pos="360"/>
              </w:tabs>
              <w:rPr>
                <w:rFonts w:cs="Arial"/>
                <w:sz w:val="20"/>
              </w:rPr>
            </w:pPr>
            <w:r>
              <w:rPr>
                <w:rFonts w:cs="Arial"/>
                <w:sz w:val="20"/>
              </w:rPr>
              <w:t>§ 32la odst. 6</w:t>
            </w:r>
          </w:p>
        </w:tc>
        <w:tc>
          <w:tcPr>
            <w:tcW w:w="5245" w:type="dxa"/>
            <w:tcBorders>
              <w:top w:val="single" w:sz="4" w:space="0" w:color="auto"/>
              <w:bottom w:val="single" w:sz="4" w:space="0" w:color="auto"/>
            </w:tcBorders>
          </w:tcPr>
          <w:p w14:paraId="569D2AF1" w14:textId="77777777" w:rsidR="00353BDC" w:rsidRPr="003B383E" w:rsidRDefault="00353BDC" w:rsidP="00401306">
            <w:pPr>
              <w:tabs>
                <w:tab w:val="left" w:pos="360"/>
              </w:tabs>
              <w:rPr>
                <w:rFonts w:cs="Arial"/>
                <w:b/>
                <w:sz w:val="20"/>
                <w:u w:val="single"/>
              </w:rPr>
            </w:pPr>
            <w:r>
              <w:rPr>
                <w:rFonts w:cs="Arial"/>
                <w:b/>
                <w:sz w:val="20"/>
                <w:u w:val="single"/>
              </w:rPr>
              <w:t xml:space="preserve">Pokud není k dispozici zpráva o udržitelnosti osoby ze třetí země nebo konsolidovaná zpráva o udržitelnosti osoby ze třetí země, která by mohla být zveřejněna podle odstavce 2, namísto této povinnosti vzniká povinnost ji vyhotovit a zveřejnit osobě pověřené jednáním za pobočku účetní jednotky na území České republiky. Nemá-li tato osoba všechny údaje potřebné k vyhotovení této zprávy, požádá o ně účetní jednotkou podle odstavce 2 písm. a) bodu 1 nebo nejvyšší konsolidující osobu ze třetí země. Pokud osoba pověřená jednáním za pobočku účetní jednotky na území České republiky neobdrží všechny potřebné údaje, vyhotoví zprávu na základě těchto údajů, které má k dispozici, a její součástí je prohlášení o tom, že účetní jednotka nebo nejvyšší konsolidující osoba ze třetí země neposkytla všechny potřebné údaje. </w:t>
            </w:r>
            <w:r w:rsidRPr="001A7A33">
              <w:rPr>
                <w:rFonts w:cs="Arial"/>
                <w:sz w:val="20"/>
              </w:rPr>
              <w:t>Ve vztahu ke zprávě o udržitelnosti osoby ze třetí země nebo konsolidované zprávě o udržitelnosti osoby ze třetí země se tato osoba pověřená jednáním za pobočku účetní jednotky na území České republiky považuje za osobu odpovědnou za vedení účetnictví.</w:t>
            </w:r>
          </w:p>
        </w:tc>
        <w:tc>
          <w:tcPr>
            <w:tcW w:w="1276" w:type="dxa"/>
            <w:tcBorders>
              <w:top w:val="single" w:sz="4" w:space="0" w:color="auto"/>
              <w:bottom w:val="single" w:sz="4" w:space="0" w:color="auto"/>
            </w:tcBorders>
          </w:tcPr>
          <w:p w14:paraId="66854779"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2213EAB0" w14:textId="77777777" w:rsidR="00353BDC" w:rsidRDefault="00353BDC" w:rsidP="00401306">
            <w:pPr>
              <w:tabs>
                <w:tab w:val="left" w:pos="360"/>
              </w:tabs>
              <w:rPr>
                <w:rFonts w:cs="Arial"/>
                <w:sz w:val="20"/>
              </w:rPr>
            </w:pPr>
            <w:r>
              <w:rPr>
                <w:rFonts w:cs="Arial"/>
                <w:sz w:val="20"/>
              </w:rPr>
              <w:t>Čl. 40a odst. 2 čtvrtý pododstavec</w:t>
            </w:r>
          </w:p>
        </w:tc>
        <w:tc>
          <w:tcPr>
            <w:tcW w:w="4678" w:type="dxa"/>
            <w:tcBorders>
              <w:top w:val="single" w:sz="4" w:space="0" w:color="auto"/>
              <w:bottom w:val="single" w:sz="4" w:space="0" w:color="auto"/>
            </w:tcBorders>
            <w:shd w:val="clear" w:color="auto" w:fill="auto"/>
          </w:tcPr>
          <w:p w14:paraId="711F33D5" w14:textId="77777777" w:rsidR="00353BDC" w:rsidRPr="00954262" w:rsidRDefault="00353BDC" w:rsidP="00401306">
            <w:pPr>
              <w:tabs>
                <w:tab w:val="left" w:pos="360"/>
              </w:tabs>
              <w:rPr>
                <w:rFonts w:cs="Arial"/>
                <w:sz w:val="20"/>
              </w:rPr>
            </w:pPr>
            <w:r w:rsidRPr="00E5423D">
              <w:rPr>
                <w:rFonts w:cs="Arial"/>
                <w:sz w:val="20"/>
              </w:rPr>
              <w:t>V případě, že nejsou poskytnuty všechny požadované informace, dceřiný podnik nebo pobočka uvedené v odstavci 1 vypracují, zveřejní a zpřístupní zprávu o udržitelnosti uvedenou v odstavci 1, která obsahuje veškeré informace, které mají k dispozici, které získaly nebo obdržely, a vydají prohlášení, v němž uvedou, že podnik ze třetí země potřebné informace nezpřístupnil</w:t>
            </w:r>
            <w:r>
              <w:rPr>
                <w:color w:val="000000"/>
                <w:sz w:val="19"/>
                <w:szCs w:val="19"/>
              </w:rPr>
              <w:t>.</w:t>
            </w:r>
          </w:p>
        </w:tc>
      </w:tr>
      <w:tr w:rsidR="00353BDC" w:rsidRPr="00FA795B" w14:paraId="72F4E3E1" w14:textId="77777777" w:rsidTr="00401306">
        <w:trPr>
          <w:cantSplit/>
        </w:trPr>
        <w:tc>
          <w:tcPr>
            <w:tcW w:w="1418" w:type="dxa"/>
            <w:tcBorders>
              <w:top w:val="single" w:sz="4" w:space="0" w:color="auto"/>
              <w:bottom w:val="single" w:sz="4" w:space="0" w:color="auto"/>
            </w:tcBorders>
          </w:tcPr>
          <w:p w14:paraId="09CD8EB7" w14:textId="77777777" w:rsidR="00353BDC" w:rsidRDefault="00353BDC" w:rsidP="00401306">
            <w:pPr>
              <w:tabs>
                <w:tab w:val="left" w:pos="360"/>
              </w:tabs>
              <w:rPr>
                <w:rFonts w:cs="Arial"/>
                <w:sz w:val="20"/>
              </w:rPr>
            </w:pPr>
            <w:r>
              <w:rPr>
                <w:rFonts w:cs="Arial"/>
                <w:sz w:val="20"/>
              </w:rPr>
              <w:t>§ 32la odst. 1</w:t>
            </w:r>
          </w:p>
        </w:tc>
        <w:tc>
          <w:tcPr>
            <w:tcW w:w="5245" w:type="dxa"/>
            <w:tcBorders>
              <w:top w:val="single" w:sz="4" w:space="0" w:color="auto"/>
              <w:bottom w:val="single" w:sz="4" w:space="0" w:color="auto"/>
            </w:tcBorders>
          </w:tcPr>
          <w:p w14:paraId="2DE8A8FF" w14:textId="77777777" w:rsidR="00353BDC" w:rsidRPr="00914D97" w:rsidRDefault="00353BDC" w:rsidP="00401306">
            <w:pPr>
              <w:tabs>
                <w:tab w:val="left" w:pos="360"/>
              </w:tabs>
              <w:rPr>
                <w:rFonts w:cs="Arial"/>
                <w:b/>
                <w:sz w:val="20"/>
                <w:u w:val="single"/>
              </w:rPr>
            </w:pPr>
            <w:r w:rsidRPr="00914D97">
              <w:rPr>
                <w:rFonts w:cs="Arial"/>
                <w:b/>
                <w:sz w:val="20"/>
                <w:u w:val="single"/>
              </w:rPr>
              <w:t>Zpráva o udržitelnosti osoby ze třetí země obsahuje informace podle § 32h odst. 3 písm. a) bodů 3 až 6 a § 32h odst. 3 písm. b) až i), a pokud je to vhodné, také ukazatele vztahující se k těmto informacím. Konsolidovaná zpráva o udržitelnosti osoby ze třetí země obsahuje informace obdobné informacím podle věty první ve vztahu ke skupině.</w:t>
            </w:r>
          </w:p>
        </w:tc>
        <w:tc>
          <w:tcPr>
            <w:tcW w:w="1276" w:type="dxa"/>
            <w:tcBorders>
              <w:top w:val="single" w:sz="4" w:space="0" w:color="auto"/>
              <w:bottom w:val="single" w:sz="4" w:space="0" w:color="auto"/>
            </w:tcBorders>
          </w:tcPr>
          <w:p w14:paraId="51A8000C"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3516BC27" w14:textId="77777777" w:rsidR="00353BDC" w:rsidRDefault="00353BDC" w:rsidP="00401306">
            <w:pPr>
              <w:tabs>
                <w:tab w:val="left" w:pos="360"/>
              </w:tabs>
              <w:rPr>
                <w:rFonts w:cs="Arial"/>
                <w:sz w:val="20"/>
              </w:rPr>
            </w:pPr>
            <w:r>
              <w:rPr>
                <w:rFonts w:cs="Arial"/>
                <w:sz w:val="20"/>
              </w:rPr>
              <w:t>Čl. 40a odst. 1 první pododstavec</w:t>
            </w:r>
          </w:p>
        </w:tc>
        <w:tc>
          <w:tcPr>
            <w:tcW w:w="4678" w:type="dxa"/>
            <w:tcBorders>
              <w:top w:val="single" w:sz="4" w:space="0" w:color="auto"/>
              <w:bottom w:val="single" w:sz="4" w:space="0" w:color="auto"/>
            </w:tcBorders>
            <w:shd w:val="clear" w:color="auto" w:fill="auto"/>
          </w:tcPr>
          <w:p w14:paraId="443CFE4F" w14:textId="77777777" w:rsidR="00353BDC" w:rsidRPr="00954262" w:rsidRDefault="00353BDC" w:rsidP="00401306">
            <w:pPr>
              <w:tabs>
                <w:tab w:val="left" w:pos="360"/>
              </w:tabs>
              <w:rPr>
                <w:rFonts w:cs="Arial"/>
                <w:sz w:val="20"/>
              </w:rPr>
            </w:pPr>
            <w:r w:rsidRPr="00250121">
              <w:rPr>
                <w:rFonts w:cs="Arial"/>
                <w:sz w:val="20"/>
              </w:rPr>
              <w:t xml:space="preserve">Členský stát vyžaduje, aby dceřiný podnik usazený na jeho území, jehož nejvyšší mateřský podnik se řídí právem třetí země, zveřejnil a zpřístupnil zprávu o udržitelnosti zahrnující informace vymezené v čl. 29a odst. 2 písm. a) bodech </w:t>
            </w:r>
            <w:proofErr w:type="spellStart"/>
            <w:r w:rsidRPr="00250121">
              <w:rPr>
                <w:rFonts w:cs="Arial"/>
                <w:sz w:val="20"/>
              </w:rPr>
              <w:t>iii</w:t>
            </w:r>
            <w:proofErr w:type="spellEnd"/>
            <w:r w:rsidRPr="00250121">
              <w:rPr>
                <w:rFonts w:cs="Arial"/>
                <w:sz w:val="20"/>
              </w:rPr>
              <w:t xml:space="preserve">) až </w:t>
            </w:r>
            <w:proofErr w:type="spellStart"/>
            <w:r w:rsidRPr="00250121">
              <w:rPr>
                <w:rFonts w:cs="Arial"/>
                <w:sz w:val="20"/>
              </w:rPr>
              <w:t>vi</w:t>
            </w:r>
            <w:proofErr w:type="spellEnd"/>
            <w:r w:rsidRPr="00250121">
              <w:rPr>
                <w:rFonts w:cs="Arial"/>
                <w:sz w:val="20"/>
              </w:rPr>
              <w:t>), písm. b) až e) a případně písm. g) na úrovni skupiny tohoto nejvyššího mateřského podniku ze třetí země.</w:t>
            </w:r>
          </w:p>
        </w:tc>
      </w:tr>
      <w:tr w:rsidR="00353BDC" w:rsidRPr="00FA795B" w14:paraId="221DCDEA" w14:textId="77777777" w:rsidTr="00401306">
        <w:trPr>
          <w:cantSplit/>
        </w:trPr>
        <w:tc>
          <w:tcPr>
            <w:tcW w:w="1418" w:type="dxa"/>
            <w:tcBorders>
              <w:top w:val="single" w:sz="4" w:space="0" w:color="auto"/>
              <w:bottom w:val="nil"/>
            </w:tcBorders>
          </w:tcPr>
          <w:p w14:paraId="37D71E02" w14:textId="77777777" w:rsidR="00353BDC" w:rsidRDefault="00353BDC" w:rsidP="00401306">
            <w:pPr>
              <w:tabs>
                <w:tab w:val="left" w:pos="360"/>
              </w:tabs>
              <w:rPr>
                <w:rFonts w:cs="Arial"/>
                <w:sz w:val="20"/>
              </w:rPr>
            </w:pPr>
            <w:r>
              <w:rPr>
                <w:rFonts w:cs="Arial"/>
                <w:sz w:val="20"/>
              </w:rPr>
              <w:lastRenderedPageBreak/>
              <w:t>§ 32la odst. 2</w:t>
            </w:r>
          </w:p>
        </w:tc>
        <w:tc>
          <w:tcPr>
            <w:tcW w:w="5245" w:type="dxa"/>
            <w:tcBorders>
              <w:top w:val="single" w:sz="4" w:space="0" w:color="auto"/>
              <w:bottom w:val="nil"/>
            </w:tcBorders>
          </w:tcPr>
          <w:p w14:paraId="52A70286" w14:textId="77777777" w:rsidR="00353BDC" w:rsidRPr="00502A92" w:rsidRDefault="00353BDC" w:rsidP="00401306">
            <w:pPr>
              <w:tabs>
                <w:tab w:val="left" w:pos="360"/>
              </w:tabs>
              <w:rPr>
                <w:b/>
                <w:color w:val="000000"/>
                <w:sz w:val="20"/>
                <w:u w:val="single"/>
              </w:rPr>
            </w:pPr>
            <w:r w:rsidRPr="00502A92">
              <w:rPr>
                <w:b/>
                <w:color w:val="000000"/>
                <w:sz w:val="20"/>
                <w:u w:val="single"/>
              </w:rPr>
              <w:t xml:space="preserve">Zpráva o udržitelnosti osoby ze třetí země nebo konsolidovaná zpráva osoby ze třetí země </w:t>
            </w:r>
          </w:p>
          <w:p w14:paraId="6C18B9AD" w14:textId="77777777" w:rsidR="00353BDC" w:rsidRPr="00502A92" w:rsidRDefault="00353BDC" w:rsidP="00401306">
            <w:pPr>
              <w:tabs>
                <w:tab w:val="left" w:pos="360"/>
              </w:tabs>
              <w:rPr>
                <w:b/>
                <w:color w:val="000000"/>
                <w:sz w:val="20"/>
                <w:u w:val="single"/>
              </w:rPr>
            </w:pPr>
            <w:r w:rsidRPr="00502A92">
              <w:rPr>
                <w:b/>
                <w:color w:val="000000"/>
                <w:sz w:val="20"/>
                <w:u w:val="single"/>
              </w:rPr>
              <w:t xml:space="preserve">a) </w:t>
            </w:r>
            <w:r w:rsidRPr="00502A92">
              <w:rPr>
                <w:b/>
                <w:color w:val="000000"/>
                <w:sz w:val="20"/>
                <w:u w:val="single"/>
              </w:rPr>
              <w:tab/>
              <w:t>se vyhotovuje v souladu se standardy pro podávání zpráv o udržitelnosti přijatými Evropskou komisí</w:t>
            </w:r>
            <w:r w:rsidRPr="00502A92">
              <w:rPr>
                <w:b/>
                <w:color w:val="000000"/>
                <w:sz w:val="20"/>
                <w:u w:val="single"/>
                <w:vertAlign w:val="superscript"/>
              </w:rPr>
              <w:t>48)</w:t>
            </w:r>
            <w:r w:rsidRPr="00502A92">
              <w:rPr>
                <w:b/>
                <w:color w:val="000000"/>
                <w:sz w:val="20"/>
                <w:u w:val="single"/>
              </w:rPr>
              <w:t xml:space="preserve"> nebo způsobem rovnocenným těmto standardům podle prováděcího opatření Evropské komise o rovnocennosti standardů pro podávání zpráv o udržitelnosti nebo v souladu se standardy pro podávání zpráv o udržitelnosti pro podniky ze třetích zemí přijatými Evropskou komisí a</w:t>
            </w:r>
          </w:p>
          <w:p w14:paraId="0B980A60" w14:textId="77777777" w:rsidR="00353BDC" w:rsidRPr="006A13B0" w:rsidRDefault="00353BDC" w:rsidP="00401306">
            <w:pPr>
              <w:tabs>
                <w:tab w:val="left" w:pos="360"/>
              </w:tabs>
              <w:rPr>
                <w:b/>
                <w:color w:val="000000"/>
                <w:sz w:val="19"/>
                <w:szCs w:val="19"/>
                <w:u w:val="single"/>
              </w:rPr>
            </w:pPr>
            <w:r w:rsidRPr="00502A92">
              <w:rPr>
                <w:b/>
                <w:color w:val="000000"/>
                <w:sz w:val="20"/>
                <w:u w:val="single"/>
              </w:rPr>
              <w:t xml:space="preserve">b) </w:t>
            </w:r>
            <w:r w:rsidRPr="00502A92">
              <w:rPr>
                <w:b/>
                <w:color w:val="000000"/>
                <w:sz w:val="20"/>
                <w:u w:val="single"/>
              </w:rPr>
              <w:tab/>
              <w:t>jsou ověřeny v souladu s pravidly právního řádu členského státu Evropské unie nebo v souladu s pravidly právního řádu státu, podle kterého byly nejvyšší konsolidující osoba ze třetí země nebo účetní jednotka podle § 32l odst. 2 písm. a) bodu 1 ustaveny.</w:t>
            </w:r>
          </w:p>
        </w:tc>
        <w:tc>
          <w:tcPr>
            <w:tcW w:w="1276" w:type="dxa"/>
            <w:tcBorders>
              <w:top w:val="single" w:sz="4" w:space="0" w:color="auto"/>
              <w:bottom w:val="nil"/>
            </w:tcBorders>
          </w:tcPr>
          <w:p w14:paraId="62D2C756"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nil"/>
            </w:tcBorders>
            <w:shd w:val="clear" w:color="auto" w:fill="auto"/>
          </w:tcPr>
          <w:p w14:paraId="4B360C80" w14:textId="77777777" w:rsidR="00353BDC" w:rsidRDefault="00353BDC" w:rsidP="00401306">
            <w:pPr>
              <w:tabs>
                <w:tab w:val="left" w:pos="360"/>
              </w:tabs>
              <w:rPr>
                <w:rFonts w:cs="Arial"/>
                <w:sz w:val="20"/>
              </w:rPr>
            </w:pPr>
            <w:r>
              <w:rPr>
                <w:rFonts w:cs="Arial"/>
                <w:sz w:val="20"/>
              </w:rPr>
              <w:t>Čl. 40a odst. 2 první pododstavec</w:t>
            </w:r>
          </w:p>
        </w:tc>
        <w:tc>
          <w:tcPr>
            <w:tcW w:w="4678" w:type="dxa"/>
            <w:tcBorders>
              <w:top w:val="single" w:sz="4" w:space="0" w:color="auto"/>
              <w:bottom w:val="nil"/>
            </w:tcBorders>
            <w:shd w:val="clear" w:color="auto" w:fill="auto"/>
          </w:tcPr>
          <w:p w14:paraId="738A77AB" w14:textId="77777777" w:rsidR="00353BDC" w:rsidRPr="00954262" w:rsidRDefault="00353BDC" w:rsidP="00401306">
            <w:pPr>
              <w:tabs>
                <w:tab w:val="left" w:pos="360"/>
              </w:tabs>
              <w:rPr>
                <w:rFonts w:cs="Arial"/>
                <w:sz w:val="20"/>
              </w:rPr>
            </w:pPr>
            <w:r w:rsidRPr="006A13B0">
              <w:rPr>
                <w:rFonts w:cs="Arial"/>
                <w:sz w:val="20"/>
              </w:rPr>
              <w:t>Členské státy vyžadují, aby zpráva o udržitelnosti předkládaná dceřiným podnikem nebo pobočkou podle odstavce 1 byla vypracována v souladu se standardy přijatými podle článku 40b.</w:t>
            </w:r>
          </w:p>
        </w:tc>
      </w:tr>
      <w:tr w:rsidR="00353BDC" w:rsidRPr="00FA795B" w14:paraId="5026281C" w14:textId="77777777" w:rsidTr="00401306">
        <w:trPr>
          <w:cantSplit/>
        </w:trPr>
        <w:tc>
          <w:tcPr>
            <w:tcW w:w="1418" w:type="dxa"/>
            <w:tcBorders>
              <w:top w:val="nil"/>
              <w:bottom w:val="nil"/>
            </w:tcBorders>
          </w:tcPr>
          <w:p w14:paraId="6C7147F9" w14:textId="77777777" w:rsidR="00353BDC" w:rsidRDefault="00353BDC" w:rsidP="00401306">
            <w:pPr>
              <w:tabs>
                <w:tab w:val="left" w:pos="360"/>
              </w:tabs>
              <w:rPr>
                <w:rFonts w:cs="Arial"/>
                <w:sz w:val="20"/>
              </w:rPr>
            </w:pPr>
          </w:p>
        </w:tc>
        <w:tc>
          <w:tcPr>
            <w:tcW w:w="5245" w:type="dxa"/>
            <w:tcBorders>
              <w:top w:val="nil"/>
              <w:bottom w:val="nil"/>
            </w:tcBorders>
          </w:tcPr>
          <w:p w14:paraId="50E2FD9D" w14:textId="77777777" w:rsidR="00353BDC" w:rsidRPr="006A13B0" w:rsidRDefault="00353BDC" w:rsidP="00401306">
            <w:pPr>
              <w:tabs>
                <w:tab w:val="left" w:pos="360"/>
              </w:tabs>
              <w:rPr>
                <w:b/>
                <w:color w:val="000000"/>
                <w:sz w:val="19"/>
                <w:szCs w:val="19"/>
                <w:u w:val="single"/>
              </w:rPr>
            </w:pPr>
          </w:p>
        </w:tc>
        <w:tc>
          <w:tcPr>
            <w:tcW w:w="1276" w:type="dxa"/>
            <w:tcBorders>
              <w:top w:val="nil"/>
              <w:bottom w:val="nil"/>
            </w:tcBorders>
          </w:tcPr>
          <w:p w14:paraId="2F284814"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nil"/>
              <w:bottom w:val="nil"/>
            </w:tcBorders>
            <w:shd w:val="clear" w:color="auto" w:fill="auto"/>
          </w:tcPr>
          <w:p w14:paraId="3761EB27" w14:textId="77777777" w:rsidR="00353BDC" w:rsidRDefault="00353BDC" w:rsidP="00401306">
            <w:pPr>
              <w:tabs>
                <w:tab w:val="left" w:pos="360"/>
              </w:tabs>
              <w:rPr>
                <w:rFonts w:cs="Arial"/>
                <w:sz w:val="20"/>
              </w:rPr>
            </w:pPr>
            <w:r>
              <w:rPr>
                <w:rFonts w:cs="Arial"/>
                <w:sz w:val="20"/>
              </w:rPr>
              <w:t>Čl. 40a odst. 2 druhý pododstavec</w:t>
            </w:r>
          </w:p>
        </w:tc>
        <w:tc>
          <w:tcPr>
            <w:tcW w:w="4678" w:type="dxa"/>
            <w:tcBorders>
              <w:top w:val="nil"/>
              <w:bottom w:val="nil"/>
            </w:tcBorders>
            <w:shd w:val="clear" w:color="auto" w:fill="auto"/>
          </w:tcPr>
          <w:p w14:paraId="42870060" w14:textId="77777777" w:rsidR="00353BDC" w:rsidRPr="006A13B0" w:rsidRDefault="00353BDC" w:rsidP="00401306">
            <w:pPr>
              <w:tabs>
                <w:tab w:val="left" w:pos="360"/>
              </w:tabs>
              <w:rPr>
                <w:rFonts w:cs="Arial"/>
                <w:sz w:val="20"/>
              </w:rPr>
            </w:pPr>
            <w:r w:rsidRPr="006A13B0">
              <w:rPr>
                <w:rFonts w:cs="Arial"/>
                <w:sz w:val="20"/>
              </w:rPr>
              <w:t xml:space="preserve">Odchylně od prvního pododstavce tohoto odstavce může být zpráva o udržitelnosti uvedená v odstavci 1 tohoto článku vypracována v souladu se standardy pro podávání zpráv o udržitelnosti přijatými podle článku 29b nebo způsobem rovnocenným standardům pro podávání zpráv o udržitelnosti, jak je určen v souladu s prováděcím aktem o rovnocennosti standardů pro podávání zpráv přijatým podle čl. 23 odst. 4 </w:t>
            </w:r>
            <w:proofErr w:type="gramStart"/>
            <w:r w:rsidRPr="006A13B0">
              <w:rPr>
                <w:rFonts w:cs="Arial"/>
                <w:sz w:val="20"/>
              </w:rPr>
              <w:t>třetího</w:t>
            </w:r>
            <w:proofErr w:type="gramEnd"/>
            <w:r w:rsidRPr="006A13B0">
              <w:rPr>
                <w:rFonts w:cs="Arial"/>
                <w:sz w:val="20"/>
              </w:rPr>
              <w:t xml:space="preserve"> pododstavce směrnice 2004/109/ES.</w:t>
            </w:r>
          </w:p>
        </w:tc>
      </w:tr>
      <w:tr w:rsidR="00353BDC" w:rsidRPr="00FA795B" w14:paraId="38AC3BB7" w14:textId="77777777" w:rsidTr="00401306">
        <w:trPr>
          <w:cantSplit/>
        </w:trPr>
        <w:tc>
          <w:tcPr>
            <w:tcW w:w="1418" w:type="dxa"/>
            <w:tcBorders>
              <w:top w:val="nil"/>
              <w:bottom w:val="single" w:sz="4" w:space="0" w:color="auto"/>
            </w:tcBorders>
          </w:tcPr>
          <w:p w14:paraId="62DD8DB7" w14:textId="77777777" w:rsidR="00353BDC" w:rsidRDefault="00353BDC" w:rsidP="00401306">
            <w:pPr>
              <w:tabs>
                <w:tab w:val="left" w:pos="360"/>
              </w:tabs>
              <w:rPr>
                <w:rFonts w:cs="Arial"/>
                <w:sz w:val="20"/>
              </w:rPr>
            </w:pPr>
          </w:p>
        </w:tc>
        <w:tc>
          <w:tcPr>
            <w:tcW w:w="5245" w:type="dxa"/>
            <w:tcBorders>
              <w:top w:val="nil"/>
              <w:bottom w:val="single" w:sz="4" w:space="0" w:color="auto"/>
            </w:tcBorders>
          </w:tcPr>
          <w:p w14:paraId="6892939F" w14:textId="77777777" w:rsidR="00353BDC" w:rsidRPr="006A13B0" w:rsidRDefault="00353BDC" w:rsidP="00401306">
            <w:pPr>
              <w:tabs>
                <w:tab w:val="left" w:pos="360"/>
              </w:tabs>
              <w:rPr>
                <w:b/>
                <w:color w:val="000000"/>
                <w:sz w:val="19"/>
                <w:szCs w:val="19"/>
                <w:u w:val="single"/>
              </w:rPr>
            </w:pPr>
          </w:p>
        </w:tc>
        <w:tc>
          <w:tcPr>
            <w:tcW w:w="1276" w:type="dxa"/>
            <w:tcBorders>
              <w:top w:val="nil"/>
              <w:bottom w:val="single" w:sz="4" w:space="0" w:color="auto"/>
            </w:tcBorders>
          </w:tcPr>
          <w:p w14:paraId="5A363B6A"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nil"/>
              <w:bottom w:val="single" w:sz="4" w:space="0" w:color="auto"/>
            </w:tcBorders>
            <w:shd w:val="clear" w:color="auto" w:fill="auto"/>
          </w:tcPr>
          <w:p w14:paraId="6D9226A0" w14:textId="77777777" w:rsidR="00353BDC" w:rsidRDefault="00353BDC" w:rsidP="00401306">
            <w:pPr>
              <w:tabs>
                <w:tab w:val="left" w:pos="360"/>
              </w:tabs>
              <w:rPr>
                <w:rFonts w:cs="Arial"/>
                <w:sz w:val="20"/>
              </w:rPr>
            </w:pPr>
            <w:r>
              <w:rPr>
                <w:rFonts w:cs="Arial"/>
                <w:sz w:val="20"/>
              </w:rPr>
              <w:t>Čl. 40a odst. 3 první pododstavec</w:t>
            </w:r>
          </w:p>
        </w:tc>
        <w:tc>
          <w:tcPr>
            <w:tcW w:w="4678" w:type="dxa"/>
            <w:tcBorders>
              <w:top w:val="nil"/>
              <w:bottom w:val="single" w:sz="4" w:space="0" w:color="auto"/>
            </w:tcBorders>
            <w:shd w:val="clear" w:color="auto" w:fill="auto"/>
          </w:tcPr>
          <w:p w14:paraId="1AE0AF27" w14:textId="77777777" w:rsidR="00353BDC" w:rsidRPr="006A13B0" w:rsidRDefault="00353BDC" w:rsidP="00401306">
            <w:pPr>
              <w:tabs>
                <w:tab w:val="left" w:pos="360"/>
              </w:tabs>
              <w:rPr>
                <w:rFonts w:cs="Arial"/>
                <w:sz w:val="20"/>
              </w:rPr>
            </w:pPr>
            <w:r w:rsidRPr="00F22323">
              <w:rPr>
                <w:rFonts w:cs="Arial"/>
                <w:sz w:val="20"/>
              </w:rPr>
              <w:t>Členské státy vyžadují, aby zpráva o udržitelnosti uvedená v odstavci 1 byla zveřejněna spolu s vyjádřením závěru o ověření, který vydala jedna nebo více osob nebo společností oprávněných k vyjadřování závěru o ověření ke zprávám o udržitelnosti podle vnitrostátního práva podniku ze třetí země nebo členského státu.</w:t>
            </w:r>
          </w:p>
        </w:tc>
      </w:tr>
      <w:tr w:rsidR="00353BDC" w:rsidRPr="00FA795B" w14:paraId="00B4524B" w14:textId="77777777" w:rsidTr="00401306">
        <w:trPr>
          <w:cantSplit/>
        </w:trPr>
        <w:tc>
          <w:tcPr>
            <w:tcW w:w="1418" w:type="dxa"/>
            <w:tcBorders>
              <w:top w:val="single" w:sz="4" w:space="0" w:color="auto"/>
              <w:bottom w:val="single" w:sz="4" w:space="0" w:color="auto"/>
            </w:tcBorders>
          </w:tcPr>
          <w:p w14:paraId="427BBF6F" w14:textId="77777777" w:rsidR="00353BDC" w:rsidRPr="00636883" w:rsidRDefault="00353BDC" w:rsidP="00401306">
            <w:pPr>
              <w:tabs>
                <w:tab w:val="left" w:pos="360"/>
              </w:tabs>
              <w:rPr>
                <w:rFonts w:cs="Arial"/>
                <w:sz w:val="20"/>
              </w:rPr>
            </w:pPr>
            <w:r w:rsidRPr="00636883">
              <w:rPr>
                <w:rFonts w:cs="Arial"/>
                <w:sz w:val="20"/>
              </w:rPr>
              <w:t>§ 32la odst. 3</w:t>
            </w:r>
          </w:p>
        </w:tc>
        <w:tc>
          <w:tcPr>
            <w:tcW w:w="5245" w:type="dxa"/>
            <w:tcBorders>
              <w:top w:val="single" w:sz="4" w:space="0" w:color="auto"/>
              <w:bottom w:val="single" w:sz="4" w:space="0" w:color="auto"/>
            </w:tcBorders>
          </w:tcPr>
          <w:p w14:paraId="206BEB01" w14:textId="77777777" w:rsidR="00353BDC" w:rsidRPr="00636883" w:rsidRDefault="00353BDC" w:rsidP="00401306">
            <w:pPr>
              <w:tabs>
                <w:tab w:val="left" w:pos="360"/>
              </w:tabs>
              <w:rPr>
                <w:color w:val="000000"/>
                <w:sz w:val="20"/>
              </w:rPr>
            </w:pPr>
            <w:r w:rsidRPr="00636883">
              <w:rPr>
                <w:color w:val="000000"/>
                <w:sz w:val="20"/>
              </w:rPr>
              <w:t>Vyhotovují-li konsolidovaná účetní jednotka podle § 32l odst. 1 nebo účetní jednotka podle § 32l odst. 2 výroční zprávu nebo konsolidovanou výroční zprávu, jsou její součástí zpráva o udržitelnosti osoby ze třetí země nebo konsolidovaná zpráva o udržitelnosti osoby ze třetí země a zpráva o jejich ověření. Nevyhotovují-li konsolidovaná účetní jednotka podle § 32l odst. 1 nebo účetní jednotka podle § 32l odst. 2 výroční zprávu nebo konsolidovanou výroční zprávu, jsou tyto účetní jednotky povinny zveřejnit zprávu o udržitelnosti osoby ze třetí země nebo konsolidovanou zprávu o udržitelnosti osoby ze třetí země společně se zprávou o jejich ověření způsobem podle § 21a.</w:t>
            </w:r>
          </w:p>
        </w:tc>
        <w:tc>
          <w:tcPr>
            <w:tcW w:w="1276" w:type="dxa"/>
            <w:tcBorders>
              <w:top w:val="single" w:sz="4" w:space="0" w:color="auto"/>
              <w:bottom w:val="single" w:sz="4" w:space="0" w:color="auto"/>
            </w:tcBorders>
          </w:tcPr>
          <w:p w14:paraId="67234B7E" w14:textId="77777777" w:rsidR="00353BDC" w:rsidRPr="00636883" w:rsidRDefault="00353BDC" w:rsidP="00401306">
            <w:pPr>
              <w:tabs>
                <w:tab w:val="left" w:pos="360"/>
              </w:tabs>
              <w:rPr>
                <w:rFonts w:cs="Arial"/>
                <w:sz w:val="20"/>
              </w:rPr>
            </w:pPr>
            <w:r w:rsidRPr="00636883">
              <w:rPr>
                <w:rFonts w:cs="Arial"/>
                <w:sz w:val="20"/>
              </w:rPr>
              <w:t>32013L0034 ve znění 32022L2464</w:t>
            </w:r>
          </w:p>
        </w:tc>
        <w:tc>
          <w:tcPr>
            <w:tcW w:w="1559" w:type="dxa"/>
            <w:tcBorders>
              <w:top w:val="single" w:sz="4" w:space="0" w:color="auto"/>
              <w:bottom w:val="single" w:sz="4" w:space="0" w:color="auto"/>
            </w:tcBorders>
            <w:shd w:val="clear" w:color="auto" w:fill="auto"/>
          </w:tcPr>
          <w:p w14:paraId="50142193" w14:textId="77777777" w:rsidR="00353BDC" w:rsidRPr="00636883" w:rsidRDefault="00353BDC" w:rsidP="00401306">
            <w:pPr>
              <w:tabs>
                <w:tab w:val="left" w:pos="360"/>
              </w:tabs>
              <w:rPr>
                <w:rFonts w:cs="Arial"/>
                <w:sz w:val="20"/>
              </w:rPr>
            </w:pPr>
            <w:r w:rsidRPr="00636883">
              <w:rPr>
                <w:rFonts w:cs="Arial"/>
                <w:sz w:val="20"/>
              </w:rPr>
              <w:t>Čl. 40a odst. 3 první pododstavec</w:t>
            </w:r>
          </w:p>
        </w:tc>
        <w:tc>
          <w:tcPr>
            <w:tcW w:w="4678" w:type="dxa"/>
            <w:tcBorders>
              <w:top w:val="single" w:sz="4" w:space="0" w:color="auto"/>
              <w:bottom w:val="single" w:sz="4" w:space="0" w:color="auto"/>
            </w:tcBorders>
            <w:shd w:val="clear" w:color="auto" w:fill="auto"/>
          </w:tcPr>
          <w:p w14:paraId="2F58E775" w14:textId="77777777" w:rsidR="00353BDC" w:rsidRPr="00636883" w:rsidRDefault="00353BDC" w:rsidP="00401306">
            <w:pPr>
              <w:tabs>
                <w:tab w:val="left" w:pos="360"/>
              </w:tabs>
              <w:rPr>
                <w:rFonts w:cs="Arial"/>
                <w:sz w:val="20"/>
              </w:rPr>
            </w:pPr>
            <w:r w:rsidRPr="00636883">
              <w:rPr>
                <w:rFonts w:cs="Arial"/>
                <w:sz w:val="20"/>
              </w:rPr>
              <w:t>Členské státy vyžadují, aby zpráva o udržitelnosti uvedená v odstavci 1 byla zveřejněna spolu s vyjádřením závěru o ověření, který vydala jedna nebo více osob nebo společností oprávněných k vyjadřování závěru o ověření ke zprávám o udržitelnosti podle vnitrostátního práva podniku ze třetí země nebo členského státu.</w:t>
            </w:r>
          </w:p>
        </w:tc>
      </w:tr>
      <w:tr w:rsidR="00353BDC" w:rsidRPr="00FA795B" w14:paraId="49768236" w14:textId="77777777" w:rsidTr="00401306">
        <w:trPr>
          <w:cantSplit/>
        </w:trPr>
        <w:tc>
          <w:tcPr>
            <w:tcW w:w="1418" w:type="dxa"/>
            <w:tcBorders>
              <w:top w:val="single" w:sz="4" w:space="0" w:color="auto"/>
              <w:bottom w:val="single" w:sz="4" w:space="0" w:color="auto"/>
            </w:tcBorders>
          </w:tcPr>
          <w:p w14:paraId="20C5B21B" w14:textId="77777777" w:rsidR="00353BDC" w:rsidRDefault="00353BDC" w:rsidP="00401306">
            <w:pPr>
              <w:tabs>
                <w:tab w:val="left" w:pos="360"/>
              </w:tabs>
              <w:rPr>
                <w:rFonts w:cs="Arial"/>
                <w:sz w:val="20"/>
              </w:rPr>
            </w:pPr>
            <w:r>
              <w:rPr>
                <w:rFonts w:cs="Arial"/>
                <w:sz w:val="20"/>
              </w:rPr>
              <w:lastRenderedPageBreak/>
              <w:t>§ 32l odst. 4</w:t>
            </w:r>
          </w:p>
        </w:tc>
        <w:tc>
          <w:tcPr>
            <w:tcW w:w="5245" w:type="dxa"/>
            <w:tcBorders>
              <w:top w:val="single" w:sz="4" w:space="0" w:color="auto"/>
              <w:bottom w:val="single" w:sz="4" w:space="0" w:color="auto"/>
            </w:tcBorders>
          </w:tcPr>
          <w:p w14:paraId="5B4E8BC0" w14:textId="77777777" w:rsidR="00353BDC" w:rsidRPr="00502A92" w:rsidRDefault="00353BDC" w:rsidP="00401306">
            <w:pPr>
              <w:tabs>
                <w:tab w:val="left" w:pos="360"/>
              </w:tabs>
              <w:rPr>
                <w:rFonts w:cs="Arial"/>
                <w:sz w:val="20"/>
              </w:rPr>
            </w:pPr>
            <w:r w:rsidRPr="00502A92">
              <w:rPr>
                <w:b/>
                <w:color w:val="000000"/>
                <w:sz w:val="20"/>
                <w:u w:val="single"/>
              </w:rPr>
              <w:t>Není-li zpráva o ověření zprávy o udržitelnosti osoby ze třetí země nebo konsolidované zprávy o udržitelnosti osoby ze třetí země k dispozici a není-li poskytnuta, společně s těmito zprávami se zveřejní prohlášení o tom, že zpráva o jejich ověření nebyla poskytnuta.</w:t>
            </w:r>
          </w:p>
        </w:tc>
        <w:tc>
          <w:tcPr>
            <w:tcW w:w="1276" w:type="dxa"/>
            <w:tcBorders>
              <w:top w:val="single" w:sz="4" w:space="0" w:color="auto"/>
              <w:bottom w:val="single" w:sz="4" w:space="0" w:color="auto"/>
            </w:tcBorders>
          </w:tcPr>
          <w:p w14:paraId="6F543733"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0CD69E02" w14:textId="77777777" w:rsidR="00353BDC" w:rsidRDefault="00353BDC" w:rsidP="00401306">
            <w:pPr>
              <w:tabs>
                <w:tab w:val="left" w:pos="360"/>
              </w:tabs>
              <w:rPr>
                <w:rFonts w:cs="Arial"/>
                <w:sz w:val="20"/>
              </w:rPr>
            </w:pPr>
            <w:r>
              <w:rPr>
                <w:rFonts w:cs="Arial"/>
                <w:sz w:val="20"/>
              </w:rPr>
              <w:t>Čl. 40a odst. 3 první pododstavec</w:t>
            </w:r>
          </w:p>
        </w:tc>
        <w:tc>
          <w:tcPr>
            <w:tcW w:w="4678" w:type="dxa"/>
            <w:tcBorders>
              <w:top w:val="single" w:sz="4" w:space="0" w:color="auto"/>
              <w:bottom w:val="single" w:sz="4" w:space="0" w:color="auto"/>
            </w:tcBorders>
            <w:shd w:val="clear" w:color="auto" w:fill="auto"/>
          </w:tcPr>
          <w:p w14:paraId="20787D95" w14:textId="77777777" w:rsidR="00353BDC" w:rsidRPr="00954262" w:rsidRDefault="00353BDC" w:rsidP="00401306">
            <w:pPr>
              <w:tabs>
                <w:tab w:val="left" w:pos="360"/>
              </w:tabs>
              <w:rPr>
                <w:rFonts w:cs="Arial"/>
                <w:sz w:val="20"/>
              </w:rPr>
            </w:pPr>
            <w:r w:rsidRPr="00F22323">
              <w:rPr>
                <w:rFonts w:cs="Arial"/>
                <w:sz w:val="20"/>
              </w:rPr>
              <w:t>Členské státy vyžadují, aby zpráva o udržitelnosti uvedená v odstavci 1 byla zveřejněna spolu s vyjádřením závěru o ověření, který vydala jedna nebo více osob nebo společností oprávněných k vyjadřování závěru o ověření ke zprávám o udržitelnosti podle vnitrostátního práva podniku ze třetí země nebo členského státu.</w:t>
            </w:r>
          </w:p>
        </w:tc>
      </w:tr>
      <w:tr w:rsidR="00353BDC" w:rsidRPr="00FA795B" w14:paraId="14755BAF" w14:textId="77777777" w:rsidTr="00401306">
        <w:trPr>
          <w:cantSplit/>
        </w:trPr>
        <w:tc>
          <w:tcPr>
            <w:tcW w:w="1418" w:type="dxa"/>
            <w:tcBorders>
              <w:top w:val="single" w:sz="4" w:space="0" w:color="auto"/>
              <w:bottom w:val="single" w:sz="4" w:space="0" w:color="auto"/>
            </w:tcBorders>
          </w:tcPr>
          <w:p w14:paraId="626E3D96" w14:textId="77777777" w:rsidR="00353BDC" w:rsidRDefault="00353BDC" w:rsidP="00401306">
            <w:pPr>
              <w:tabs>
                <w:tab w:val="left" w:pos="360"/>
              </w:tabs>
              <w:rPr>
                <w:rFonts w:cs="Arial"/>
                <w:sz w:val="20"/>
              </w:rPr>
            </w:pPr>
            <w:r>
              <w:rPr>
                <w:rFonts w:cs="Arial"/>
                <w:sz w:val="20"/>
              </w:rPr>
              <w:t>§ 32m odst. 2</w:t>
            </w:r>
          </w:p>
        </w:tc>
        <w:tc>
          <w:tcPr>
            <w:tcW w:w="5245" w:type="dxa"/>
            <w:tcBorders>
              <w:top w:val="single" w:sz="4" w:space="0" w:color="auto"/>
              <w:bottom w:val="single" w:sz="4" w:space="0" w:color="auto"/>
            </w:tcBorders>
          </w:tcPr>
          <w:p w14:paraId="3A3D99E1" w14:textId="77777777" w:rsidR="00353BDC" w:rsidRPr="00502A92" w:rsidRDefault="00353BDC" w:rsidP="00401306">
            <w:pPr>
              <w:tabs>
                <w:tab w:val="left" w:pos="360"/>
              </w:tabs>
              <w:rPr>
                <w:color w:val="000000"/>
                <w:sz w:val="20"/>
              </w:rPr>
            </w:pPr>
            <w:r w:rsidRPr="00502A92">
              <w:rPr>
                <w:color w:val="000000"/>
                <w:sz w:val="20"/>
              </w:rPr>
              <w:t xml:space="preserve">Zprávu o daních z příjmů za účetní období zpřístupňuje samostatná účetní jednotka ustavená podle právního řádu jiného státu než členského státu Evropské unie, která má formu srovnatelnou s obchodní společností a má v účetním období pobočku na území České republiky, prostřednictvím této pobočky poprvé za druhé ze dvou po sobě následujících účetních období, ve kterých roční úhrn čistého obratu pobočky dosáhne </w:t>
            </w:r>
            <w:r w:rsidRPr="00502A92">
              <w:rPr>
                <w:b/>
                <w:color w:val="000000"/>
                <w:sz w:val="20"/>
                <w:u w:val="single"/>
              </w:rPr>
              <w:t>240 000 000 Kč</w:t>
            </w:r>
            <w:r w:rsidRPr="00502A92">
              <w:rPr>
                <w:color w:val="000000"/>
                <w:sz w:val="20"/>
              </w:rPr>
              <w:t xml:space="preserve"> a výnosy účetní jednotky dosáhnou částky odpovídající částce 750 000 000 EUR, a naposledy za první ze dvou po sobě následujících účetních období, ve kterých roční úhrn čistého obratu pobočky nedosáhne </w:t>
            </w:r>
            <w:r w:rsidRPr="00502A92">
              <w:rPr>
                <w:b/>
                <w:color w:val="000000"/>
                <w:sz w:val="20"/>
                <w:u w:val="single"/>
              </w:rPr>
              <w:t>240 000 000 Kč</w:t>
            </w:r>
            <w:r w:rsidRPr="00502A92">
              <w:rPr>
                <w:color w:val="000000"/>
                <w:sz w:val="20"/>
              </w:rPr>
              <w:t>, nebo za první ze dvou po sobě následujících účetních období, ve kterých výnosy účetní jednotky nedosáhnou částky odpovídající částce 750 000 000 EUR. Zpřístupnění se provede podle § 32q.</w:t>
            </w:r>
          </w:p>
        </w:tc>
        <w:tc>
          <w:tcPr>
            <w:tcW w:w="1276" w:type="dxa"/>
            <w:tcBorders>
              <w:top w:val="single" w:sz="4" w:space="0" w:color="auto"/>
              <w:bottom w:val="single" w:sz="4" w:space="0" w:color="auto"/>
            </w:tcBorders>
          </w:tcPr>
          <w:p w14:paraId="68452647" w14:textId="77777777" w:rsidR="00353BDC" w:rsidRDefault="00353BDC" w:rsidP="00401306">
            <w:pPr>
              <w:tabs>
                <w:tab w:val="left" w:pos="360"/>
              </w:tabs>
              <w:rPr>
                <w:rFonts w:cs="Arial"/>
                <w:sz w:val="20"/>
              </w:rPr>
            </w:pPr>
            <w:r>
              <w:rPr>
                <w:rFonts w:cs="Arial"/>
                <w:sz w:val="20"/>
              </w:rPr>
              <w:t>32013L0034 ve znění 32021L2101 ve znění 32023L2775</w:t>
            </w:r>
          </w:p>
        </w:tc>
        <w:tc>
          <w:tcPr>
            <w:tcW w:w="1559" w:type="dxa"/>
            <w:tcBorders>
              <w:top w:val="single" w:sz="4" w:space="0" w:color="auto"/>
              <w:bottom w:val="single" w:sz="4" w:space="0" w:color="auto"/>
            </w:tcBorders>
            <w:shd w:val="clear" w:color="auto" w:fill="auto"/>
          </w:tcPr>
          <w:p w14:paraId="3FDA4DF5" w14:textId="77777777" w:rsidR="00353BDC" w:rsidRDefault="00353BDC" w:rsidP="00401306">
            <w:pPr>
              <w:tabs>
                <w:tab w:val="left" w:pos="360"/>
              </w:tabs>
              <w:rPr>
                <w:rFonts w:cs="Arial"/>
                <w:sz w:val="20"/>
              </w:rPr>
            </w:pPr>
            <w:r>
              <w:rPr>
                <w:rFonts w:cs="Arial"/>
                <w:sz w:val="20"/>
              </w:rPr>
              <w:t>Čl. 48b odst. 5 čtvrtý pododstavec</w:t>
            </w:r>
          </w:p>
        </w:tc>
        <w:tc>
          <w:tcPr>
            <w:tcW w:w="4678" w:type="dxa"/>
            <w:tcBorders>
              <w:top w:val="single" w:sz="4" w:space="0" w:color="auto"/>
              <w:bottom w:val="single" w:sz="4" w:space="0" w:color="auto"/>
            </w:tcBorders>
            <w:shd w:val="clear" w:color="auto" w:fill="auto"/>
          </w:tcPr>
          <w:p w14:paraId="34ED7384" w14:textId="77777777" w:rsidR="00353BDC" w:rsidRPr="00954262" w:rsidRDefault="00353BDC" w:rsidP="00401306">
            <w:pPr>
              <w:tabs>
                <w:tab w:val="left" w:pos="360"/>
              </w:tabs>
              <w:rPr>
                <w:rFonts w:cs="Arial"/>
                <w:sz w:val="20"/>
              </w:rPr>
            </w:pPr>
            <w:r w:rsidRPr="00966D61">
              <w:rPr>
                <w:rFonts w:cs="Arial"/>
                <w:sz w:val="20"/>
              </w:rPr>
              <w:t>Členské státy stanoví, že se povinnosti podávání zpráv uvedené v tomto odstavci vztahují pouze na pobočky, jejichž čistý obrat přesáhl v každém z posledních dvou po sobě jdoucích účetních období hraniční hodnotu čistého obratu provedenou podle čl. 3 odst. 2.</w:t>
            </w:r>
          </w:p>
        </w:tc>
      </w:tr>
      <w:tr w:rsidR="00353BDC" w:rsidRPr="00FA795B" w14:paraId="294F7972" w14:textId="77777777" w:rsidTr="00401306">
        <w:trPr>
          <w:cantSplit/>
        </w:trPr>
        <w:tc>
          <w:tcPr>
            <w:tcW w:w="1418" w:type="dxa"/>
            <w:tcBorders>
              <w:top w:val="single" w:sz="4" w:space="0" w:color="auto"/>
              <w:bottom w:val="single" w:sz="4" w:space="0" w:color="auto"/>
            </w:tcBorders>
          </w:tcPr>
          <w:p w14:paraId="754AFC0C" w14:textId="77777777" w:rsidR="00353BDC" w:rsidRDefault="00353BDC" w:rsidP="00401306">
            <w:pPr>
              <w:tabs>
                <w:tab w:val="left" w:pos="360"/>
              </w:tabs>
              <w:rPr>
                <w:rFonts w:cs="Arial"/>
                <w:sz w:val="20"/>
              </w:rPr>
            </w:pPr>
            <w:r>
              <w:rPr>
                <w:rFonts w:cs="Arial"/>
                <w:sz w:val="20"/>
              </w:rPr>
              <w:t>§ 32o odst. 3</w:t>
            </w:r>
          </w:p>
        </w:tc>
        <w:tc>
          <w:tcPr>
            <w:tcW w:w="5245" w:type="dxa"/>
            <w:tcBorders>
              <w:top w:val="single" w:sz="4" w:space="0" w:color="auto"/>
              <w:bottom w:val="single" w:sz="4" w:space="0" w:color="auto"/>
            </w:tcBorders>
          </w:tcPr>
          <w:p w14:paraId="58B45065" w14:textId="77777777" w:rsidR="00353BDC" w:rsidRPr="00502A92" w:rsidRDefault="00353BDC" w:rsidP="00401306">
            <w:pPr>
              <w:tabs>
                <w:tab w:val="left" w:pos="360"/>
              </w:tabs>
              <w:rPr>
                <w:rFonts w:cs="Arial"/>
                <w:sz w:val="20"/>
              </w:rPr>
            </w:pPr>
            <w:r w:rsidRPr="00502A92">
              <w:rPr>
                <w:color w:val="000000"/>
                <w:sz w:val="20"/>
              </w:rPr>
              <w:t xml:space="preserve">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je nejvyšší konsolidující osobou, pokud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w:t>
            </w:r>
            <w:r w:rsidRPr="00502A92">
              <w:rPr>
                <w:b/>
                <w:color w:val="000000"/>
                <w:sz w:val="20"/>
                <w:u w:val="single"/>
              </w:rPr>
              <w:t>240 000 000</w:t>
            </w:r>
            <w:r w:rsidRPr="00502A92">
              <w:rPr>
                <w:color w:val="000000"/>
                <w:sz w:val="20"/>
              </w:rPr>
              <w:t xml:space="preserve"> Kč a konsolidované výnosy v konsolidované účetní závěrce této nejvyšší konsolidující osoby dosáhnou částky odpovídající částce 750 000 000 EUR, a naposledy za první ze dvou po sobě následujících účetních období, ve kterých roční úhrn čistého obratu pobočky nedosáhne </w:t>
            </w:r>
            <w:r w:rsidRPr="008D1445">
              <w:rPr>
                <w:b/>
                <w:color w:val="000000"/>
                <w:sz w:val="20"/>
                <w:u w:val="single"/>
              </w:rPr>
              <w:t>240 000 000 Kč</w:t>
            </w:r>
            <w:r w:rsidRPr="00502A92">
              <w:rPr>
                <w:color w:val="000000"/>
                <w:sz w:val="20"/>
              </w:rPr>
              <w:t>, nebo za první ze dvou po sobě následujících účetních období, ve kterých konsolidované výnosy v konsolidované účetní závěrce této nejvyšší konsolidující osoby nedosáhnou částky odpovídající částce 750 000 000 EUR. Zpřístupnění se provede podle § 32q.</w:t>
            </w:r>
          </w:p>
        </w:tc>
        <w:tc>
          <w:tcPr>
            <w:tcW w:w="1276" w:type="dxa"/>
            <w:tcBorders>
              <w:top w:val="single" w:sz="4" w:space="0" w:color="auto"/>
              <w:bottom w:val="single" w:sz="4" w:space="0" w:color="auto"/>
            </w:tcBorders>
          </w:tcPr>
          <w:p w14:paraId="187D0C3C" w14:textId="77777777" w:rsidR="00353BDC" w:rsidRDefault="00353BDC" w:rsidP="00401306">
            <w:pPr>
              <w:tabs>
                <w:tab w:val="left" w:pos="360"/>
              </w:tabs>
              <w:rPr>
                <w:rFonts w:cs="Arial"/>
                <w:sz w:val="20"/>
              </w:rPr>
            </w:pPr>
            <w:r>
              <w:rPr>
                <w:rFonts w:cs="Arial"/>
                <w:sz w:val="20"/>
              </w:rPr>
              <w:t>32013L0034 ve znění 32021L2101 ve znění 32023L2775</w:t>
            </w:r>
          </w:p>
        </w:tc>
        <w:tc>
          <w:tcPr>
            <w:tcW w:w="1559" w:type="dxa"/>
            <w:tcBorders>
              <w:top w:val="single" w:sz="4" w:space="0" w:color="auto"/>
              <w:bottom w:val="single" w:sz="4" w:space="0" w:color="auto"/>
            </w:tcBorders>
            <w:shd w:val="clear" w:color="auto" w:fill="auto"/>
          </w:tcPr>
          <w:p w14:paraId="104B0F99" w14:textId="77777777" w:rsidR="00353BDC" w:rsidRDefault="00353BDC" w:rsidP="00401306">
            <w:pPr>
              <w:tabs>
                <w:tab w:val="left" w:pos="360"/>
              </w:tabs>
              <w:rPr>
                <w:rFonts w:cs="Arial"/>
                <w:sz w:val="20"/>
              </w:rPr>
            </w:pPr>
            <w:r>
              <w:rPr>
                <w:rFonts w:cs="Arial"/>
                <w:sz w:val="20"/>
              </w:rPr>
              <w:t>Čl. 48b odst. 5 čtvrtý pododstavec</w:t>
            </w:r>
          </w:p>
        </w:tc>
        <w:tc>
          <w:tcPr>
            <w:tcW w:w="4678" w:type="dxa"/>
            <w:tcBorders>
              <w:top w:val="single" w:sz="4" w:space="0" w:color="auto"/>
              <w:bottom w:val="single" w:sz="4" w:space="0" w:color="auto"/>
            </w:tcBorders>
            <w:shd w:val="clear" w:color="auto" w:fill="auto"/>
          </w:tcPr>
          <w:p w14:paraId="2AA22418" w14:textId="77777777" w:rsidR="00353BDC" w:rsidRPr="00954262" w:rsidRDefault="00353BDC" w:rsidP="00401306">
            <w:pPr>
              <w:tabs>
                <w:tab w:val="left" w:pos="360"/>
              </w:tabs>
              <w:rPr>
                <w:rFonts w:cs="Arial"/>
                <w:sz w:val="20"/>
              </w:rPr>
            </w:pPr>
            <w:r w:rsidRPr="00966D61">
              <w:rPr>
                <w:rFonts w:cs="Arial"/>
                <w:sz w:val="20"/>
              </w:rPr>
              <w:t>Členské státy stanoví, že se povinnosti podávání zpráv uvedené v tomto odstavci vztahují pouze na pobočky, jejichž čistý obrat přesáhl v každém z posledních dvou po sobě jdoucích účetních období hraniční hodnotu čistého obratu provedenou podle čl. 3 odst. 2.</w:t>
            </w:r>
          </w:p>
        </w:tc>
      </w:tr>
      <w:tr w:rsidR="00353BDC" w:rsidRPr="00FA795B" w14:paraId="0B07012F" w14:textId="77777777" w:rsidTr="00401306">
        <w:trPr>
          <w:cantSplit/>
        </w:trPr>
        <w:tc>
          <w:tcPr>
            <w:tcW w:w="1418" w:type="dxa"/>
            <w:tcBorders>
              <w:top w:val="single" w:sz="4" w:space="0" w:color="auto"/>
              <w:bottom w:val="single" w:sz="4" w:space="0" w:color="auto"/>
            </w:tcBorders>
          </w:tcPr>
          <w:p w14:paraId="68F2E440" w14:textId="77777777" w:rsidR="00353BDC" w:rsidRDefault="00353BDC" w:rsidP="00401306">
            <w:pPr>
              <w:tabs>
                <w:tab w:val="left" w:pos="360"/>
              </w:tabs>
              <w:rPr>
                <w:rFonts w:cs="Arial"/>
                <w:sz w:val="20"/>
              </w:rPr>
            </w:pPr>
            <w:r>
              <w:rPr>
                <w:rFonts w:cs="Arial"/>
                <w:sz w:val="20"/>
              </w:rPr>
              <w:lastRenderedPageBreak/>
              <w:t>§ 32o odst. 4</w:t>
            </w:r>
          </w:p>
        </w:tc>
        <w:tc>
          <w:tcPr>
            <w:tcW w:w="5245" w:type="dxa"/>
            <w:tcBorders>
              <w:top w:val="single" w:sz="4" w:space="0" w:color="auto"/>
              <w:bottom w:val="single" w:sz="4" w:space="0" w:color="auto"/>
            </w:tcBorders>
          </w:tcPr>
          <w:p w14:paraId="492B6349" w14:textId="77777777" w:rsidR="00353BDC" w:rsidRPr="00502A92" w:rsidRDefault="00353BDC" w:rsidP="00401306">
            <w:pPr>
              <w:tabs>
                <w:tab w:val="left" w:pos="360"/>
              </w:tabs>
              <w:rPr>
                <w:color w:val="000000"/>
                <w:sz w:val="20"/>
              </w:rPr>
            </w:pPr>
            <w:r w:rsidRPr="00502A92">
              <w:rPr>
                <w:color w:val="000000"/>
                <w:sz w:val="20"/>
              </w:rPr>
              <w:t xml:space="preserve">Konsolidovanou zprávu o daních z příjmů za účetní období zpřístupňuje účetní jednotka ustavená podle právního řádu jiného státu než členského státu Evropské unie, která má v účetním období pobočku na území České republiky, má právní formu srovnatelnou s obchodní společností a má nejvyšší konsolidující osobu ustavenou podle právního řádu jiného státu než členského státu Evropské unie, pokud tato nejvyšší konsolidující osoba v účetním období není účetní jednotkou podle tohoto zákona a neovládá žádnou osobu ustavenou podle právního řádu členského státu Evropské unie splňující kritéria pro střední nebo velkou účetní jednotku s výjimkou ovládání na základě společného vlivu, prostřednictvím své pobočky poprvé za druhé ze dvou po sobě následujících účetních období, ve kterých roční úhrn čistého obratu pobočky dosáhne </w:t>
            </w:r>
            <w:r w:rsidRPr="00502A92">
              <w:rPr>
                <w:b/>
                <w:color w:val="000000"/>
                <w:sz w:val="20"/>
                <w:u w:val="single"/>
              </w:rPr>
              <w:t>240 000 000 Kč</w:t>
            </w:r>
            <w:r w:rsidRPr="00502A92">
              <w:rPr>
                <w:color w:val="000000"/>
                <w:sz w:val="20"/>
              </w:rPr>
              <w:t xml:space="preserve"> a konsolidované výnosy v konsolidované účetní závěrce nejvyšší konsolidující osoby dosáhnou částky odpovídající částce 750 000 000 EUR, a naposledy za první ze dvou po sobě následujících účetních období, ve kterých roční úhrn čistého obratu pobočky nedosáhne </w:t>
            </w:r>
            <w:r w:rsidRPr="00502A92">
              <w:rPr>
                <w:b/>
                <w:color w:val="000000"/>
                <w:sz w:val="20"/>
                <w:u w:val="single"/>
              </w:rPr>
              <w:t>240 000 000 Kč</w:t>
            </w:r>
            <w:r w:rsidRPr="00502A92">
              <w:rPr>
                <w:color w:val="000000"/>
                <w:sz w:val="20"/>
              </w:rPr>
              <w:t>, nebo za první ze dvou po sobě následujících účetních období, ve kterých konsolidované výnosy v konsolidované účetní závěrce nejvyšší konsolidující osoby nedosáhnou částky odpovídající částce 750 000 000 EUR. Zpřístupnění se provede podle § 32q.</w:t>
            </w:r>
          </w:p>
        </w:tc>
        <w:tc>
          <w:tcPr>
            <w:tcW w:w="1276" w:type="dxa"/>
            <w:tcBorders>
              <w:top w:val="single" w:sz="4" w:space="0" w:color="auto"/>
              <w:bottom w:val="single" w:sz="4" w:space="0" w:color="auto"/>
            </w:tcBorders>
          </w:tcPr>
          <w:p w14:paraId="208CC0E9" w14:textId="77777777" w:rsidR="00353BDC" w:rsidRDefault="00353BDC" w:rsidP="00401306">
            <w:pPr>
              <w:tabs>
                <w:tab w:val="left" w:pos="360"/>
              </w:tabs>
              <w:rPr>
                <w:rFonts w:cs="Arial"/>
                <w:sz w:val="20"/>
              </w:rPr>
            </w:pPr>
            <w:r>
              <w:rPr>
                <w:rFonts w:cs="Arial"/>
                <w:sz w:val="20"/>
              </w:rPr>
              <w:t>32013L0034 ve znění 32021L2101 ve znění 32023L2775</w:t>
            </w:r>
          </w:p>
        </w:tc>
        <w:tc>
          <w:tcPr>
            <w:tcW w:w="1559" w:type="dxa"/>
            <w:tcBorders>
              <w:top w:val="single" w:sz="4" w:space="0" w:color="auto"/>
              <w:bottom w:val="single" w:sz="4" w:space="0" w:color="auto"/>
            </w:tcBorders>
            <w:shd w:val="clear" w:color="auto" w:fill="auto"/>
          </w:tcPr>
          <w:p w14:paraId="52D178DE" w14:textId="77777777" w:rsidR="00353BDC" w:rsidRDefault="00353BDC" w:rsidP="00401306">
            <w:pPr>
              <w:tabs>
                <w:tab w:val="left" w:pos="360"/>
              </w:tabs>
              <w:rPr>
                <w:rFonts w:cs="Arial"/>
                <w:sz w:val="20"/>
              </w:rPr>
            </w:pPr>
            <w:r>
              <w:rPr>
                <w:rFonts w:cs="Arial"/>
                <w:sz w:val="20"/>
              </w:rPr>
              <w:t>Čl. 48b odst. 5 čtvrtý pododstavec</w:t>
            </w:r>
          </w:p>
        </w:tc>
        <w:tc>
          <w:tcPr>
            <w:tcW w:w="4678" w:type="dxa"/>
            <w:tcBorders>
              <w:top w:val="single" w:sz="4" w:space="0" w:color="auto"/>
              <w:bottom w:val="single" w:sz="4" w:space="0" w:color="auto"/>
            </w:tcBorders>
            <w:shd w:val="clear" w:color="auto" w:fill="auto"/>
          </w:tcPr>
          <w:p w14:paraId="4916CEC4" w14:textId="77777777" w:rsidR="00353BDC" w:rsidRPr="00954262" w:rsidRDefault="00353BDC" w:rsidP="00401306">
            <w:pPr>
              <w:tabs>
                <w:tab w:val="left" w:pos="360"/>
              </w:tabs>
              <w:rPr>
                <w:rFonts w:cs="Arial"/>
                <w:sz w:val="20"/>
              </w:rPr>
            </w:pPr>
            <w:r w:rsidRPr="00966D61">
              <w:rPr>
                <w:rFonts w:cs="Arial"/>
                <w:sz w:val="20"/>
              </w:rPr>
              <w:t>Členské státy stanoví, že se povinnosti podávání zpráv uvedené v tomto odstavci vztahují pouze na pobočky, jejichž čistý obrat přesáhl v každém z posledních dvou po sobě jdoucích účetních období hraniční hodnotu čistého obratu provedenou podle čl. 3 odst. 2.</w:t>
            </w:r>
          </w:p>
        </w:tc>
      </w:tr>
      <w:tr w:rsidR="00353BDC" w:rsidRPr="00FA795B" w14:paraId="7CA127CF" w14:textId="77777777" w:rsidTr="00401306">
        <w:trPr>
          <w:cantSplit/>
        </w:trPr>
        <w:tc>
          <w:tcPr>
            <w:tcW w:w="1418" w:type="dxa"/>
            <w:tcBorders>
              <w:top w:val="single" w:sz="4" w:space="0" w:color="auto"/>
              <w:bottom w:val="single" w:sz="4" w:space="0" w:color="auto"/>
            </w:tcBorders>
          </w:tcPr>
          <w:p w14:paraId="26C52298" w14:textId="77777777" w:rsidR="00353BDC" w:rsidRDefault="00353BDC" w:rsidP="00401306">
            <w:pPr>
              <w:tabs>
                <w:tab w:val="left" w:pos="360"/>
              </w:tabs>
              <w:rPr>
                <w:rFonts w:cs="Arial"/>
                <w:sz w:val="20"/>
              </w:rPr>
            </w:pPr>
            <w:r>
              <w:rPr>
                <w:rFonts w:cs="Arial"/>
                <w:sz w:val="20"/>
              </w:rPr>
              <w:t>§ 37a odst. 1 písm. f)</w:t>
            </w:r>
          </w:p>
        </w:tc>
        <w:tc>
          <w:tcPr>
            <w:tcW w:w="5245" w:type="dxa"/>
            <w:tcBorders>
              <w:top w:val="single" w:sz="4" w:space="0" w:color="auto"/>
              <w:bottom w:val="single" w:sz="4" w:space="0" w:color="auto"/>
            </w:tcBorders>
          </w:tcPr>
          <w:p w14:paraId="73CCF5BC" w14:textId="77777777" w:rsidR="00353BDC" w:rsidRPr="00502A92" w:rsidRDefault="00353BDC" w:rsidP="00401306">
            <w:pPr>
              <w:tabs>
                <w:tab w:val="left" w:pos="360"/>
              </w:tabs>
              <w:rPr>
                <w:color w:val="000000"/>
                <w:sz w:val="20"/>
              </w:rPr>
            </w:pPr>
            <w:r w:rsidRPr="00502A92">
              <w:rPr>
                <w:color w:val="000000"/>
                <w:sz w:val="20"/>
              </w:rPr>
              <w:t>Účetní jednotka neuvedená v § 37 nebo osoba odpovědná za vedení účetnictví podle tohoto zákona se dopustí přestupku tím, že</w:t>
            </w:r>
          </w:p>
          <w:p w14:paraId="18FC294E" w14:textId="77777777" w:rsidR="00353BDC" w:rsidRPr="00AA0BB1" w:rsidRDefault="00353BDC" w:rsidP="00401306">
            <w:pPr>
              <w:tabs>
                <w:tab w:val="left" w:pos="360"/>
              </w:tabs>
              <w:rPr>
                <w:color w:val="000000"/>
                <w:sz w:val="19"/>
                <w:szCs w:val="19"/>
              </w:rPr>
            </w:pPr>
            <w:r w:rsidRPr="00502A92">
              <w:rPr>
                <w:color w:val="000000"/>
                <w:sz w:val="20"/>
              </w:rPr>
              <w:t>f) nevyhotoví zprávu o udržitelnosti podle § 32h odst. 2 až 10</w:t>
            </w:r>
            <w:r w:rsidRPr="00502A92">
              <w:rPr>
                <w:b/>
                <w:color w:val="000000"/>
                <w:sz w:val="20"/>
                <w:u w:val="single"/>
              </w:rPr>
              <w:t>, zprávu o udržitelnosti osoby ze třetí země nebo konsolidovanou zprávu o udržitelnosti osoby ze třetí země podle § 32la,</w:t>
            </w:r>
          </w:p>
        </w:tc>
        <w:tc>
          <w:tcPr>
            <w:tcW w:w="1276" w:type="dxa"/>
            <w:tcBorders>
              <w:top w:val="single" w:sz="4" w:space="0" w:color="auto"/>
              <w:bottom w:val="single" w:sz="4" w:space="0" w:color="auto"/>
            </w:tcBorders>
          </w:tcPr>
          <w:p w14:paraId="1CC9607E" w14:textId="77777777" w:rsidR="00353BDC" w:rsidRDefault="00353BDC" w:rsidP="00401306">
            <w:pPr>
              <w:tabs>
                <w:tab w:val="left" w:pos="360"/>
              </w:tabs>
              <w:rPr>
                <w:rFonts w:cs="Arial"/>
                <w:sz w:val="20"/>
              </w:rPr>
            </w:pPr>
            <w:r>
              <w:rPr>
                <w:rFonts w:cs="Arial"/>
                <w:sz w:val="20"/>
              </w:rPr>
              <w:t>32013L0034</w:t>
            </w:r>
          </w:p>
        </w:tc>
        <w:tc>
          <w:tcPr>
            <w:tcW w:w="1559" w:type="dxa"/>
            <w:tcBorders>
              <w:top w:val="single" w:sz="4" w:space="0" w:color="auto"/>
              <w:bottom w:val="single" w:sz="4" w:space="0" w:color="auto"/>
            </w:tcBorders>
            <w:shd w:val="clear" w:color="auto" w:fill="auto"/>
          </w:tcPr>
          <w:p w14:paraId="74877C5D" w14:textId="77777777" w:rsidR="00353BDC" w:rsidRDefault="00353BDC" w:rsidP="00401306">
            <w:pPr>
              <w:tabs>
                <w:tab w:val="left" w:pos="360"/>
              </w:tabs>
              <w:rPr>
                <w:rFonts w:cs="Arial"/>
                <w:sz w:val="20"/>
              </w:rPr>
            </w:pPr>
            <w:r>
              <w:rPr>
                <w:rFonts w:cs="Arial"/>
                <w:sz w:val="20"/>
              </w:rPr>
              <w:t>Čl. 51</w:t>
            </w:r>
          </w:p>
        </w:tc>
        <w:tc>
          <w:tcPr>
            <w:tcW w:w="4678" w:type="dxa"/>
            <w:tcBorders>
              <w:top w:val="single" w:sz="4" w:space="0" w:color="auto"/>
              <w:bottom w:val="single" w:sz="4" w:space="0" w:color="auto"/>
            </w:tcBorders>
            <w:shd w:val="clear" w:color="auto" w:fill="auto"/>
          </w:tcPr>
          <w:p w14:paraId="0CBAFDA4" w14:textId="77777777" w:rsidR="00353BDC" w:rsidRPr="00966D61" w:rsidRDefault="00353BDC" w:rsidP="00401306">
            <w:pPr>
              <w:tabs>
                <w:tab w:val="left" w:pos="360"/>
              </w:tabs>
              <w:rPr>
                <w:rFonts w:cs="Arial"/>
                <w:sz w:val="20"/>
              </w:rPr>
            </w:pPr>
            <w:r w:rsidRPr="00DF3DE1">
              <w:rPr>
                <w:rFonts w:cs="Arial"/>
                <w:sz w:val="20"/>
              </w:rPr>
              <w:t>Členské státy stanoví sankce za porušení vnitrostátních předpisů přijatých v souladu s touto směrnicí a přijmou veškerá opatření nezbytná k jejich uplatňování. Stanovené sankce musí být účinné, přiměřené a odrazující.</w:t>
            </w:r>
          </w:p>
        </w:tc>
      </w:tr>
      <w:tr w:rsidR="00353BDC" w:rsidRPr="00FA795B" w14:paraId="5BD9C36B" w14:textId="77777777" w:rsidTr="00401306">
        <w:trPr>
          <w:cantSplit/>
        </w:trPr>
        <w:tc>
          <w:tcPr>
            <w:tcW w:w="1418" w:type="dxa"/>
            <w:tcBorders>
              <w:top w:val="single" w:sz="4" w:space="0" w:color="auto"/>
              <w:bottom w:val="single" w:sz="4" w:space="0" w:color="auto"/>
            </w:tcBorders>
          </w:tcPr>
          <w:p w14:paraId="4D8128FC" w14:textId="77777777" w:rsidR="00353BDC" w:rsidRDefault="00353BDC" w:rsidP="00401306">
            <w:pPr>
              <w:tabs>
                <w:tab w:val="left" w:pos="360"/>
              </w:tabs>
              <w:rPr>
                <w:rFonts w:cs="Arial"/>
                <w:sz w:val="20"/>
              </w:rPr>
            </w:pPr>
            <w:r>
              <w:rPr>
                <w:rFonts w:cs="Arial"/>
                <w:sz w:val="20"/>
              </w:rPr>
              <w:t>§ 37a odst. 1 písm. o)</w:t>
            </w:r>
          </w:p>
        </w:tc>
        <w:tc>
          <w:tcPr>
            <w:tcW w:w="5245" w:type="dxa"/>
            <w:tcBorders>
              <w:top w:val="single" w:sz="4" w:space="0" w:color="auto"/>
              <w:bottom w:val="single" w:sz="4" w:space="0" w:color="auto"/>
            </w:tcBorders>
          </w:tcPr>
          <w:p w14:paraId="6F0E1DE4" w14:textId="77777777" w:rsidR="00353BDC" w:rsidRPr="00502A92" w:rsidRDefault="00353BDC" w:rsidP="00401306">
            <w:pPr>
              <w:tabs>
                <w:tab w:val="left" w:pos="360"/>
              </w:tabs>
              <w:rPr>
                <w:color w:val="000000"/>
                <w:sz w:val="20"/>
              </w:rPr>
            </w:pPr>
            <w:r w:rsidRPr="00502A92">
              <w:rPr>
                <w:color w:val="000000"/>
                <w:sz w:val="20"/>
              </w:rPr>
              <w:t>Účetní jednotka neuvedená v § 37 nebo osoba odpovědná za vedení účetnictví podle tohoto zákona se dopustí přestupku tím, že</w:t>
            </w:r>
          </w:p>
          <w:p w14:paraId="0B9DA593" w14:textId="77777777" w:rsidR="00353BDC" w:rsidRPr="00502A92" w:rsidRDefault="00353BDC" w:rsidP="00401306">
            <w:pPr>
              <w:tabs>
                <w:tab w:val="left" w:pos="360"/>
              </w:tabs>
              <w:rPr>
                <w:b/>
                <w:color w:val="000000"/>
                <w:sz w:val="20"/>
                <w:u w:val="single"/>
              </w:rPr>
            </w:pPr>
            <w:r w:rsidRPr="00502A92">
              <w:rPr>
                <w:b/>
                <w:color w:val="000000"/>
                <w:sz w:val="20"/>
                <w:u w:val="single"/>
              </w:rPr>
              <w:t>o) nezveřejní zprávu o udržitelnosti osoby ze třetí země nebo konsolidovanou zprávu o udržitelnosti osoby ze třetí země nebo zprávu o jejich ověření podle § 32la odst. 3,</w:t>
            </w:r>
          </w:p>
        </w:tc>
        <w:tc>
          <w:tcPr>
            <w:tcW w:w="1276" w:type="dxa"/>
            <w:tcBorders>
              <w:top w:val="single" w:sz="4" w:space="0" w:color="auto"/>
              <w:bottom w:val="single" w:sz="4" w:space="0" w:color="auto"/>
            </w:tcBorders>
          </w:tcPr>
          <w:p w14:paraId="39E5A1B0" w14:textId="77777777" w:rsidR="00353BDC" w:rsidRDefault="00353BDC" w:rsidP="00401306">
            <w:pPr>
              <w:tabs>
                <w:tab w:val="left" w:pos="360"/>
              </w:tabs>
              <w:rPr>
                <w:rFonts w:cs="Arial"/>
                <w:sz w:val="20"/>
              </w:rPr>
            </w:pPr>
            <w:r>
              <w:rPr>
                <w:rFonts w:cs="Arial"/>
                <w:sz w:val="20"/>
              </w:rPr>
              <w:t>32013L0034</w:t>
            </w:r>
          </w:p>
        </w:tc>
        <w:tc>
          <w:tcPr>
            <w:tcW w:w="1559" w:type="dxa"/>
            <w:tcBorders>
              <w:top w:val="single" w:sz="4" w:space="0" w:color="auto"/>
              <w:bottom w:val="single" w:sz="4" w:space="0" w:color="auto"/>
            </w:tcBorders>
            <w:shd w:val="clear" w:color="auto" w:fill="auto"/>
          </w:tcPr>
          <w:p w14:paraId="3978BA00" w14:textId="77777777" w:rsidR="00353BDC" w:rsidRDefault="00353BDC" w:rsidP="00401306">
            <w:pPr>
              <w:tabs>
                <w:tab w:val="left" w:pos="360"/>
              </w:tabs>
              <w:rPr>
                <w:rFonts w:cs="Arial"/>
                <w:sz w:val="20"/>
              </w:rPr>
            </w:pPr>
            <w:r>
              <w:rPr>
                <w:rFonts w:cs="Arial"/>
                <w:sz w:val="20"/>
              </w:rPr>
              <w:t>Čl. 51</w:t>
            </w:r>
          </w:p>
        </w:tc>
        <w:tc>
          <w:tcPr>
            <w:tcW w:w="4678" w:type="dxa"/>
            <w:tcBorders>
              <w:top w:val="single" w:sz="4" w:space="0" w:color="auto"/>
              <w:bottom w:val="single" w:sz="4" w:space="0" w:color="auto"/>
            </w:tcBorders>
            <w:shd w:val="clear" w:color="auto" w:fill="auto"/>
          </w:tcPr>
          <w:p w14:paraId="67845C67" w14:textId="77777777" w:rsidR="00353BDC" w:rsidRPr="00966D61" w:rsidRDefault="00353BDC" w:rsidP="00401306">
            <w:pPr>
              <w:tabs>
                <w:tab w:val="left" w:pos="360"/>
              </w:tabs>
              <w:rPr>
                <w:rFonts w:cs="Arial"/>
                <w:sz w:val="20"/>
              </w:rPr>
            </w:pPr>
            <w:r w:rsidRPr="00DF3DE1">
              <w:rPr>
                <w:rFonts w:cs="Arial"/>
                <w:sz w:val="20"/>
              </w:rPr>
              <w:t>Členské státy stanoví sankce za porušení vnitrostátních předpisů přijatých v souladu s touto směrnicí a přijmou veškerá opatření nezbytná k jejich uplatňování. Stanovené sankce musí být účinné, přiměřené a odrazující.</w:t>
            </w:r>
          </w:p>
        </w:tc>
      </w:tr>
      <w:tr w:rsidR="00353BDC" w:rsidRPr="00FA795B" w14:paraId="2F4E144A" w14:textId="77777777" w:rsidTr="00401306">
        <w:trPr>
          <w:cantSplit/>
        </w:trPr>
        <w:tc>
          <w:tcPr>
            <w:tcW w:w="1418" w:type="dxa"/>
            <w:tcBorders>
              <w:top w:val="single" w:sz="4" w:space="0" w:color="auto"/>
              <w:bottom w:val="single" w:sz="4" w:space="0" w:color="auto"/>
            </w:tcBorders>
          </w:tcPr>
          <w:p w14:paraId="4C2ABE35" w14:textId="77777777" w:rsidR="00353BDC" w:rsidRDefault="00353BDC" w:rsidP="00401306">
            <w:pPr>
              <w:tabs>
                <w:tab w:val="left" w:pos="360"/>
              </w:tabs>
              <w:rPr>
                <w:rFonts w:cs="Arial"/>
                <w:sz w:val="20"/>
              </w:rPr>
            </w:pPr>
            <w:r>
              <w:rPr>
                <w:rFonts w:cs="Arial"/>
                <w:sz w:val="20"/>
              </w:rPr>
              <w:t>§ 37a odst. 2 písm. e)</w:t>
            </w:r>
          </w:p>
        </w:tc>
        <w:tc>
          <w:tcPr>
            <w:tcW w:w="5245" w:type="dxa"/>
            <w:tcBorders>
              <w:top w:val="single" w:sz="4" w:space="0" w:color="auto"/>
              <w:bottom w:val="single" w:sz="4" w:space="0" w:color="auto"/>
            </w:tcBorders>
          </w:tcPr>
          <w:p w14:paraId="1ECFC508" w14:textId="77777777" w:rsidR="00353BDC" w:rsidRPr="00502A92" w:rsidRDefault="00353BDC" w:rsidP="00401306">
            <w:pPr>
              <w:tabs>
                <w:tab w:val="left" w:pos="360"/>
              </w:tabs>
              <w:rPr>
                <w:color w:val="000000"/>
                <w:sz w:val="20"/>
              </w:rPr>
            </w:pPr>
            <w:r w:rsidRPr="00502A92">
              <w:rPr>
                <w:color w:val="000000"/>
                <w:sz w:val="20"/>
              </w:rPr>
              <w:t>Konsolidující účetní jednotka se dopustí přestupku tím, že</w:t>
            </w:r>
          </w:p>
          <w:p w14:paraId="23C68C37" w14:textId="77777777" w:rsidR="00353BDC" w:rsidRPr="00502A92" w:rsidRDefault="00353BDC" w:rsidP="00401306">
            <w:pPr>
              <w:tabs>
                <w:tab w:val="left" w:pos="360"/>
              </w:tabs>
              <w:rPr>
                <w:color w:val="000000"/>
                <w:sz w:val="20"/>
              </w:rPr>
            </w:pPr>
            <w:r w:rsidRPr="00502A92">
              <w:rPr>
                <w:color w:val="000000"/>
                <w:sz w:val="20"/>
              </w:rPr>
              <w:t xml:space="preserve">e) nevyhotoví konsolidovanou zprávu o udržitelnosti podle § 32k odst. 2 až 6 </w:t>
            </w:r>
            <w:r w:rsidRPr="00502A92">
              <w:rPr>
                <w:b/>
                <w:color w:val="000000"/>
                <w:sz w:val="20"/>
                <w:u w:val="single"/>
              </w:rPr>
              <w:t>nebo konsolidovanou zprávu o udržitelnosti osoby ze třetí země podle § 32la,</w:t>
            </w:r>
          </w:p>
        </w:tc>
        <w:tc>
          <w:tcPr>
            <w:tcW w:w="1276" w:type="dxa"/>
            <w:tcBorders>
              <w:top w:val="single" w:sz="4" w:space="0" w:color="auto"/>
              <w:bottom w:val="single" w:sz="4" w:space="0" w:color="auto"/>
            </w:tcBorders>
          </w:tcPr>
          <w:p w14:paraId="12FDD853" w14:textId="77777777" w:rsidR="00353BDC" w:rsidRDefault="00353BDC" w:rsidP="00401306">
            <w:pPr>
              <w:tabs>
                <w:tab w:val="left" w:pos="360"/>
              </w:tabs>
              <w:rPr>
                <w:rFonts w:cs="Arial"/>
                <w:sz w:val="20"/>
              </w:rPr>
            </w:pPr>
            <w:r>
              <w:rPr>
                <w:rFonts w:cs="Arial"/>
                <w:sz w:val="20"/>
              </w:rPr>
              <w:t>32013L0034</w:t>
            </w:r>
          </w:p>
        </w:tc>
        <w:tc>
          <w:tcPr>
            <w:tcW w:w="1559" w:type="dxa"/>
            <w:tcBorders>
              <w:top w:val="single" w:sz="4" w:space="0" w:color="auto"/>
              <w:bottom w:val="single" w:sz="4" w:space="0" w:color="auto"/>
            </w:tcBorders>
            <w:shd w:val="clear" w:color="auto" w:fill="auto"/>
          </w:tcPr>
          <w:p w14:paraId="2F60A06D" w14:textId="77777777" w:rsidR="00353BDC" w:rsidRDefault="00353BDC" w:rsidP="00401306">
            <w:pPr>
              <w:tabs>
                <w:tab w:val="left" w:pos="360"/>
              </w:tabs>
              <w:rPr>
                <w:rFonts w:cs="Arial"/>
                <w:sz w:val="20"/>
              </w:rPr>
            </w:pPr>
            <w:r>
              <w:rPr>
                <w:rFonts w:cs="Arial"/>
                <w:sz w:val="20"/>
              </w:rPr>
              <w:t>Čl. 51</w:t>
            </w:r>
          </w:p>
        </w:tc>
        <w:tc>
          <w:tcPr>
            <w:tcW w:w="4678" w:type="dxa"/>
            <w:tcBorders>
              <w:top w:val="single" w:sz="4" w:space="0" w:color="auto"/>
              <w:bottom w:val="single" w:sz="4" w:space="0" w:color="auto"/>
            </w:tcBorders>
            <w:shd w:val="clear" w:color="auto" w:fill="auto"/>
          </w:tcPr>
          <w:p w14:paraId="28F738E3" w14:textId="77777777" w:rsidR="00353BDC" w:rsidRPr="00966D61" w:rsidRDefault="00353BDC" w:rsidP="00401306">
            <w:pPr>
              <w:tabs>
                <w:tab w:val="left" w:pos="360"/>
              </w:tabs>
              <w:rPr>
                <w:rFonts w:cs="Arial"/>
                <w:sz w:val="20"/>
              </w:rPr>
            </w:pPr>
            <w:r w:rsidRPr="00DF3DE1">
              <w:rPr>
                <w:rFonts w:cs="Arial"/>
                <w:sz w:val="20"/>
              </w:rPr>
              <w:t>Členské státy stanoví sankce za porušení vnitrostátních předpisů přijatých v souladu s touto směrnicí a přijmou veškerá opatření nezbytná k jejich uplatňování. Stanovené sankce musí být účinné, přiměřené a odrazující.</w:t>
            </w:r>
          </w:p>
        </w:tc>
      </w:tr>
      <w:tr w:rsidR="00353BDC" w:rsidRPr="00FA795B" w14:paraId="5396729B" w14:textId="77777777" w:rsidTr="00401306">
        <w:trPr>
          <w:cantSplit/>
        </w:trPr>
        <w:tc>
          <w:tcPr>
            <w:tcW w:w="1418" w:type="dxa"/>
            <w:tcBorders>
              <w:top w:val="single" w:sz="4" w:space="0" w:color="auto"/>
              <w:bottom w:val="single" w:sz="4" w:space="0" w:color="auto"/>
            </w:tcBorders>
          </w:tcPr>
          <w:p w14:paraId="616D1AB8" w14:textId="77777777" w:rsidR="00353BDC" w:rsidRDefault="00353BDC" w:rsidP="00401306">
            <w:pPr>
              <w:tabs>
                <w:tab w:val="left" w:pos="360"/>
              </w:tabs>
              <w:rPr>
                <w:rFonts w:cs="Arial"/>
                <w:sz w:val="20"/>
              </w:rPr>
            </w:pPr>
            <w:r>
              <w:rPr>
                <w:rFonts w:cs="Arial"/>
                <w:sz w:val="20"/>
              </w:rPr>
              <w:t>§ 37a odst. 2 písm. p)</w:t>
            </w:r>
          </w:p>
        </w:tc>
        <w:tc>
          <w:tcPr>
            <w:tcW w:w="5245" w:type="dxa"/>
            <w:tcBorders>
              <w:top w:val="single" w:sz="4" w:space="0" w:color="auto"/>
              <w:bottom w:val="single" w:sz="4" w:space="0" w:color="auto"/>
            </w:tcBorders>
          </w:tcPr>
          <w:p w14:paraId="31A6FBC2" w14:textId="77777777" w:rsidR="00353BDC" w:rsidRPr="00502A92" w:rsidRDefault="00353BDC" w:rsidP="00401306">
            <w:pPr>
              <w:tabs>
                <w:tab w:val="left" w:pos="360"/>
              </w:tabs>
              <w:rPr>
                <w:color w:val="000000"/>
                <w:sz w:val="20"/>
              </w:rPr>
            </w:pPr>
            <w:r w:rsidRPr="00502A92">
              <w:rPr>
                <w:color w:val="000000"/>
                <w:sz w:val="20"/>
              </w:rPr>
              <w:t>Konsolidující účetní jednotka se dopustí přestupku tím, že</w:t>
            </w:r>
          </w:p>
          <w:p w14:paraId="6E14FF11" w14:textId="77777777" w:rsidR="00353BDC" w:rsidRPr="00A80891" w:rsidRDefault="00353BDC" w:rsidP="00401306">
            <w:pPr>
              <w:tabs>
                <w:tab w:val="left" w:pos="360"/>
              </w:tabs>
              <w:rPr>
                <w:b/>
                <w:color w:val="000000"/>
                <w:sz w:val="19"/>
                <w:szCs w:val="19"/>
                <w:u w:val="single"/>
              </w:rPr>
            </w:pPr>
            <w:r w:rsidRPr="00502A92">
              <w:rPr>
                <w:b/>
                <w:color w:val="000000"/>
                <w:sz w:val="20"/>
                <w:u w:val="single"/>
              </w:rPr>
              <w:t>p) nezveřejní konsolidovanou zprávu o udržitelnosti nebo zprávu o jejím ověření auditorem podle § 32k odst. 1.</w:t>
            </w:r>
          </w:p>
        </w:tc>
        <w:tc>
          <w:tcPr>
            <w:tcW w:w="1276" w:type="dxa"/>
            <w:tcBorders>
              <w:top w:val="single" w:sz="4" w:space="0" w:color="auto"/>
              <w:bottom w:val="single" w:sz="4" w:space="0" w:color="auto"/>
            </w:tcBorders>
          </w:tcPr>
          <w:p w14:paraId="368A14DB" w14:textId="77777777" w:rsidR="00353BDC" w:rsidRDefault="00353BDC" w:rsidP="00401306">
            <w:pPr>
              <w:tabs>
                <w:tab w:val="left" w:pos="360"/>
              </w:tabs>
              <w:rPr>
                <w:rFonts w:cs="Arial"/>
                <w:sz w:val="20"/>
              </w:rPr>
            </w:pPr>
            <w:r>
              <w:rPr>
                <w:rFonts w:cs="Arial"/>
                <w:sz w:val="20"/>
              </w:rPr>
              <w:t>32013L0034</w:t>
            </w:r>
          </w:p>
        </w:tc>
        <w:tc>
          <w:tcPr>
            <w:tcW w:w="1559" w:type="dxa"/>
            <w:tcBorders>
              <w:top w:val="single" w:sz="4" w:space="0" w:color="auto"/>
              <w:bottom w:val="single" w:sz="4" w:space="0" w:color="auto"/>
            </w:tcBorders>
            <w:shd w:val="clear" w:color="auto" w:fill="auto"/>
          </w:tcPr>
          <w:p w14:paraId="6A4EDBC4" w14:textId="77777777" w:rsidR="00353BDC" w:rsidRDefault="00353BDC" w:rsidP="00401306">
            <w:pPr>
              <w:tabs>
                <w:tab w:val="left" w:pos="360"/>
              </w:tabs>
              <w:rPr>
                <w:rFonts w:cs="Arial"/>
                <w:sz w:val="20"/>
              </w:rPr>
            </w:pPr>
            <w:r>
              <w:rPr>
                <w:rFonts w:cs="Arial"/>
                <w:sz w:val="20"/>
              </w:rPr>
              <w:t>Čl. 51</w:t>
            </w:r>
          </w:p>
        </w:tc>
        <w:tc>
          <w:tcPr>
            <w:tcW w:w="4678" w:type="dxa"/>
            <w:tcBorders>
              <w:top w:val="single" w:sz="4" w:space="0" w:color="auto"/>
              <w:bottom w:val="single" w:sz="4" w:space="0" w:color="auto"/>
            </w:tcBorders>
            <w:shd w:val="clear" w:color="auto" w:fill="auto"/>
          </w:tcPr>
          <w:p w14:paraId="6E51CF9B" w14:textId="77777777" w:rsidR="00353BDC" w:rsidRPr="00966D61" w:rsidRDefault="00353BDC" w:rsidP="00401306">
            <w:pPr>
              <w:tabs>
                <w:tab w:val="left" w:pos="360"/>
              </w:tabs>
              <w:rPr>
                <w:rFonts w:cs="Arial"/>
                <w:sz w:val="20"/>
              </w:rPr>
            </w:pPr>
            <w:r w:rsidRPr="00DF3DE1">
              <w:rPr>
                <w:rFonts w:cs="Arial"/>
                <w:sz w:val="20"/>
              </w:rPr>
              <w:t>Členské státy stanoví sankce za porušení vnitrostátních předpisů přijatých v souladu s touto směrnicí a přijmou veškerá opatření nezbytná k jejich uplatňování. Stanovené sankce musí být účinné, přiměřené a odrazující.</w:t>
            </w:r>
          </w:p>
        </w:tc>
      </w:tr>
      <w:tr w:rsidR="00353BDC" w:rsidRPr="00FA795B" w14:paraId="48D14514" w14:textId="77777777" w:rsidTr="00401306">
        <w:trPr>
          <w:cantSplit/>
        </w:trPr>
        <w:tc>
          <w:tcPr>
            <w:tcW w:w="1418" w:type="dxa"/>
            <w:tcBorders>
              <w:top w:val="single" w:sz="4" w:space="0" w:color="auto"/>
              <w:bottom w:val="single" w:sz="4" w:space="0" w:color="auto"/>
            </w:tcBorders>
          </w:tcPr>
          <w:p w14:paraId="4DB7838B" w14:textId="77777777" w:rsidR="00353BDC" w:rsidRDefault="00353BDC" w:rsidP="00401306">
            <w:pPr>
              <w:tabs>
                <w:tab w:val="left" w:pos="360"/>
              </w:tabs>
              <w:rPr>
                <w:rFonts w:cs="Arial"/>
                <w:sz w:val="20"/>
              </w:rPr>
            </w:pPr>
            <w:r>
              <w:rPr>
                <w:rFonts w:cs="Arial"/>
                <w:sz w:val="20"/>
              </w:rPr>
              <w:lastRenderedPageBreak/>
              <w:t>§ 37a odst. 2 písm. q)</w:t>
            </w:r>
          </w:p>
        </w:tc>
        <w:tc>
          <w:tcPr>
            <w:tcW w:w="5245" w:type="dxa"/>
            <w:tcBorders>
              <w:top w:val="single" w:sz="4" w:space="0" w:color="auto"/>
              <w:bottom w:val="single" w:sz="4" w:space="0" w:color="auto"/>
            </w:tcBorders>
          </w:tcPr>
          <w:p w14:paraId="143E402B" w14:textId="77777777" w:rsidR="00353BDC" w:rsidRPr="00502A92" w:rsidRDefault="00353BDC" w:rsidP="00401306">
            <w:pPr>
              <w:tabs>
                <w:tab w:val="left" w:pos="360"/>
              </w:tabs>
              <w:rPr>
                <w:color w:val="000000"/>
                <w:sz w:val="20"/>
              </w:rPr>
            </w:pPr>
            <w:r w:rsidRPr="00502A92">
              <w:rPr>
                <w:color w:val="000000"/>
                <w:sz w:val="20"/>
              </w:rPr>
              <w:t>Konsolidující účetní jednotka se dopustí přestupku tím, že</w:t>
            </w:r>
          </w:p>
          <w:p w14:paraId="33306ED7" w14:textId="77777777" w:rsidR="00353BDC" w:rsidRPr="008F2728" w:rsidRDefault="00353BDC" w:rsidP="00401306">
            <w:pPr>
              <w:tabs>
                <w:tab w:val="left" w:pos="360"/>
              </w:tabs>
              <w:rPr>
                <w:b/>
                <w:color w:val="000000"/>
                <w:sz w:val="19"/>
                <w:szCs w:val="19"/>
                <w:u w:val="single"/>
              </w:rPr>
            </w:pPr>
            <w:r w:rsidRPr="00502A92">
              <w:rPr>
                <w:b/>
                <w:color w:val="000000"/>
                <w:sz w:val="20"/>
                <w:u w:val="single"/>
              </w:rPr>
              <w:t>q) nezveřejní konsolidovanou zprávu o udržitelnosti osoby ze třetí země nebo zprávu o jejím ověření podle § 32la odst. 3</w:t>
            </w:r>
          </w:p>
        </w:tc>
        <w:tc>
          <w:tcPr>
            <w:tcW w:w="1276" w:type="dxa"/>
            <w:tcBorders>
              <w:top w:val="single" w:sz="4" w:space="0" w:color="auto"/>
              <w:bottom w:val="single" w:sz="4" w:space="0" w:color="auto"/>
            </w:tcBorders>
          </w:tcPr>
          <w:p w14:paraId="6418F0F1" w14:textId="77777777" w:rsidR="00353BDC" w:rsidRDefault="00353BDC" w:rsidP="00401306">
            <w:pPr>
              <w:tabs>
                <w:tab w:val="left" w:pos="360"/>
              </w:tabs>
              <w:rPr>
                <w:rFonts w:cs="Arial"/>
                <w:sz w:val="20"/>
              </w:rPr>
            </w:pPr>
            <w:r>
              <w:rPr>
                <w:rFonts w:cs="Arial"/>
                <w:sz w:val="20"/>
              </w:rPr>
              <w:t>32013L0034</w:t>
            </w:r>
          </w:p>
        </w:tc>
        <w:tc>
          <w:tcPr>
            <w:tcW w:w="1559" w:type="dxa"/>
            <w:tcBorders>
              <w:top w:val="single" w:sz="4" w:space="0" w:color="auto"/>
              <w:bottom w:val="single" w:sz="4" w:space="0" w:color="auto"/>
            </w:tcBorders>
            <w:shd w:val="clear" w:color="auto" w:fill="auto"/>
          </w:tcPr>
          <w:p w14:paraId="2BE0284A" w14:textId="77777777" w:rsidR="00353BDC" w:rsidRDefault="00353BDC" w:rsidP="00401306">
            <w:pPr>
              <w:tabs>
                <w:tab w:val="left" w:pos="360"/>
              </w:tabs>
              <w:rPr>
                <w:rFonts w:cs="Arial"/>
                <w:sz w:val="20"/>
              </w:rPr>
            </w:pPr>
            <w:r>
              <w:rPr>
                <w:rFonts w:cs="Arial"/>
                <w:sz w:val="20"/>
              </w:rPr>
              <w:t>Čl. 51</w:t>
            </w:r>
          </w:p>
        </w:tc>
        <w:tc>
          <w:tcPr>
            <w:tcW w:w="4678" w:type="dxa"/>
            <w:tcBorders>
              <w:top w:val="single" w:sz="4" w:space="0" w:color="auto"/>
              <w:bottom w:val="single" w:sz="4" w:space="0" w:color="auto"/>
            </w:tcBorders>
            <w:shd w:val="clear" w:color="auto" w:fill="auto"/>
          </w:tcPr>
          <w:p w14:paraId="51767773" w14:textId="77777777" w:rsidR="00353BDC" w:rsidRPr="00966D61" w:rsidRDefault="00353BDC" w:rsidP="00401306">
            <w:pPr>
              <w:tabs>
                <w:tab w:val="left" w:pos="360"/>
              </w:tabs>
              <w:rPr>
                <w:rFonts w:cs="Arial"/>
                <w:sz w:val="20"/>
              </w:rPr>
            </w:pPr>
            <w:r w:rsidRPr="00DF3DE1">
              <w:rPr>
                <w:rFonts w:cs="Arial"/>
                <w:sz w:val="20"/>
              </w:rPr>
              <w:t>Členské státy stanoví sankce za porušení vnitrostátních předpisů přijatých v souladu s touto směrnicí a přijmou veškerá opatření nezbytná k jejich uplatňování. Stanovené sankce musí být účinné, přiměřené a odrazující.</w:t>
            </w:r>
          </w:p>
        </w:tc>
      </w:tr>
      <w:tr w:rsidR="00353BDC" w:rsidRPr="00FA795B" w14:paraId="75EB83AB" w14:textId="77777777" w:rsidTr="00401306">
        <w:trPr>
          <w:cantSplit/>
        </w:trPr>
        <w:tc>
          <w:tcPr>
            <w:tcW w:w="1418" w:type="dxa"/>
            <w:tcBorders>
              <w:top w:val="single" w:sz="4" w:space="0" w:color="auto"/>
              <w:bottom w:val="single" w:sz="4" w:space="0" w:color="auto"/>
            </w:tcBorders>
          </w:tcPr>
          <w:p w14:paraId="1F53E2FD" w14:textId="77777777" w:rsidR="00353BDC" w:rsidRDefault="00353BDC" w:rsidP="00401306">
            <w:pPr>
              <w:tabs>
                <w:tab w:val="left" w:pos="360"/>
              </w:tabs>
              <w:rPr>
                <w:rFonts w:cs="Arial"/>
                <w:sz w:val="20"/>
              </w:rPr>
            </w:pPr>
            <w:r>
              <w:rPr>
                <w:rFonts w:cs="Arial"/>
                <w:sz w:val="20"/>
              </w:rPr>
              <w:t>Čl. II Přechodná ustanovení, bod 2</w:t>
            </w:r>
          </w:p>
        </w:tc>
        <w:tc>
          <w:tcPr>
            <w:tcW w:w="5245" w:type="dxa"/>
            <w:tcBorders>
              <w:top w:val="single" w:sz="4" w:space="0" w:color="auto"/>
              <w:bottom w:val="single" w:sz="4" w:space="0" w:color="auto"/>
            </w:tcBorders>
          </w:tcPr>
          <w:p w14:paraId="7037CBC4" w14:textId="77777777" w:rsidR="00353BDC" w:rsidRPr="00502A92" w:rsidRDefault="00353BDC" w:rsidP="00401306">
            <w:pPr>
              <w:tabs>
                <w:tab w:val="left" w:pos="360"/>
              </w:tabs>
              <w:rPr>
                <w:color w:val="000000"/>
                <w:sz w:val="20"/>
                <w:u w:val="single"/>
              </w:rPr>
            </w:pPr>
            <w:r w:rsidRPr="00502A92">
              <w:rPr>
                <w:color w:val="000000"/>
                <w:sz w:val="20"/>
                <w:u w:val="single"/>
              </w:rPr>
              <w:t>Ustanovení § 1b nebo 1c zákona č. 563/1991 Sb., ve znění účinném ode dne nabytí účinnosti tohoto zákona, se použijí pro posouzení splnění hraničních hodnot k rozvahovému dni účetního období započatého ode dne 1. ledna 2024 a skončené ode dne 31. prosince 2024. Ustanovení § 1b a 1c zákona č. 563/1991 Sb., ve znění účinném ode dne nabytí účinnosti tohoto zákona, lze použít pro posouzení hraničních hodnot k rozvahovému dni účetního období započatého ode dne 1. ledna 2024 a skončeného přede dnem 31. prosince 2024.</w:t>
            </w:r>
          </w:p>
        </w:tc>
        <w:tc>
          <w:tcPr>
            <w:tcW w:w="1276" w:type="dxa"/>
            <w:tcBorders>
              <w:top w:val="single" w:sz="4" w:space="0" w:color="auto"/>
              <w:bottom w:val="single" w:sz="4" w:space="0" w:color="auto"/>
            </w:tcBorders>
          </w:tcPr>
          <w:p w14:paraId="2790FF76" w14:textId="77777777" w:rsidR="00353BDC" w:rsidRDefault="00353BDC" w:rsidP="00401306">
            <w:pPr>
              <w:tabs>
                <w:tab w:val="left" w:pos="360"/>
              </w:tabs>
              <w:rPr>
                <w:rFonts w:cs="Arial"/>
                <w:sz w:val="20"/>
              </w:rPr>
            </w:pPr>
            <w:r>
              <w:rPr>
                <w:rFonts w:cs="Arial"/>
                <w:sz w:val="20"/>
              </w:rPr>
              <w:t>32023L2775</w:t>
            </w:r>
          </w:p>
        </w:tc>
        <w:tc>
          <w:tcPr>
            <w:tcW w:w="1559" w:type="dxa"/>
            <w:tcBorders>
              <w:top w:val="single" w:sz="4" w:space="0" w:color="auto"/>
              <w:bottom w:val="single" w:sz="4" w:space="0" w:color="auto"/>
            </w:tcBorders>
            <w:shd w:val="clear" w:color="auto" w:fill="auto"/>
          </w:tcPr>
          <w:p w14:paraId="00A52305" w14:textId="77777777" w:rsidR="00353BDC" w:rsidRDefault="00353BDC" w:rsidP="00401306">
            <w:pPr>
              <w:tabs>
                <w:tab w:val="left" w:pos="360"/>
              </w:tabs>
              <w:rPr>
                <w:rFonts w:cs="Arial"/>
                <w:sz w:val="20"/>
              </w:rPr>
            </w:pPr>
            <w:r>
              <w:rPr>
                <w:rFonts w:cs="Arial"/>
                <w:sz w:val="20"/>
              </w:rPr>
              <w:t>Čl. 2 odst. 1 druhý pododstavec</w:t>
            </w:r>
          </w:p>
        </w:tc>
        <w:tc>
          <w:tcPr>
            <w:tcW w:w="4678" w:type="dxa"/>
            <w:tcBorders>
              <w:top w:val="single" w:sz="4" w:space="0" w:color="auto"/>
              <w:bottom w:val="single" w:sz="4" w:space="0" w:color="auto"/>
            </w:tcBorders>
            <w:shd w:val="clear" w:color="auto" w:fill="auto"/>
          </w:tcPr>
          <w:p w14:paraId="5A3D1F6D" w14:textId="77777777" w:rsidR="00353BDC" w:rsidRPr="00DF3DE1" w:rsidRDefault="00353BDC" w:rsidP="00401306">
            <w:pPr>
              <w:tabs>
                <w:tab w:val="left" w:pos="360"/>
              </w:tabs>
              <w:rPr>
                <w:rFonts w:cs="Arial"/>
                <w:sz w:val="20"/>
              </w:rPr>
            </w:pPr>
            <w:r>
              <w:rPr>
                <w:rFonts w:cs="Arial"/>
                <w:sz w:val="20"/>
              </w:rPr>
              <w:t>Použijí tyto předpisy pro účetní období začínající dnem 1. ledna 2024 nebo později.</w:t>
            </w:r>
          </w:p>
        </w:tc>
      </w:tr>
      <w:tr w:rsidR="00353BDC" w:rsidRPr="00FA795B" w14:paraId="115FACC5" w14:textId="77777777" w:rsidTr="00401306">
        <w:trPr>
          <w:cantSplit/>
        </w:trPr>
        <w:tc>
          <w:tcPr>
            <w:tcW w:w="1418" w:type="dxa"/>
            <w:tcBorders>
              <w:top w:val="single" w:sz="4" w:space="0" w:color="auto"/>
              <w:bottom w:val="single" w:sz="4" w:space="0" w:color="auto"/>
            </w:tcBorders>
          </w:tcPr>
          <w:p w14:paraId="67273214" w14:textId="77777777" w:rsidR="00353BDC" w:rsidRDefault="00353BDC" w:rsidP="00401306">
            <w:pPr>
              <w:tabs>
                <w:tab w:val="left" w:pos="360"/>
              </w:tabs>
              <w:rPr>
                <w:rFonts w:cs="Arial"/>
                <w:sz w:val="20"/>
              </w:rPr>
            </w:pPr>
            <w:r>
              <w:rPr>
                <w:rFonts w:cs="Arial"/>
                <w:sz w:val="20"/>
              </w:rPr>
              <w:t>Čl. II Přechodná ustanovení, bod 3</w:t>
            </w:r>
          </w:p>
        </w:tc>
        <w:tc>
          <w:tcPr>
            <w:tcW w:w="5245" w:type="dxa"/>
            <w:tcBorders>
              <w:top w:val="single" w:sz="4" w:space="0" w:color="auto"/>
              <w:bottom w:val="single" w:sz="4" w:space="0" w:color="auto"/>
            </w:tcBorders>
          </w:tcPr>
          <w:p w14:paraId="65B905F3" w14:textId="77777777" w:rsidR="00353BDC" w:rsidRPr="00502A92" w:rsidRDefault="00353BDC" w:rsidP="00401306">
            <w:pPr>
              <w:tabs>
                <w:tab w:val="left" w:pos="360"/>
              </w:tabs>
              <w:rPr>
                <w:color w:val="000000"/>
                <w:sz w:val="20"/>
                <w:u w:val="single"/>
              </w:rPr>
            </w:pPr>
            <w:r w:rsidRPr="00502A92">
              <w:rPr>
                <w:color w:val="000000"/>
                <w:sz w:val="20"/>
                <w:u w:val="single"/>
              </w:rPr>
              <w:t>Ustanovení § 32m odst. 2 a § 32o odst. 3 a 4 zákona č. 563/1991 Sb., ve znění účinném ode dne nabytí účinnosti tohoto zákona, se použijí pro posouzení ročního úhrnu čistého obratu pobočky za účetní období započaté ode dne 1. ledna 2024 a skončené ode dne 31. prosince 2024. Ustanovení § 32m odst. 2 a § 32o odst. 3 a 4 zákona č. 563/1991 Sb., ve znění účinném ode dne nabytí účinnosti tohoto zákona, lze použít pro posouzení ročního úhrnu čistého obratu pobočky za účetní období započaté ode dne 1. ledna 2024 a skončené přede dnem 31. prosince 2024.</w:t>
            </w:r>
          </w:p>
        </w:tc>
        <w:tc>
          <w:tcPr>
            <w:tcW w:w="1276" w:type="dxa"/>
            <w:tcBorders>
              <w:top w:val="single" w:sz="4" w:space="0" w:color="auto"/>
              <w:bottom w:val="single" w:sz="4" w:space="0" w:color="auto"/>
            </w:tcBorders>
          </w:tcPr>
          <w:p w14:paraId="06262F92" w14:textId="77777777" w:rsidR="00353BDC" w:rsidRDefault="00353BDC" w:rsidP="00401306">
            <w:pPr>
              <w:tabs>
                <w:tab w:val="left" w:pos="360"/>
              </w:tabs>
              <w:rPr>
                <w:rFonts w:cs="Arial"/>
                <w:sz w:val="20"/>
              </w:rPr>
            </w:pPr>
            <w:r>
              <w:rPr>
                <w:rFonts w:cs="Arial"/>
                <w:sz w:val="20"/>
              </w:rPr>
              <w:t>32023L2775</w:t>
            </w:r>
          </w:p>
        </w:tc>
        <w:tc>
          <w:tcPr>
            <w:tcW w:w="1559" w:type="dxa"/>
            <w:tcBorders>
              <w:top w:val="single" w:sz="4" w:space="0" w:color="auto"/>
              <w:bottom w:val="single" w:sz="4" w:space="0" w:color="auto"/>
            </w:tcBorders>
            <w:shd w:val="clear" w:color="auto" w:fill="auto"/>
          </w:tcPr>
          <w:p w14:paraId="01FBA3EC" w14:textId="77777777" w:rsidR="00353BDC" w:rsidRDefault="00353BDC" w:rsidP="00401306">
            <w:pPr>
              <w:tabs>
                <w:tab w:val="left" w:pos="360"/>
              </w:tabs>
              <w:rPr>
                <w:rFonts w:cs="Arial"/>
                <w:sz w:val="20"/>
              </w:rPr>
            </w:pPr>
            <w:r>
              <w:rPr>
                <w:rFonts w:cs="Arial"/>
                <w:sz w:val="20"/>
              </w:rPr>
              <w:t>Čl. 2 odst. 1 druhý pododstavec</w:t>
            </w:r>
          </w:p>
        </w:tc>
        <w:tc>
          <w:tcPr>
            <w:tcW w:w="4678" w:type="dxa"/>
            <w:tcBorders>
              <w:top w:val="single" w:sz="4" w:space="0" w:color="auto"/>
              <w:bottom w:val="single" w:sz="4" w:space="0" w:color="auto"/>
            </w:tcBorders>
            <w:shd w:val="clear" w:color="auto" w:fill="auto"/>
          </w:tcPr>
          <w:p w14:paraId="2DCC4AD6" w14:textId="77777777" w:rsidR="00353BDC" w:rsidRPr="00DF3DE1" w:rsidRDefault="00353BDC" w:rsidP="00401306">
            <w:pPr>
              <w:tabs>
                <w:tab w:val="left" w:pos="360"/>
              </w:tabs>
              <w:rPr>
                <w:rFonts w:cs="Arial"/>
                <w:sz w:val="20"/>
              </w:rPr>
            </w:pPr>
            <w:r>
              <w:rPr>
                <w:rFonts w:cs="Arial"/>
                <w:sz w:val="20"/>
              </w:rPr>
              <w:t>Použijí tyto předpisy pro účetní období začínající dnem 1. ledna 2024 nebo později.</w:t>
            </w:r>
          </w:p>
        </w:tc>
      </w:tr>
      <w:tr w:rsidR="00353BDC" w:rsidRPr="00FA795B" w14:paraId="7CC1A47E" w14:textId="77777777" w:rsidTr="00401306">
        <w:trPr>
          <w:cantSplit/>
        </w:trPr>
        <w:tc>
          <w:tcPr>
            <w:tcW w:w="1418" w:type="dxa"/>
            <w:tcBorders>
              <w:top w:val="single" w:sz="4" w:space="0" w:color="auto"/>
              <w:bottom w:val="single" w:sz="4" w:space="0" w:color="auto"/>
            </w:tcBorders>
          </w:tcPr>
          <w:p w14:paraId="1E73AE73" w14:textId="77777777" w:rsidR="00353BDC" w:rsidRDefault="00353BDC" w:rsidP="00401306">
            <w:pPr>
              <w:tabs>
                <w:tab w:val="left" w:pos="360"/>
              </w:tabs>
              <w:rPr>
                <w:rFonts w:cs="Arial"/>
                <w:sz w:val="20"/>
              </w:rPr>
            </w:pPr>
            <w:r>
              <w:rPr>
                <w:rFonts w:cs="Arial"/>
                <w:sz w:val="20"/>
              </w:rPr>
              <w:t>Čl. II Přechodná ustanovení, bod 4</w:t>
            </w:r>
          </w:p>
        </w:tc>
        <w:tc>
          <w:tcPr>
            <w:tcW w:w="5245" w:type="dxa"/>
            <w:tcBorders>
              <w:top w:val="single" w:sz="4" w:space="0" w:color="auto"/>
              <w:bottom w:val="single" w:sz="4" w:space="0" w:color="auto"/>
            </w:tcBorders>
          </w:tcPr>
          <w:p w14:paraId="56F8440C" w14:textId="77777777" w:rsidR="00353BDC" w:rsidRPr="00502A92" w:rsidRDefault="00353BDC" w:rsidP="00401306">
            <w:pPr>
              <w:tabs>
                <w:tab w:val="left" w:pos="360"/>
              </w:tabs>
              <w:rPr>
                <w:color w:val="000000"/>
                <w:sz w:val="20"/>
                <w:u w:val="single"/>
              </w:rPr>
            </w:pPr>
            <w:r>
              <w:rPr>
                <w:color w:val="000000"/>
                <w:sz w:val="20"/>
                <w:u w:val="single"/>
              </w:rPr>
              <w:t>Pro účetní období započaté ode dne 1. ledna 2024 se použije § 32g odst. 2 písm. a) a c), § 32g odst. 3 písm. a) a c), § 32j odst. 2 písm. a) a c) a § 32j odst. 3 písm. a) a c) zákona č. 563/1991 Sb., ve znění účinném ode dne nabytí účinnosti tohoto zákona, a nepoužije se § 32g odst. 2 písm. d), § 32g odst. 3 písm. d), § 32j odst. 2 písm. e) a § 32j odst. 3 písm. e) zákona č. 563/1991 Sb., ve znění účinném přede dnem nabytí účinnosti tohoto zákona.</w:t>
            </w:r>
          </w:p>
        </w:tc>
        <w:tc>
          <w:tcPr>
            <w:tcW w:w="1276" w:type="dxa"/>
            <w:tcBorders>
              <w:top w:val="single" w:sz="4" w:space="0" w:color="auto"/>
              <w:bottom w:val="single" w:sz="4" w:space="0" w:color="auto"/>
            </w:tcBorders>
          </w:tcPr>
          <w:p w14:paraId="0D576B23"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6DB5CAF8" w14:textId="77777777" w:rsidR="00353BDC" w:rsidRDefault="00353BDC" w:rsidP="00401306">
            <w:pPr>
              <w:tabs>
                <w:tab w:val="left" w:pos="360"/>
              </w:tabs>
              <w:rPr>
                <w:rFonts w:cs="Arial"/>
                <w:sz w:val="20"/>
              </w:rPr>
            </w:pPr>
            <w:r>
              <w:rPr>
                <w:rFonts w:cs="Arial"/>
                <w:sz w:val="20"/>
              </w:rPr>
              <w:t>Čl. 2 odst. 1 druhý pododstavec</w:t>
            </w:r>
          </w:p>
        </w:tc>
        <w:tc>
          <w:tcPr>
            <w:tcW w:w="4678" w:type="dxa"/>
            <w:tcBorders>
              <w:top w:val="single" w:sz="4" w:space="0" w:color="auto"/>
              <w:bottom w:val="single" w:sz="4" w:space="0" w:color="auto"/>
            </w:tcBorders>
            <w:shd w:val="clear" w:color="auto" w:fill="auto"/>
          </w:tcPr>
          <w:p w14:paraId="72388134" w14:textId="77777777" w:rsidR="00353BDC" w:rsidRDefault="00353BDC" w:rsidP="00401306">
            <w:pPr>
              <w:tabs>
                <w:tab w:val="left" w:pos="360"/>
              </w:tabs>
              <w:rPr>
                <w:rFonts w:cs="Arial"/>
                <w:sz w:val="20"/>
              </w:rPr>
            </w:pPr>
            <w:r>
              <w:rPr>
                <w:rFonts w:cs="Arial"/>
                <w:sz w:val="20"/>
              </w:rPr>
              <w:t>Použijí tyto předpisy pro účetní období začínající dnem 1. ledna 2024 nebo později.</w:t>
            </w:r>
          </w:p>
        </w:tc>
      </w:tr>
      <w:tr w:rsidR="00353BDC" w:rsidRPr="00FA795B" w14:paraId="54397273" w14:textId="77777777" w:rsidTr="00401306">
        <w:trPr>
          <w:cantSplit/>
        </w:trPr>
        <w:tc>
          <w:tcPr>
            <w:tcW w:w="1418" w:type="dxa"/>
            <w:tcBorders>
              <w:top w:val="single" w:sz="4" w:space="0" w:color="auto"/>
              <w:bottom w:val="single" w:sz="4" w:space="0" w:color="auto"/>
            </w:tcBorders>
          </w:tcPr>
          <w:p w14:paraId="2BD078AD" w14:textId="77777777" w:rsidR="00353BDC" w:rsidRDefault="00353BDC" w:rsidP="00401306">
            <w:pPr>
              <w:tabs>
                <w:tab w:val="left" w:pos="360"/>
              </w:tabs>
              <w:rPr>
                <w:rFonts w:cs="Arial"/>
                <w:sz w:val="20"/>
              </w:rPr>
            </w:pPr>
            <w:r>
              <w:rPr>
                <w:rFonts w:cs="Arial"/>
                <w:sz w:val="20"/>
              </w:rPr>
              <w:lastRenderedPageBreak/>
              <w:t>Čl. II Přechodná ustanovení, bod 6</w:t>
            </w:r>
          </w:p>
        </w:tc>
        <w:tc>
          <w:tcPr>
            <w:tcW w:w="5245" w:type="dxa"/>
            <w:tcBorders>
              <w:top w:val="single" w:sz="4" w:space="0" w:color="auto"/>
              <w:bottom w:val="single" w:sz="4" w:space="0" w:color="auto"/>
            </w:tcBorders>
          </w:tcPr>
          <w:p w14:paraId="77B244E9" w14:textId="77777777" w:rsidR="00353BDC" w:rsidRPr="00502A92" w:rsidRDefault="00353BDC" w:rsidP="00401306">
            <w:pPr>
              <w:tabs>
                <w:tab w:val="left" w:pos="360"/>
              </w:tabs>
              <w:rPr>
                <w:color w:val="000000"/>
                <w:sz w:val="20"/>
                <w:u w:val="single"/>
              </w:rPr>
            </w:pPr>
            <w:r>
              <w:rPr>
                <w:color w:val="000000"/>
                <w:sz w:val="20"/>
                <w:u w:val="single"/>
              </w:rPr>
              <w:t>Za účetní období započaté</w:t>
            </w:r>
            <w:r w:rsidRPr="00502A92">
              <w:rPr>
                <w:color w:val="000000"/>
                <w:sz w:val="20"/>
                <w:u w:val="single"/>
              </w:rPr>
              <w:t xml:space="preserve"> před</w:t>
            </w:r>
            <w:r>
              <w:rPr>
                <w:color w:val="000000"/>
                <w:sz w:val="20"/>
                <w:u w:val="single"/>
              </w:rPr>
              <w:t>e dnem 1. ledna</w:t>
            </w:r>
            <w:r w:rsidRPr="00502A92">
              <w:rPr>
                <w:color w:val="000000"/>
                <w:sz w:val="20"/>
                <w:u w:val="single"/>
              </w:rPr>
              <w:t xml:space="preserve"> 2026 zprávu o udržitelnosti nevyhotovuje </w:t>
            </w:r>
          </w:p>
          <w:p w14:paraId="0D0A841A" w14:textId="77777777" w:rsidR="00353BDC" w:rsidRPr="00502A92" w:rsidRDefault="00353BDC" w:rsidP="00401306">
            <w:pPr>
              <w:tabs>
                <w:tab w:val="left" w:pos="360"/>
              </w:tabs>
              <w:rPr>
                <w:color w:val="000000"/>
                <w:sz w:val="20"/>
                <w:u w:val="single"/>
              </w:rPr>
            </w:pPr>
            <w:r w:rsidRPr="00502A92">
              <w:rPr>
                <w:color w:val="000000"/>
                <w:sz w:val="20"/>
                <w:u w:val="single"/>
              </w:rPr>
              <w:t>a) účetní jednotka, která je malou a nepříliš složitou institucí podle přímo použitelného předpisu Evropské unie upravujícího obezřetnostní p</w:t>
            </w:r>
            <w:r>
              <w:rPr>
                <w:color w:val="000000"/>
                <w:sz w:val="20"/>
                <w:u w:val="single"/>
              </w:rPr>
              <w:t>ožadavky na úvěrové instituce</w:t>
            </w:r>
            <w:r>
              <w:rPr>
                <w:color w:val="000000"/>
                <w:sz w:val="20"/>
                <w:u w:val="single"/>
                <w:vertAlign w:val="superscript"/>
              </w:rPr>
              <w:t>11)</w:t>
            </w:r>
            <w:r w:rsidRPr="00502A92">
              <w:rPr>
                <w:color w:val="000000"/>
                <w:sz w:val="20"/>
                <w:u w:val="single"/>
              </w:rPr>
              <w:t xml:space="preserve"> nebo </w:t>
            </w:r>
            <w:proofErr w:type="spellStart"/>
            <w:r w:rsidRPr="00502A92">
              <w:rPr>
                <w:color w:val="000000"/>
                <w:sz w:val="20"/>
                <w:u w:val="single"/>
              </w:rPr>
              <w:t>kaptivní</w:t>
            </w:r>
            <w:proofErr w:type="spellEnd"/>
            <w:r w:rsidRPr="00502A92">
              <w:rPr>
                <w:color w:val="000000"/>
                <w:sz w:val="20"/>
                <w:u w:val="single"/>
              </w:rPr>
              <w:t xml:space="preserve"> pojišťovnou nebo </w:t>
            </w:r>
            <w:proofErr w:type="spellStart"/>
            <w:r w:rsidRPr="00502A92">
              <w:rPr>
                <w:color w:val="000000"/>
                <w:sz w:val="20"/>
                <w:u w:val="single"/>
              </w:rPr>
              <w:t>kaptivní</w:t>
            </w:r>
            <w:proofErr w:type="spellEnd"/>
            <w:r w:rsidRPr="00502A92">
              <w:rPr>
                <w:color w:val="000000"/>
                <w:sz w:val="20"/>
                <w:u w:val="single"/>
              </w:rPr>
              <w:t xml:space="preserve"> zajišťovnou podle zákona upravujícího pojišťovnictví, </w:t>
            </w:r>
          </w:p>
          <w:p w14:paraId="677A8AD2" w14:textId="77777777" w:rsidR="00353BDC" w:rsidRPr="00502A92" w:rsidRDefault="00353BDC" w:rsidP="00401306">
            <w:pPr>
              <w:tabs>
                <w:tab w:val="left" w:pos="360"/>
              </w:tabs>
              <w:rPr>
                <w:color w:val="000000"/>
                <w:sz w:val="20"/>
                <w:u w:val="single"/>
              </w:rPr>
            </w:pPr>
            <w:r w:rsidRPr="00502A92">
              <w:rPr>
                <w:color w:val="000000"/>
                <w:sz w:val="20"/>
                <w:u w:val="single"/>
              </w:rPr>
              <w:t>b) střední účetní jednotka a malá účetní jednotka.</w:t>
            </w:r>
          </w:p>
          <w:p w14:paraId="632C8F07" w14:textId="77777777" w:rsidR="00353BDC" w:rsidRPr="00132DA7" w:rsidRDefault="00353BDC" w:rsidP="00401306">
            <w:pPr>
              <w:tabs>
                <w:tab w:val="left" w:pos="360"/>
              </w:tabs>
              <w:rPr>
                <w:color w:val="000000"/>
                <w:sz w:val="19"/>
                <w:szCs w:val="19"/>
              </w:rPr>
            </w:pPr>
          </w:p>
        </w:tc>
        <w:tc>
          <w:tcPr>
            <w:tcW w:w="1276" w:type="dxa"/>
            <w:tcBorders>
              <w:top w:val="single" w:sz="4" w:space="0" w:color="auto"/>
              <w:bottom w:val="single" w:sz="4" w:space="0" w:color="auto"/>
            </w:tcBorders>
          </w:tcPr>
          <w:p w14:paraId="3F77D93C" w14:textId="77777777" w:rsidR="00353BDC" w:rsidRDefault="00353BDC" w:rsidP="00401306">
            <w:pPr>
              <w:tabs>
                <w:tab w:val="left" w:pos="360"/>
              </w:tabs>
              <w:rPr>
                <w:rFonts w:cs="Arial"/>
                <w:sz w:val="20"/>
              </w:rPr>
            </w:pPr>
            <w:r>
              <w:rPr>
                <w:rFonts w:cs="Arial"/>
                <w:sz w:val="20"/>
              </w:rPr>
              <w:t>32022L2464</w:t>
            </w:r>
          </w:p>
        </w:tc>
        <w:tc>
          <w:tcPr>
            <w:tcW w:w="1559" w:type="dxa"/>
            <w:tcBorders>
              <w:top w:val="single" w:sz="4" w:space="0" w:color="auto"/>
              <w:bottom w:val="single" w:sz="4" w:space="0" w:color="auto"/>
            </w:tcBorders>
            <w:shd w:val="clear" w:color="auto" w:fill="auto"/>
          </w:tcPr>
          <w:p w14:paraId="73D59687" w14:textId="77777777" w:rsidR="00353BDC" w:rsidRDefault="00353BDC" w:rsidP="00401306">
            <w:pPr>
              <w:tabs>
                <w:tab w:val="left" w:pos="360"/>
              </w:tabs>
              <w:rPr>
                <w:rFonts w:cs="Arial"/>
                <w:sz w:val="20"/>
              </w:rPr>
            </w:pPr>
            <w:r>
              <w:rPr>
                <w:rFonts w:cs="Arial"/>
                <w:sz w:val="20"/>
              </w:rPr>
              <w:t>Čl. 5 odst. 2 písm. c)</w:t>
            </w:r>
          </w:p>
        </w:tc>
        <w:tc>
          <w:tcPr>
            <w:tcW w:w="4678" w:type="dxa"/>
            <w:tcBorders>
              <w:top w:val="single" w:sz="4" w:space="0" w:color="auto"/>
              <w:bottom w:val="single" w:sz="4" w:space="0" w:color="auto"/>
            </w:tcBorders>
            <w:shd w:val="clear" w:color="auto" w:fill="auto"/>
          </w:tcPr>
          <w:p w14:paraId="63FCC109" w14:textId="77777777" w:rsidR="00353BDC" w:rsidRPr="005E5139" w:rsidRDefault="00353BDC" w:rsidP="00401306">
            <w:pPr>
              <w:tabs>
                <w:tab w:val="left" w:pos="360"/>
              </w:tabs>
              <w:rPr>
                <w:rFonts w:cs="Arial"/>
                <w:sz w:val="20"/>
              </w:rPr>
            </w:pPr>
            <w:r w:rsidRPr="005E5139">
              <w:rPr>
                <w:rFonts w:cs="Arial"/>
                <w:sz w:val="20"/>
              </w:rPr>
              <w:t>Členské státy použijí předpisy nezbytné pro dosažení souladu s článkem 1, vyjma bodu 14:</w:t>
            </w:r>
          </w:p>
          <w:p w14:paraId="72866A2E" w14:textId="77777777" w:rsidR="00353BDC" w:rsidRPr="005E5139" w:rsidRDefault="00353BDC" w:rsidP="00401306">
            <w:pPr>
              <w:tabs>
                <w:tab w:val="left" w:pos="360"/>
              </w:tabs>
              <w:rPr>
                <w:rFonts w:cs="Arial"/>
                <w:sz w:val="20"/>
              </w:rPr>
            </w:pPr>
            <w:r>
              <w:rPr>
                <w:rFonts w:cs="Arial"/>
                <w:sz w:val="20"/>
              </w:rPr>
              <w:t xml:space="preserve">c) </w:t>
            </w:r>
            <w:r w:rsidRPr="005E5139">
              <w:rPr>
                <w:rFonts w:cs="Arial"/>
                <w:sz w:val="20"/>
              </w:rPr>
              <w:t>pro účetní období začínající dne 1. ledna 2026nebo později:</w:t>
            </w:r>
          </w:p>
          <w:p w14:paraId="29A466D7" w14:textId="77777777" w:rsidR="00353BDC" w:rsidRPr="005E5139" w:rsidRDefault="00353BDC" w:rsidP="00401306">
            <w:pPr>
              <w:tabs>
                <w:tab w:val="left" w:pos="360"/>
              </w:tabs>
              <w:rPr>
                <w:rFonts w:cs="Arial"/>
                <w:sz w:val="20"/>
              </w:rPr>
            </w:pPr>
            <w:r>
              <w:rPr>
                <w:rFonts w:cs="Arial"/>
                <w:sz w:val="20"/>
              </w:rPr>
              <w:t xml:space="preserve">i) </w:t>
            </w:r>
            <w:r w:rsidRPr="005E5139">
              <w:rPr>
                <w:rFonts w:cs="Arial"/>
                <w:sz w:val="20"/>
              </w:rPr>
              <w:t xml:space="preserve">na malé a střední podniky ve smyslu čl. 3 odst. 2 a 3 směrnice 2013/34/EU, které jsou subjekty veřejného zájmu ve smyslu čl. 2 bodu 1 písm. a) uvedené směrnice a nejsou </w:t>
            </w:r>
            <w:proofErr w:type="spellStart"/>
            <w:r w:rsidRPr="005E5139">
              <w:rPr>
                <w:rFonts w:cs="Arial"/>
                <w:sz w:val="20"/>
              </w:rPr>
              <w:t>mikropodniky</w:t>
            </w:r>
            <w:proofErr w:type="spellEnd"/>
            <w:r w:rsidRPr="005E5139">
              <w:rPr>
                <w:rFonts w:cs="Arial"/>
                <w:sz w:val="20"/>
              </w:rPr>
              <w:t xml:space="preserve"> ve smyslu čl. 3 odst. 1 uvedené směrnice;</w:t>
            </w:r>
          </w:p>
          <w:p w14:paraId="230A10F6" w14:textId="77777777" w:rsidR="00353BDC" w:rsidRPr="00DF3DE1" w:rsidRDefault="00353BDC" w:rsidP="00401306">
            <w:pPr>
              <w:tabs>
                <w:tab w:val="left" w:pos="360"/>
              </w:tabs>
              <w:rPr>
                <w:rFonts w:cs="Arial"/>
                <w:sz w:val="20"/>
              </w:rPr>
            </w:pPr>
            <w:proofErr w:type="spellStart"/>
            <w:r>
              <w:rPr>
                <w:rFonts w:cs="Arial"/>
                <w:sz w:val="20"/>
              </w:rPr>
              <w:t>ii</w:t>
            </w:r>
            <w:proofErr w:type="spellEnd"/>
            <w:r>
              <w:rPr>
                <w:rFonts w:cs="Arial"/>
                <w:sz w:val="20"/>
              </w:rPr>
              <w:t xml:space="preserve">) </w:t>
            </w:r>
            <w:r w:rsidRPr="005E5139">
              <w:rPr>
                <w:rFonts w:cs="Arial"/>
                <w:sz w:val="20"/>
              </w:rPr>
              <w:t xml:space="preserve">na malé a nepříliš složité instituce ve smyslu čl. 4 odst. 1 bodu 145 nařízení (EU) č. 575/2013, pokud jsou velkými podniky ve smyslu čl. 3 odst. 4 směrnice 2013/34/EU nebo pokud jsou malými a středními podniky ve smyslu čl. 3 odst. 2 a 3 uvedené směrnice, které jsou subjekty veřejného zájmu ve smyslu čl. 2 bodu 1 písm. a) uvedené směrnice a nejsou </w:t>
            </w:r>
            <w:proofErr w:type="spellStart"/>
            <w:r w:rsidRPr="005E5139">
              <w:rPr>
                <w:rFonts w:cs="Arial"/>
                <w:sz w:val="20"/>
              </w:rPr>
              <w:t>mikropodniky</w:t>
            </w:r>
            <w:proofErr w:type="spellEnd"/>
            <w:r w:rsidRPr="005E5139">
              <w:rPr>
                <w:rFonts w:cs="Arial"/>
                <w:sz w:val="20"/>
              </w:rPr>
              <w:t xml:space="preserve"> ve smyslu č</w:t>
            </w:r>
            <w:r>
              <w:rPr>
                <w:rFonts w:cs="Arial"/>
                <w:sz w:val="20"/>
              </w:rPr>
              <w:t xml:space="preserve">l. 3 odst. 1 uvedené směrnice; </w:t>
            </w:r>
          </w:p>
        </w:tc>
      </w:tr>
      <w:tr w:rsidR="00353BDC" w:rsidRPr="00FA795B" w14:paraId="62EB840D" w14:textId="77777777" w:rsidTr="00401306">
        <w:trPr>
          <w:cantSplit/>
        </w:trPr>
        <w:tc>
          <w:tcPr>
            <w:tcW w:w="1418" w:type="dxa"/>
            <w:tcBorders>
              <w:top w:val="single" w:sz="4" w:space="0" w:color="auto"/>
              <w:bottom w:val="single" w:sz="4" w:space="0" w:color="auto"/>
            </w:tcBorders>
          </w:tcPr>
          <w:p w14:paraId="3AE891C0" w14:textId="77777777" w:rsidR="00353BDC" w:rsidRDefault="00353BDC" w:rsidP="00401306">
            <w:pPr>
              <w:tabs>
                <w:tab w:val="left" w:pos="360"/>
              </w:tabs>
              <w:rPr>
                <w:rFonts w:cs="Arial"/>
                <w:sz w:val="20"/>
              </w:rPr>
            </w:pPr>
            <w:r>
              <w:rPr>
                <w:rFonts w:cs="Arial"/>
                <w:sz w:val="20"/>
              </w:rPr>
              <w:t>Čl. II Přechodná ustanovení, bod 7</w:t>
            </w:r>
          </w:p>
        </w:tc>
        <w:tc>
          <w:tcPr>
            <w:tcW w:w="5245" w:type="dxa"/>
            <w:tcBorders>
              <w:top w:val="single" w:sz="4" w:space="0" w:color="auto"/>
              <w:bottom w:val="single" w:sz="4" w:space="0" w:color="auto"/>
            </w:tcBorders>
          </w:tcPr>
          <w:p w14:paraId="072C42C7" w14:textId="77777777" w:rsidR="00353BDC" w:rsidRPr="0044366D" w:rsidRDefault="00353BDC" w:rsidP="00401306">
            <w:pPr>
              <w:tabs>
                <w:tab w:val="left" w:pos="360"/>
              </w:tabs>
              <w:rPr>
                <w:color w:val="000000"/>
                <w:sz w:val="20"/>
                <w:u w:val="single"/>
              </w:rPr>
            </w:pPr>
            <w:r w:rsidRPr="0044366D">
              <w:rPr>
                <w:color w:val="000000"/>
                <w:sz w:val="20"/>
                <w:u w:val="single"/>
              </w:rPr>
              <w:t xml:space="preserve">Za účetní období započaté přede dnem 1. ledna 2028 nemusí zprávu o udržitelnosti vyhotovovat střední účetní jednotka a malá účetní jednotka, pokud ve své výroční zprávě uvedou důvod nevyhotovení zprávy o udržitelnosti. </w:t>
            </w:r>
          </w:p>
          <w:p w14:paraId="480A7F78" w14:textId="77777777" w:rsidR="00353BDC" w:rsidRPr="0044366D" w:rsidRDefault="00353BDC" w:rsidP="00401306">
            <w:pPr>
              <w:tabs>
                <w:tab w:val="left" w:pos="360"/>
              </w:tabs>
              <w:rPr>
                <w:color w:val="000000"/>
                <w:sz w:val="20"/>
              </w:rPr>
            </w:pPr>
          </w:p>
        </w:tc>
        <w:tc>
          <w:tcPr>
            <w:tcW w:w="1276" w:type="dxa"/>
            <w:tcBorders>
              <w:top w:val="single" w:sz="4" w:space="0" w:color="auto"/>
              <w:bottom w:val="single" w:sz="4" w:space="0" w:color="auto"/>
            </w:tcBorders>
          </w:tcPr>
          <w:p w14:paraId="55C8FAC1" w14:textId="77777777" w:rsidR="00353BDC" w:rsidRDefault="00353BDC" w:rsidP="00401306">
            <w:pPr>
              <w:tabs>
                <w:tab w:val="left" w:pos="360"/>
              </w:tabs>
              <w:rPr>
                <w:rFonts w:cs="Arial"/>
                <w:sz w:val="20"/>
              </w:rPr>
            </w:pPr>
            <w:r>
              <w:rPr>
                <w:rFonts w:cs="Arial"/>
                <w:sz w:val="20"/>
              </w:rPr>
              <w:t>32013L0034 ve znění 32022L246</w:t>
            </w:r>
          </w:p>
        </w:tc>
        <w:tc>
          <w:tcPr>
            <w:tcW w:w="1559" w:type="dxa"/>
            <w:tcBorders>
              <w:top w:val="single" w:sz="4" w:space="0" w:color="auto"/>
              <w:bottom w:val="single" w:sz="4" w:space="0" w:color="auto"/>
            </w:tcBorders>
            <w:shd w:val="clear" w:color="auto" w:fill="auto"/>
          </w:tcPr>
          <w:p w14:paraId="1A48A7FD" w14:textId="77777777" w:rsidR="00353BDC" w:rsidRDefault="00353BDC" w:rsidP="00401306">
            <w:pPr>
              <w:tabs>
                <w:tab w:val="left" w:pos="360"/>
              </w:tabs>
              <w:rPr>
                <w:rFonts w:cs="Arial"/>
                <w:sz w:val="20"/>
              </w:rPr>
            </w:pPr>
            <w:r>
              <w:rPr>
                <w:rFonts w:cs="Arial"/>
                <w:sz w:val="20"/>
              </w:rPr>
              <w:t>Čl. 19a odst. 7</w:t>
            </w:r>
          </w:p>
        </w:tc>
        <w:tc>
          <w:tcPr>
            <w:tcW w:w="4678" w:type="dxa"/>
            <w:tcBorders>
              <w:top w:val="single" w:sz="4" w:space="0" w:color="auto"/>
              <w:bottom w:val="single" w:sz="4" w:space="0" w:color="auto"/>
            </w:tcBorders>
            <w:shd w:val="clear" w:color="auto" w:fill="auto"/>
          </w:tcPr>
          <w:p w14:paraId="706161A2" w14:textId="77777777" w:rsidR="00353BDC" w:rsidRPr="00DF3DE1" w:rsidRDefault="00353BDC" w:rsidP="00401306">
            <w:pPr>
              <w:tabs>
                <w:tab w:val="left" w:pos="360"/>
              </w:tabs>
              <w:rPr>
                <w:rFonts w:cs="Arial"/>
                <w:sz w:val="20"/>
              </w:rPr>
            </w:pPr>
            <w:r w:rsidRPr="00DD157F">
              <w:rPr>
                <w:rFonts w:cs="Arial"/>
                <w:sz w:val="20"/>
              </w:rPr>
              <w:t>Pro účetní období začínající před 1. lednem 2028 se mohou malé a střední podniky, které jsou subjekty veřejného zájmu ve smyslu čl. 2 bodu 1 písm. a) tohoto článku, odchylně od odstavce 1 rozhodnout, že do své zprávy vedení podniku nezahrnou informace uvedené v odstavci 1 tohoto článku. V takových případech však podnik ve své zprávě vedení stručně uvede, proč nebyla poskytnuta zpráva o udržitelnosti.</w:t>
            </w:r>
          </w:p>
        </w:tc>
      </w:tr>
      <w:tr w:rsidR="00353BDC" w:rsidRPr="00FA795B" w14:paraId="5E53471A" w14:textId="77777777" w:rsidTr="00401306">
        <w:trPr>
          <w:cantSplit/>
        </w:trPr>
        <w:tc>
          <w:tcPr>
            <w:tcW w:w="1418" w:type="dxa"/>
            <w:tcBorders>
              <w:top w:val="single" w:sz="4" w:space="0" w:color="auto"/>
              <w:bottom w:val="single" w:sz="4" w:space="0" w:color="auto"/>
            </w:tcBorders>
          </w:tcPr>
          <w:p w14:paraId="0035DED6" w14:textId="77777777" w:rsidR="00353BDC" w:rsidRDefault="00353BDC" w:rsidP="00401306">
            <w:pPr>
              <w:tabs>
                <w:tab w:val="left" w:pos="360"/>
              </w:tabs>
              <w:rPr>
                <w:rFonts w:cs="Arial"/>
                <w:sz w:val="20"/>
              </w:rPr>
            </w:pPr>
            <w:r>
              <w:rPr>
                <w:rFonts w:cs="Arial"/>
                <w:sz w:val="20"/>
              </w:rPr>
              <w:t>Čl. II Přechodná ustanovení, bod 8</w:t>
            </w:r>
          </w:p>
        </w:tc>
        <w:tc>
          <w:tcPr>
            <w:tcW w:w="5245" w:type="dxa"/>
            <w:tcBorders>
              <w:top w:val="single" w:sz="4" w:space="0" w:color="auto"/>
              <w:bottom w:val="single" w:sz="4" w:space="0" w:color="auto"/>
            </w:tcBorders>
          </w:tcPr>
          <w:p w14:paraId="2DB271BD" w14:textId="77777777" w:rsidR="00353BDC" w:rsidRPr="0044366D" w:rsidRDefault="00353BDC" w:rsidP="00401306">
            <w:pPr>
              <w:tabs>
                <w:tab w:val="left" w:pos="360"/>
              </w:tabs>
              <w:rPr>
                <w:color w:val="000000"/>
                <w:sz w:val="20"/>
                <w:u w:val="single"/>
              </w:rPr>
            </w:pPr>
            <w:r w:rsidRPr="0044366D">
              <w:rPr>
                <w:color w:val="000000"/>
                <w:sz w:val="20"/>
                <w:u w:val="single"/>
              </w:rPr>
              <w:t xml:space="preserve">Za účetní období započaté přede dnem 1. ledna 2028 se zpráva o udržitelnosti osoby ze třetí země a konsolidovaná zpráva o udržitelnosti osoby ze třetí země nezveřejňují. </w:t>
            </w:r>
          </w:p>
          <w:p w14:paraId="31C229C4" w14:textId="77777777" w:rsidR="00353BDC" w:rsidRPr="00132DA7" w:rsidRDefault="00353BDC" w:rsidP="00401306">
            <w:pPr>
              <w:tabs>
                <w:tab w:val="left" w:pos="360"/>
              </w:tabs>
              <w:rPr>
                <w:color w:val="000000"/>
                <w:sz w:val="19"/>
                <w:szCs w:val="19"/>
              </w:rPr>
            </w:pPr>
          </w:p>
        </w:tc>
        <w:tc>
          <w:tcPr>
            <w:tcW w:w="1276" w:type="dxa"/>
            <w:tcBorders>
              <w:top w:val="single" w:sz="4" w:space="0" w:color="auto"/>
              <w:bottom w:val="single" w:sz="4" w:space="0" w:color="auto"/>
            </w:tcBorders>
          </w:tcPr>
          <w:p w14:paraId="00C91EB8" w14:textId="77777777" w:rsidR="00353BDC" w:rsidRDefault="00353BDC" w:rsidP="00401306">
            <w:pPr>
              <w:tabs>
                <w:tab w:val="left" w:pos="360"/>
              </w:tabs>
              <w:rPr>
                <w:rFonts w:cs="Arial"/>
                <w:sz w:val="20"/>
              </w:rPr>
            </w:pPr>
            <w:r>
              <w:rPr>
                <w:rFonts w:cs="Arial"/>
                <w:sz w:val="20"/>
              </w:rPr>
              <w:t>32022L2464</w:t>
            </w:r>
          </w:p>
        </w:tc>
        <w:tc>
          <w:tcPr>
            <w:tcW w:w="1559" w:type="dxa"/>
            <w:tcBorders>
              <w:top w:val="single" w:sz="4" w:space="0" w:color="auto"/>
              <w:bottom w:val="single" w:sz="4" w:space="0" w:color="auto"/>
            </w:tcBorders>
            <w:shd w:val="clear" w:color="auto" w:fill="auto"/>
          </w:tcPr>
          <w:p w14:paraId="3EAC3C81" w14:textId="77777777" w:rsidR="00353BDC" w:rsidRDefault="00353BDC" w:rsidP="00401306">
            <w:pPr>
              <w:tabs>
                <w:tab w:val="left" w:pos="360"/>
              </w:tabs>
              <w:rPr>
                <w:rFonts w:cs="Arial"/>
                <w:sz w:val="20"/>
              </w:rPr>
            </w:pPr>
            <w:r>
              <w:rPr>
                <w:rFonts w:cs="Arial"/>
                <w:sz w:val="20"/>
              </w:rPr>
              <w:t>Čl. 5 odst. 2 druhý pododstavec</w:t>
            </w:r>
          </w:p>
        </w:tc>
        <w:tc>
          <w:tcPr>
            <w:tcW w:w="4678" w:type="dxa"/>
            <w:tcBorders>
              <w:top w:val="single" w:sz="4" w:space="0" w:color="auto"/>
              <w:bottom w:val="single" w:sz="4" w:space="0" w:color="auto"/>
            </w:tcBorders>
            <w:shd w:val="clear" w:color="auto" w:fill="auto"/>
          </w:tcPr>
          <w:p w14:paraId="7099FB86" w14:textId="77777777" w:rsidR="00353BDC" w:rsidRPr="00DF3DE1" w:rsidRDefault="00353BDC" w:rsidP="00401306">
            <w:pPr>
              <w:tabs>
                <w:tab w:val="left" w:pos="360"/>
              </w:tabs>
              <w:rPr>
                <w:rFonts w:cs="Arial"/>
                <w:sz w:val="20"/>
              </w:rPr>
            </w:pPr>
            <w:r w:rsidRPr="00E01EF0">
              <w:rPr>
                <w:rFonts w:cs="Arial"/>
                <w:sz w:val="20"/>
              </w:rPr>
              <w:t>Členské státy použijí předpisy nezbytné pro dosažení souladu s čl. 1 bodem 14 pro účetní období začínající dne 1. ledna 2028nebo později.</w:t>
            </w:r>
          </w:p>
        </w:tc>
      </w:tr>
      <w:tr w:rsidR="00353BDC" w:rsidRPr="00FA795B" w14:paraId="07525433" w14:textId="77777777" w:rsidTr="00401306">
        <w:trPr>
          <w:cantSplit/>
        </w:trPr>
        <w:tc>
          <w:tcPr>
            <w:tcW w:w="1418" w:type="dxa"/>
            <w:tcBorders>
              <w:top w:val="single" w:sz="4" w:space="0" w:color="auto"/>
              <w:bottom w:val="nil"/>
            </w:tcBorders>
          </w:tcPr>
          <w:p w14:paraId="3BDBA15D" w14:textId="77777777" w:rsidR="00353BDC" w:rsidRDefault="00353BDC" w:rsidP="00401306">
            <w:pPr>
              <w:tabs>
                <w:tab w:val="left" w:pos="360"/>
              </w:tabs>
              <w:rPr>
                <w:rFonts w:cs="Arial"/>
                <w:sz w:val="20"/>
              </w:rPr>
            </w:pPr>
            <w:r>
              <w:rPr>
                <w:rFonts w:cs="Arial"/>
                <w:sz w:val="20"/>
              </w:rPr>
              <w:lastRenderedPageBreak/>
              <w:t>Čl. II Přechodná ustanovení, bod 9</w:t>
            </w:r>
          </w:p>
        </w:tc>
        <w:tc>
          <w:tcPr>
            <w:tcW w:w="5245" w:type="dxa"/>
            <w:tcBorders>
              <w:top w:val="single" w:sz="4" w:space="0" w:color="auto"/>
              <w:bottom w:val="nil"/>
            </w:tcBorders>
          </w:tcPr>
          <w:p w14:paraId="73CA3C5B" w14:textId="77777777" w:rsidR="00353BDC" w:rsidRPr="0044366D" w:rsidRDefault="00353BDC" w:rsidP="00401306">
            <w:pPr>
              <w:tabs>
                <w:tab w:val="left" w:pos="360"/>
              </w:tabs>
              <w:rPr>
                <w:color w:val="000000"/>
                <w:sz w:val="20"/>
                <w:u w:val="single"/>
              </w:rPr>
            </w:pPr>
            <w:r w:rsidRPr="0044366D">
              <w:rPr>
                <w:color w:val="000000"/>
                <w:sz w:val="20"/>
                <w:u w:val="single"/>
              </w:rPr>
              <w:t>Nemá-li účetní jednotka k dispozici nezbytné údaje o svém hodnotovém řetězci, vysvětlí ve zprávě o udržitelnosti nebo konsolidované zprávě o udržitelnosti úsilí, které vynaložila za účelem získání těchto informací, a uvede důvody, proč tyto informace nebylo možné získat, a způsoby, jakými budou tyto informace získány v budoucích účetních obdobích, a to v účetních obdobích započatých do dne</w:t>
            </w:r>
          </w:p>
          <w:p w14:paraId="307A6B84" w14:textId="77777777" w:rsidR="00353BDC" w:rsidRPr="0044366D" w:rsidRDefault="00353BDC" w:rsidP="00401306">
            <w:pPr>
              <w:tabs>
                <w:tab w:val="left" w:pos="360"/>
              </w:tabs>
              <w:rPr>
                <w:color w:val="000000"/>
                <w:sz w:val="20"/>
                <w:u w:val="single"/>
              </w:rPr>
            </w:pPr>
            <w:r w:rsidRPr="0044366D">
              <w:rPr>
                <w:color w:val="000000"/>
                <w:sz w:val="20"/>
                <w:u w:val="single"/>
              </w:rPr>
              <w:t>a) 31. prosince 2026, jde-li o velkou účetní jednotku, která je</w:t>
            </w:r>
          </w:p>
          <w:p w14:paraId="637B758D" w14:textId="77777777" w:rsidR="00353BDC" w:rsidRPr="0044366D" w:rsidRDefault="00353BDC" w:rsidP="00401306">
            <w:pPr>
              <w:tabs>
                <w:tab w:val="left" w:pos="360"/>
              </w:tabs>
              <w:rPr>
                <w:color w:val="000000"/>
                <w:sz w:val="20"/>
                <w:u w:val="single"/>
              </w:rPr>
            </w:pPr>
            <w:proofErr w:type="gramStart"/>
            <w:r w:rsidRPr="0044366D">
              <w:rPr>
                <w:color w:val="000000"/>
                <w:sz w:val="20"/>
                <w:u w:val="single"/>
              </w:rPr>
              <w:t>1.subjektem</w:t>
            </w:r>
            <w:proofErr w:type="gramEnd"/>
            <w:r w:rsidRPr="0044366D">
              <w:rPr>
                <w:color w:val="000000"/>
                <w:sz w:val="20"/>
                <w:u w:val="single"/>
              </w:rPr>
              <w:t xml:space="preserve"> veřejného zájmu a</w:t>
            </w:r>
          </w:p>
          <w:p w14:paraId="125990D2" w14:textId="77777777" w:rsidR="00353BDC" w:rsidRPr="0044366D" w:rsidRDefault="00353BDC" w:rsidP="00401306">
            <w:pPr>
              <w:tabs>
                <w:tab w:val="left" w:pos="360"/>
              </w:tabs>
              <w:rPr>
                <w:color w:val="000000"/>
                <w:sz w:val="20"/>
                <w:u w:val="single"/>
              </w:rPr>
            </w:pPr>
            <w:r w:rsidRPr="0044366D">
              <w:rPr>
                <w:color w:val="000000"/>
                <w:sz w:val="20"/>
                <w:u w:val="single"/>
              </w:rPr>
              <w:t>2. k rozvahovému dni překročila kritérium průměrného počtu 500 zaměstnanců za účetní období,</w:t>
            </w:r>
          </w:p>
          <w:p w14:paraId="11157FAA" w14:textId="77777777" w:rsidR="00353BDC" w:rsidRPr="0044366D" w:rsidRDefault="00353BDC" w:rsidP="00401306">
            <w:pPr>
              <w:tabs>
                <w:tab w:val="left" w:pos="360"/>
              </w:tabs>
              <w:rPr>
                <w:color w:val="000000"/>
                <w:sz w:val="20"/>
                <w:u w:val="single"/>
              </w:rPr>
            </w:pPr>
          </w:p>
          <w:p w14:paraId="00CF5927" w14:textId="77777777" w:rsidR="00353BDC" w:rsidRPr="0044366D" w:rsidRDefault="00353BDC" w:rsidP="00401306">
            <w:pPr>
              <w:tabs>
                <w:tab w:val="left" w:pos="360"/>
              </w:tabs>
              <w:rPr>
                <w:color w:val="000000"/>
                <w:sz w:val="20"/>
                <w:u w:val="single"/>
              </w:rPr>
            </w:pPr>
            <w:proofErr w:type="gramStart"/>
            <w:r w:rsidRPr="0044366D">
              <w:rPr>
                <w:color w:val="000000"/>
                <w:sz w:val="20"/>
                <w:u w:val="single"/>
              </w:rPr>
              <w:t>b) 31</w:t>
            </w:r>
            <w:proofErr w:type="gramEnd"/>
            <w:r w:rsidRPr="0044366D">
              <w:rPr>
                <w:color w:val="000000"/>
                <w:sz w:val="20"/>
                <w:u w:val="single"/>
              </w:rPr>
              <w:t xml:space="preserve">. prosince 2026, jde-li o konsolidující účetní jednotku velké skupiny účetních jednotek, </w:t>
            </w:r>
            <w:proofErr w:type="gramStart"/>
            <w:r w:rsidRPr="0044366D">
              <w:rPr>
                <w:color w:val="000000"/>
                <w:sz w:val="20"/>
                <w:u w:val="single"/>
              </w:rPr>
              <w:t>která</w:t>
            </w:r>
            <w:proofErr w:type="gramEnd"/>
          </w:p>
          <w:p w14:paraId="2D9BF015" w14:textId="77777777" w:rsidR="00353BDC" w:rsidRPr="0044366D" w:rsidRDefault="00353BDC" w:rsidP="00401306">
            <w:pPr>
              <w:tabs>
                <w:tab w:val="left" w:pos="360"/>
              </w:tabs>
              <w:rPr>
                <w:color w:val="000000"/>
                <w:sz w:val="20"/>
                <w:u w:val="single"/>
              </w:rPr>
            </w:pPr>
            <w:r w:rsidRPr="0044366D">
              <w:rPr>
                <w:color w:val="000000"/>
                <w:sz w:val="20"/>
                <w:u w:val="single"/>
              </w:rPr>
              <w:t>1. je subjektem veřejného zájmu a</w:t>
            </w:r>
          </w:p>
          <w:p w14:paraId="525610F9" w14:textId="77777777" w:rsidR="00353BDC" w:rsidRPr="0044366D" w:rsidRDefault="00353BDC" w:rsidP="00401306">
            <w:pPr>
              <w:tabs>
                <w:tab w:val="left" w:pos="360"/>
              </w:tabs>
              <w:rPr>
                <w:color w:val="000000"/>
                <w:sz w:val="20"/>
                <w:u w:val="single"/>
              </w:rPr>
            </w:pPr>
            <w:r w:rsidRPr="0044366D">
              <w:rPr>
                <w:color w:val="000000"/>
                <w:sz w:val="20"/>
                <w:u w:val="single"/>
              </w:rPr>
              <w:t xml:space="preserve">2. na konsolidovaném základě překročila kritérium průměrného počtu 500 zaměstnanců v průběhu účetního období, </w:t>
            </w:r>
          </w:p>
          <w:p w14:paraId="4AD60067" w14:textId="77777777" w:rsidR="00353BDC" w:rsidRPr="0044366D" w:rsidRDefault="00353BDC" w:rsidP="00401306">
            <w:pPr>
              <w:tabs>
                <w:tab w:val="left" w:pos="360"/>
              </w:tabs>
              <w:rPr>
                <w:color w:val="000000"/>
                <w:sz w:val="20"/>
                <w:u w:val="single"/>
              </w:rPr>
            </w:pPr>
          </w:p>
          <w:p w14:paraId="0EDA4CC8" w14:textId="77777777" w:rsidR="00353BDC" w:rsidRPr="0044366D" w:rsidRDefault="00353BDC" w:rsidP="00401306">
            <w:pPr>
              <w:tabs>
                <w:tab w:val="left" w:pos="360"/>
              </w:tabs>
              <w:rPr>
                <w:color w:val="000000"/>
                <w:sz w:val="20"/>
                <w:u w:val="single"/>
              </w:rPr>
            </w:pPr>
            <w:r w:rsidRPr="0044366D">
              <w:rPr>
                <w:color w:val="000000"/>
                <w:sz w:val="20"/>
                <w:u w:val="single"/>
              </w:rPr>
              <w:t>c) 31. prosince 2027, jde-li o velkou účetní jednotku neuvedenou v písm. a) a e), nebo</w:t>
            </w:r>
          </w:p>
          <w:p w14:paraId="67C05491" w14:textId="77777777" w:rsidR="00353BDC" w:rsidRPr="0044366D" w:rsidRDefault="00353BDC" w:rsidP="00401306">
            <w:pPr>
              <w:tabs>
                <w:tab w:val="left" w:pos="360"/>
              </w:tabs>
              <w:rPr>
                <w:color w:val="000000"/>
                <w:sz w:val="20"/>
                <w:u w:val="single"/>
              </w:rPr>
            </w:pPr>
          </w:p>
          <w:p w14:paraId="58793C8E" w14:textId="77777777" w:rsidR="00353BDC" w:rsidRPr="0044366D" w:rsidRDefault="00353BDC" w:rsidP="00401306">
            <w:pPr>
              <w:tabs>
                <w:tab w:val="left" w:pos="360"/>
              </w:tabs>
              <w:rPr>
                <w:color w:val="000000"/>
                <w:sz w:val="20"/>
                <w:u w:val="single"/>
              </w:rPr>
            </w:pPr>
            <w:r w:rsidRPr="0044366D">
              <w:rPr>
                <w:color w:val="000000"/>
                <w:sz w:val="20"/>
                <w:u w:val="single"/>
              </w:rPr>
              <w:t>d) 31. prosince 2027, jde-li o konsolidující účetní jednotku velké skupiny účetních jednotek neuvedenou v písm. b),</w:t>
            </w:r>
          </w:p>
          <w:p w14:paraId="3E14F36B" w14:textId="77777777" w:rsidR="00353BDC" w:rsidRPr="0044366D" w:rsidRDefault="00353BDC" w:rsidP="00401306">
            <w:pPr>
              <w:tabs>
                <w:tab w:val="left" w:pos="360"/>
              </w:tabs>
              <w:rPr>
                <w:color w:val="000000"/>
                <w:sz w:val="20"/>
                <w:u w:val="single"/>
              </w:rPr>
            </w:pPr>
          </w:p>
          <w:p w14:paraId="44CB35EC" w14:textId="77777777" w:rsidR="00353BDC" w:rsidRPr="0044366D" w:rsidRDefault="00353BDC" w:rsidP="00401306">
            <w:pPr>
              <w:tabs>
                <w:tab w:val="left" w:pos="360"/>
              </w:tabs>
              <w:rPr>
                <w:color w:val="000000"/>
                <w:sz w:val="20"/>
                <w:u w:val="single"/>
              </w:rPr>
            </w:pPr>
            <w:r w:rsidRPr="0044366D">
              <w:rPr>
                <w:color w:val="000000"/>
                <w:sz w:val="20"/>
                <w:u w:val="single"/>
              </w:rPr>
              <w:t xml:space="preserve">e) 31. prosince 2028, jde-li o </w:t>
            </w:r>
          </w:p>
          <w:p w14:paraId="42E087B6" w14:textId="77777777" w:rsidR="00353BDC" w:rsidRPr="0044366D" w:rsidRDefault="00353BDC" w:rsidP="00401306">
            <w:pPr>
              <w:tabs>
                <w:tab w:val="left" w:pos="360"/>
              </w:tabs>
              <w:rPr>
                <w:color w:val="000000"/>
                <w:sz w:val="20"/>
                <w:u w:val="single"/>
              </w:rPr>
            </w:pPr>
            <w:r w:rsidRPr="0044366D">
              <w:rPr>
                <w:color w:val="000000"/>
                <w:sz w:val="20"/>
                <w:u w:val="single"/>
              </w:rPr>
              <w:t xml:space="preserve">1. střední účetní jednotku nebo o malou účetní jednotku, nebo </w:t>
            </w:r>
          </w:p>
          <w:p w14:paraId="3AC316F3" w14:textId="77777777" w:rsidR="00353BDC" w:rsidRPr="0044366D" w:rsidRDefault="00353BDC" w:rsidP="00401306">
            <w:pPr>
              <w:tabs>
                <w:tab w:val="left" w:pos="360"/>
              </w:tabs>
              <w:rPr>
                <w:color w:val="000000"/>
                <w:sz w:val="20"/>
                <w:u w:val="single"/>
              </w:rPr>
            </w:pPr>
            <w:r w:rsidRPr="0044366D">
              <w:rPr>
                <w:color w:val="000000"/>
                <w:sz w:val="20"/>
                <w:u w:val="single"/>
              </w:rPr>
              <w:t>2. účetní jednotku, která je malou a nepříliš složitou institucí podle přímo použitelného předpisu Evropské unie upravujícího obezřetnostní požadavky na úvěrové instituce</w:t>
            </w:r>
            <w:r w:rsidRPr="0044366D">
              <w:rPr>
                <w:color w:val="000000"/>
                <w:sz w:val="20"/>
                <w:u w:val="single"/>
                <w:vertAlign w:val="superscript"/>
              </w:rPr>
              <w:t>11)</w:t>
            </w:r>
            <w:r w:rsidRPr="0044366D">
              <w:rPr>
                <w:color w:val="000000"/>
                <w:sz w:val="20"/>
                <w:u w:val="single"/>
              </w:rPr>
              <w:t xml:space="preserve"> nebo </w:t>
            </w:r>
            <w:proofErr w:type="spellStart"/>
            <w:r w:rsidRPr="0044366D">
              <w:rPr>
                <w:color w:val="000000"/>
                <w:sz w:val="20"/>
                <w:u w:val="single"/>
              </w:rPr>
              <w:t>kaptivní</w:t>
            </w:r>
            <w:proofErr w:type="spellEnd"/>
            <w:r w:rsidRPr="0044366D">
              <w:rPr>
                <w:color w:val="000000"/>
                <w:sz w:val="20"/>
                <w:u w:val="single"/>
              </w:rPr>
              <w:t xml:space="preserve"> pojišťovnou nebo </w:t>
            </w:r>
            <w:proofErr w:type="spellStart"/>
            <w:r w:rsidRPr="0044366D">
              <w:rPr>
                <w:color w:val="000000"/>
                <w:sz w:val="20"/>
                <w:u w:val="single"/>
              </w:rPr>
              <w:t>kaptivní</w:t>
            </w:r>
            <w:proofErr w:type="spellEnd"/>
            <w:r w:rsidRPr="0044366D">
              <w:rPr>
                <w:color w:val="000000"/>
                <w:sz w:val="20"/>
                <w:u w:val="single"/>
              </w:rPr>
              <w:t xml:space="preserve"> zajišťovnou podle zákona upravujícího pojišťovnictví.</w:t>
            </w:r>
          </w:p>
        </w:tc>
        <w:tc>
          <w:tcPr>
            <w:tcW w:w="1276" w:type="dxa"/>
            <w:tcBorders>
              <w:top w:val="single" w:sz="4" w:space="0" w:color="auto"/>
              <w:bottom w:val="nil"/>
            </w:tcBorders>
          </w:tcPr>
          <w:p w14:paraId="69544D34"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nil"/>
            </w:tcBorders>
            <w:shd w:val="clear" w:color="auto" w:fill="auto"/>
          </w:tcPr>
          <w:p w14:paraId="6222B76E" w14:textId="77777777" w:rsidR="00353BDC" w:rsidRDefault="00353BDC" w:rsidP="00401306">
            <w:pPr>
              <w:tabs>
                <w:tab w:val="left" w:pos="360"/>
              </w:tabs>
              <w:rPr>
                <w:rFonts w:cs="Arial"/>
                <w:sz w:val="20"/>
              </w:rPr>
            </w:pPr>
            <w:r>
              <w:rPr>
                <w:rFonts w:cs="Arial"/>
                <w:sz w:val="20"/>
              </w:rPr>
              <w:t>Čl. 19a odst. 3 druhý pododstavec</w:t>
            </w:r>
          </w:p>
        </w:tc>
        <w:tc>
          <w:tcPr>
            <w:tcW w:w="4678" w:type="dxa"/>
            <w:tcBorders>
              <w:top w:val="single" w:sz="4" w:space="0" w:color="auto"/>
              <w:bottom w:val="nil"/>
            </w:tcBorders>
            <w:shd w:val="clear" w:color="auto" w:fill="auto"/>
          </w:tcPr>
          <w:p w14:paraId="68E3D43F" w14:textId="77777777" w:rsidR="00353BDC" w:rsidRPr="00E01EF0" w:rsidRDefault="00353BDC" w:rsidP="00401306">
            <w:pPr>
              <w:tabs>
                <w:tab w:val="left" w:pos="360"/>
              </w:tabs>
              <w:rPr>
                <w:rFonts w:cs="Arial"/>
                <w:sz w:val="20"/>
              </w:rPr>
            </w:pPr>
            <w:r w:rsidRPr="001550BD">
              <w:rPr>
                <w:rFonts w:cs="Arial"/>
                <w:sz w:val="20"/>
              </w:rPr>
              <w:t>V prvních třech letech uplatňování předpisů přijatých členskými státy podle čl. 5 odst. 2 směrnice Evropského parlame</w:t>
            </w:r>
            <w:r>
              <w:rPr>
                <w:rFonts w:cs="Arial"/>
                <w:sz w:val="20"/>
              </w:rPr>
              <w:t xml:space="preserve">ntu a Rady (EU) 2022/2464 </w:t>
            </w:r>
            <w:r w:rsidRPr="001550BD">
              <w:rPr>
                <w:rFonts w:cs="Arial"/>
                <w:sz w:val="20"/>
              </w:rPr>
              <w:t>a v případě, že nejsou k dispozici všechny nezbytné informace o jeho hodnotovém řetězci, podnik vysvětlí úsilí, které na získání nezbytných informací vynaložil, důvody, proč veškeré nezbytné informace nebylo možné získat, a své plány na získání nezbytných informací v budoucnu.</w:t>
            </w:r>
          </w:p>
        </w:tc>
      </w:tr>
      <w:tr w:rsidR="00353BDC" w:rsidRPr="00FA795B" w14:paraId="00F94418" w14:textId="77777777" w:rsidTr="00401306">
        <w:trPr>
          <w:cantSplit/>
        </w:trPr>
        <w:tc>
          <w:tcPr>
            <w:tcW w:w="1418" w:type="dxa"/>
            <w:tcBorders>
              <w:top w:val="nil"/>
              <w:bottom w:val="single" w:sz="4" w:space="0" w:color="auto"/>
            </w:tcBorders>
          </w:tcPr>
          <w:p w14:paraId="7C74DDCC" w14:textId="77777777" w:rsidR="00353BDC" w:rsidRDefault="00353BDC" w:rsidP="00401306">
            <w:pPr>
              <w:tabs>
                <w:tab w:val="left" w:pos="360"/>
              </w:tabs>
              <w:rPr>
                <w:rFonts w:cs="Arial"/>
                <w:sz w:val="20"/>
              </w:rPr>
            </w:pPr>
          </w:p>
        </w:tc>
        <w:tc>
          <w:tcPr>
            <w:tcW w:w="5245" w:type="dxa"/>
            <w:tcBorders>
              <w:top w:val="nil"/>
              <w:bottom w:val="single" w:sz="4" w:space="0" w:color="auto"/>
            </w:tcBorders>
          </w:tcPr>
          <w:p w14:paraId="2A6DE0EF" w14:textId="77777777" w:rsidR="00353BDC" w:rsidRPr="001550BD" w:rsidRDefault="00353BDC" w:rsidP="00401306">
            <w:pPr>
              <w:tabs>
                <w:tab w:val="left" w:pos="360"/>
              </w:tabs>
              <w:rPr>
                <w:color w:val="000000"/>
                <w:sz w:val="19"/>
                <w:szCs w:val="19"/>
                <w:u w:val="single"/>
              </w:rPr>
            </w:pPr>
          </w:p>
        </w:tc>
        <w:tc>
          <w:tcPr>
            <w:tcW w:w="1276" w:type="dxa"/>
            <w:tcBorders>
              <w:top w:val="nil"/>
              <w:bottom w:val="single" w:sz="4" w:space="0" w:color="auto"/>
            </w:tcBorders>
          </w:tcPr>
          <w:p w14:paraId="545AF42F" w14:textId="77777777" w:rsidR="00353BDC" w:rsidRDefault="00353BDC" w:rsidP="00401306">
            <w:pPr>
              <w:tabs>
                <w:tab w:val="left" w:pos="360"/>
              </w:tabs>
              <w:rPr>
                <w:rFonts w:cs="Arial"/>
                <w:sz w:val="20"/>
              </w:rPr>
            </w:pPr>
            <w:r>
              <w:rPr>
                <w:rFonts w:cs="Arial"/>
                <w:sz w:val="20"/>
              </w:rPr>
              <w:t>32013L004 ve znění 32022L2464</w:t>
            </w:r>
          </w:p>
        </w:tc>
        <w:tc>
          <w:tcPr>
            <w:tcW w:w="1559" w:type="dxa"/>
            <w:tcBorders>
              <w:top w:val="nil"/>
              <w:bottom w:val="single" w:sz="4" w:space="0" w:color="auto"/>
            </w:tcBorders>
            <w:shd w:val="clear" w:color="auto" w:fill="auto"/>
          </w:tcPr>
          <w:p w14:paraId="4056943A" w14:textId="77777777" w:rsidR="00353BDC" w:rsidRDefault="00353BDC" w:rsidP="00401306">
            <w:pPr>
              <w:tabs>
                <w:tab w:val="left" w:pos="360"/>
              </w:tabs>
              <w:rPr>
                <w:rFonts w:cs="Arial"/>
                <w:sz w:val="20"/>
              </w:rPr>
            </w:pPr>
            <w:r>
              <w:rPr>
                <w:rFonts w:cs="Arial"/>
                <w:sz w:val="20"/>
              </w:rPr>
              <w:t>Čl. 29a odst. 3 druhý pododstavec</w:t>
            </w:r>
          </w:p>
        </w:tc>
        <w:tc>
          <w:tcPr>
            <w:tcW w:w="4678" w:type="dxa"/>
            <w:tcBorders>
              <w:top w:val="nil"/>
              <w:bottom w:val="single" w:sz="4" w:space="0" w:color="auto"/>
            </w:tcBorders>
            <w:shd w:val="clear" w:color="auto" w:fill="auto"/>
          </w:tcPr>
          <w:p w14:paraId="54815727" w14:textId="77777777" w:rsidR="00353BDC" w:rsidRPr="001550BD" w:rsidRDefault="00353BDC" w:rsidP="00401306">
            <w:pPr>
              <w:tabs>
                <w:tab w:val="left" w:pos="360"/>
              </w:tabs>
              <w:rPr>
                <w:rFonts w:cs="Arial"/>
                <w:sz w:val="20"/>
              </w:rPr>
            </w:pPr>
            <w:r w:rsidRPr="001550BD">
              <w:rPr>
                <w:rFonts w:cs="Arial"/>
                <w:sz w:val="20"/>
              </w:rPr>
              <w:t>V prvních třech letech uplatňování předpisů přijatých členskými státy podle čl. 5 odst. 2 směrnice Evropského parlamentu a Rady (EU) 2022/2464 a v případě, že nejsou k dispozici všechny nezbytné informace o jeho hodnotovém řetězci, mateřský podnik vysvětlí úsilí, které na získání nezbytných informací vynaložil, důvody, proč veškeré nezbytné informace nebylo možné získat, a své plány na získání nezbytných informací v budoucnu.</w:t>
            </w:r>
          </w:p>
        </w:tc>
      </w:tr>
      <w:tr w:rsidR="00353BDC" w:rsidRPr="00FA795B" w14:paraId="398A7557" w14:textId="77777777" w:rsidTr="00401306">
        <w:trPr>
          <w:cantSplit/>
        </w:trPr>
        <w:tc>
          <w:tcPr>
            <w:tcW w:w="1418" w:type="dxa"/>
            <w:tcBorders>
              <w:top w:val="single" w:sz="4" w:space="0" w:color="auto"/>
              <w:bottom w:val="single" w:sz="4" w:space="0" w:color="auto"/>
            </w:tcBorders>
          </w:tcPr>
          <w:p w14:paraId="75B606C9" w14:textId="77777777" w:rsidR="00353BDC" w:rsidRDefault="00353BDC" w:rsidP="00401306">
            <w:pPr>
              <w:tabs>
                <w:tab w:val="left" w:pos="360"/>
              </w:tabs>
              <w:rPr>
                <w:rFonts w:cs="Arial"/>
                <w:sz w:val="20"/>
              </w:rPr>
            </w:pPr>
            <w:r>
              <w:rPr>
                <w:rFonts w:cs="Arial"/>
                <w:sz w:val="20"/>
              </w:rPr>
              <w:lastRenderedPageBreak/>
              <w:t>Čl. II Přechodná ustanovení, bod 10</w:t>
            </w:r>
          </w:p>
        </w:tc>
        <w:tc>
          <w:tcPr>
            <w:tcW w:w="5245" w:type="dxa"/>
            <w:tcBorders>
              <w:top w:val="single" w:sz="4" w:space="0" w:color="auto"/>
              <w:bottom w:val="single" w:sz="4" w:space="0" w:color="auto"/>
            </w:tcBorders>
          </w:tcPr>
          <w:p w14:paraId="632F4474" w14:textId="77777777" w:rsidR="00353BDC" w:rsidRPr="0044366D" w:rsidRDefault="00353BDC" w:rsidP="00401306">
            <w:pPr>
              <w:tabs>
                <w:tab w:val="left" w:pos="360"/>
              </w:tabs>
              <w:rPr>
                <w:color w:val="000000"/>
                <w:sz w:val="20"/>
                <w:u w:val="single"/>
              </w:rPr>
            </w:pPr>
            <w:r w:rsidRPr="0044366D">
              <w:rPr>
                <w:color w:val="000000"/>
                <w:sz w:val="20"/>
                <w:u w:val="single"/>
              </w:rPr>
              <w:t>V účetním období skončeném do dne 6. ledna 2023 se považují podmínky podle § 32g odst. 3 písm. b) a § 32j odst. 3 písm. b) zákona č. 563/1991 Sb., ve znění účinném ode dne nabytí účinnosti tohoto zákona, za splněné, pokud</w:t>
            </w:r>
          </w:p>
          <w:p w14:paraId="2762100D" w14:textId="77777777" w:rsidR="00353BDC" w:rsidRPr="0044366D" w:rsidRDefault="00353BDC" w:rsidP="00401306">
            <w:pPr>
              <w:tabs>
                <w:tab w:val="left" w:pos="360"/>
              </w:tabs>
              <w:rPr>
                <w:color w:val="000000"/>
                <w:sz w:val="20"/>
                <w:u w:val="single"/>
              </w:rPr>
            </w:pPr>
            <w:r w:rsidRPr="0044366D">
              <w:rPr>
                <w:color w:val="000000"/>
                <w:sz w:val="20"/>
                <w:u w:val="single"/>
              </w:rPr>
              <w:t>a) konsolidovanou zprávu o udržitelnosti vyhotovila konsolidovaná účetní jednotka řídící se právem Evropské unie, která je ovládána stejnou nejvyšší konsolidující osobou ze třetí země a která alespoň v 1 z 5 bezprostředně předcházejících účetních období dosáhla ve vztahu k činnosti vykonávané na území Evropské unie na konsolidovaném základě nejvyššího ročního úhrnu čistého obratu ze všech konsolidovaných účetních jednotek této nejvyšší konsolidující osoby,</w:t>
            </w:r>
          </w:p>
          <w:p w14:paraId="780E8A80" w14:textId="77777777" w:rsidR="00353BDC" w:rsidRPr="0044366D" w:rsidRDefault="00353BDC" w:rsidP="00401306">
            <w:pPr>
              <w:tabs>
                <w:tab w:val="left" w:pos="360"/>
              </w:tabs>
              <w:rPr>
                <w:color w:val="000000"/>
                <w:sz w:val="20"/>
                <w:u w:val="single"/>
              </w:rPr>
            </w:pPr>
            <w:r w:rsidRPr="0044366D">
              <w:rPr>
                <w:color w:val="000000"/>
                <w:sz w:val="20"/>
                <w:u w:val="single"/>
              </w:rPr>
              <w:t>b) konsolidovaná zpráva o udržitelnosti podle písmene a) obsahuje informace podle § 32h odst. 3 až 10 zákona č. 563/1991 Sb., ve znění účinném ode dne nabytí účinnosti tohoto zákona, a čl. 8 nařízení Evropského parlamentu a Rady (EU) 2020/852, o zřízení rámce pro usnadnění udržitelných investic a o změně nařízení (EU) 2019/2088, o všech konsolidovaných účetních jednotkách nejvyšší konsolidující osoby ze třetí země řídící se právem členského státu Evropské unie a</w:t>
            </w:r>
          </w:p>
          <w:p w14:paraId="60E45126" w14:textId="77777777" w:rsidR="00353BDC" w:rsidRPr="0091493A" w:rsidRDefault="00353BDC" w:rsidP="00401306">
            <w:pPr>
              <w:tabs>
                <w:tab w:val="left" w:pos="360"/>
              </w:tabs>
              <w:rPr>
                <w:color w:val="000000"/>
                <w:sz w:val="19"/>
                <w:szCs w:val="19"/>
                <w:u w:val="single"/>
              </w:rPr>
            </w:pPr>
            <w:r w:rsidRPr="0044366D">
              <w:rPr>
                <w:color w:val="000000"/>
                <w:sz w:val="20"/>
                <w:u w:val="single"/>
              </w:rPr>
              <w:t>c) konsolidovaná zpráva o udržitelnosti podle písmene a) je zveřejněna ve veřejném rejstříku, v němž je zapsána konsolidovaná účetní jednotka, která ji vyhotovila.</w:t>
            </w:r>
            <w:r>
              <w:rPr>
                <w:color w:val="000000"/>
                <w:sz w:val="19"/>
                <w:szCs w:val="19"/>
                <w:u w:val="single"/>
              </w:rPr>
              <w:t xml:space="preserve"> </w:t>
            </w:r>
          </w:p>
        </w:tc>
        <w:tc>
          <w:tcPr>
            <w:tcW w:w="1276" w:type="dxa"/>
            <w:tcBorders>
              <w:top w:val="single" w:sz="4" w:space="0" w:color="auto"/>
              <w:bottom w:val="single" w:sz="4" w:space="0" w:color="auto"/>
            </w:tcBorders>
          </w:tcPr>
          <w:p w14:paraId="320A1A5D" w14:textId="77777777" w:rsidR="00353BDC" w:rsidRDefault="00353BDC" w:rsidP="00401306">
            <w:pPr>
              <w:tabs>
                <w:tab w:val="left" w:pos="360"/>
              </w:tabs>
              <w:rPr>
                <w:rFonts w:cs="Arial"/>
                <w:sz w:val="20"/>
              </w:rPr>
            </w:pPr>
            <w:r>
              <w:rPr>
                <w:rFonts w:cs="Arial"/>
                <w:sz w:val="20"/>
              </w:rPr>
              <w:t>32013L0034 ve znění 32022L2464</w:t>
            </w:r>
          </w:p>
        </w:tc>
        <w:tc>
          <w:tcPr>
            <w:tcW w:w="1559" w:type="dxa"/>
            <w:tcBorders>
              <w:top w:val="single" w:sz="4" w:space="0" w:color="auto"/>
              <w:bottom w:val="single" w:sz="4" w:space="0" w:color="auto"/>
            </w:tcBorders>
            <w:shd w:val="clear" w:color="auto" w:fill="auto"/>
          </w:tcPr>
          <w:p w14:paraId="48A2296B" w14:textId="77777777" w:rsidR="00353BDC" w:rsidRDefault="00353BDC" w:rsidP="00401306">
            <w:pPr>
              <w:tabs>
                <w:tab w:val="left" w:pos="360"/>
              </w:tabs>
              <w:rPr>
                <w:rFonts w:cs="Arial"/>
                <w:sz w:val="20"/>
              </w:rPr>
            </w:pPr>
            <w:r>
              <w:rPr>
                <w:rFonts w:cs="Arial"/>
                <w:sz w:val="20"/>
              </w:rPr>
              <w:t>Čl. 48i</w:t>
            </w:r>
          </w:p>
        </w:tc>
        <w:tc>
          <w:tcPr>
            <w:tcW w:w="4678" w:type="dxa"/>
            <w:tcBorders>
              <w:top w:val="single" w:sz="4" w:space="0" w:color="auto"/>
              <w:bottom w:val="single" w:sz="4" w:space="0" w:color="auto"/>
            </w:tcBorders>
            <w:shd w:val="clear" w:color="auto" w:fill="auto"/>
          </w:tcPr>
          <w:p w14:paraId="101BBA3A" w14:textId="77777777" w:rsidR="00353BDC" w:rsidRPr="0044366D" w:rsidRDefault="00353BDC" w:rsidP="00401306">
            <w:pPr>
              <w:tabs>
                <w:tab w:val="left" w:pos="360"/>
              </w:tabs>
              <w:rPr>
                <w:rFonts w:cs="Arial"/>
                <w:sz w:val="20"/>
              </w:rPr>
            </w:pPr>
            <w:r w:rsidRPr="0044366D">
              <w:rPr>
                <w:rFonts w:cs="Arial"/>
                <w:sz w:val="20"/>
              </w:rPr>
              <w:t xml:space="preserve">1. Do 6. ledna 2030 povolí členské státy dceřinému podniku v Unii, na který se vztahují články 19a nebo 29a a jehož mateřský podnik se neřídí právem členského státu, aby vypracovával konsolidované zprávy o udržitelnosti v souladu s požadavky článku 29a, které zahrnují všechny unijní dceřiné podniky tohoto mateřského podniku, na něž se vztahují články 19a nebo 29a. </w:t>
            </w:r>
          </w:p>
          <w:p w14:paraId="12C3FA12" w14:textId="77777777" w:rsidR="00353BDC" w:rsidRPr="0044366D" w:rsidRDefault="00353BDC" w:rsidP="00401306">
            <w:pPr>
              <w:tabs>
                <w:tab w:val="left" w:pos="360"/>
              </w:tabs>
              <w:rPr>
                <w:rFonts w:cs="Arial"/>
                <w:sz w:val="20"/>
              </w:rPr>
            </w:pPr>
            <w:r w:rsidRPr="0044366D">
              <w:rPr>
                <w:rFonts w:cs="Arial"/>
                <w:sz w:val="20"/>
              </w:rPr>
              <w:t xml:space="preserve">Do 6. ledna 2030 povolí členské státy, aby konsolidované zprávy o udržitelnosti uvedené v prvním pododstavci tohoto odstavce zahrnovaly informace povinně zveřejňované podle článku 8 nařízení (EU) 2020/852, které zahrnují činnosti vykonávané všemi unijními dceřinými podniky mateřského podniku uvedeného v prvním pododstavci tohoto odstavce, na něž se vztahují články 19a nebo 29a této směrnice. </w:t>
            </w:r>
          </w:p>
          <w:p w14:paraId="035D4475" w14:textId="77777777" w:rsidR="00353BDC" w:rsidRPr="0044366D" w:rsidRDefault="00353BDC" w:rsidP="00401306">
            <w:pPr>
              <w:tabs>
                <w:tab w:val="left" w:pos="360"/>
              </w:tabs>
              <w:rPr>
                <w:rFonts w:cs="Arial"/>
                <w:sz w:val="20"/>
              </w:rPr>
            </w:pPr>
            <w:r w:rsidRPr="0044366D">
              <w:rPr>
                <w:rFonts w:cs="Arial"/>
                <w:sz w:val="20"/>
              </w:rPr>
              <w:t xml:space="preserve">2. Unijní dceřiný podnik uvedený v odstavci 1 musí být jedním z unijních dceřiných podniků skupiny, který dosáhl největšího obratu v Unii alespoň v jednom z předchozích pěti účetních období, případně na konsolidovaném základě. </w:t>
            </w:r>
          </w:p>
          <w:p w14:paraId="2C17EDA9" w14:textId="77777777" w:rsidR="00353BDC" w:rsidRPr="0044366D" w:rsidRDefault="00353BDC" w:rsidP="00401306">
            <w:pPr>
              <w:tabs>
                <w:tab w:val="left" w:pos="360"/>
              </w:tabs>
              <w:rPr>
                <w:rFonts w:cs="Arial"/>
                <w:sz w:val="20"/>
              </w:rPr>
            </w:pPr>
            <w:r w:rsidRPr="0044366D">
              <w:rPr>
                <w:rFonts w:cs="Arial"/>
                <w:sz w:val="20"/>
              </w:rPr>
              <w:t xml:space="preserve">3. Konsolidovaná zpráva o udržitelnosti uvedená v odstavci 1 tohoto článku se zveřejňuje v souladu s článkem 30. </w:t>
            </w:r>
          </w:p>
          <w:p w14:paraId="2D0525DE" w14:textId="77777777" w:rsidR="00353BDC" w:rsidRPr="001550BD" w:rsidRDefault="00353BDC" w:rsidP="00401306">
            <w:pPr>
              <w:tabs>
                <w:tab w:val="left" w:pos="360"/>
              </w:tabs>
              <w:rPr>
                <w:rFonts w:cs="Arial"/>
                <w:sz w:val="20"/>
              </w:rPr>
            </w:pPr>
            <w:r w:rsidRPr="0044366D">
              <w:rPr>
                <w:rFonts w:cs="Arial"/>
                <w:sz w:val="20"/>
              </w:rPr>
              <w:t>4. Pro účely osvobození stanoveného v čl. 19a odst. 9 a čl. 29a odst. 8 se podávání zpráv v souladu s odstavcem 1 tohoto článku považuje za podávání zpráv mateřským podnikem na úrovni skupiny, pokud jde o podniky zahrnuté do konsolidace. Má se za to, že podávání zpráv v souladu s odst. 1 druhým pododstavcem tohoto článku splňuje podmínky uvedené v čl. 19a odst. 9 druhém pododstavci písm. c) a čl. 29a odst. 8 druhém pododstavci písm. c).</w:t>
            </w:r>
          </w:p>
        </w:tc>
      </w:tr>
    </w:tbl>
    <w:p w14:paraId="56F95A46" w14:textId="77777777" w:rsidR="00353BDC" w:rsidRDefault="00353BDC" w:rsidP="00353BDC"/>
    <w:p w14:paraId="3709230B" w14:textId="77777777" w:rsidR="00353BDC" w:rsidRDefault="00353BDC" w:rsidP="00353BDC"/>
    <w:tbl>
      <w:tblPr>
        <w:tblW w:w="14136" w:type="dxa"/>
        <w:tblInd w:w="-112" w:type="dxa"/>
        <w:tblLayout w:type="fixed"/>
        <w:tblCellMar>
          <w:left w:w="0" w:type="dxa"/>
          <w:right w:w="0" w:type="dxa"/>
        </w:tblCellMar>
        <w:tblLook w:val="0000" w:firstRow="0" w:lastRow="0" w:firstColumn="0" w:lastColumn="0" w:noHBand="0" w:noVBand="0"/>
      </w:tblPr>
      <w:tblGrid>
        <w:gridCol w:w="3363"/>
        <w:gridCol w:w="10773"/>
      </w:tblGrid>
      <w:tr w:rsidR="00353BDC" w:rsidRPr="00FA795B" w14:paraId="470317C6" w14:textId="77777777" w:rsidTr="00B1678D">
        <w:trPr>
          <w:cantSplit/>
          <w:tblHeader/>
        </w:trPr>
        <w:tc>
          <w:tcPr>
            <w:tcW w:w="3363" w:type="dxa"/>
            <w:tcBorders>
              <w:top w:val="single" w:sz="8" w:space="0" w:color="000000"/>
              <w:left w:val="single" w:sz="8" w:space="0" w:color="000000"/>
            </w:tcBorders>
            <w:shd w:val="clear" w:color="auto" w:fill="BFBFBF" w:themeFill="background1" w:themeFillShade="BF"/>
          </w:tcPr>
          <w:p w14:paraId="7492413F" w14:textId="77777777" w:rsidR="00353BDC" w:rsidRPr="00B1678D" w:rsidRDefault="00353BDC" w:rsidP="00B1678D">
            <w:pPr>
              <w:keepNext/>
              <w:widowControl w:val="0"/>
              <w:tabs>
                <w:tab w:val="left" w:pos="360"/>
              </w:tabs>
              <w:suppressAutoHyphens/>
              <w:spacing w:before="40" w:after="40" w:line="276" w:lineRule="auto"/>
              <w:ind w:left="57" w:right="113"/>
              <w:rPr>
                <w:b/>
                <w:sz w:val="18"/>
                <w:szCs w:val="18"/>
              </w:rPr>
            </w:pPr>
            <w:r w:rsidRPr="00B1678D">
              <w:rPr>
                <w:b/>
                <w:sz w:val="18"/>
                <w:szCs w:val="18"/>
              </w:rPr>
              <w:t xml:space="preserve">Číslo předpisu EU (kód </w:t>
            </w:r>
            <w:proofErr w:type="spellStart"/>
            <w:r w:rsidRPr="00B1678D">
              <w:rPr>
                <w:b/>
                <w:sz w:val="18"/>
                <w:szCs w:val="18"/>
              </w:rPr>
              <w:t>celex</w:t>
            </w:r>
            <w:proofErr w:type="spellEnd"/>
            <w:r w:rsidRPr="00B1678D">
              <w:rPr>
                <w:b/>
                <w:sz w:val="18"/>
                <w:szCs w:val="18"/>
              </w:rPr>
              <w:t>)</w:t>
            </w:r>
          </w:p>
        </w:tc>
        <w:tc>
          <w:tcPr>
            <w:tcW w:w="10773" w:type="dxa"/>
            <w:tcBorders>
              <w:top w:val="single" w:sz="8" w:space="0" w:color="000000"/>
              <w:left w:val="single" w:sz="8" w:space="0" w:color="000000"/>
              <w:right w:val="single" w:sz="8" w:space="0" w:color="000000"/>
            </w:tcBorders>
            <w:shd w:val="clear" w:color="auto" w:fill="BFBFBF" w:themeFill="background1" w:themeFillShade="BF"/>
          </w:tcPr>
          <w:p w14:paraId="29DE0F70" w14:textId="77777777" w:rsidR="00353BDC" w:rsidRPr="00B1678D" w:rsidRDefault="00353BDC" w:rsidP="00B1678D">
            <w:pPr>
              <w:keepNext/>
              <w:widowControl w:val="0"/>
              <w:tabs>
                <w:tab w:val="left" w:pos="360"/>
              </w:tabs>
              <w:suppressAutoHyphens/>
              <w:spacing w:before="40" w:after="40" w:line="276" w:lineRule="auto"/>
              <w:ind w:left="57" w:right="113"/>
              <w:rPr>
                <w:b/>
                <w:sz w:val="18"/>
                <w:szCs w:val="18"/>
              </w:rPr>
            </w:pPr>
            <w:r w:rsidRPr="00B1678D">
              <w:rPr>
                <w:b/>
                <w:sz w:val="18"/>
                <w:szCs w:val="18"/>
              </w:rPr>
              <w:t>Název předpisu EU</w:t>
            </w:r>
          </w:p>
        </w:tc>
      </w:tr>
      <w:tr w:rsidR="00353BDC" w:rsidRPr="00FA795B" w14:paraId="17448553" w14:textId="77777777" w:rsidTr="00401306">
        <w:trPr>
          <w:cantSplit/>
        </w:trPr>
        <w:tc>
          <w:tcPr>
            <w:tcW w:w="3363" w:type="dxa"/>
            <w:tcBorders>
              <w:top w:val="single" w:sz="8" w:space="0" w:color="000000"/>
              <w:left w:val="single" w:sz="8" w:space="0" w:color="000000"/>
              <w:bottom w:val="single" w:sz="1" w:space="0" w:color="000000"/>
            </w:tcBorders>
          </w:tcPr>
          <w:p w14:paraId="5CB3E9D5" w14:textId="77777777" w:rsidR="00353BDC" w:rsidRPr="00B1678D" w:rsidRDefault="00353BDC" w:rsidP="00B1678D">
            <w:pPr>
              <w:widowControl w:val="0"/>
              <w:spacing w:before="40" w:after="40"/>
              <w:ind w:left="57" w:right="113"/>
              <w:rPr>
                <w:sz w:val="18"/>
                <w:szCs w:val="18"/>
              </w:rPr>
            </w:pPr>
            <w:r w:rsidRPr="00B1678D">
              <w:rPr>
                <w:sz w:val="18"/>
                <w:szCs w:val="18"/>
              </w:rPr>
              <w:t xml:space="preserve">32013L0034 </w:t>
            </w:r>
          </w:p>
        </w:tc>
        <w:tc>
          <w:tcPr>
            <w:tcW w:w="10773" w:type="dxa"/>
            <w:tcBorders>
              <w:top w:val="single" w:sz="8" w:space="0" w:color="000000"/>
              <w:left w:val="single" w:sz="8" w:space="0" w:color="000000"/>
              <w:bottom w:val="single" w:sz="1" w:space="0" w:color="000000"/>
              <w:right w:val="single" w:sz="8" w:space="0" w:color="000000"/>
            </w:tcBorders>
          </w:tcPr>
          <w:p w14:paraId="7D1E8796" w14:textId="77777777" w:rsidR="00353BDC" w:rsidRPr="00B1678D" w:rsidRDefault="00353BDC" w:rsidP="00B1678D">
            <w:pPr>
              <w:widowControl w:val="0"/>
              <w:spacing w:before="40" w:after="40"/>
              <w:ind w:left="57" w:right="113"/>
              <w:rPr>
                <w:sz w:val="18"/>
                <w:szCs w:val="18"/>
              </w:rPr>
            </w:pPr>
            <w:r w:rsidRPr="00B1678D">
              <w:rPr>
                <w:sz w:val="18"/>
                <w:szCs w:val="18"/>
              </w:rPr>
              <w:t>Směrnice Evropského parlamentu a Rady 2013/34/EU ze dne 26. června 2013 o ročních účetních závěrkách, konsolidovaných účetních závěrkách a souvisejících zprávách některých formě podniků, o změně směrnice Evropského parlamentu a Rady 2006/43/ES a o zrušení směrnic Rady 78/660/EHS a 83/349/EHS</w:t>
            </w:r>
          </w:p>
        </w:tc>
      </w:tr>
      <w:tr w:rsidR="00353BDC" w:rsidRPr="00FA795B" w14:paraId="28BC2AD9" w14:textId="77777777" w:rsidTr="00401306">
        <w:trPr>
          <w:cantSplit/>
        </w:trPr>
        <w:tc>
          <w:tcPr>
            <w:tcW w:w="3363" w:type="dxa"/>
            <w:tcBorders>
              <w:left w:val="single" w:sz="8" w:space="0" w:color="000000"/>
              <w:bottom w:val="single" w:sz="4" w:space="0" w:color="auto"/>
            </w:tcBorders>
          </w:tcPr>
          <w:p w14:paraId="3ABB7022" w14:textId="77777777" w:rsidR="00353BDC" w:rsidRPr="00B1678D" w:rsidRDefault="00353BDC" w:rsidP="00B1678D">
            <w:pPr>
              <w:widowControl w:val="0"/>
              <w:spacing w:before="40" w:after="40"/>
              <w:ind w:left="57" w:right="113"/>
              <w:rPr>
                <w:sz w:val="18"/>
                <w:szCs w:val="18"/>
              </w:rPr>
            </w:pPr>
            <w:r w:rsidRPr="00B1678D">
              <w:rPr>
                <w:sz w:val="18"/>
                <w:szCs w:val="18"/>
              </w:rPr>
              <w:t>32021L2101</w:t>
            </w:r>
          </w:p>
        </w:tc>
        <w:tc>
          <w:tcPr>
            <w:tcW w:w="10773" w:type="dxa"/>
            <w:tcBorders>
              <w:left w:val="single" w:sz="8" w:space="0" w:color="000000"/>
              <w:bottom w:val="single" w:sz="4" w:space="0" w:color="auto"/>
              <w:right w:val="single" w:sz="8" w:space="0" w:color="000000"/>
            </w:tcBorders>
          </w:tcPr>
          <w:p w14:paraId="43C99DEB" w14:textId="77777777" w:rsidR="00353BDC" w:rsidRPr="00B1678D" w:rsidRDefault="00353BDC" w:rsidP="00B1678D">
            <w:pPr>
              <w:widowControl w:val="0"/>
              <w:spacing w:before="40" w:after="40"/>
              <w:ind w:left="57" w:right="113"/>
              <w:rPr>
                <w:sz w:val="18"/>
                <w:szCs w:val="18"/>
              </w:rPr>
            </w:pPr>
            <w:r w:rsidRPr="00B1678D">
              <w:rPr>
                <w:sz w:val="18"/>
                <w:szCs w:val="18"/>
              </w:rPr>
              <w:t>Směrnice Evropského parlamentu a Rady (EU) 2021/2101 ze dne 24. listopadu 2021, kterou se mění směrnice 2013/34/EU, pokud jde o zveřejňování informací o dani z příjmů některými podniky a pobočkami</w:t>
            </w:r>
          </w:p>
        </w:tc>
      </w:tr>
      <w:tr w:rsidR="00353BDC" w:rsidRPr="00FA795B" w14:paraId="15037BAC" w14:textId="77777777" w:rsidTr="00401306">
        <w:trPr>
          <w:cantSplit/>
        </w:trPr>
        <w:tc>
          <w:tcPr>
            <w:tcW w:w="3363" w:type="dxa"/>
            <w:tcBorders>
              <w:top w:val="single" w:sz="4" w:space="0" w:color="auto"/>
              <w:left w:val="single" w:sz="8" w:space="0" w:color="000000"/>
              <w:bottom w:val="single" w:sz="4" w:space="0" w:color="auto"/>
            </w:tcBorders>
          </w:tcPr>
          <w:p w14:paraId="55C47E94" w14:textId="77777777" w:rsidR="00353BDC" w:rsidRPr="00B1678D" w:rsidRDefault="00353BDC" w:rsidP="00B1678D">
            <w:pPr>
              <w:widowControl w:val="0"/>
              <w:spacing w:before="40" w:after="40"/>
              <w:ind w:left="57" w:right="113"/>
              <w:rPr>
                <w:sz w:val="18"/>
                <w:szCs w:val="18"/>
              </w:rPr>
            </w:pPr>
            <w:r w:rsidRPr="00B1678D">
              <w:rPr>
                <w:sz w:val="18"/>
                <w:szCs w:val="18"/>
              </w:rPr>
              <w:t>32022L2464</w:t>
            </w:r>
          </w:p>
        </w:tc>
        <w:tc>
          <w:tcPr>
            <w:tcW w:w="10773" w:type="dxa"/>
            <w:tcBorders>
              <w:top w:val="single" w:sz="4" w:space="0" w:color="auto"/>
              <w:left w:val="single" w:sz="8" w:space="0" w:color="000000"/>
              <w:bottom w:val="single" w:sz="4" w:space="0" w:color="auto"/>
              <w:right w:val="single" w:sz="8" w:space="0" w:color="000000"/>
            </w:tcBorders>
          </w:tcPr>
          <w:p w14:paraId="6E38D2FF" w14:textId="77777777" w:rsidR="00353BDC" w:rsidRPr="00B1678D" w:rsidRDefault="00353BDC" w:rsidP="00B1678D">
            <w:pPr>
              <w:widowControl w:val="0"/>
              <w:spacing w:before="40" w:after="40"/>
              <w:ind w:left="57" w:right="113"/>
              <w:rPr>
                <w:sz w:val="18"/>
                <w:szCs w:val="18"/>
              </w:rPr>
            </w:pPr>
            <w:r w:rsidRPr="00B1678D">
              <w:rPr>
                <w:sz w:val="18"/>
                <w:szCs w:val="18"/>
              </w:rPr>
              <w:t>Směrnice Evropského parlamentu a Rady (EU) 2022/2464 ze dne 14. prosince 2022, kterou se mění nařízení (EU) č. 537/2014, směrnice 2004/109/ES, směrnice 2006/43/ES a směrnice 2013/34/EU, pokud jde o podávání zpráv podniků o udržitelnosti</w:t>
            </w:r>
          </w:p>
        </w:tc>
      </w:tr>
      <w:tr w:rsidR="00353BDC" w:rsidRPr="00FA795B" w14:paraId="3A16ED97" w14:textId="77777777" w:rsidTr="00401306">
        <w:trPr>
          <w:cantSplit/>
        </w:trPr>
        <w:tc>
          <w:tcPr>
            <w:tcW w:w="3363" w:type="dxa"/>
            <w:tcBorders>
              <w:top w:val="single" w:sz="4" w:space="0" w:color="auto"/>
              <w:left w:val="single" w:sz="8" w:space="0" w:color="000000"/>
              <w:bottom w:val="single" w:sz="4" w:space="0" w:color="auto"/>
            </w:tcBorders>
          </w:tcPr>
          <w:p w14:paraId="41AC32DA" w14:textId="77777777" w:rsidR="00353BDC" w:rsidRPr="00B1678D" w:rsidRDefault="00353BDC" w:rsidP="00B1678D">
            <w:pPr>
              <w:widowControl w:val="0"/>
              <w:spacing w:before="40" w:after="40"/>
              <w:ind w:left="57" w:right="113"/>
              <w:rPr>
                <w:sz w:val="18"/>
                <w:szCs w:val="18"/>
              </w:rPr>
            </w:pPr>
            <w:r w:rsidRPr="00B1678D">
              <w:rPr>
                <w:sz w:val="18"/>
                <w:szCs w:val="18"/>
              </w:rPr>
              <w:lastRenderedPageBreak/>
              <w:t>32023L2775</w:t>
            </w:r>
          </w:p>
        </w:tc>
        <w:tc>
          <w:tcPr>
            <w:tcW w:w="10773" w:type="dxa"/>
            <w:tcBorders>
              <w:top w:val="single" w:sz="4" w:space="0" w:color="auto"/>
              <w:left w:val="single" w:sz="8" w:space="0" w:color="000000"/>
              <w:bottom w:val="single" w:sz="4" w:space="0" w:color="auto"/>
              <w:right w:val="single" w:sz="8" w:space="0" w:color="000000"/>
            </w:tcBorders>
          </w:tcPr>
          <w:p w14:paraId="0627A5F9" w14:textId="77777777" w:rsidR="00353BDC" w:rsidRPr="00B1678D" w:rsidRDefault="00353BDC" w:rsidP="00B1678D">
            <w:pPr>
              <w:widowControl w:val="0"/>
              <w:spacing w:before="40" w:after="40"/>
              <w:ind w:left="57" w:right="113"/>
              <w:rPr>
                <w:sz w:val="18"/>
                <w:szCs w:val="18"/>
              </w:rPr>
            </w:pPr>
            <w:r w:rsidRPr="00B1678D">
              <w:rPr>
                <w:sz w:val="18"/>
                <w:szCs w:val="18"/>
              </w:rPr>
              <w:t xml:space="preserve">Směrnice v přenesené pravomoci (EU) 2023/2775 ze dne 17. října 2023, kterou se mění směrnice Evropského parlamentu a Rady 2013/34/EU, pokud jde o úpravy kritérií velikosti pro </w:t>
            </w:r>
            <w:proofErr w:type="spellStart"/>
            <w:r w:rsidRPr="00B1678D">
              <w:rPr>
                <w:sz w:val="18"/>
                <w:szCs w:val="18"/>
              </w:rPr>
              <w:t>mikropodniky</w:t>
            </w:r>
            <w:proofErr w:type="spellEnd"/>
            <w:r w:rsidRPr="00B1678D">
              <w:rPr>
                <w:sz w:val="18"/>
                <w:szCs w:val="18"/>
              </w:rPr>
              <w:t xml:space="preserve"> a malé, střední a velké podniky nebo skupiny </w:t>
            </w:r>
          </w:p>
        </w:tc>
      </w:tr>
      <w:tr w:rsidR="00353BDC" w:rsidRPr="00FA795B" w14:paraId="39C10866" w14:textId="77777777" w:rsidTr="00401306">
        <w:trPr>
          <w:cantSplit/>
        </w:trPr>
        <w:tc>
          <w:tcPr>
            <w:tcW w:w="3363" w:type="dxa"/>
            <w:tcBorders>
              <w:top w:val="single" w:sz="4" w:space="0" w:color="auto"/>
              <w:left w:val="single" w:sz="8" w:space="0" w:color="000000"/>
              <w:bottom w:val="single" w:sz="4" w:space="0" w:color="auto"/>
            </w:tcBorders>
          </w:tcPr>
          <w:p w14:paraId="1CA5932C" w14:textId="77777777" w:rsidR="00353BDC" w:rsidRPr="00B1678D" w:rsidRDefault="00353BDC" w:rsidP="00B1678D">
            <w:pPr>
              <w:widowControl w:val="0"/>
              <w:spacing w:before="40" w:after="40"/>
              <w:ind w:left="57" w:right="113"/>
              <w:rPr>
                <w:sz w:val="18"/>
                <w:szCs w:val="18"/>
              </w:rPr>
            </w:pPr>
            <w:r w:rsidRPr="00B1678D">
              <w:rPr>
                <w:sz w:val="18"/>
                <w:szCs w:val="18"/>
              </w:rPr>
              <w:t>31986L0635</w:t>
            </w:r>
          </w:p>
        </w:tc>
        <w:tc>
          <w:tcPr>
            <w:tcW w:w="10773" w:type="dxa"/>
            <w:tcBorders>
              <w:top w:val="single" w:sz="4" w:space="0" w:color="auto"/>
              <w:left w:val="single" w:sz="8" w:space="0" w:color="000000"/>
              <w:bottom w:val="single" w:sz="4" w:space="0" w:color="auto"/>
              <w:right w:val="single" w:sz="8" w:space="0" w:color="000000"/>
            </w:tcBorders>
          </w:tcPr>
          <w:p w14:paraId="170BC63E" w14:textId="77777777" w:rsidR="00353BDC" w:rsidRPr="00B1678D" w:rsidRDefault="00353BDC" w:rsidP="00B1678D">
            <w:pPr>
              <w:widowControl w:val="0"/>
              <w:spacing w:before="40" w:after="40"/>
              <w:ind w:left="57" w:right="113"/>
              <w:rPr>
                <w:sz w:val="18"/>
                <w:szCs w:val="18"/>
              </w:rPr>
            </w:pPr>
            <w:r w:rsidRPr="00B1678D">
              <w:rPr>
                <w:sz w:val="18"/>
                <w:szCs w:val="18"/>
              </w:rPr>
              <w:t>Směrnice Rady ze dne 8. prosince 1986 o ročních účetních závěrkách a konsolidovaných účetních závěrkách bank a ostatních finančních institucí (86/635/EHS)</w:t>
            </w:r>
          </w:p>
        </w:tc>
      </w:tr>
      <w:tr w:rsidR="00353BDC" w:rsidRPr="00FA795B" w14:paraId="154C9474" w14:textId="77777777" w:rsidTr="00401306">
        <w:trPr>
          <w:cantSplit/>
        </w:trPr>
        <w:tc>
          <w:tcPr>
            <w:tcW w:w="3363" w:type="dxa"/>
            <w:tcBorders>
              <w:top w:val="single" w:sz="4" w:space="0" w:color="auto"/>
              <w:left w:val="single" w:sz="8" w:space="0" w:color="000000"/>
              <w:bottom w:val="single" w:sz="8" w:space="0" w:color="000000"/>
            </w:tcBorders>
          </w:tcPr>
          <w:p w14:paraId="3D6BFCA8" w14:textId="77777777" w:rsidR="00353BDC" w:rsidRPr="00B1678D" w:rsidRDefault="00353BDC" w:rsidP="00B1678D">
            <w:pPr>
              <w:widowControl w:val="0"/>
              <w:spacing w:before="40" w:after="40"/>
              <w:ind w:left="57" w:right="113"/>
              <w:rPr>
                <w:sz w:val="18"/>
                <w:szCs w:val="18"/>
              </w:rPr>
            </w:pPr>
            <w:r w:rsidRPr="00B1678D">
              <w:rPr>
                <w:sz w:val="18"/>
                <w:szCs w:val="18"/>
              </w:rPr>
              <w:t>31991L0674</w:t>
            </w:r>
          </w:p>
        </w:tc>
        <w:tc>
          <w:tcPr>
            <w:tcW w:w="10773" w:type="dxa"/>
            <w:tcBorders>
              <w:top w:val="single" w:sz="4" w:space="0" w:color="auto"/>
              <w:left w:val="single" w:sz="8" w:space="0" w:color="000000"/>
              <w:bottom w:val="single" w:sz="8" w:space="0" w:color="000000"/>
              <w:right w:val="single" w:sz="8" w:space="0" w:color="000000"/>
            </w:tcBorders>
          </w:tcPr>
          <w:p w14:paraId="72C89D6F" w14:textId="77777777" w:rsidR="00353BDC" w:rsidRPr="00B1678D" w:rsidRDefault="00353BDC" w:rsidP="00B1678D">
            <w:pPr>
              <w:widowControl w:val="0"/>
              <w:spacing w:before="40" w:after="40"/>
              <w:ind w:left="57" w:right="113"/>
              <w:rPr>
                <w:sz w:val="18"/>
                <w:szCs w:val="18"/>
              </w:rPr>
            </w:pPr>
            <w:r w:rsidRPr="00B1678D">
              <w:rPr>
                <w:sz w:val="18"/>
                <w:szCs w:val="18"/>
              </w:rPr>
              <w:t>Směrnice Rady ze dne 19. prosince 1991 o ročních účetních závěrkách a konsolidovaných účetních závěrkách pojišťoven (91/674/EHS)</w:t>
            </w:r>
          </w:p>
        </w:tc>
      </w:tr>
    </w:tbl>
    <w:p w14:paraId="35E7D39F" w14:textId="77777777" w:rsidR="00353BDC" w:rsidRDefault="00353BDC" w:rsidP="00353BDC"/>
    <w:tbl>
      <w:tblPr>
        <w:tblW w:w="14141"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00"/>
        <w:gridCol w:w="3543"/>
        <w:gridCol w:w="1276"/>
        <w:gridCol w:w="1559"/>
        <w:gridCol w:w="6663"/>
      </w:tblGrid>
      <w:tr w:rsidR="00353BDC" w:rsidRPr="00675767" w14:paraId="65EE28A2" w14:textId="77777777" w:rsidTr="00B1678D">
        <w:trPr>
          <w:cantSplit/>
          <w:trHeight w:val="624"/>
          <w:tblHeader/>
        </w:trPr>
        <w:tc>
          <w:tcPr>
            <w:tcW w:w="464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5B4798" w14:textId="77777777" w:rsidR="00353BDC" w:rsidRPr="00B1678D" w:rsidRDefault="00353BDC" w:rsidP="00353BDC">
            <w:pPr>
              <w:pageBreakBefore/>
              <w:widowControl w:val="0"/>
              <w:tabs>
                <w:tab w:val="left" w:pos="360"/>
              </w:tabs>
              <w:spacing w:before="40" w:after="40" w:line="276" w:lineRule="auto"/>
              <w:ind w:left="57" w:right="113"/>
              <w:jc w:val="center"/>
              <w:rPr>
                <w:b/>
                <w:sz w:val="18"/>
                <w:szCs w:val="18"/>
                <w:lang w:eastAsia="ar-SA"/>
              </w:rPr>
            </w:pPr>
            <w:r w:rsidRPr="00B1678D">
              <w:rPr>
                <w:b/>
                <w:sz w:val="18"/>
                <w:szCs w:val="18"/>
                <w:lang w:eastAsia="ar-SA"/>
              </w:rPr>
              <w:lastRenderedPageBreak/>
              <w:t>Zákon ze dne 26. března 2009</w:t>
            </w:r>
          </w:p>
          <w:p w14:paraId="53D64A7D" w14:textId="77777777" w:rsidR="00353BDC" w:rsidRPr="00B1678D" w:rsidRDefault="00353BDC" w:rsidP="00401306">
            <w:pPr>
              <w:widowControl w:val="0"/>
              <w:tabs>
                <w:tab w:val="left" w:pos="360"/>
              </w:tabs>
              <w:spacing w:before="40" w:after="40" w:line="276" w:lineRule="auto"/>
              <w:ind w:left="57" w:right="113"/>
              <w:jc w:val="center"/>
              <w:rPr>
                <w:b/>
                <w:sz w:val="18"/>
                <w:szCs w:val="18"/>
                <w:lang w:eastAsia="ar-SA"/>
              </w:rPr>
            </w:pPr>
            <w:r w:rsidRPr="00B1678D">
              <w:rPr>
                <w:b/>
                <w:sz w:val="18"/>
                <w:szCs w:val="18"/>
                <w:lang w:eastAsia="ar-SA"/>
              </w:rPr>
              <w:t>o auditorech a o změně některých zákonů (zákon o auditorech)</w:t>
            </w:r>
          </w:p>
        </w:tc>
        <w:tc>
          <w:tcPr>
            <w:tcW w:w="949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F4870F" w14:textId="77777777" w:rsidR="00353BDC" w:rsidRPr="00B1678D" w:rsidRDefault="00353BDC" w:rsidP="00401306">
            <w:pPr>
              <w:widowControl w:val="0"/>
              <w:tabs>
                <w:tab w:val="left" w:pos="360"/>
              </w:tabs>
              <w:suppressAutoHyphens/>
              <w:spacing w:before="40" w:after="40" w:line="276" w:lineRule="auto"/>
              <w:ind w:left="57" w:right="113"/>
              <w:jc w:val="center"/>
              <w:rPr>
                <w:b/>
                <w:sz w:val="18"/>
                <w:szCs w:val="18"/>
                <w:lang w:eastAsia="ar-SA"/>
              </w:rPr>
            </w:pPr>
            <w:r w:rsidRPr="00B1678D">
              <w:rPr>
                <w:b/>
                <w:sz w:val="18"/>
                <w:szCs w:val="18"/>
              </w:rPr>
              <w:t>Odpovídající předpis EU</w:t>
            </w:r>
          </w:p>
        </w:tc>
      </w:tr>
      <w:tr w:rsidR="00353BDC" w:rsidRPr="00675767" w14:paraId="56029819" w14:textId="77777777" w:rsidTr="00B1678D">
        <w:trPr>
          <w:cantSplit/>
          <w:tblHeader/>
        </w:trPr>
        <w:tc>
          <w:tcPr>
            <w:tcW w:w="110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99B50D" w14:textId="77777777" w:rsidR="00353BDC" w:rsidRPr="00B1678D" w:rsidRDefault="00353BDC" w:rsidP="00401306">
            <w:pPr>
              <w:widowControl w:val="0"/>
              <w:tabs>
                <w:tab w:val="left" w:pos="360"/>
              </w:tabs>
              <w:suppressAutoHyphens/>
              <w:spacing w:before="40" w:after="40"/>
              <w:ind w:left="57" w:right="113"/>
              <w:jc w:val="center"/>
              <w:rPr>
                <w:sz w:val="18"/>
                <w:szCs w:val="18"/>
                <w:lang w:eastAsia="ar-SA"/>
              </w:rPr>
            </w:pPr>
            <w:r w:rsidRPr="00B1678D">
              <w:rPr>
                <w:sz w:val="18"/>
                <w:szCs w:val="18"/>
              </w:rPr>
              <w:t>Ustanovení (část, §, odst., písm., apod.)</w:t>
            </w:r>
          </w:p>
        </w:tc>
        <w:tc>
          <w:tcPr>
            <w:tcW w:w="35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C3AAA3" w14:textId="77777777" w:rsidR="00353BDC" w:rsidRPr="00B1678D" w:rsidRDefault="00353BDC" w:rsidP="00401306">
            <w:pPr>
              <w:widowControl w:val="0"/>
              <w:tabs>
                <w:tab w:val="left" w:pos="360"/>
              </w:tabs>
              <w:suppressAutoHyphens/>
              <w:spacing w:before="40" w:after="40"/>
              <w:ind w:left="57" w:right="113"/>
              <w:jc w:val="center"/>
              <w:rPr>
                <w:sz w:val="18"/>
                <w:szCs w:val="18"/>
                <w:lang w:eastAsia="ar-SA"/>
              </w:rPr>
            </w:pPr>
            <w:r w:rsidRPr="00B1678D">
              <w:rPr>
                <w:sz w:val="18"/>
                <w:szCs w:val="18"/>
              </w:rPr>
              <w:t>Obsah</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75ECE3" w14:textId="77777777" w:rsidR="00353BDC" w:rsidRPr="00B1678D" w:rsidRDefault="00353BDC" w:rsidP="00401306">
            <w:pPr>
              <w:widowControl w:val="0"/>
              <w:tabs>
                <w:tab w:val="left" w:pos="360"/>
              </w:tabs>
              <w:suppressAutoHyphens/>
              <w:spacing w:before="40" w:after="40"/>
              <w:ind w:left="57" w:right="113"/>
              <w:jc w:val="center"/>
              <w:rPr>
                <w:sz w:val="18"/>
                <w:szCs w:val="18"/>
                <w:lang w:eastAsia="ar-SA"/>
              </w:rPr>
            </w:pPr>
            <w:r w:rsidRPr="00B1678D">
              <w:rPr>
                <w:sz w:val="18"/>
                <w:szCs w:val="18"/>
              </w:rPr>
              <w:t>CELEX č.</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0D6062" w14:textId="77777777" w:rsidR="00353BDC" w:rsidRPr="00B1678D" w:rsidRDefault="00353BDC" w:rsidP="00401306">
            <w:pPr>
              <w:widowControl w:val="0"/>
              <w:tabs>
                <w:tab w:val="left" w:pos="360"/>
              </w:tabs>
              <w:suppressAutoHyphens/>
              <w:spacing w:before="40" w:after="40"/>
              <w:ind w:left="57" w:right="113"/>
              <w:jc w:val="center"/>
              <w:rPr>
                <w:sz w:val="18"/>
                <w:szCs w:val="18"/>
                <w:lang w:eastAsia="ar-SA"/>
              </w:rPr>
            </w:pPr>
            <w:r w:rsidRPr="00B1678D">
              <w:rPr>
                <w:sz w:val="18"/>
                <w:szCs w:val="18"/>
              </w:rPr>
              <w:t>Ustanovení (čl., odst., písm., bod, apod.)</w:t>
            </w:r>
          </w:p>
        </w:tc>
        <w:tc>
          <w:tcPr>
            <w:tcW w:w="66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3777FA" w14:textId="77777777" w:rsidR="00353BDC" w:rsidRPr="00B1678D" w:rsidRDefault="00353BDC" w:rsidP="00401306">
            <w:pPr>
              <w:widowControl w:val="0"/>
              <w:tabs>
                <w:tab w:val="left" w:pos="360"/>
              </w:tabs>
              <w:suppressAutoHyphens/>
              <w:spacing w:before="40" w:after="40"/>
              <w:ind w:left="57" w:right="113"/>
              <w:jc w:val="center"/>
              <w:rPr>
                <w:sz w:val="18"/>
                <w:szCs w:val="18"/>
                <w:lang w:eastAsia="ar-SA"/>
              </w:rPr>
            </w:pPr>
            <w:r w:rsidRPr="00B1678D">
              <w:rPr>
                <w:sz w:val="18"/>
                <w:szCs w:val="18"/>
              </w:rPr>
              <w:t>Obsah</w:t>
            </w:r>
          </w:p>
        </w:tc>
      </w:tr>
      <w:tr w:rsidR="00353BDC" w:rsidRPr="00675767" w14:paraId="2DCD9564"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3C91CE99" w14:textId="77777777" w:rsidR="00353BDC" w:rsidRDefault="00353BDC" w:rsidP="00401306">
            <w:pPr>
              <w:widowControl w:val="0"/>
              <w:suppressAutoHyphens/>
              <w:ind w:left="57" w:right="113"/>
              <w:rPr>
                <w:sz w:val="20"/>
                <w:szCs w:val="20"/>
                <w:lang w:eastAsia="ar-SA"/>
              </w:rPr>
            </w:pPr>
            <w:r>
              <w:rPr>
                <w:sz w:val="20"/>
                <w:szCs w:val="20"/>
                <w:lang w:eastAsia="ar-SA"/>
              </w:rPr>
              <w:t xml:space="preserve">§ 2 písm. k) </w:t>
            </w:r>
          </w:p>
        </w:tc>
        <w:tc>
          <w:tcPr>
            <w:tcW w:w="3543" w:type="dxa"/>
            <w:tcBorders>
              <w:top w:val="single" w:sz="4" w:space="0" w:color="auto"/>
              <w:left w:val="single" w:sz="4" w:space="0" w:color="auto"/>
              <w:bottom w:val="single" w:sz="4" w:space="0" w:color="auto"/>
              <w:right w:val="single" w:sz="4" w:space="0" w:color="auto"/>
            </w:tcBorders>
          </w:tcPr>
          <w:p w14:paraId="40AFA36A" w14:textId="77777777" w:rsidR="00353BDC" w:rsidRDefault="00353BDC" w:rsidP="00401306">
            <w:pPr>
              <w:widowControl w:val="0"/>
              <w:suppressAutoHyphens/>
              <w:ind w:right="113"/>
              <w:rPr>
                <w:sz w:val="20"/>
                <w:szCs w:val="20"/>
                <w:lang w:eastAsia="ar-SA"/>
              </w:rPr>
            </w:pPr>
            <w:r>
              <w:rPr>
                <w:sz w:val="20"/>
                <w:szCs w:val="20"/>
                <w:lang w:eastAsia="ar-SA"/>
              </w:rPr>
              <w:t xml:space="preserve">k) </w:t>
            </w:r>
            <w:r w:rsidRPr="00E44368">
              <w:rPr>
                <w:sz w:val="20"/>
                <w:szCs w:val="20"/>
                <w:lang w:eastAsia="ar-SA"/>
              </w:rPr>
              <w:t xml:space="preserve">auditorem skupiny jeden nebo více auditorů, kteří provádějí povinný audit konsolidované účetní závěrky </w:t>
            </w:r>
            <w:r w:rsidRPr="00C166A1">
              <w:rPr>
                <w:bCs/>
                <w:sz w:val="20"/>
                <w:szCs w:val="20"/>
                <w:lang w:eastAsia="ar-SA"/>
              </w:rPr>
              <w:t>nebo ověření konsolidované zprávy o udržitelnosti</w:t>
            </w:r>
            <w:r w:rsidRPr="00C166A1">
              <w:rPr>
                <w:sz w:val="20"/>
                <w:szCs w:val="20"/>
                <w:lang w:eastAsia="ar-SA"/>
              </w:rPr>
              <w:t>,</w:t>
            </w:r>
          </w:p>
        </w:tc>
        <w:tc>
          <w:tcPr>
            <w:tcW w:w="1276" w:type="dxa"/>
            <w:tcBorders>
              <w:top w:val="single" w:sz="4" w:space="0" w:color="auto"/>
              <w:left w:val="single" w:sz="4" w:space="0" w:color="auto"/>
              <w:bottom w:val="single" w:sz="4" w:space="0" w:color="auto"/>
              <w:right w:val="single" w:sz="4" w:space="0" w:color="auto"/>
            </w:tcBorders>
          </w:tcPr>
          <w:p w14:paraId="2D1CFF90" w14:textId="77777777" w:rsidR="00353BDC" w:rsidRPr="00806EF6"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4C84F9EC" w14:textId="77777777" w:rsidR="00353BDC" w:rsidRDefault="00353BDC" w:rsidP="00401306">
            <w:pPr>
              <w:widowControl w:val="0"/>
              <w:ind w:left="57" w:right="113"/>
              <w:rPr>
                <w:sz w:val="20"/>
                <w:szCs w:val="20"/>
              </w:rPr>
            </w:pPr>
            <w:r>
              <w:rPr>
                <w:sz w:val="20"/>
                <w:szCs w:val="20"/>
              </w:rPr>
              <w:t>Článek 3 odst. 2 písm. a)</w:t>
            </w:r>
          </w:p>
        </w:tc>
        <w:tc>
          <w:tcPr>
            <w:tcW w:w="6663" w:type="dxa"/>
            <w:tcBorders>
              <w:top w:val="single" w:sz="4" w:space="0" w:color="auto"/>
              <w:left w:val="single" w:sz="4" w:space="0" w:color="auto"/>
              <w:bottom w:val="single" w:sz="4" w:space="0" w:color="auto"/>
              <w:right w:val="single" w:sz="4" w:space="0" w:color="auto"/>
            </w:tcBorders>
          </w:tcPr>
          <w:p w14:paraId="2474BEEF" w14:textId="77777777" w:rsidR="00353BDC" w:rsidRPr="00560711" w:rsidRDefault="00353BDC" w:rsidP="00401306">
            <w:pPr>
              <w:shd w:val="clear" w:color="auto" w:fill="FFFFFF"/>
              <w:rPr>
                <w:sz w:val="20"/>
                <w:szCs w:val="20"/>
              </w:rPr>
            </w:pPr>
            <w:r w:rsidRPr="00560711">
              <w:rPr>
                <w:sz w:val="20"/>
                <w:szCs w:val="20"/>
              </w:rPr>
              <w:t>„auditorem skupiny“ jeden nebo více statutárních auditorů nebo jedna nebo více auditorských společností, kteří provádějí povinný audit konsolidované účetní závěrky či případně ověřování konsoli</w:t>
            </w:r>
            <w:r>
              <w:rPr>
                <w:sz w:val="20"/>
                <w:szCs w:val="20"/>
              </w:rPr>
              <w:t>dovaných zpráv o udržitelnosti</w:t>
            </w:r>
          </w:p>
        </w:tc>
      </w:tr>
      <w:tr w:rsidR="00353BDC" w:rsidRPr="00675767" w14:paraId="0A314D33"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42E8EA81" w14:textId="77777777" w:rsidR="00353BDC" w:rsidRPr="001E58E9" w:rsidRDefault="00353BDC" w:rsidP="00401306">
            <w:pPr>
              <w:widowControl w:val="0"/>
              <w:suppressAutoHyphens/>
              <w:ind w:left="57" w:right="113"/>
              <w:rPr>
                <w:sz w:val="20"/>
                <w:szCs w:val="20"/>
                <w:lang w:eastAsia="ar-SA"/>
              </w:rPr>
            </w:pPr>
            <w:r>
              <w:rPr>
                <w:sz w:val="20"/>
                <w:szCs w:val="20"/>
                <w:lang w:eastAsia="ar-SA"/>
              </w:rPr>
              <w:t>§ 2 písm. n) bod 1. a 2.</w:t>
            </w:r>
          </w:p>
        </w:tc>
        <w:tc>
          <w:tcPr>
            <w:tcW w:w="3543" w:type="dxa"/>
            <w:tcBorders>
              <w:top w:val="single" w:sz="4" w:space="0" w:color="auto"/>
              <w:left w:val="single" w:sz="4" w:space="0" w:color="auto"/>
              <w:bottom w:val="single" w:sz="4" w:space="0" w:color="auto"/>
              <w:right w:val="single" w:sz="4" w:space="0" w:color="auto"/>
            </w:tcBorders>
          </w:tcPr>
          <w:p w14:paraId="7C793425" w14:textId="77777777" w:rsidR="00353BDC" w:rsidRPr="000E7AFC" w:rsidRDefault="00353BDC" w:rsidP="00401306">
            <w:pPr>
              <w:widowControl w:val="0"/>
              <w:suppressAutoHyphens/>
              <w:ind w:right="113"/>
              <w:rPr>
                <w:sz w:val="20"/>
                <w:szCs w:val="20"/>
                <w:lang w:eastAsia="ar-SA"/>
              </w:rPr>
            </w:pPr>
            <w:r>
              <w:rPr>
                <w:sz w:val="20"/>
                <w:szCs w:val="20"/>
                <w:lang w:eastAsia="ar-SA"/>
              </w:rPr>
              <w:t xml:space="preserve">n) </w:t>
            </w:r>
            <w:r w:rsidRPr="000E7AFC">
              <w:rPr>
                <w:sz w:val="20"/>
                <w:szCs w:val="20"/>
                <w:lang w:eastAsia="ar-SA"/>
              </w:rPr>
              <w:t>klíčovým auditorským partnerem</w:t>
            </w:r>
          </w:p>
          <w:p w14:paraId="50D2751D" w14:textId="77777777" w:rsidR="00353BDC" w:rsidRPr="00C166A1" w:rsidRDefault="00353BDC" w:rsidP="00401306">
            <w:pPr>
              <w:widowControl w:val="0"/>
              <w:suppressAutoHyphens/>
              <w:ind w:right="113"/>
              <w:rPr>
                <w:sz w:val="20"/>
                <w:szCs w:val="20"/>
                <w:lang w:eastAsia="ar-SA"/>
              </w:rPr>
            </w:pPr>
            <w:r w:rsidRPr="008A7ECE">
              <w:rPr>
                <w:sz w:val="20"/>
                <w:szCs w:val="20"/>
                <w:lang w:eastAsia="ar-SA"/>
              </w:rPr>
              <w:t xml:space="preserve">1. jeden nebo více statutárních auditorů, který je auditorskou společností určen jako osoba odpovědná za provedení povinného </w:t>
            </w:r>
            <w:r w:rsidRPr="00C166A1">
              <w:rPr>
                <w:sz w:val="20"/>
                <w:szCs w:val="20"/>
                <w:lang w:eastAsia="ar-SA"/>
              </w:rPr>
              <w:t>auditu</w:t>
            </w:r>
            <w:r w:rsidRPr="00C166A1">
              <w:rPr>
                <w:bCs/>
                <w:sz w:val="20"/>
                <w:szCs w:val="20"/>
                <w:lang w:eastAsia="ar-SA"/>
              </w:rPr>
              <w:t xml:space="preserve"> nebo ověření zprávy o udržitelnosti</w:t>
            </w:r>
            <w:r w:rsidRPr="00C166A1">
              <w:rPr>
                <w:sz w:val="20"/>
                <w:szCs w:val="20"/>
                <w:lang w:eastAsia="ar-SA"/>
              </w:rPr>
              <w:t xml:space="preserve"> jménem auditorské společnosti, </w:t>
            </w:r>
          </w:p>
          <w:p w14:paraId="34E3B52C" w14:textId="77777777" w:rsidR="00353BDC" w:rsidRPr="001E58E9" w:rsidRDefault="00353BDC" w:rsidP="00401306">
            <w:pPr>
              <w:widowControl w:val="0"/>
              <w:suppressAutoHyphens/>
              <w:ind w:right="113"/>
              <w:rPr>
                <w:sz w:val="20"/>
                <w:szCs w:val="20"/>
                <w:lang w:eastAsia="ar-SA"/>
              </w:rPr>
            </w:pPr>
            <w:r w:rsidRPr="00C166A1">
              <w:rPr>
                <w:sz w:val="20"/>
                <w:szCs w:val="20"/>
                <w:lang w:eastAsia="ar-SA"/>
              </w:rPr>
              <w:t>2. v případě auditu skupiny</w:t>
            </w:r>
            <w:r w:rsidRPr="00C166A1">
              <w:rPr>
                <w:bCs/>
                <w:sz w:val="20"/>
                <w:szCs w:val="20"/>
                <w:lang w:eastAsia="ar-SA"/>
              </w:rPr>
              <w:t xml:space="preserve"> nebo ověření konsolidované zprávy o udržitelnosti</w:t>
            </w:r>
            <w:r w:rsidRPr="00C166A1">
              <w:rPr>
                <w:sz w:val="20"/>
                <w:szCs w:val="20"/>
                <w:lang w:eastAsia="ar-SA"/>
              </w:rPr>
              <w:t xml:space="preserve"> jeden nebo více statutárních auditorů, kteří jsou určeni auditorskou společností jako odpovědné osoby za provedení povinného auditu </w:t>
            </w:r>
            <w:r w:rsidRPr="00C166A1">
              <w:rPr>
                <w:bCs/>
                <w:sz w:val="20"/>
                <w:szCs w:val="20"/>
                <w:lang w:eastAsia="ar-SA"/>
              </w:rPr>
              <w:t>nebo ověření zprávy o udržitelnosti</w:t>
            </w:r>
            <w:r w:rsidRPr="00C166A1">
              <w:rPr>
                <w:sz w:val="20"/>
                <w:szCs w:val="20"/>
                <w:lang w:eastAsia="ar-SA"/>
              </w:rPr>
              <w:t xml:space="preserve"> na úrovni skupiny, a jeden nebo více</w:t>
            </w:r>
            <w:r w:rsidRPr="008A7ECE">
              <w:rPr>
                <w:sz w:val="20"/>
                <w:szCs w:val="20"/>
                <w:lang w:eastAsia="ar-SA"/>
              </w:rPr>
              <w:t xml:space="preserve"> statutárních auditorů, kteří jsou určeni jako odpovědné osoby na úrovni významných dceřiných společností, nebo</w:t>
            </w:r>
          </w:p>
        </w:tc>
        <w:tc>
          <w:tcPr>
            <w:tcW w:w="1276" w:type="dxa"/>
            <w:tcBorders>
              <w:top w:val="single" w:sz="4" w:space="0" w:color="auto"/>
              <w:left w:val="single" w:sz="4" w:space="0" w:color="auto"/>
              <w:bottom w:val="single" w:sz="4" w:space="0" w:color="auto"/>
              <w:right w:val="single" w:sz="4" w:space="0" w:color="auto"/>
            </w:tcBorders>
          </w:tcPr>
          <w:p w14:paraId="1EAA3872" w14:textId="77777777" w:rsidR="00353BDC" w:rsidRPr="001E58E9"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034430A1" w14:textId="77777777" w:rsidR="00353BDC" w:rsidRPr="001E58E9" w:rsidRDefault="00353BDC" w:rsidP="00401306">
            <w:pPr>
              <w:widowControl w:val="0"/>
              <w:ind w:left="57" w:right="113"/>
              <w:rPr>
                <w:sz w:val="20"/>
                <w:szCs w:val="20"/>
              </w:rPr>
            </w:pPr>
            <w:r>
              <w:rPr>
                <w:sz w:val="20"/>
                <w:szCs w:val="20"/>
              </w:rPr>
              <w:t>Článek 3 odst. 2 písm. b)</w:t>
            </w:r>
          </w:p>
        </w:tc>
        <w:tc>
          <w:tcPr>
            <w:tcW w:w="6663" w:type="dxa"/>
            <w:tcBorders>
              <w:top w:val="single" w:sz="4" w:space="0" w:color="auto"/>
              <w:left w:val="single" w:sz="4" w:space="0" w:color="auto"/>
              <w:bottom w:val="single" w:sz="4" w:space="0" w:color="auto"/>
              <w:right w:val="single" w:sz="4" w:space="0" w:color="auto"/>
            </w:tcBorders>
          </w:tcPr>
          <w:p w14:paraId="6A0A4157" w14:textId="77777777" w:rsidR="00353BDC" w:rsidRPr="000E7AFC" w:rsidRDefault="00353BDC" w:rsidP="00401306">
            <w:pPr>
              <w:shd w:val="clear" w:color="auto" w:fill="FFFFFF"/>
              <w:rPr>
                <w:sz w:val="20"/>
                <w:szCs w:val="20"/>
              </w:rPr>
            </w:pPr>
            <w:r w:rsidRPr="000E7AFC">
              <w:rPr>
                <w:sz w:val="20"/>
                <w:szCs w:val="20"/>
              </w:rPr>
              <w:t>vkládá se nový bod, který zní:</w:t>
            </w:r>
          </w:p>
          <w:p w14:paraId="267990EF" w14:textId="77777777" w:rsidR="00353BDC" w:rsidRPr="000E7AFC" w:rsidRDefault="00353BDC" w:rsidP="00401306">
            <w:pPr>
              <w:shd w:val="clear" w:color="auto" w:fill="FFFFFF"/>
              <w:rPr>
                <w:sz w:val="20"/>
                <w:szCs w:val="20"/>
              </w:rPr>
            </w:pPr>
            <w:r w:rsidRPr="000E7AFC">
              <w:rPr>
                <w:sz w:val="20"/>
                <w:szCs w:val="20"/>
              </w:rPr>
              <w:t>„16a.</w:t>
            </w:r>
            <w:r>
              <w:rPr>
                <w:sz w:val="20"/>
                <w:szCs w:val="20"/>
              </w:rPr>
              <w:t xml:space="preserve"> </w:t>
            </w:r>
            <w:r w:rsidRPr="000E7AFC">
              <w:rPr>
                <w:sz w:val="20"/>
                <w:szCs w:val="20"/>
              </w:rPr>
              <w:t>„klíčovými partnery pro udržitelnost“:</w:t>
            </w:r>
          </w:p>
          <w:p w14:paraId="20B9E1A4" w14:textId="77777777" w:rsidR="00353BDC" w:rsidRPr="000E7AFC" w:rsidRDefault="00353BDC" w:rsidP="00401306">
            <w:pPr>
              <w:shd w:val="clear" w:color="auto" w:fill="FFFFFF"/>
              <w:rPr>
                <w:sz w:val="20"/>
                <w:szCs w:val="20"/>
              </w:rPr>
            </w:pPr>
            <w:r w:rsidRPr="000E7AFC">
              <w:rPr>
                <w:sz w:val="20"/>
                <w:szCs w:val="20"/>
              </w:rPr>
              <w:t>a)</w:t>
            </w:r>
            <w:r>
              <w:rPr>
                <w:sz w:val="20"/>
                <w:szCs w:val="20"/>
              </w:rPr>
              <w:t xml:space="preserve"> </w:t>
            </w:r>
            <w:r w:rsidRPr="000E7AFC">
              <w:rPr>
                <w:sz w:val="20"/>
                <w:szCs w:val="20"/>
              </w:rPr>
              <w:t>jeden nebo více statutárních auditorů, kteří jsou auditorskou společností pověřeni k provedení určité ověřovací zakázky týkající se zpráv o udržitelnosti, v níž mají hlavní odpovědnost za ověření zpráv o udržitelnosti jménem auditorské společnosti, nebo</w:t>
            </w:r>
          </w:p>
          <w:p w14:paraId="161208A1" w14:textId="77777777" w:rsidR="00353BDC" w:rsidRPr="000E7AFC" w:rsidRDefault="00353BDC" w:rsidP="00401306">
            <w:pPr>
              <w:shd w:val="clear" w:color="auto" w:fill="FFFFFF"/>
              <w:rPr>
                <w:sz w:val="20"/>
                <w:szCs w:val="20"/>
              </w:rPr>
            </w:pPr>
            <w:r w:rsidRPr="000E7AFC">
              <w:rPr>
                <w:sz w:val="20"/>
                <w:szCs w:val="20"/>
              </w:rPr>
              <w:t>b)</w:t>
            </w:r>
            <w:r>
              <w:rPr>
                <w:sz w:val="20"/>
                <w:szCs w:val="20"/>
              </w:rPr>
              <w:t xml:space="preserve"> </w:t>
            </w:r>
            <w:r w:rsidRPr="000E7AFC">
              <w:rPr>
                <w:sz w:val="20"/>
                <w:szCs w:val="20"/>
              </w:rPr>
              <w:t>v případě ověřování konsolidovaných zpráv o udržitelnosti nejméně jeden nebo více statutárních auditorů, kteří jsou určeni auditorskou společností jako hlavní osoby odpovědné za ověření zpráv o udržitelnosti na úrovni skupiny, a jeden nebo více statutárních auditorů, kteří jsou určeni jako hlavní odpovědné osoby na úrovni významných dceřiných společností, nebo</w:t>
            </w:r>
          </w:p>
          <w:p w14:paraId="4CE1B6DE" w14:textId="77777777" w:rsidR="00353BDC" w:rsidRPr="0035435D" w:rsidRDefault="00353BDC" w:rsidP="00401306">
            <w:pPr>
              <w:shd w:val="clear" w:color="auto" w:fill="FFFFFF"/>
              <w:rPr>
                <w:sz w:val="20"/>
                <w:szCs w:val="20"/>
              </w:rPr>
            </w:pPr>
          </w:p>
        </w:tc>
      </w:tr>
      <w:tr w:rsidR="00353BDC" w:rsidRPr="00675767" w14:paraId="6BCBE2E5"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206B5C3F" w14:textId="77777777" w:rsidR="00353BDC" w:rsidRDefault="00353BDC" w:rsidP="00401306">
            <w:pPr>
              <w:widowControl w:val="0"/>
              <w:suppressAutoHyphens/>
              <w:ind w:left="57" w:right="113"/>
              <w:rPr>
                <w:sz w:val="20"/>
                <w:szCs w:val="20"/>
                <w:lang w:eastAsia="ar-SA"/>
              </w:rPr>
            </w:pPr>
            <w:r>
              <w:rPr>
                <w:sz w:val="20"/>
                <w:szCs w:val="20"/>
                <w:lang w:eastAsia="ar-SA"/>
              </w:rPr>
              <w:t>§ 2a odst. 1</w:t>
            </w:r>
          </w:p>
        </w:tc>
        <w:tc>
          <w:tcPr>
            <w:tcW w:w="3543" w:type="dxa"/>
            <w:tcBorders>
              <w:top w:val="single" w:sz="4" w:space="0" w:color="auto"/>
              <w:left w:val="single" w:sz="4" w:space="0" w:color="auto"/>
              <w:bottom w:val="single" w:sz="4" w:space="0" w:color="auto"/>
              <w:right w:val="single" w:sz="4" w:space="0" w:color="auto"/>
            </w:tcBorders>
          </w:tcPr>
          <w:p w14:paraId="51BE91A3" w14:textId="77777777" w:rsidR="00353BDC" w:rsidRPr="008C0C79" w:rsidRDefault="00353BDC" w:rsidP="00401306">
            <w:pPr>
              <w:widowControl w:val="0"/>
              <w:suppressAutoHyphens/>
              <w:ind w:left="57" w:right="113"/>
              <w:rPr>
                <w:sz w:val="20"/>
                <w:szCs w:val="20"/>
                <w:lang w:eastAsia="ar-SA"/>
              </w:rPr>
            </w:pPr>
            <w:r w:rsidRPr="724ED67C">
              <w:rPr>
                <w:sz w:val="20"/>
                <w:szCs w:val="20"/>
                <w:lang w:eastAsia="ar-SA"/>
              </w:rPr>
              <w:t>(1) Ověřením zprávy o udržitelnosti je ověření souladu zprávy o udržitelnosti s požadavky zákona o účetnictví včetně standardů pro podávání zpráv o udržitelnosti, postupu pro určování informací vykazovaných podle těchto standardů a značkování s přímo použitelným právním předpisem Evropské unie upravujícím jednotný elektronický formát pro podávání zpráv, a souladu s přímo použitelným právním předpisem Evropské unie upravujícím rámec pro usnadnění udržitelných investic. </w:t>
            </w:r>
          </w:p>
        </w:tc>
        <w:tc>
          <w:tcPr>
            <w:tcW w:w="1276" w:type="dxa"/>
            <w:tcBorders>
              <w:top w:val="single" w:sz="4" w:space="0" w:color="auto"/>
              <w:left w:val="single" w:sz="4" w:space="0" w:color="auto"/>
              <w:bottom w:val="single" w:sz="4" w:space="0" w:color="auto"/>
              <w:right w:val="single" w:sz="4" w:space="0" w:color="auto"/>
            </w:tcBorders>
          </w:tcPr>
          <w:p w14:paraId="16E5EF43" w14:textId="77777777" w:rsidR="00353BDC" w:rsidRPr="00806EF6"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0E18970A" w14:textId="77777777" w:rsidR="00353BDC" w:rsidRPr="008049AB" w:rsidRDefault="00353BDC" w:rsidP="00401306">
            <w:pPr>
              <w:widowControl w:val="0"/>
              <w:ind w:left="57" w:right="113"/>
              <w:rPr>
                <w:sz w:val="20"/>
                <w:szCs w:val="20"/>
              </w:rPr>
            </w:pPr>
            <w:r>
              <w:rPr>
                <w:sz w:val="20"/>
                <w:szCs w:val="20"/>
              </w:rPr>
              <w:t>Článek 1 odst. 13 písm. a)</w:t>
            </w:r>
          </w:p>
        </w:tc>
        <w:tc>
          <w:tcPr>
            <w:tcW w:w="6663" w:type="dxa"/>
            <w:tcBorders>
              <w:top w:val="single" w:sz="4" w:space="0" w:color="auto"/>
              <w:left w:val="single" w:sz="4" w:space="0" w:color="auto"/>
              <w:bottom w:val="single" w:sz="4" w:space="0" w:color="auto"/>
              <w:right w:val="single" w:sz="4" w:space="0" w:color="auto"/>
            </w:tcBorders>
          </w:tcPr>
          <w:p w14:paraId="606708DD" w14:textId="77777777" w:rsidR="00353BDC" w:rsidRPr="00813853" w:rsidRDefault="00353BDC" w:rsidP="00401306">
            <w:pPr>
              <w:widowControl w:val="0"/>
              <w:ind w:left="57" w:right="113"/>
              <w:rPr>
                <w:sz w:val="20"/>
                <w:szCs w:val="20"/>
              </w:rPr>
            </w:pPr>
            <w:proofErr w:type="spellStart"/>
            <w:r w:rsidRPr="724ED67C">
              <w:rPr>
                <w:sz w:val="20"/>
                <w:szCs w:val="20"/>
              </w:rPr>
              <w:t>aa</w:t>
            </w:r>
            <w:proofErr w:type="spellEnd"/>
            <w:r w:rsidRPr="724ED67C">
              <w:rPr>
                <w:sz w:val="20"/>
                <w:szCs w:val="20"/>
              </w:rPr>
              <w:t>) v příslušných případech vyjádří na základě ověřovací zakázky poskytující omezenou jistotu závěr k souladu zprávy o udržitelnosti s požadavky této směrnice, včetně souladu zprávy o udržitelnosti se standardy pro podávání zpráv o udržitelnosti přijatými podle článku 29b nebo článku 29c, postupu podniku při určování informací vykazovaných podle těchto standardů pro podávání zpráv o udržitelnosti a souladu s požadavkem na značkování zpráv o udržitelnosti podle článku 29d, a k dodržení požadavků na podávání zpráv stanovených v článku 8 nařízení (EU) 2020/852</w:t>
            </w:r>
          </w:p>
        </w:tc>
      </w:tr>
      <w:tr w:rsidR="00353BDC" w:rsidRPr="00675767" w14:paraId="0D4BFF6E"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07CC5884" w14:textId="77777777" w:rsidR="00353BDC" w:rsidRPr="001E58E9" w:rsidRDefault="00353BDC" w:rsidP="00401306">
            <w:pPr>
              <w:widowControl w:val="0"/>
              <w:suppressAutoHyphens/>
              <w:ind w:left="57" w:right="113"/>
              <w:rPr>
                <w:sz w:val="20"/>
                <w:szCs w:val="20"/>
                <w:lang w:eastAsia="ar-SA"/>
              </w:rPr>
            </w:pPr>
            <w:r>
              <w:rPr>
                <w:sz w:val="20"/>
                <w:szCs w:val="20"/>
                <w:lang w:eastAsia="ar-SA"/>
              </w:rPr>
              <w:lastRenderedPageBreak/>
              <w:t>§ 8 odst. 3 písm. c)</w:t>
            </w:r>
          </w:p>
        </w:tc>
        <w:tc>
          <w:tcPr>
            <w:tcW w:w="3543" w:type="dxa"/>
            <w:tcBorders>
              <w:top w:val="single" w:sz="4" w:space="0" w:color="auto"/>
              <w:left w:val="single" w:sz="4" w:space="0" w:color="auto"/>
              <w:bottom w:val="single" w:sz="4" w:space="0" w:color="auto"/>
              <w:right w:val="single" w:sz="4" w:space="0" w:color="auto"/>
            </w:tcBorders>
          </w:tcPr>
          <w:p w14:paraId="456C7407" w14:textId="77777777" w:rsidR="00353BDC" w:rsidRPr="008C0C79" w:rsidRDefault="00353BDC" w:rsidP="00401306">
            <w:pPr>
              <w:widowControl w:val="0"/>
              <w:suppressAutoHyphens/>
              <w:ind w:left="57" w:right="113"/>
              <w:rPr>
                <w:sz w:val="20"/>
                <w:szCs w:val="20"/>
                <w:lang w:eastAsia="ar-SA"/>
              </w:rPr>
            </w:pPr>
            <w:r w:rsidRPr="008C0C79">
              <w:rPr>
                <w:bCs/>
                <w:sz w:val="20"/>
                <w:szCs w:val="20"/>
                <w:lang w:eastAsia="ar-SA"/>
              </w:rPr>
              <w:t>c)</w:t>
            </w:r>
            <w:r w:rsidRPr="008C0C79">
              <w:rPr>
                <w:sz w:val="20"/>
                <w:szCs w:val="20"/>
                <w:lang w:eastAsia="ar-SA"/>
              </w:rPr>
              <w:t xml:space="preserve"> </w:t>
            </w:r>
            <w:r w:rsidRPr="008C0C79">
              <w:rPr>
                <w:bCs/>
                <w:sz w:val="20"/>
                <w:szCs w:val="20"/>
                <w:lang w:eastAsia="ar-SA"/>
              </w:rPr>
              <w:t xml:space="preserve">právní předpisy a standardy upravující podávání </w:t>
            </w:r>
            <w:r>
              <w:rPr>
                <w:bCs/>
                <w:sz w:val="20"/>
                <w:szCs w:val="20"/>
                <w:lang w:eastAsia="ar-SA"/>
              </w:rPr>
              <w:t>zpráv</w:t>
            </w:r>
            <w:r w:rsidRPr="008C0C79">
              <w:rPr>
                <w:bCs/>
                <w:sz w:val="20"/>
                <w:szCs w:val="20"/>
                <w:lang w:eastAsia="ar-SA"/>
              </w:rPr>
              <w:t xml:space="preserve"> o udržitelnosti,</w:t>
            </w:r>
            <w:r w:rsidRPr="008C0C79">
              <w:rPr>
                <w:sz w:val="20"/>
                <w:szCs w:val="20"/>
                <w:lang w:eastAsia="ar-SA"/>
              </w:rPr>
              <w:t> </w:t>
            </w:r>
          </w:p>
          <w:p w14:paraId="6CAC1399" w14:textId="77777777" w:rsidR="00353BDC" w:rsidRPr="001E58E9" w:rsidRDefault="00353BDC" w:rsidP="00401306">
            <w:pPr>
              <w:widowControl w:val="0"/>
              <w:suppressAutoHyphens/>
              <w:ind w:left="57" w:right="113"/>
              <w:rPr>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078B35E" w14:textId="77777777" w:rsidR="00353BDC" w:rsidRPr="00806EF6"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5185EE72" w14:textId="77777777" w:rsidR="00353BDC" w:rsidRPr="001E58E9" w:rsidRDefault="00353BDC" w:rsidP="00401306">
            <w:pPr>
              <w:widowControl w:val="0"/>
              <w:ind w:left="57" w:right="113"/>
              <w:rPr>
                <w:sz w:val="20"/>
                <w:szCs w:val="20"/>
              </w:rPr>
            </w:pPr>
            <w:r w:rsidRPr="008049AB">
              <w:rPr>
                <w:sz w:val="20"/>
                <w:szCs w:val="20"/>
              </w:rPr>
              <w:t>Článek 3 odst.</w:t>
            </w:r>
            <w:r>
              <w:rPr>
                <w:sz w:val="20"/>
                <w:szCs w:val="20"/>
              </w:rPr>
              <w:t xml:space="preserve"> 5 </w:t>
            </w:r>
          </w:p>
        </w:tc>
        <w:tc>
          <w:tcPr>
            <w:tcW w:w="6663" w:type="dxa"/>
            <w:tcBorders>
              <w:top w:val="single" w:sz="4" w:space="0" w:color="auto"/>
              <w:left w:val="single" w:sz="4" w:space="0" w:color="auto"/>
              <w:bottom w:val="single" w:sz="4" w:space="0" w:color="auto"/>
              <w:right w:val="single" w:sz="4" w:space="0" w:color="auto"/>
            </w:tcBorders>
          </w:tcPr>
          <w:p w14:paraId="1A196854" w14:textId="77777777" w:rsidR="00353BDC" w:rsidRPr="00813853" w:rsidRDefault="00353BDC" w:rsidP="00401306">
            <w:pPr>
              <w:shd w:val="clear" w:color="auto" w:fill="FFFFFF"/>
              <w:rPr>
                <w:sz w:val="20"/>
                <w:szCs w:val="20"/>
              </w:rPr>
            </w:pPr>
            <w:r w:rsidRPr="00813853">
              <w:rPr>
                <w:sz w:val="20"/>
                <w:szCs w:val="20"/>
              </w:rPr>
              <w:t>3.   Aby mohl být statutární auditor rovněž schválen k ověřování zpráv o udržitelnosti, test teoretických znalostí uvedený v odstavci 1 zjišťuje také znalosti přinejmenším v těchto oborech:</w:t>
            </w:r>
          </w:p>
          <w:p w14:paraId="5BC41AFB" w14:textId="77777777" w:rsidR="00353BDC" w:rsidRPr="001E58E9" w:rsidRDefault="00353BDC" w:rsidP="00401306">
            <w:pPr>
              <w:shd w:val="clear" w:color="auto" w:fill="FFFFFF"/>
              <w:rPr>
                <w:sz w:val="20"/>
                <w:szCs w:val="20"/>
              </w:rPr>
            </w:pPr>
            <w:r w:rsidRPr="00070AD4">
              <w:rPr>
                <w:sz w:val="20"/>
                <w:szCs w:val="20"/>
              </w:rPr>
              <w:t>a) právní požadavky a standardy vztahující se k přípravě roční a konsolidované zprávy o udržitelnosti</w:t>
            </w:r>
          </w:p>
        </w:tc>
      </w:tr>
      <w:tr w:rsidR="00353BDC" w:rsidRPr="00675767" w14:paraId="774230A3"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3792D62F" w14:textId="77777777" w:rsidR="00353BDC" w:rsidRDefault="00353BDC" w:rsidP="00401306">
            <w:pPr>
              <w:widowControl w:val="0"/>
              <w:suppressAutoHyphens/>
              <w:ind w:left="57" w:right="113"/>
              <w:rPr>
                <w:sz w:val="20"/>
                <w:szCs w:val="20"/>
                <w:lang w:eastAsia="ar-SA"/>
              </w:rPr>
            </w:pPr>
            <w:r>
              <w:rPr>
                <w:sz w:val="20"/>
                <w:szCs w:val="20"/>
                <w:lang w:eastAsia="ar-SA"/>
              </w:rPr>
              <w:t>§ 8 odst. 3 písm. l)</w:t>
            </w:r>
          </w:p>
        </w:tc>
        <w:tc>
          <w:tcPr>
            <w:tcW w:w="3543" w:type="dxa"/>
            <w:tcBorders>
              <w:top w:val="single" w:sz="4" w:space="0" w:color="auto"/>
              <w:left w:val="single" w:sz="4" w:space="0" w:color="auto"/>
              <w:bottom w:val="single" w:sz="4" w:space="0" w:color="auto"/>
              <w:right w:val="single" w:sz="4" w:space="0" w:color="auto"/>
            </w:tcBorders>
          </w:tcPr>
          <w:p w14:paraId="172F9DE5" w14:textId="77777777" w:rsidR="00353BDC" w:rsidRPr="008C0C79" w:rsidRDefault="00353BDC" w:rsidP="00401306">
            <w:pPr>
              <w:widowControl w:val="0"/>
              <w:suppressAutoHyphens/>
              <w:ind w:left="57" w:right="113"/>
              <w:rPr>
                <w:sz w:val="20"/>
                <w:szCs w:val="20"/>
                <w:lang w:eastAsia="ar-SA"/>
              </w:rPr>
            </w:pPr>
            <w:r w:rsidRPr="008C0C79">
              <w:rPr>
                <w:sz w:val="20"/>
                <w:szCs w:val="20"/>
                <w:lang w:eastAsia="ar-SA"/>
              </w:rPr>
              <w:t>(3) Auditorskou zkouškou jsou prověřovány znalosti v těchto oblastech: </w:t>
            </w:r>
          </w:p>
          <w:p w14:paraId="18C92559" w14:textId="77777777" w:rsidR="00353BDC" w:rsidRPr="00174A7D" w:rsidRDefault="00353BDC" w:rsidP="00401306">
            <w:pPr>
              <w:widowControl w:val="0"/>
              <w:suppressAutoHyphens/>
              <w:ind w:left="57" w:right="113"/>
              <w:rPr>
                <w:sz w:val="20"/>
                <w:szCs w:val="20"/>
                <w:lang w:eastAsia="ar-SA"/>
              </w:rPr>
            </w:pPr>
            <w:r>
              <w:rPr>
                <w:sz w:val="20"/>
                <w:szCs w:val="20"/>
                <w:lang w:eastAsia="ar-SA"/>
              </w:rPr>
              <w:t xml:space="preserve">l) </w:t>
            </w:r>
            <w:r w:rsidRPr="0044579B">
              <w:rPr>
                <w:bCs/>
                <w:sz w:val="20"/>
                <w:szCs w:val="20"/>
                <w:lang w:eastAsia="ar-SA"/>
              </w:rPr>
              <w:t>auditorské standardy upravené právem Evropské unie</w:t>
            </w:r>
            <w:r w:rsidRPr="0044579B">
              <w:rPr>
                <w:bCs/>
                <w:sz w:val="20"/>
                <w:szCs w:val="20"/>
                <w:vertAlign w:val="superscript"/>
                <w:lang w:eastAsia="ar-SA"/>
              </w:rPr>
              <w:t>17)</w:t>
            </w:r>
            <w:r w:rsidRPr="0044579B">
              <w:rPr>
                <w:bCs/>
                <w:sz w:val="20"/>
                <w:szCs w:val="20"/>
                <w:lang w:eastAsia="ar-SA"/>
              </w:rPr>
              <w:t xml:space="preserve"> a auditorské standardy vydané Komorou a</w:t>
            </w:r>
          </w:p>
        </w:tc>
        <w:tc>
          <w:tcPr>
            <w:tcW w:w="1276" w:type="dxa"/>
            <w:tcBorders>
              <w:top w:val="single" w:sz="4" w:space="0" w:color="auto"/>
              <w:left w:val="single" w:sz="4" w:space="0" w:color="auto"/>
              <w:bottom w:val="single" w:sz="4" w:space="0" w:color="auto"/>
              <w:right w:val="single" w:sz="4" w:space="0" w:color="auto"/>
            </w:tcBorders>
          </w:tcPr>
          <w:p w14:paraId="77AA81EC" w14:textId="77777777" w:rsidR="00353BDC" w:rsidRPr="0055179A"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63473C95" w14:textId="77777777" w:rsidR="00353BDC" w:rsidRDefault="00353BDC" w:rsidP="00401306">
            <w:pPr>
              <w:widowControl w:val="0"/>
              <w:ind w:left="57" w:right="113"/>
              <w:rPr>
                <w:sz w:val="20"/>
                <w:szCs w:val="20"/>
              </w:rPr>
            </w:pPr>
            <w:r w:rsidRPr="008049AB">
              <w:rPr>
                <w:sz w:val="20"/>
                <w:szCs w:val="20"/>
              </w:rPr>
              <w:t>Článek 3 odst.</w:t>
            </w:r>
            <w:r>
              <w:rPr>
                <w:sz w:val="20"/>
                <w:szCs w:val="20"/>
              </w:rPr>
              <w:t xml:space="preserve"> 5 </w:t>
            </w:r>
          </w:p>
        </w:tc>
        <w:tc>
          <w:tcPr>
            <w:tcW w:w="6663" w:type="dxa"/>
            <w:tcBorders>
              <w:top w:val="single" w:sz="4" w:space="0" w:color="auto"/>
              <w:left w:val="single" w:sz="4" w:space="0" w:color="auto"/>
              <w:bottom w:val="single" w:sz="4" w:space="0" w:color="auto"/>
              <w:right w:val="single" w:sz="4" w:space="0" w:color="auto"/>
            </w:tcBorders>
          </w:tcPr>
          <w:p w14:paraId="3EEC1817" w14:textId="77777777" w:rsidR="00353BDC" w:rsidRPr="00813853" w:rsidRDefault="00353BDC" w:rsidP="00401306">
            <w:pPr>
              <w:shd w:val="clear" w:color="auto" w:fill="FFFFFF"/>
              <w:rPr>
                <w:sz w:val="20"/>
                <w:szCs w:val="20"/>
              </w:rPr>
            </w:pPr>
            <w:r w:rsidRPr="00813853">
              <w:rPr>
                <w:sz w:val="20"/>
                <w:szCs w:val="20"/>
              </w:rPr>
              <w:t>3.   Aby mohl být statutární auditor rovněž schválen k ověřování zpráv o udržitelnosti, test teoretických znalostí uvedený v odstavci 1 zjišťuje také znalosti přinejmenším v těchto oborech:</w:t>
            </w:r>
          </w:p>
          <w:p w14:paraId="0264FCC8" w14:textId="77777777" w:rsidR="00353BDC" w:rsidRDefault="00353BDC" w:rsidP="00401306">
            <w:pPr>
              <w:widowControl w:val="0"/>
              <w:ind w:left="57" w:right="113"/>
              <w:rPr>
                <w:sz w:val="20"/>
                <w:szCs w:val="20"/>
              </w:rPr>
            </w:pPr>
            <w:r w:rsidRPr="00813853">
              <w:rPr>
                <w:sz w:val="20"/>
                <w:szCs w:val="20"/>
              </w:rPr>
              <w:t>d)</w:t>
            </w:r>
            <w:r>
              <w:rPr>
                <w:sz w:val="20"/>
                <w:szCs w:val="20"/>
              </w:rPr>
              <w:t xml:space="preserve"> </w:t>
            </w:r>
            <w:r w:rsidRPr="00813853">
              <w:rPr>
                <w:sz w:val="20"/>
                <w:szCs w:val="20"/>
              </w:rPr>
              <w:t>právní požadavky a standardy pro ověřování zpráv o udržitelnosti uvedené v článku 26a.“</w:t>
            </w:r>
          </w:p>
        </w:tc>
      </w:tr>
      <w:tr w:rsidR="00353BDC" w:rsidRPr="00675767" w14:paraId="40DBC437"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4150CEF5" w14:textId="77777777" w:rsidR="00353BDC" w:rsidRPr="001E58E9" w:rsidRDefault="00353BDC" w:rsidP="00401306">
            <w:pPr>
              <w:widowControl w:val="0"/>
              <w:suppressAutoHyphens/>
              <w:ind w:left="57" w:right="113"/>
              <w:rPr>
                <w:sz w:val="20"/>
                <w:szCs w:val="20"/>
                <w:lang w:eastAsia="ar-SA"/>
              </w:rPr>
            </w:pPr>
            <w:r>
              <w:rPr>
                <w:sz w:val="20"/>
                <w:szCs w:val="20"/>
                <w:lang w:eastAsia="ar-SA"/>
              </w:rPr>
              <w:t>§ 11 odst. 1 písm. e)</w:t>
            </w:r>
          </w:p>
        </w:tc>
        <w:tc>
          <w:tcPr>
            <w:tcW w:w="3543" w:type="dxa"/>
            <w:tcBorders>
              <w:top w:val="single" w:sz="4" w:space="0" w:color="auto"/>
              <w:left w:val="single" w:sz="4" w:space="0" w:color="auto"/>
              <w:bottom w:val="single" w:sz="4" w:space="0" w:color="auto"/>
              <w:right w:val="single" w:sz="4" w:space="0" w:color="auto"/>
            </w:tcBorders>
          </w:tcPr>
          <w:p w14:paraId="54207394" w14:textId="77777777" w:rsidR="00353BDC" w:rsidRDefault="00353BDC" w:rsidP="00401306">
            <w:pPr>
              <w:widowControl w:val="0"/>
              <w:suppressAutoHyphens/>
              <w:ind w:left="57" w:right="113"/>
              <w:rPr>
                <w:sz w:val="20"/>
                <w:szCs w:val="20"/>
                <w:lang w:eastAsia="ar-SA"/>
              </w:rPr>
            </w:pPr>
            <w:r w:rsidRPr="00C04636">
              <w:rPr>
                <w:sz w:val="20"/>
                <w:szCs w:val="20"/>
                <w:lang w:eastAsia="ar-SA"/>
              </w:rPr>
              <w:t>(1) Komora vede rejstřík, který obsahuje údaje o</w:t>
            </w:r>
          </w:p>
          <w:p w14:paraId="7BFEE827" w14:textId="77777777" w:rsidR="00353BDC" w:rsidRPr="001E58E9" w:rsidRDefault="00353BDC" w:rsidP="00401306">
            <w:pPr>
              <w:widowControl w:val="0"/>
              <w:suppressAutoHyphens/>
              <w:ind w:left="57" w:right="113"/>
              <w:rPr>
                <w:sz w:val="20"/>
                <w:szCs w:val="20"/>
                <w:lang w:eastAsia="ar-SA"/>
              </w:rPr>
            </w:pPr>
            <w:r>
              <w:rPr>
                <w:sz w:val="20"/>
                <w:szCs w:val="20"/>
                <w:lang w:eastAsia="ar-SA"/>
              </w:rPr>
              <w:t xml:space="preserve">e) </w:t>
            </w:r>
            <w:r w:rsidRPr="00C04636">
              <w:rPr>
                <w:sz w:val="20"/>
                <w:szCs w:val="20"/>
                <w:lang w:eastAsia="ar-SA"/>
              </w:rPr>
              <w:t>osobách registrovaných podle § 47 a 47a.</w:t>
            </w:r>
          </w:p>
        </w:tc>
        <w:tc>
          <w:tcPr>
            <w:tcW w:w="1276" w:type="dxa"/>
            <w:tcBorders>
              <w:top w:val="single" w:sz="4" w:space="0" w:color="auto"/>
              <w:left w:val="single" w:sz="4" w:space="0" w:color="auto"/>
              <w:bottom w:val="single" w:sz="4" w:space="0" w:color="auto"/>
              <w:right w:val="single" w:sz="4" w:space="0" w:color="auto"/>
            </w:tcBorders>
          </w:tcPr>
          <w:p w14:paraId="7D1D15E0" w14:textId="77777777" w:rsidR="00353BDC" w:rsidRPr="00806EF6" w:rsidRDefault="00353BDC" w:rsidP="00401306">
            <w:pPr>
              <w:widowControl w:val="0"/>
              <w:ind w:left="57" w:right="113"/>
              <w:rPr>
                <w:sz w:val="20"/>
                <w:szCs w:val="20"/>
              </w:rPr>
            </w:pPr>
            <w:r w:rsidRPr="0055179A">
              <w:rPr>
                <w:sz w:val="20"/>
                <w:szCs w:val="20"/>
              </w:rPr>
              <w:t>02006L0043</w:t>
            </w:r>
          </w:p>
        </w:tc>
        <w:tc>
          <w:tcPr>
            <w:tcW w:w="1559" w:type="dxa"/>
            <w:tcBorders>
              <w:top w:val="single" w:sz="4" w:space="0" w:color="auto"/>
              <w:left w:val="single" w:sz="4" w:space="0" w:color="auto"/>
              <w:bottom w:val="single" w:sz="4" w:space="0" w:color="auto"/>
              <w:right w:val="single" w:sz="4" w:space="0" w:color="auto"/>
            </w:tcBorders>
          </w:tcPr>
          <w:p w14:paraId="5FDD405D" w14:textId="77777777" w:rsidR="00353BDC" w:rsidRPr="001E58E9" w:rsidRDefault="00353BDC" w:rsidP="00401306">
            <w:pPr>
              <w:widowControl w:val="0"/>
              <w:ind w:left="57" w:right="113"/>
              <w:rPr>
                <w:sz w:val="20"/>
                <w:szCs w:val="20"/>
              </w:rPr>
            </w:pPr>
            <w:r>
              <w:rPr>
                <w:sz w:val="20"/>
                <w:szCs w:val="20"/>
              </w:rPr>
              <w:t>Článek 3 odst. 10</w:t>
            </w:r>
          </w:p>
        </w:tc>
        <w:tc>
          <w:tcPr>
            <w:tcW w:w="6663" w:type="dxa"/>
            <w:tcBorders>
              <w:top w:val="single" w:sz="4" w:space="0" w:color="auto"/>
              <w:left w:val="single" w:sz="4" w:space="0" w:color="auto"/>
              <w:bottom w:val="single" w:sz="4" w:space="0" w:color="auto"/>
              <w:right w:val="single" w:sz="4" w:space="0" w:color="auto"/>
            </w:tcBorders>
          </w:tcPr>
          <w:p w14:paraId="45FB11B7" w14:textId="77777777" w:rsidR="00353BDC" w:rsidRPr="00C04636" w:rsidRDefault="00353BDC" w:rsidP="00401306">
            <w:pPr>
              <w:widowControl w:val="0"/>
              <w:ind w:right="113"/>
              <w:rPr>
                <w:sz w:val="20"/>
                <w:szCs w:val="20"/>
              </w:rPr>
            </w:pPr>
            <w:r>
              <w:rPr>
                <w:sz w:val="20"/>
                <w:szCs w:val="20"/>
              </w:rPr>
              <w:t xml:space="preserve">a) </w:t>
            </w:r>
            <w:r w:rsidRPr="00C04636">
              <w:rPr>
                <w:sz w:val="20"/>
                <w:szCs w:val="20"/>
              </w:rPr>
              <w:t>odstavec 1 se nahrazuje tímto:</w:t>
            </w:r>
          </w:p>
          <w:p w14:paraId="4BE382D4" w14:textId="77777777" w:rsidR="00353BDC" w:rsidRPr="00C04636" w:rsidRDefault="00353BDC" w:rsidP="00401306">
            <w:pPr>
              <w:widowControl w:val="0"/>
              <w:ind w:left="57" w:right="113"/>
              <w:rPr>
                <w:sz w:val="20"/>
                <w:szCs w:val="20"/>
              </w:rPr>
            </w:pPr>
            <w:r w:rsidRPr="00C04636">
              <w:rPr>
                <w:sz w:val="20"/>
                <w:szCs w:val="20"/>
              </w:rPr>
              <w:t>„1.</w:t>
            </w:r>
            <w:r>
              <w:rPr>
                <w:sz w:val="20"/>
                <w:szCs w:val="20"/>
              </w:rPr>
              <w:t xml:space="preserve"> </w:t>
            </w:r>
            <w:r w:rsidRPr="00C04636">
              <w:rPr>
                <w:sz w:val="20"/>
                <w:szCs w:val="20"/>
              </w:rPr>
              <w:t>Veřejný rejstřík obsahuje o statutárních auditorech alespoň tyto informace:</w:t>
            </w:r>
          </w:p>
          <w:p w14:paraId="721EE7B0" w14:textId="77777777" w:rsidR="00353BDC" w:rsidRPr="00C04636" w:rsidRDefault="00353BDC" w:rsidP="00401306">
            <w:pPr>
              <w:widowControl w:val="0"/>
              <w:ind w:left="57" w:right="113"/>
              <w:rPr>
                <w:sz w:val="20"/>
                <w:szCs w:val="20"/>
              </w:rPr>
            </w:pPr>
            <w:r>
              <w:rPr>
                <w:sz w:val="20"/>
                <w:szCs w:val="20"/>
              </w:rPr>
              <w:t xml:space="preserve">  </w:t>
            </w:r>
            <w:r w:rsidRPr="00C04636">
              <w:rPr>
                <w:sz w:val="20"/>
                <w:szCs w:val="20"/>
              </w:rPr>
              <w:t>a)</w:t>
            </w:r>
            <w:r>
              <w:rPr>
                <w:sz w:val="20"/>
                <w:szCs w:val="20"/>
              </w:rPr>
              <w:t xml:space="preserve"> </w:t>
            </w:r>
            <w:r w:rsidRPr="00C04636">
              <w:rPr>
                <w:sz w:val="20"/>
                <w:szCs w:val="20"/>
              </w:rPr>
              <w:t>jméno, adresu a registrační číslo;</w:t>
            </w:r>
          </w:p>
          <w:p w14:paraId="26AB41A0" w14:textId="77777777" w:rsidR="00353BDC" w:rsidRPr="00C04636" w:rsidRDefault="00353BDC" w:rsidP="00401306">
            <w:pPr>
              <w:widowControl w:val="0"/>
              <w:ind w:left="57" w:right="113"/>
              <w:rPr>
                <w:sz w:val="20"/>
                <w:szCs w:val="20"/>
              </w:rPr>
            </w:pPr>
            <w:r>
              <w:rPr>
                <w:sz w:val="20"/>
                <w:szCs w:val="20"/>
              </w:rPr>
              <w:t xml:space="preserve">  </w:t>
            </w:r>
            <w:r w:rsidRPr="00C04636">
              <w:rPr>
                <w:sz w:val="20"/>
                <w:szCs w:val="20"/>
              </w:rPr>
              <w:t>b)</w:t>
            </w:r>
            <w:r>
              <w:rPr>
                <w:sz w:val="20"/>
                <w:szCs w:val="20"/>
              </w:rPr>
              <w:t xml:space="preserve"> </w:t>
            </w:r>
            <w:r w:rsidRPr="00C04636">
              <w:rPr>
                <w:sz w:val="20"/>
                <w:szCs w:val="20"/>
              </w:rPr>
              <w:t>jméno, adresu, adresu internetových stránek a registrační číslo auditorské společnosti nebo společností, u kterých je statutární auditor zaměstnán nebo s nimiž je spojen jako společník nebo jinak, pokud existují;</w:t>
            </w:r>
          </w:p>
          <w:p w14:paraId="1301662D" w14:textId="77777777" w:rsidR="00353BDC" w:rsidRPr="00C04636" w:rsidRDefault="00353BDC" w:rsidP="00401306">
            <w:pPr>
              <w:widowControl w:val="0"/>
              <w:ind w:left="57" w:right="113"/>
              <w:rPr>
                <w:sz w:val="20"/>
                <w:szCs w:val="20"/>
              </w:rPr>
            </w:pPr>
            <w:r>
              <w:rPr>
                <w:sz w:val="20"/>
                <w:szCs w:val="20"/>
              </w:rPr>
              <w:t xml:space="preserve">  </w:t>
            </w:r>
            <w:r w:rsidRPr="00C04636">
              <w:rPr>
                <w:sz w:val="20"/>
                <w:szCs w:val="20"/>
              </w:rPr>
              <w:t>c)</w:t>
            </w:r>
            <w:r>
              <w:rPr>
                <w:sz w:val="20"/>
                <w:szCs w:val="20"/>
              </w:rPr>
              <w:t xml:space="preserve"> </w:t>
            </w:r>
            <w:r w:rsidRPr="00C04636">
              <w:rPr>
                <w:sz w:val="20"/>
                <w:szCs w:val="20"/>
              </w:rPr>
              <w:t>zda je statutární auditor rovněž schválen pro ověřování zpráv o udržitelnosti;</w:t>
            </w:r>
          </w:p>
          <w:p w14:paraId="37B99807" w14:textId="77777777" w:rsidR="00353BDC" w:rsidRPr="00C04636" w:rsidRDefault="00353BDC" w:rsidP="00401306">
            <w:pPr>
              <w:widowControl w:val="0"/>
              <w:ind w:left="57" w:right="113"/>
              <w:rPr>
                <w:sz w:val="20"/>
                <w:szCs w:val="20"/>
              </w:rPr>
            </w:pPr>
            <w:r>
              <w:rPr>
                <w:sz w:val="20"/>
                <w:szCs w:val="20"/>
              </w:rPr>
              <w:t xml:space="preserve">  </w:t>
            </w:r>
            <w:r w:rsidRPr="00C04636">
              <w:rPr>
                <w:sz w:val="20"/>
                <w:szCs w:val="20"/>
              </w:rPr>
              <w:t>d)</w:t>
            </w:r>
            <w:r>
              <w:rPr>
                <w:sz w:val="20"/>
                <w:szCs w:val="20"/>
              </w:rPr>
              <w:t xml:space="preserve"> </w:t>
            </w:r>
            <w:r w:rsidRPr="00C04636">
              <w:rPr>
                <w:sz w:val="20"/>
                <w:szCs w:val="20"/>
              </w:rPr>
              <w:t>všechny další registrace jako statutárního auditora provedené u příslušných orgánů jiných členských států a jako auditora ve třetích zemích, včetně názvu registračního orgánu nebo orgánů a registračního čísla nebo čísel, pokud existují, a údaj o tom, zda se registrace týká povinného auditu, ověřování zpráv o udržitelnosti, nebo obojího.“;</w:t>
            </w:r>
          </w:p>
          <w:p w14:paraId="660A098D" w14:textId="77777777" w:rsidR="00353BDC" w:rsidRPr="00C04636" w:rsidRDefault="00353BDC" w:rsidP="00401306">
            <w:pPr>
              <w:widowControl w:val="0"/>
              <w:ind w:left="57" w:right="113"/>
              <w:rPr>
                <w:sz w:val="20"/>
                <w:szCs w:val="20"/>
              </w:rPr>
            </w:pPr>
            <w:r w:rsidRPr="00C04636">
              <w:rPr>
                <w:sz w:val="20"/>
                <w:szCs w:val="20"/>
              </w:rPr>
              <w:t>b)</w:t>
            </w:r>
            <w:r>
              <w:rPr>
                <w:sz w:val="20"/>
                <w:szCs w:val="20"/>
              </w:rPr>
              <w:t xml:space="preserve"> </w:t>
            </w:r>
            <w:r w:rsidRPr="00C04636">
              <w:rPr>
                <w:sz w:val="20"/>
                <w:szCs w:val="20"/>
              </w:rPr>
              <w:t>v odstavci 2 se doplňuje nový pododstavec, který zní:</w:t>
            </w:r>
          </w:p>
          <w:p w14:paraId="2A1D4B3A" w14:textId="77777777" w:rsidR="00353BDC" w:rsidRPr="001E58E9" w:rsidRDefault="00353BDC" w:rsidP="00401306">
            <w:pPr>
              <w:shd w:val="clear" w:color="auto" w:fill="FFFFFF"/>
              <w:rPr>
                <w:sz w:val="20"/>
                <w:szCs w:val="20"/>
              </w:rPr>
            </w:pPr>
            <w:r w:rsidRPr="00C04636">
              <w:rPr>
                <w:sz w:val="20"/>
                <w:szCs w:val="20"/>
              </w:rPr>
              <w:t>„V rejstříku se uvede, zda jsou auditoři ze třetích zemí uvedení v prvním pododstavci zaregistrováni pro provádění povinného auditu, ověřování zpráv o udržitelnosti, nebo pro oba účely.“</w:t>
            </w:r>
          </w:p>
        </w:tc>
      </w:tr>
      <w:tr w:rsidR="00353BDC" w:rsidRPr="00675767" w14:paraId="7C1F4E5C"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4A034B25" w14:textId="77777777" w:rsidR="00353BDC" w:rsidRPr="001E58E9" w:rsidRDefault="00353BDC" w:rsidP="00401306">
            <w:pPr>
              <w:widowControl w:val="0"/>
              <w:suppressAutoHyphens/>
              <w:ind w:left="57" w:right="113"/>
              <w:rPr>
                <w:sz w:val="20"/>
                <w:szCs w:val="20"/>
                <w:lang w:eastAsia="ar-SA"/>
              </w:rPr>
            </w:pPr>
            <w:r>
              <w:rPr>
                <w:sz w:val="20"/>
                <w:szCs w:val="20"/>
                <w:lang w:eastAsia="ar-SA"/>
              </w:rPr>
              <w:lastRenderedPageBreak/>
              <w:t>§ 12 písm. i) a j)</w:t>
            </w:r>
          </w:p>
        </w:tc>
        <w:tc>
          <w:tcPr>
            <w:tcW w:w="3543" w:type="dxa"/>
            <w:tcBorders>
              <w:top w:val="single" w:sz="4" w:space="0" w:color="auto"/>
              <w:left w:val="single" w:sz="4" w:space="0" w:color="auto"/>
              <w:bottom w:val="single" w:sz="4" w:space="0" w:color="auto"/>
              <w:right w:val="single" w:sz="4" w:space="0" w:color="auto"/>
            </w:tcBorders>
          </w:tcPr>
          <w:p w14:paraId="7B66AA1F" w14:textId="77777777" w:rsidR="00353BDC" w:rsidRDefault="00353BDC" w:rsidP="00401306">
            <w:pPr>
              <w:widowControl w:val="0"/>
              <w:suppressAutoHyphens/>
              <w:ind w:left="57" w:right="113"/>
              <w:rPr>
                <w:sz w:val="20"/>
                <w:szCs w:val="20"/>
                <w:lang w:eastAsia="ar-SA"/>
              </w:rPr>
            </w:pPr>
            <w:r>
              <w:rPr>
                <w:sz w:val="20"/>
                <w:szCs w:val="20"/>
                <w:lang w:eastAsia="ar-SA"/>
              </w:rPr>
              <w:t xml:space="preserve">i) </w:t>
            </w:r>
            <w:r w:rsidRPr="0044579B">
              <w:rPr>
                <w:sz w:val="20"/>
                <w:szCs w:val="20"/>
                <w:lang w:eastAsia="ar-SA"/>
              </w:rPr>
              <w:t>všechny další registrace jako statutárního auditora provedené u příslušných orgánů jiných členských států včetně názvu registračního orgánu nebo orgánů a registračního čísla nebo čísel, pokud existují, a informaci, zda registrace zahrnuje oprávnění k ověřování zpráv o udržitelnosti</w:t>
            </w:r>
            <w:r w:rsidRPr="00590C46">
              <w:rPr>
                <w:sz w:val="20"/>
                <w:szCs w:val="20"/>
                <w:lang w:eastAsia="ar-SA"/>
              </w:rPr>
              <w:t>,</w:t>
            </w:r>
          </w:p>
          <w:p w14:paraId="2C9965BE" w14:textId="77777777" w:rsidR="00353BDC" w:rsidRPr="001E58E9" w:rsidRDefault="00353BDC" w:rsidP="00401306">
            <w:pPr>
              <w:widowControl w:val="0"/>
              <w:suppressAutoHyphens/>
              <w:ind w:left="57" w:right="113"/>
              <w:rPr>
                <w:sz w:val="20"/>
                <w:szCs w:val="20"/>
                <w:lang w:eastAsia="ar-SA"/>
              </w:rPr>
            </w:pPr>
            <w:r>
              <w:rPr>
                <w:sz w:val="20"/>
                <w:szCs w:val="20"/>
                <w:lang w:eastAsia="ar-SA"/>
              </w:rPr>
              <w:t xml:space="preserve">j) </w:t>
            </w:r>
            <w:r w:rsidRPr="0044579B">
              <w:rPr>
                <w:sz w:val="20"/>
                <w:szCs w:val="20"/>
                <w:lang w:eastAsia="ar-SA"/>
              </w:rPr>
              <w:t>všechny další registrace jako auditora provedené u příslušných orgánů ve třetích zemích včetně názvu registračního orgánu nebo orgánů a registračního čísla nebo čísel, pokud existují, a informaci, zda registrace zahrnuje oprávnění k ověřování srovnatelnému s povinným auditem nebo ověřováním zpráv o udržitelnosti</w:t>
            </w:r>
            <w:r w:rsidRPr="00590C46">
              <w:rPr>
                <w:sz w:val="20"/>
                <w:szCs w:val="20"/>
                <w:lang w:eastAsia="ar-SA"/>
              </w:rPr>
              <w:t>.</w:t>
            </w:r>
          </w:p>
        </w:tc>
        <w:tc>
          <w:tcPr>
            <w:tcW w:w="1276" w:type="dxa"/>
            <w:tcBorders>
              <w:top w:val="single" w:sz="4" w:space="0" w:color="auto"/>
              <w:left w:val="single" w:sz="4" w:space="0" w:color="auto"/>
              <w:bottom w:val="single" w:sz="4" w:space="0" w:color="auto"/>
              <w:right w:val="single" w:sz="4" w:space="0" w:color="auto"/>
            </w:tcBorders>
          </w:tcPr>
          <w:p w14:paraId="13E0F4E1" w14:textId="77777777" w:rsidR="00353BDC" w:rsidRPr="00806EF6"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381F20D3" w14:textId="77777777" w:rsidR="00353BDC" w:rsidRPr="001E58E9" w:rsidRDefault="00353BDC" w:rsidP="00401306">
            <w:pPr>
              <w:widowControl w:val="0"/>
              <w:ind w:left="57" w:right="113"/>
              <w:rPr>
                <w:sz w:val="20"/>
                <w:szCs w:val="20"/>
              </w:rPr>
            </w:pPr>
            <w:r>
              <w:rPr>
                <w:sz w:val="20"/>
                <w:szCs w:val="20"/>
              </w:rPr>
              <w:t>Článek 3 odst. 10</w:t>
            </w:r>
          </w:p>
        </w:tc>
        <w:tc>
          <w:tcPr>
            <w:tcW w:w="6663" w:type="dxa"/>
            <w:tcBorders>
              <w:top w:val="single" w:sz="4" w:space="0" w:color="auto"/>
              <w:left w:val="single" w:sz="4" w:space="0" w:color="auto"/>
              <w:bottom w:val="single" w:sz="4" w:space="0" w:color="auto"/>
              <w:right w:val="single" w:sz="4" w:space="0" w:color="auto"/>
            </w:tcBorders>
          </w:tcPr>
          <w:p w14:paraId="1D3B0443" w14:textId="77777777" w:rsidR="00353BDC" w:rsidRPr="001E58E9" w:rsidRDefault="00353BDC" w:rsidP="00401306">
            <w:pPr>
              <w:shd w:val="clear" w:color="auto" w:fill="FFFFFF"/>
              <w:rPr>
                <w:sz w:val="20"/>
                <w:szCs w:val="20"/>
              </w:rPr>
            </w:pPr>
            <w:r>
              <w:rPr>
                <w:sz w:val="20"/>
                <w:szCs w:val="20"/>
              </w:rPr>
              <w:t xml:space="preserve">d) </w:t>
            </w:r>
            <w:r w:rsidRPr="00B71AE0">
              <w:rPr>
                <w:sz w:val="20"/>
                <w:szCs w:val="20"/>
              </w:rPr>
              <w:t>všechny další registrace jako statutárního auditora provedené u příslušných orgánů jiných členských států a jako auditora ve třetích zemích, včetně názvu registračního orgánu nebo orgánů a registračního čísla nebo čísel, pokud existují, a údaj o tom, zda se registrace týká povinného auditu, ověřování zpráv o udržitelnosti, nebo obojího.</w:t>
            </w:r>
          </w:p>
        </w:tc>
      </w:tr>
      <w:tr w:rsidR="00353BDC" w:rsidRPr="00675767" w14:paraId="457087DF"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580E1F53" w14:textId="77777777" w:rsidR="00353BDC" w:rsidRPr="00B71AE0" w:rsidRDefault="00353BDC" w:rsidP="00401306">
            <w:pPr>
              <w:widowControl w:val="0"/>
              <w:suppressAutoHyphens/>
              <w:ind w:left="57" w:right="113"/>
              <w:rPr>
                <w:sz w:val="20"/>
                <w:szCs w:val="20"/>
                <w:lang w:eastAsia="ar-SA"/>
              </w:rPr>
            </w:pPr>
            <w:r w:rsidRPr="00B71AE0">
              <w:rPr>
                <w:sz w:val="20"/>
                <w:szCs w:val="20"/>
                <w:lang w:eastAsia="ar-SA"/>
              </w:rPr>
              <w:t>§ 12a písm. i)</w:t>
            </w:r>
          </w:p>
        </w:tc>
        <w:tc>
          <w:tcPr>
            <w:tcW w:w="3543" w:type="dxa"/>
            <w:tcBorders>
              <w:top w:val="single" w:sz="4" w:space="0" w:color="auto"/>
              <w:left w:val="single" w:sz="4" w:space="0" w:color="auto"/>
              <w:bottom w:val="single" w:sz="4" w:space="0" w:color="auto"/>
              <w:right w:val="single" w:sz="4" w:space="0" w:color="auto"/>
            </w:tcBorders>
          </w:tcPr>
          <w:p w14:paraId="30D48F64" w14:textId="77777777" w:rsidR="00353BDC" w:rsidRPr="00B71AE0" w:rsidRDefault="00353BDC" w:rsidP="00401306">
            <w:pPr>
              <w:widowControl w:val="0"/>
              <w:suppressAutoHyphens/>
              <w:ind w:left="57" w:right="113"/>
              <w:rPr>
                <w:sz w:val="20"/>
                <w:szCs w:val="20"/>
                <w:lang w:eastAsia="ar-SA"/>
              </w:rPr>
            </w:pPr>
            <w:r>
              <w:rPr>
                <w:sz w:val="20"/>
                <w:szCs w:val="20"/>
                <w:lang w:eastAsia="ar-SA"/>
              </w:rPr>
              <w:t>i</w:t>
            </w:r>
            <w:r w:rsidRPr="00B71AE0">
              <w:rPr>
                <w:sz w:val="20"/>
                <w:szCs w:val="20"/>
                <w:lang w:eastAsia="ar-SA"/>
              </w:rPr>
              <w:t>) jméno a evidenční číslo statutárního auditora provádějícího auditorskou činnost pro auditorskou společnost na základě pracovněprávního nebo jiného vztahu</w:t>
            </w:r>
          </w:p>
        </w:tc>
        <w:tc>
          <w:tcPr>
            <w:tcW w:w="1276" w:type="dxa"/>
            <w:tcBorders>
              <w:top w:val="single" w:sz="4" w:space="0" w:color="auto"/>
              <w:left w:val="single" w:sz="4" w:space="0" w:color="auto"/>
              <w:bottom w:val="single" w:sz="4" w:space="0" w:color="auto"/>
              <w:right w:val="single" w:sz="4" w:space="0" w:color="auto"/>
            </w:tcBorders>
          </w:tcPr>
          <w:p w14:paraId="658DB9CE" w14:textId="77777777" w:rsidR="00353BDC" w:rsidRPr="00B71AE0" w:rsidRDefault="00353BDC" w:rsidP="00401306">
            <w:pPr>
              <w:widowControl w:val="0"/>
              <w:ind w:left="57" w:right="113"/>
              <w:rPr>
                <w:sz w:val="20"/>
                <w:szCs w:val="20"/>
              </w:rPr>
            </w:pPr>
            <w:r w:rsidRPr="00B71AE0">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091E02CF" w14:textId="77777777" w:rsidR="00353BDC" w:rsidRPr="00B71AE0" w:rsidRDefault="00353BDC" w:rsidP="00401306">
            <w:pPr>
              <w:widowControl w:val="0"/>
              <w:ind w:left="57" w:right="113"/>
              <w:rPr>
                <w:sz w:val="20"/>
                <w:szCs w:val="20"/>
              </w:rPr>
            </w:pPr>
            <w:r>
              <w:rPr>
                <w:sz w:val="20"/>
                <w:szCs w:val="20"/>
              </w:rPr>
              <w:t>Článek 3 odst. 11</w:t>
            </w:r>
          </w:p>
        </w:tc>
        <w:tc>
          <w:tcPr>
            <w:tcW w:w="6663" w:type="dxa"/>
            <w:tcBorders>
              <w:top w:val="single" w:sz="4" w:space="0" w:color="auto"/>
              <w:left w:val="single" w:sz="4" w:space="0" w:color="auto"/>
              <w:bottom w:val="single" w:sz="4" w:space="0" w:color="auto"/>
              <w:right w:val="single" w:sz="4" w:space="0" w:color="auto"/>
            </w:tcBorders>
          </w:tcPr>
          <w:p w14:paraId="5F5E730C" w14:textId="77777777" w:rsidR="00353BDC" w:rsidRPr="001E58E9" w:rsidRDefault="00353BDC" w:rsidP="00401306">
            <w:pPr>
              <w:widowControl w:val="0"/>
              <w:ind w:left="57" w:right="113"/>
              <w:rPr>
                <w:sz w:val="20"/>
                <w:szCs w:val="20"/>
              </w:rPr>
            </w:pPr>
            <w:r>
              <w:rPr>
                <w:sz w:val="20"/>
                <w:szCs w:val="20"/>
              </w:rPr>
              <w:t xml:space="preserve">e) </w:t>
            </w:r>
            <w:r w:rsidRPr="00B71AE0">
              <w:rPr>
                <w:sz w:val="20"/>
                <w:szCs w:val="20"/>
              </w:rPr>
              <w:t>jména a registrační čísla všech statutárních auditorů zaměstnaných u auditorské společnosti nebo s ní spojených jako společníci či jinak a údaj o tom, zda jsou rovněž schváleni pro ověřování zpráv o udržitelnosti</w:t>
            </w:r>
          </w:p>
        </w:tc>
      </w:tr>
      <w:tr w:rsidR="00353BDC" w:rsidRPr="00675767" w14:paraId="679AD082"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0919612A" w14:textId="77777777" w:rsidR="00353BDC" w:rsidRPr="00B71AE0" w:rsidRDefault="00353BDC" w:rsidP="00401306">
            <w:pPr>
              <w:widowControl w:val="0"/>
              <w:suppressAutoHyphens/>
              <w:ind w:left="57" w:right="113"/>
              <w:rPr>
                <w:sz w:val="20"/>
                <w:szCs w:val="20"/>
                <w:lang w:eastAsia="ar-SA"/>
              </w:rPr>
            </w:pPr>
            <w:r w:rsidRPr="00B71AE0">
              <w:rPr>
                <w:sz w:val="20"/>
                <w:szCs w:val="20"/>
                <w:lang w:eastAsia="ar-SA"/>
              </w:rPr>
              <w:lastRenderedPageBreak/>
              <w:t xml:space="preserve">§ 12a písm. </w:t>
            </w:r>
            <w:r>
              <w:rPr>
                <w:sz w:val="20"/>
                <w:szCs w:val="20"/>
                <w:lang w:eastAsia="ar-SA"/>
              </w:rPr>
              <w:t>k</w:t>
            </w:r>
            <w:r w:rsidRPr="00B71AE0">
              <w:rPr>
                <w:sz w:val="20"/>
                <w:szCs w:val="20"/>
                <w:lang w:eastAsia="ar-SA"/>
              </w:rPr>
              <w:t>)</w:t>
            </w:r>
            <w:r>
              <w:rPr>
                <w:sz w:val="20"/>
                <w:szCs w:val="20"/>
                <w:lang w:eastAsia="ar-SA"/>
              </w:rPr>
              <w:t xml:space="preserve"> a l)</w:t>
            </w:r>
          </w:p>
        </w:tc>
        <w:tc>
          <w:tcPr>
            <w:tcW w:w="3543" w:type="dxa"/>
            <w:tcBorders>
              <w:top w:val="single" w:sz="4" w:space="0" w:color="auto"/>
              <w:left w:val="single" w:sz="4" w:space="0" w:color="auto"/>
              <w:bottom w:val="single" w:sz="4" w:space="0" w:color="auto"/>
              <w:right w:val="single" w:sz="4" w:space="0" w:color="auto"/>
            </w:tcBorders>
          </w:tcPr>
          <w:p w14:paraId="2DB131FF" w14:textId="77777777" w:rsidR="00353BDC" w:rsidRDefault="00353BDC" w:rsidP="00401306">
            <w:pPr>
              <w:widowControl w:val="0"/>
              <w:suppressAutoHyphens/>
              <w:ind w:left="57" w:right="113"/>
              <w:rPr>
                <w:sz w:val="20"/>
                <w:szCs w:val="20"/>
                <w:lang w:eastAsia="ar-SA"/>
              </w:rPr>
            </w:pPr>
            <w:r>
              <w:rPr>
                <w:sz w:val="20"/>
                <w:szCs w:val="20"/>
                <w:lang w:eastAsia="ar-SA"/>
              </w:rPr>
              <w:t>k</w:t>
            </w:r>
            <w:r w:rsidRPr="00B71AE0">
              <w:rPr>
                <w:sz w:val="20"/>
                <w:szCs w:val="20"/>
                <w:lang w:eastAsia="ar-SA"/>
              </w:rPr>
              <w:t xml:space="preserve">) </w:t>
            </w:r>
            <w:r w:rsidRPr="0044579B">
              <w:rPr>
                <w:sz w:val="20"/>
                <w:szCs w:val="20"/>
                <w:lang w:eastAsia="ar-SA"/>
              </w:rPr>
              <w:t>všechny další registrace jako auditorské společnosti provedené u příslušných orgánů jiných členských států včetně názvu registračního orgánu nebo orgánů a registračního čísla nebo čísel, pokud existují, a informaci, zda registrace zahrnuje oprávnění k ověřování zpráv o udržitelnosti</w:t>
            </w:r>
            <w:r w:rsidRPr="00BA7155">
              <w:rPr>
                <w:sz w:val="20"/>
                <w:szCs w:val="20"/>
                <w:lang w:eastAsia="ar-SA"/>
              </w:rPr>
              <w:t>,</w:t>
            </w:r>
          </w:p>
          <w:p w14:paraId="01D7BDC9" w14:textId="77777777" w:rsidR="00353BDC" w:rsidRPr="00B71AE0" w:rsidRDefault="00353BDC" w:rsidP="00401306">
            <w:pPr>
              <w:widowControl w:val="0"/>
              <w:suppressAutoHyphens/>
              <w:ind w:left="57" w:right="113"/>
              <w:rPr>
                <w:sz w:val="20"/>
                <w:szCs w:val="20"/>
                <w:lang w:eastAsia="ar-SA"/>
              </w:rPr>
            </w:pPr>
            <w:r>
              <w:rPr>
                <w:sz w:val="20"/>
                <w:szCs w:val="20"/>
                <w:lang w:eastAsia="ar-SA"/>
              </w:rPr>
              <w:t xml:space="preserve">l) </w:t>
            </w:r>
            <w:r w:rsidRPr="0044579B">
              <w:rPr>
                <w:sz w:val="20"/>
                <w:szCs w:val="20"/>
                <w:lang w:eastAsia="ar-SA"/>
              </w:rPr>
              <w:t>všechny další registrace jako auditorského subjektu provedené u příslušných orgánů ve třetích zemích včetně názvu registračního orgánu nebo orgánů a registračního čísla nebo čísel, pokud existují, a informaci, zda registrace zahrnuje oprávnění k ověřování srovnatelnému s povinným auditem anebo ověřováním zpráv o udržitelnosti</w:t>
            </w:r>
            <w:r>
              <w:rPr>
                <w:sz w:val="20"/>
                <w:szCs w:val="20"/>
                <w:lang w:eastAsia="ar-SA"/>
              </w:rPr>
              <w:t>,</w:t>
            </w:r>
          </w:p>
        </w:tc>
        <w:tc>
          <w:tcPr>
            <w:tcW w:w="1276" w:type="dxa"/>
            <w:tcBorders>
              <w:top w:val="single" w:sz="4" w:space="0" w:color="auto"/>
              <w:left w:val="single" w:sz="4" w:space="0" w:color="auto"/>
              <w:bottom w:val="single" w:sz="4" w:space="0" w:color="auto"/>
              <w:right w:val="single" w:sz="4" w:space="0" w:color="auto"/>
            </w:tcBorders>
          </w:tcPr>
          <w:p w14:paraId="4C9879B2" w14:textId="77777777" w:rsidR="00353BDC" w:rsidRPr="00B71AE0" w:rsidRDefault="00353BDC" w:rsidP="00401306">
            <w:pPr>
              <w:widowControl w:val="0"/>
              <w:ind w:left="57" w:right="113"/>
              <w:rPr>
                <w:sz w:val="20"/>
                <w:szCs w:val="20"/>
              </w:rPr>
            </w:pPr>
            <w:r w:rsidRPr="00B71AE0">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10818BEB" w14:textId="77777777" w:rsidR="00353BDC" w:rsidRPr="00B71AE0" w:rsidRDefault="00353BDC" w:rsidP="00401306">
            <w:pPr>
              <w:widowControl w:val="0"/>
              <w:ind w:left="57" w:right="113"/>
              <w:rPr>
                <w:sz w:val="20"/>
                <w:szCs w:val="20"/>
              </w:rPr>
            </w:pPr>
            <w:r>
              <w:rPr>
                <w:sz w:val="20"/>
                <w:szCs w:val="20"/>
              </w:rPr>
              <w:t>Článek 3 odst. 11</w:t>
            </w:r>
          </w:p>
        </w:tc>
        <w:tc>
          <w:tcPr>
            <w:tcW w:w="6663" w:type="dxa"/>
            <w:tcBorders>
              <w:top w:val="single" w:sz="4" w:space="0" w:color="auto"/>
              <w:left w:val="single" w:sz="4" w:space="0" w:color="auto"/>
              <w:bottom w:val="single" w:sz="4" w:space="0" w:color="auto"/>
              <w:right w:val="single" w:sz="4" w:space="0" w:color="auto"/>
            </w:tcBorders>
          </w:tcPr>
          <w:p w14:paraId="54E17037" w14:textId="77777777" w:rsidR="00353BDC" w:rsidRPr="001E58E9" w:rsidRDefault="00353BDC" w:rsidP="00401306">
            <w:pPr>
              <w:widowControl w:val="0"/>
              <w:ind w:left="57" w:right="113"/>
              <w:rPr>
                <w:sz w:val="20"/>
                <w:szCs w:val="20"/>
              </w:rPr>
            </w:pPr>
            <w:r>
              <w:rPr>
                <w:sz w:val="20"/>
                <w:szCs w:val="20"/>
              </w:rPr>
              <w:t xml:space="preserve">i) </w:t>
            </w:r>
            <w:r w:rsidRPr="00BA7155">
              <w:rPr>
                <w:sz w:val="20"/>
                <w:szCs w:val="20"/>
              </w:rPr>
              <w:t>všechny další registrace jako auditorské společnosti provedené u příslušných orgánů jiných členských států a jako auditorského subjektu ve třetích zemích včetně názvu registračního orgánu nebo orgánů a registračního čísla nebo čísel, pokud existují, a údaj o tom, zda se registrace týká povinného auditu, ověřování zpráv o udržitelnosti, nebo obojího.</w:t>
            </w:r>
          </w:p>
        </w:tc>
      </w:tr>
      <w:tr w:rsidR="00353BDC" w:rsidRPr="00675767" w14:paraId="7588586F"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393E05F6" w14:textId="77777777" w:rsidR="00353BDC" w:rsidRPr="001E58E9" w:rsidRDefault="00353BDC" w:rsidP="00401306">
            <w:pPr>
              <w:widowControl w:val="0"/>
              <w:suppressAutoHyphens/>
              <w:ind w:left="57" w:right="113"/>
              <w:rPr>
                <w:sz w:val="20"/>
                <w:szCs w:val="20"/>
                <w:lang w:eastAsia="ar-SA"/>
              </w:rPr>
            </w:pPr>
            <w:r>
              <w:rPr>
                <w:sz w:val="20"/>
                <w:szCs w:val="20"/>
                <w:lang w:eastAsia="ar-SA"/>
              </w:rPr>
              <w:lastRenderedPageBreak/>
              <w:t>§ 12d</w:t>
            </w:r>
          </w:p>
        </w:tc>
        <w:tc>
          <w:tcPr>
            <w:tcW w:w="3543" w:type="dxa"/>
            <w:tcBorders>
              <w:top w:val="single" w:sz="4" w:space="0" w:color="auto"/>
              <w:left w:val="single" w:sz="4" w:space="0" w:color="auto"/>
              <w:bottom w:val="single" w:sz="4" w:space="0" w:color="auto"/>
              <w:right w:val="single" w:sz="4" w:space="0" w:color="auto"/>
            </w:tcBorders>
          </w:tcPr>
          <w:p w14:paraId="1B777613" w14:textId="77777777" w:rsidR="00353BDC" w:rsidRPr="00BA7155" w:rsidRDefault="00353BDC" w:rsidP="00401306">
            <w:pPr>
              <w:widowControl w:val="0"/>
              <w:suppressAutoHyphens/>
              <w:ind w:left="57" w:right="113"/>
              <w:rPr>
                <w:sz w:val="20"/>
                <w:szCs w:val="20"/>
                <w:lang w:eastAsia="ar-SA"/>
              </w:rPr>
            </w:pPr>
            <w:r>
              <w:rPr>
                <w:sz w:val="20"/>
                <w:szCs w:val="20"/>
                <w:lang w:eastAsia="ar-SA"/>
              </w:rPr>
              <w:t xml:space="preserve">(1) </w:t>
            </w:r>
            <w:r w:rsidRPr="0044579B">
              <w:rPr>
                <w:sz w:val="20"/>
                <w:szCs w:val="20"/>
                <w:lang w:eastAsia="ar-SA"/>
              </w:rPr>
              <w:t>V případě osoby registrované podle § 47 a 47a se do rejstříku zapisují informace podle § 12 a 12a, pokud jsou u této osoby v zahraničí evidovány, a informace, zda registrace zahrnuje oprávnění k ověřování srovnatelnému s ověřováním zpráv o udržitelnosti.</w:t>
            </w:r>
          </w:p>
          <w:p w14:paraId="50F98A39" w14:textId="77777777" w:rsidR="00353BDC" w:rsidRPr="00BA7155" w:rsidRDefault="00353BDC" w:rsidP="00401306">
            <w:pPr>
              <w:widowControl w:val="0"/>
              <w:suppressAutoHyphens/>
              <w:ind w:left="57" w:right="113"/>
              <w:rPr>
                <w:sz w:val="20"/>
                <w:szCs w:val="20"/>
                <w:lang w:eastAsia="ar-SA"/>
              </w:rPr>
            </w:pPr>
            <w:r w:rsidRPr="00BA7155">
              <w:rPr>
                <w:sz w:val="20"/>
                <w:szCs w:val="20"/>
                <w:lang w:eastAsia="ar-SA"/>
              </w:rPr>
              <w:tab/>
            </w:r>
          </w:p>
          <w:p w14:paraId="103885F3" w14:textId="77777777" w:rsidR="00353BDC" w:rsidRPr="00B7797C" w:rsidRDefault="00353BDC" w:rsidP="00401306">
            <w:pPr>
              <w:widowControl w:val="0"/>
              <w:suppressAutoHyphens/>
              <w:ind w:left="57" w:right="113"/>
              <w:rPr>
                <w:sz w:val="20"/>
                <w:szCs w:val="20"/>
                <w:lang w:eastAsia="ar-SA"/>
              </w:rPr>
            </w:pPr>
            <w:r w:rsidRPr="00BA7155">
              <w:rPr>
                <w:sz w:val="20"/>
                <w:szCs w:val="20"/>
                <w:lang w:eastAsia="ar-SA"/>
              </w:rPr>
              <w:t>(2)</w:t>
            </w:r>
            <w:r>
              <w:rPr>
                <w:sz w:val="20"/>
                <w:szCs w:val="20"/>
                <w:lang w:eastAsia="ar-SA"/>
              </w:rPr>
              <w:t xml:space="preserve"> </w:t>
            </w:r>
            <w:r w:rsidRPr="0044579B">
              <w:rPr>
                <w:sz w:val="20"/>
                <w:szCs w:val="20"/>
                <w:lang w:eastAsia="ar-SA"/>
              </w:rPr>
              <w:t>Osoba uvedená v odstavci 1 se v rejstříku označí zřetelně jako auditor ze třetí země nebo auditorská osoba ze třetí země.</w:t>
            </w:r>
          </w:p>
        </w:tc>
        <w:tc>
          <w:tcPr>
            <w:tcW w:w="1276" w:type="dxa"/>
            <w:tcBorders>
              <w:top w:val="single" w:sz="4" w:space="0" w:color="auto"/>
              <w:left w:val="single" w:sz="4" w:space="0" w:color="auto"/>
              <w:bottom w:val="single" w:sz="4" w:space="0" w:color="auto"/>
              <w:right w:val="single" w:sz="4" w:space="0" w:color="auto"/>
            </w:tcBorders>
          </w:tcPr>
          <w:p w14:paraId="63777B90" w14:textId="77777777" w:rsidR="00353BDC" w:rsidRPr="00806EF6"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79CC3DAB" w14:textId="77777777" w:rsidR="00353BDC" w:rsidRPr="001E58E9" w:rsidRDefault="00353BDC" w:rsidP="00401306">
            <w:pPr>
              <w:widowControl w:val="0"/>
              <w:ind w:left="57" w:right="113"/>
              <w:rPr>
                <w:sz w:val="20"/>
                <w:szCs w:val="20"/>
              </w:rPr>
            </w:pPr>
            <w:r>
              <w:rPr>
                <w:sz w:val="20"/>
                <w:szCs w:val="20"/>
              </w:rPr>
              <w:t>Článek 3 odst. 10 a 11</w:t>
            </w:r>
          </w:p>
        </w:tc>
        <w:tc>
          <w:tcPr>
            <w:tcW w:w="6663" w:type="dxa"/>
            <w:tcBorders>
              <w:top w:val="single" w:sz="4" w:space="0" w:color="auto"/>
              <w:left w:val="single" w:sz="4" w:space="0" w:color="auto"/>
              <w:bottom w:val="single" w:sz="4" w:space="0" w:color="auto"/>
              <w:right w:val="single" w:sz="4" w:space="0" w:color="auto"/>
            </w:tcBorders>
          </w:tcPr>
          <w:p w14:paraId="2B66BAB7" w14:textId="77777777" w:rsidR="00353BDC" w:rsidRPr="00C04636" w:rsidRDefault="00353BDC" w:rsidP="00401306">
            <w:pPr>
              <w:widowControl w:val="0"/>
              <w:ind w:left="57" w:right="113"/>
              <w:rPr>
                <w:sz w:val="20"/>
                <w:szCs w:val="20"/>
              </w:rPr>
            </w:pPr>
            <w:r>
              <w:rPr>
                <w:sz w:val="20"/>
                <w:szCs w:val="20"/>
              </w:rPr>
              <w:t xml:space="preserve">10) </w:t>
            </w:r>
            <w:r w:rsidRPr="00C04636">
              <w:rPr>
                <w:sz w:val="20"/>
                <w:szCs w:val="20"/>
              </w:rPr>
              <w:t>Článek 16 se mění takto:</w:t>
            </w:r>
          </w:p>
          <w:p w14:paraId="1F15C00C" w14:textId="77777777" w:rsidR="00353BDC" w:rsidRPr="00C04636" w:rsidRDefault="00353BDC" w:rsidP="00401306">
            <w:pPr>
              <w:widowControl w:val="0"/>
              <w:ind w:right="113"/>
              <w:rPr>
                <w:sz w:val="20"/>
                <w:szCs w:val="20"/>
              </w:rPr>
            </w:pPr>
            <w:r>
              <w:rPr>
                <w:sz w:val="20"/>
                <w:szCs w:val="20"/>
              </w:rPr>
              <w:t xml:space="preserve">a) </w:t>
            </w:r>
            <w:r w:rsidRPr="00C04636">
              <w:rPr>
                <w:sz w:val="20"/>
                <w:szCs w:val="20"/>
              </w:rPr>
              <w:t>odstavec 1 se nahrazuje tímto:</w:t>
            </w:r>
          </w:p>
          <w:p w14:paraId="20753D5D" w14:textId="77777777" w:rsidR="00353BDC" w:rsidRPr="00C04636" w:rsidRDefault="00353BDC" w:rsidP="00401306">
            <w:pPr>
              <w:widowControl w:val="0"/>
              <w:ind w:left="57" w:right="113"/>
              <w:rPr>
                <w:sz w:val="20"/>
                <w:szCs w:val="20"/>
              </w:rPr>
            </w:pPr>
            <w:r w:rsidRPr="00C04636">
              <w:rPr>
                <w:sz w:val="20"/>
                <w:szCs w:val="20"/>
              </w:rPr>
              <w:t>„1.</w:t>
            </w:r>
            <w:r>
              <w:rPr>
                <w:sz w:val="20"/>
                <w:szCs w:val="20"/>
              </w:rPr>
              <w:t xml:space="preserve"> </w:t>
            </w:r>
            <w:r w:rsidRPr="00C04636">
              <w:rPr>
                <w:sz w:val="20"/>
                <w:szCs w:val="20"/>
              </w:rPr>
              <w:t>Veřejný rejstřík obsahuje o statutárních auditorech alespoň tyto informace:</w:t>
            </w:r>
          </w:p>
          <w:p w14:paraId="4CBFEAAE" w14:textId="77777777" w:rsidR="00353BDC" w:rsidRPr="00C04636" w:rsidRDefault="00353BDC" w:rsidP="00401306">
            <w:pPr>
              <w:widowControl w:val="0"/>
              <w:ind w:left="57" w:right="113"/>
              <w:rPr>
                <w:sz w:val="20"/>
                <w:szCs w:val="20"/>
              </w:rPr>
            </w:pPr>
            <w:r>
              <w:rPr>
                <w:sz w:val="20"/>
                <w:szCs w:val="20"/>
              </w:rPr>
              <w:t xml:space="preserve">  </w:t>
            </w:r>
            <w:r w:rsidRPr="00C04636">
              <w:rPr>
                <w:sz w:val="20"/>
                <w:szCs w:val="20"/>
              </w:rPr>
              <w:t>a)</w:t>
            </w:r>
            <w:r>
              <w:rPr>
                <w:sz w:val="20"/>
                <w:szCs w:val="20"/>
              </w:rPr>
              <w:t xml:space="preserve"> </w:t>
            </w:r>
            <w:r w:rsidRPr="00C04636">
              <w:rPr>
                <w:sz w:val="20"/>
                <w:szCs w:val="20"/>
              </w:rPr>
              <w:t>jméno, adresu a registrační číslo;</w:t>
            </w:r>
          </w:p>
          <w:p w14:paraId="799B0381" w14:textId="77777777" w:rsidR="00353BDC" w:rsidRPr="00C04636" w:rsidRDefault="00353BDC" w:rsidP="00401306">
            <w:pPr>
              <w:widowControl w:val="0"/>
              <w:ind w:left="57" w:right="113"/>
              <w:rPr>
                <w:sz w:val="20"/>
                <w:szCs w:val="20"/>
              </w:rPr>
            </w:pPr>
            <w:r>
              <w:rPr>
                <w:sz w:val="20"/>
                <w:szCs w:val="20"/>
              </w:rPr>
              <w:t xml:space="preserve">  </w:t>
            </w:r>
            <w:r w:rsidRPr="00C04636">
              <w:rPr>
                <w:sz w:val="20"/>
                <w:szCs w:val="20"/>
              </w:rPr>
              <w:t>b)</w:t>
            </w:r>
            <w:r>
              <w:rPr>
                <w:sz w:val="20"/>
                <w:szCs w:val="20"/>
              </w:rPr>
              <w:t xml:space="preserve"> </w:t>
            </w:r>
            <w:r w:rsidRPr="00C04636">
              <w:rPr>
                <w:sz w:val="20"/>
                <w:szCs w:val="20"/>
              </w:rPr>
              <w:t>jméno, adresu, adresu internetových stránek a registrační číslo auditorské společnosti nebo společností, u kterých je statutární auditor zaměstnán nebo s nimiž je spojen jako společník nebo jinak, pokud existují;</w:t>
            </w:r>
          </w:p>
          <w:p w14:paraId="4AE25417" w14:textId="77777777" w:rsidR="00353BDC" w:rsidRPr="00C04636" w:rsidRDefault="00353BDC" w:rsidP="00401306">
            <w:pPr>
              <w:widowControl w:val="0"/>
              <w:ind w:left="57" w:right="113"/>
              <w:rPr>
                <w:sz w:val="20"/>
                <w:szCs w:val="20"/>
              </w:rPr>
            </w:pPr>
            <w:r>
              <w:rPr>
                <w:sz w:val="20"/>
                <w:szCs w:val="20"/>
              </w:rPr>
              <w:t xml:space="preserve">  </w:t>
            </w:r>
            <w:r w:rsidRPr="00C04636">
              <w:rPr>
                <w:sz w:val="20"/>
                <w:szCs w:val="20"/>
              </w:rPr>
              <w:t>c)</w:t>
            </w:r>
            <w:r>
              <w:rPr>
                <w:sz w:val="20"/>
                <w:szCs w:val="20"/>
              </w:rPr>
              <w:t xml:space="preserve"> </w:t>
            </w:r>
            <w:r w:rsidRPr="00C04636">
              <w:rPr>
                <w:sz w:val="20"/>
                <w:szCs w:val="20"/>
              </w:rPr>
              <w:t>zda je statutární auditor rovněž schválen pro ověřování zpráv o udržitelnosti;</w:t>
            </w:r>
          </w:p>
          <w:p w14:paraId="67C0C34E" w14:textId="77777777" w:rsidR="00353BDC" w:rsidRPr="00C04636" w:rsidRDefault="00353BDC" w:rsidP="00401306">
            <w:pPr>
              <w:widowControl w:val="0"/>
              <w:ind w:left="57" w:right="113"/>
              <w:rPr>
                <w:sz w:val="20"/>
                <w:szCs w:val="20"/>
              </w:rPr>
            </w:pPr>
            <w:r>
              <w:rPr>
                <w:sz w:val="20"/>
                <w:szCs w:val="20"/>
              </w:rPr>
              <w:t xml:space="preserve">  </w:t>
            </w:r>
            <w:r w:rsidRPr="00C04636">
              <w:rPr>
                <w:sz w:val="20"/>
                <w:szCs w:val="20"/>
              </w:rPr>
              <w:t>d)</w:t>
            </w:r>
            <w:r>
              <w:rPr>
                <w:sz w:val="20"/>
                <w:szCs w:val="20"/>
              </w:rPr>
              <w:t xml:space="preserve"> </w:t>
            </w:r>
            <w:r w:rsidRPr="00C04636">
              <w:rPr>
                <w:sz w:val="20"/>
                <w:szCs w:val="20"/>
              </w:rPr>
              <w:t>všechny další registrace jako statutárního auditora provedené u příslušných orgánů jiných členských států a jako auditora ve třetích zemích, včetně názvu registračního orgánu nebo orgánů a registračního čísla nebo čísel, pokud existují, a údaj o tom, zda se registrace týká povinného auditu, ověřování zpráv o udržitelnosti, nebo obojího.“;</w:t>
            </w:r>
          </w:p>
          <w:p w14:paraId="69117614" w14:textId="77777777" w:rsidR="00353BDC" w:rsidRPr="00C04636" w:rsidRDefault="00353BDC" w:rsidP="00401306">
            <w:pPr>
              <w:widowControl w:val="0"/>
              <w:ind w:left="57" w:right="113"/>
              <w:rPr>
                <w:sz w:val="20"/>
                <w:szCs w:val="20"/>
              </w:rPr>
            </w:pPr>
            <w:r w:rsidRPr="00C04636">
              <w:rPr>
                <w:sz w:val="20"/>
                <w:szCs w:val="20"/>
              </w:rPr>
              <w:t>b)</w:t>
            </w:r>
            <w:r>
              <w:rPr>
                <w:sz w:val="20"/>
                <w:szCs w:val="20"/>
              </w:rPr>
              <w:t xml:space="preserve"> </w:t>
            </w:r>
            <w:r w:rsidRPr="00C04636">
              <w:rPr>
                <w:sz w:val="20"/>
                <w:szCs w:val="20"/>
              </w:rPr>
              <w:t>v odstavci 2 se doplňuje nový pododstavec, který zní:</w:t>
            </w:r>
          </w:p>
          <w:p w14:paraId="5DEBC8F0" w14:textId="77777777" w:rsidR="00353BDC" w:rsidRDefault="00353BDC" w:rsidP="00401306">
            <w:pPr>
              <w:shd w:val="clear" w:color="auto" w:fill="FFFFFF"/>
              <w:rPr>
                <w:sz w:val="20"/>
                <w:szCs w:val="20"/>
              </w:rPr>
            </w:pPr>
            <w:r w:rsidRPr="00C04636">
              <w:rPr>
                <w:sz w:val="20"/>
                <w:szCs w:val="20"/>
              </w:rPr>
              <w:t>„V rejstříku se uvede, zda jsou auditoři ze třetích zemí uvedení v prvním pododstavci zaregistrováni pro provádění povinného auditu, ověřování zpráv o udržitelnosti, nebo pro oba účely.“</w:t>
            </w:r>
          </w:p>
          <w:p w14:paraId="398879B4" w14:textId="77777777" w:rsidR="00353BDC" w:rsidRDefault="00353BDC" w:rsidP="00401306">
            <w:pPr>
              <w:shd w:val="clear" w:color="auto" w:fill="FFFFFF"/>
              <w:rPr>
                <w:sz w:val="20"/>
                <w:szCs w:val="20"/>
              </w:rPr>
            </w:pPr>
          </w:p>
          <w:p w14:paraId="43B1B20D" w14:textId="77777777" w:rsidR="00353BDC" w:rsidRPr="00E14CC4" w:rsidRDefault="00353BDC" w:rsidP="00401306">
            <w:pPr>
              <w:shd w:val="clear" w:color="auto" w:fill="FFFFFF"/>
              <w:rPr>
                <w:sz w:val="20"/>
                <w:szCs w:val="20"/>
              </w:rPr>
            </w:pPr>
            <w:r w:rsidRPr="00E14CC4">
              <w:rPr>
                <w:sz w:val="20"/>
                <w:szCs w:val="20"/>
              </w:rPr>
              <w:t>11)</w:t>
            </w:r>
            <w:r>
              <w:rPr>
                <w:sz w:val="20"/>
                <w:szCs w:val="20"/>
              </w:rPr>
              <w:t xml:space="preserve"> </w:t>
            </w:r>
            <w:r w:rsidRPr="00E14CC4">
              <w:rPr>
                <w:sz w:val="20"/>
                <w:szCs w:val="20"/>
              </w:rPr>
              <w:t>Článek 17 se mění takto:</w:t>
            </w:r>
          </w:p>
          <w:p w14:paraId="13087764" w14:textId="77777777" w:rsidR="00353BDC" w:rsidRPr="00280579" w:rsidRDefault="00353BDC" w:rsidP="00401306">
            <w:pPr>
              <w:shd w:val="clear" w:color="auto" w:fill="FFFFFF"/>
              <w:rPr>
                <w:sz w:val="20"/>
                <w:szCs w:val="20"/>
              </w:rPr>
            </w:pPr>
            <w:r w:rsidRPr="00280579">
              <w:rPr>
                <w:sz w:val="20"/>
                <w:szCs w:val="20"/>
              </w:rPr>
              <w:t>a)</w:t>
            </w:r>
            <w:r>
              <w:rPr>
                <w:sz w:val="20"/>
                <w:szCs w:val="20"/>
              </w:rPr>
              <w:t xml:space="preserve"> </w:t>
            </w:r>
            <w:r w:rsidRPr="00280579">
              <w:rPr>
                <w:sz w:val="20"/>
                <w:szCs w:val="20"/>
              </w:rPr>
              <w:t>v odstavci 1 se písmeno e) nahrazuje tímto:</w:t>
            </w:r>
          </w:p>
          <w:p w14:paraId="46D8E290" w14:textId="77777777" w:rsidR="00353BDC" w:rsidRPr="00280579" w:rsidRDefault="00353BDC" w:rsidP="00401306">
            <w:pPr>
              <w:shd w:val="clear" w:color="auto" w:fill="FFFFFF"/>
              <w:rPr>
                <w:sz w:val="20"/>
                <w:szCs w:val="20"/>
              </w:rPr>
            </w:pPr>
            <w:r>
              <w:rPr>
                <w:sz w:val="20"/>
                <w:szCs w:val="20"/>
              </w:rPr>
              <w:t xml:space="preserve">   </w:t>
            </w:r>
            <w:r w:rsidRPr="00280579">
              <w:rPr>
                <w:sz w:val="20"/>
                <w:szCs w:val="20"/>
              </w:rPr>
              <w:t>„e)</w:t>
            </w:r>
            <w:r>
              <w:rPr>
                <w:sz w:val="20"/>
                <w:szCs w:val="20"/>
              </w:rPr>
              <w:t xml:space="preserve"> </w:t>
            </w:r>
            <w:r w:rsidRPr="00280579">
              <w:rPr>
                <w:sz w:val="20"/>
                <w:szCs w:val="20"/>
              </w:rPr>
              <w:t>jména a registrační čísla všech statutárních auditorů zaměstnaných u auditorské společnosti nebo s ní spojených jako společníci či jinak a údaj o tom, zda jsou rovněž schváleni pro ověřování zpráv o udržitelnosti;“;</w:t>
            </w:r>
          </w:p>
          <w:p w14:paraId="097880BD" w14:textId="77777777" w:rsidR="00353BDC" w:rsidRPr="00280579" w:rsidRDefault="00353BDC" w:rsidP="00401306">
            <w:pPr>
              <w:shd w:val="clear" w:color="auto" w:fill="FFFFFF"/>
              <w:rPr>
                <w:sz w:val="20"/>
                <w:szCs w:val="20"/>
              </w:rPr>
            </w:pPr>
            <w:r w:rsidRPr="00280579">
              <w:rPr>
                <w:sz w:val="20"/>
                <w:szCs w:val="20"/>
              </w:rPr>
              <w:t>b)</w:t>
            </w:r>
            <w:r>
              <w:rPr>
                <w:sz w:val="20"/>
                <w:szCs w:val="20"/>
              </w:rPr>
              <w:t xml:space="preserve"> </w:t>
            </w:r>
            <w:r w:rsidRPr="00280579">
              <w:rPr>
                <w:sz w:val="20"/>
                <w:szCs w:val="20"/>
              </w:rPr>
              <w:t>v odstavci 1 se bod i) nahrazuje tímto:</w:t>
            </w:r>
          </w:p>
          <w:p w14:paraId="6EEF7EA4" w14:textId="77777777" w:rsidR="00353BDC" w:rsidRPr="008703E7" w:rsidRDefault="00353BDC" w:rsidP="00401306">
            <w:pPr>
              <w:shd w:val="clear" w:color="auto" w:fill="FFFFFF"/>
              <w:rPr>
                <w:sz w:val="20"/>
                <w:szCs w:val="20"/>
              </w:rPr>
            </w:pPr>
            <w:r>
              <w:rPr>
                <w:sz w:val="20"/>
                <w:szCs w:val="20"/>
              </w:rPr>
              <w:t xml:space="preserve">    </w:t>
            </w:r>
            <w:r w:rsidRPr="00280579">
              <w:rPr>
                <w:sz w:val="20"/>
                <w:szCs w:val="20"/>
              </w:rPr>
              <w:t>„i)</w:t>
            </w:r>
            <w:r>
              <w:rPr>
                <w:sz w:val="20"/>
                <w:szCs w:val="20"/>
              </w:rPr>
              <w:t xml:space="preserve"> </w:t>
            </w:r>
            <w:r w:rsidRPr="00280579">
              <w:rPr>
                <w:sz w:val="20"/>
                <w:szCs w:val="20"/>
              </w:rPr>
              <w:t xml:space="preserve">všechny další registrace jako auditorské společnosti provedené u příslušných orgánů jiných členských států a jako auditorského subjektu ve třetích zemích včetně názvu registračního orgánu nebo orgánů a registračního čísla nebo čísel, pokud existují, a údaj o tom, zda se registrace týká povinného auditu, ověřování zpráv o udržitelnosti, nebo obojího.“; </w:t>
            </w:r>
            <w:r>
              <w:rPr>
                <w:sz w:val="20"/>
                <w:szCs w:val="20"/>
              </w:rPr>
              <w:t xml:space="preserve"> </w:t>
            </w:r>
            <w:r>
              <w:rPr>
                <w:sz w:val="20"/>
                <w:szCs w:val="20"/>
              </w:rPr>
              <w:br/>
              <w:t>c</w:t>
            </w:r>
            <w:r w:rsidRPr="00E14CC4">
              <w:rPr>
                <w:sz w:val="20"/>
                <w:szCs w:val="20"/>
              </w:rPr>
              <w:t>)</w:t>
            </w:r>
            <w:r>
              <w:rPr>
                <w:sz w:val="20"/>
                <w:szCs w:val="20"/>
              </w:rPr>
              <w:t xml:space="preserve"> v </w:t>
            </w:r>
            <w:r w:rsidRPr="008703E7">
              <w:rPr>
                <w:sz w:val="20"/>
                <w:szCs w:val="20"/>
              </w:rPr>
              <w:t>odstavci 2 se doplňuje nový pododstavec, který zní:</w:t>
            </w:r>
          </w:p>
          <w:p w14:paraId="74DA4B51" w14:textId="77777777" w:rsidR="00353BDC" w:rsidRPr="001E58E9" w:rsidRDefault="00353BDC" w:rsidP="00401306">
            <w:pPr>
              <w:shd w:val="clear" w:color="auto" w:fill="FFFFFF"/>
              <w:rPr>
                <w:sz w:val="20"/>
                <w:szCs w:val="20"/>
              </w:rPr>
            </w:pPr>
            <w:r w:rsidRPr="008703E7">
              <w:rPr>
                <w:sz w:val="20"/>
                <w:szCs w:val="20"/>
              </w:rPr>
              <w:t>„V rejstříku se uvede, zda jsou auditorské subjekty ze třetích zemí uvedení v prvním pododstavci zaregistrováni pro provádění povinného auditu, ověřování zpráv o udržitelnosti, nebo pro oba účely.“</w:t>
            </w:r>
          </w:p>
        </w:tc>
      </w:tr>
      <w:tr w:rsidR="00353BDC" w:rsidRPr="00675767" w14:paraId="0CE57B9F"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0AB59DD4" w14:textId="77777777" w:rsidR="00353BDC" w:rsidRDefault="00353BDC" w:rsidP="00401306">
            <w:pPr>
              <w:widowControl w:val="0"/>
              <w:suppressAutoHyphens/>
              <w:ind w:left="57" w:right="113"/>
              <w:rPr>
                <w:sz w:val="20"/>
                <w:szCs w:val="20"/>
                <w:lang w:eastAsia="ar-SA"/>
              </w:rPr>
            </w:pPr>
            <w:r>
              <w:rPr>
                <w:sz w:val="20"/>
                <w:szCs w:val="20"/>
                <w:lang w:eastAsia="ar-SA"/>
              </w:rPr>
              <w:lastRenderedPageBreak/>
              <w:t>§ 15 odst. 3 písm. l)</w:t>
            </w:r>
          </w:p>
        </w:tc>
        <w:tc>
          <w:tcPr>
            <w:tcW w:w="3543" w:type="dxa"/>
            <w:tcBorders>
              <w:top w:val="single" w:sz="4" w:space="0" w:color="auto"/>
              <w:left w:val="single" w:sz="4" w:space="0" w:color="auto"/>
              <w:bottom w:val="single" w:sz="4" w:space="0" w:color="auto"/>
              <w:right w:val="single" w:sz="4" w:space="0" w:color="auto"/>
            </w:tcBorders>
          </w:tcPr>
          <w:p w14:paraId="74747919" w14:textId="77777777" w:rsidR="00353BDC" w:rsidRPr="00135C5B" w:rsidRDefault="00353BDC" w:rsidP="00401306">
            <w:pPr>
              <w:widowControl w:val="0"/>
              <w:suppressAutoHyphens/>
              <w:ind w:left="57" w:right="113"/>
              <w:rPr>
                <w:sz w:val="20"/>
                <w:szCs w:val="20"/>
                <w:lang w:eastAsia="ar-SA"/>
              </w:rPr>
            </w:pPr>
            <w:r>
              <w:rPr>
                <w:sz w:val="20"/>
                <w:szCs w:val="20"/>
                <w:lang w:eastAsia="ar-SA"/>
              </w:rPr>
              <w:t xml:space="preserve">l) </w:t>
            </w:r>
            <w:r w:rsidRPr="00280579">
              <w:rPr>
                <w:sz w:val="20"/>
                <w:szCs w:val="20"/>
                <w:lang w:eastAsia="ar-SA"/>
              </w:rPr>
              <w:t>poskytnutí informací jinému auditorovi pro účely společného provádění povinného auditu nebo ověření zprávy o udržitelnosti podle § 20c</w:t>
            </w:r>
            <w:r>
              <w:rPr>
                <w:sz w:val="20"/>
                <w:szCs w:val="20"/>
                <w:lang w:eastAsia="ar-SA"/>
              </w:rPr>
              <w:t>,</w:t>
            </w:r>
          </w:p>
          <w:p w14:paraId="33569EEE" w14:textId="77777777" w:rsidR="00353BDC" w:rsidRPr="00135C5B" w:rsidRDefault="00353BDC" w:rsidP="00401306">
            <w:pPr>
              <w:widowControl w:val="0"/>
              <w:suppressAutoHyphens/>
              <w:ind w:left="57" w:right="113"/>
              <w:rPr>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1D1BEB34" w14:textId="77777777" w:rsidR="00353BDC" w:rsidRPr="00806EF6"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531ADC17" w14:textId="77777777" w:rsidR="00353BDC" w:rsidRPr="001E58E9" w:rsidRDefault="00353BDC" w:rsidP="00401306">
            <w:pPr>
              <w:widowControl w:val="0"/>
              <w:ind w:left="57" w:right="113"/>
              <w:rPr>
                <w:sz w:val="20"/>
                <w:szCs w:val="20"/>
              </w:rPr>
            </w:pPr>
            <w:r>
              <w:rPr>
                <w:sz w:val="20"/>
                <w:szCs w:val="20"/>
              </w:rPr>
              <w:t>Článek 3 odst. 14</w:t>
            </w:r>
          </w:p>
        </w:tc>
        <w:tc>
          <w:tcPr>
            <w:tcW w:w="6663" w:type="dxa"/>
            <w:tcBorders>
              <w:top w:val="single" w:sz="4" w:space="0" w:color="auto"/>
              <w:left w:val="single" w:sz="4" w:space="0" w:color="auto"/>
              <w:bottom w:val="single" w:sz="4" w:space="0" w:color="auto"/>
              <w:right w:val="single" w:sz="4" w:space="0" w:color="auto"/>
            </w:tcBorders>
          </w:tcPr>
          <w:p w14:paraId="487A5305" w14:textId="77777777" w:rsidR="00353BDC" w:rsidRPr="00F14BED" w:rsidRDefault="00353BDC" w:rsidP="00401306">
            <w:pPr>
              <w:shd w:val="clear" w:color="auto" w:fill="FFFFFF"/>
              <w:rPr>
                <w:sz w:val="20"/>
                <w:szCs w:val="20"/>
              </w:rPr>
            </w:pPr>
            <w:r w:rsidRPr="00F14BED">
              <w:rPr>
                <w:sz w:val="20"/>
                <w:szCs w:val="20"/>
              </w:rPr>
              <w:t>Článek 25b</w:t>
            </w:r>
          </w:p>
          <w:p w14:paraId="17CFB98A" w14:textId="77777777" w:rsidR="00353BDC" w:rsidRPr="00F14BED" w:rsidRDefault="00353BDC" w:rsidP="00401306">
            <w:pPr>
              <w:shd w:val="clear" w:color="auto" w:fill="FFFFFF"/>
              <w:rPr>
                <w:sz w:val="20"/>
                <w:szCs w:val="20"/>
              </w:rPr>
            </w:pPr>
            <w:r w:rsidRPr="00F14BED">
              <w:rPr>
                <w:sz w:val="20"/>
                <w:szCs w:val="20"/>
              </w:rPr>
              <w:t>Profesní etika, nezávislost, nestrannost, důvěrnost a profesní tajemství ve vztahu k ověřování zpráv o udržitelnosti</w:t>
            </w:r>
          </w:p>
          <w:p w14:paraId="170DAAFE" w14:textId="77777777" w:rsidR="00353BDC" w:rsidRDefault="00353BDC" w:rsidP="00401306">
            <w:pPr>
              <w:shd w:val="clear" w:color="auto" w:fill="FFFFFF"/>
              <w:rPr>
                <w:sz w:val="20"/>
                <w:szCs w:val="20"/>
              </w:rPr>
            </w:pPr>
          </w:p>
          <w:p w14:paraId="02658D2C" w14:textId="77777777" w:rsidR="00353BDC" w:rsidRPr="001E58E9" w:rsidRDefault="00353BDC" w:rsidP="00401306">
            <w:pPr>
              <w:shd w:val="clear" w:color="auto" w:fill="FFFFFF"/>
              <w:rPr>
                <w:sz w:val="20"/>
                <w:szCs w:val="20"/>
              </w:rPr>
            </w:pPr>
            <w:r w:rsidRPr="00F14BED">
              <w:rPr>
                <w:sz w:val="20"/>
                <w:szCs w:val="20"/>
              </w:rPr>
              <w:t>Požadavky článků 21 až 24a týkající se povinného auditu účetních závěrek se použijí obdobně i na ověřování zpráv o udržitelnosti.</w:t>
            </w:r>
          </w:p>
        </w:tc>
      </w:tr>
      <w:tr w:rsidR="00353BDC" w:rsidRPr="00675767" w14:paraId="286BD2E7"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5AC443CD" w14:textId="77777777" w:rsidR="00353BDC" w:rsidRDefault="00353BDC" w:rsidP="00401306">
            <w:pPr>
              <w:widowControl w:val="0"/>
              <w:suppressAutoHyphens/>
              <w:ind w:left="57" w:right="113"/>
              <w:rPr>
                <w:sz w:val="20"/>
                <w:szCs w:val="20"/>
                <w:lang w:eastAsia="ar-SA"/>
              </w:rPr>
            </w:pPr>
            <w:r>
              <w:rPr>
                <w:sz w:val="20"/>
                <w:szCs w:val="20"/>
                <w:lang w:eastAsia="ar-SA"/>
              </w:rPr>
              <w:t xml:space="preserve">§ 17b </w:t>
            </w:r>
          </w:p>
        </w:tc>
        <w:tc>
          <w:tcPr>
            <w:tcW w:w="3543" w:type="dxa"/>
            <w:tcBorders>
              <w:top w:val="single" w:sz="4" w:space="0" w:color="auto"/>
              <w:left w:val="single" w:sz="4" w:space="0" w:color="auto"/>
              <w:bottom w:val="single" w:sz="4" w:space="0" w:color="auto"/>
              <w:right w:val="single" w:sz="4" w:space="0" w:color="auto"/>
            </w:tcBorders>
          </w:tcPr>
          <w:p w14:paraId="3669F36B" w14:textId="77777777" w:rsidR="00353BDC" w:rsidRPr="00135C5B" w:rsidRDefault="00353BDC" w:rsidP="00401306">
            <w:pPr>
              <w:widowControl w:val="0"/>
              <w:suppressAutoHyphens/>
              <w:ind w:left="57" w:right="113"/>
              <w:rPr>
                <w:sz w:val="20"/>
                <w:szCs w:val="20"/>
                <w:lang w:eastAsia="ar-SA"/>
              </w:rPr>
            </w:pPr>
            <w:r w:rsidRPr="00D01707">
              <w:rPr>
                <w:sz w:val="20"/>
                <w:szCs w:val="20"/>
                <w:lang w:eastAsia="ar-SA"/>
              </w:rPr>
              <w:t>Ke smluvnímu ujednání mezi účetní jednotkou a třetí stranou, kterým je určení auditorské společnosti nebo statutárního auditora vykonávajícího auditorskou činnost vlastním jménem a na vlastní účet pro povinný audit nebo ověření zprávy o udržitelnosti omezeno na určité kategorie nebo seznamy statutárních auditorů nebo auditorských společností, se nepřihlíží.</w:t>
            </w:r>
          </w:p>
        </w:tc>
        <w:tc>
          <w:tcPr>
            <w:tcW w:w="1276" w:type="dxa"/>
            <w:tcBorders>
              <w:top w:val="single" w:sz="4" w:space="0" w:color="auto"/>
              <w:left w:val="single" w:sz="4" w:space="0" w:color="auto"/>
              <w:bottom w:val="single" w:sz="4" w:space="0" w:color="auto"/>
              <w:right w:val="single" w:sz="4" w:space="0" w:color="auto"/>
            </w:tcBorders>
          </w:tcPr>
          <w:p w14:paraId="19AC2644" w14:textId="77777777" w:rsidR="00353BDC" w:rsidRPr="00806EF6"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7C44C2BC" w14:textId="77777777" w:rsidR="00353BDC" w:rsidRPr="001E58E9" w:rsidRDefault="00353BDC" w:rsidP="00401306">
            <w:pPr>
              <w:widowControl w:val="0"/>
              <w:ind w:left="57" w:right="113"/>
              <w:rPr>
                <w:sz w:val="20"/>
                <w:szCs w:val="20"/>
              </w:rPr>
            </w:pPr>
            <w:r>
              <w:rPr>
                <w:sz w:val="20"/>
                <w:szCs w:val="20"/>
              </w:rPr>
              <w:t>Článek 3 odst. 25 písm. c)</w:t>
            </w:r>
          </w:p>
        </w:tc>
        <w:tc>
          <w:tcPr>
            <w:tcW w:w="6663" w:type="dxa"/>
            <w:tcBorders>
              <w:top w:val="single" w:sz="4" w:space="0" w:color="auto"/>
              <w:left w:val="single" w:sz="4" w:space="0" w:color="auto"/>
              <w:bottom w:val="single" w:sz="4" w:space="0" w:color="auto"/>
              <w:right w:val="single" w:sz="4" w:space="0" w:color="auto"/>
            </w:tcBorders>
          </w:tcPr>
          <w:p w14:paraId="74EFA3CD" w14:textId="77777777" w:rsidR="00353BDC" w:rsidRPr="001E58E9" w:rsidRDefault="00353BDC" w:rsidP="00401306">
            <w:pPr>
              <w:shd w:val="clear" w:color="auto" w:fill="FFFFFF"/>
              <w:rPr>
                <w:sz w:val="20"/>
                <w:szCs w:val="20"/>
              </w:rPr>
            </w:pPr>
            <w:r w:rsidRPr="009E2553">
              <w:rPr>
                <w:sz w:val="20"/>
                <w:szCs w:val="20"/>
              </w:rPr>
              <w:t>Jakékoli smluvní ustanovení, které by omezovalo výběr prováděný valnou hromadou společníků, akcionářů nebo členů auditovaného subjektu podle odstavce 1 na určité kategorie nebo seznamy statutárních auditorů nebo auditorských společností, pokud jde o jmenování určitého statutárního auditora nebo auditorské společnosti, kteří budou provádět povinný audit a případně ověření zprávy o udržitelnosti, je zakázáno. Jakékoli takové již existující ustanovení je neplatné.</w:t>
            </w:r>
          </w:p>
        </w:tc>
      </w:tr>
      <w:tr w:rsidR="00353BDC" w:rsidRPr="00675767" w14:paraId="62FA4363"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4B86C341" w14:textId="77777777" w:rsidR="00353BDC" w:rsidRPr="00B848B6" w:rsidRDefault="00353BDC" w:rsidP="00401306">
            <w:pPr>
              <w:widowControl w:val="0"/>
              <w:suppressAutoHyphens/>
              <w:ind w:left="57" w:right="113"/>
              <w:rPr>
                <w:sz w:val="20"/>
                <w:szCs w:val="20"/>
                <w:lang w:eastAsia="ar-SA"/>
              </w:rPr>
            </w:pPr>
            <w:r w:rsidRPr="00B848B6">
              <w:rPr>
                <w:sz w:val="20"/>
                <w:szCs w:val="20"/>
                <w:lang w:eastAsia="ar-SA"/>
              </w:rPr>
              <w:t xml:space="preserve">§ 20a odst. 1 písm. g) </w:t>
            </w:r>
          </w:p>
          <w:p w14:paraId="0BFD7E91" w14:textId="77777777" w:rsidR="00353BDC" w:rsidRPr="00B848B6" w:rsidRDefault="00353BDC" w:rsidP="00401306">
            <w:pPr>
              <w:widowControl w:val="0"/>
              <w:suppressAutoHyphens/>
              <w:ind w:left="57" w:right="113"/>
              <w:rPr>
                <w:sz w:val="20"/>
                <w:szCs w:val="20"/>
                <w:lang w:eastAsia="ar-SA"/>
              </w:rPr>
            </w:pPr>
          </w:p>
          <w:p w14:paraId="16ED2E03" w14:textId="77777777" w:rsidR="00353BDC" w:rsidRPr="00B848B6" w:rsidRDefault="00353BDC" w:rsidP="00401306">
            <w:pPr>
              <w:widowControl w:val="0"/>
              <w:suppressAutoHyphens/>
              <w:ind w:right="113"/>
              <w:rPr>
                <w:sz w:val="20"/>
                <w:szCs w:val="20"/>
                <w:lang w:eastAsia="ar-SA"/>
              </w:rPr>
            </w:pPr>
          </w:p>
        </w:tc>
        <w:tc>
          <w:tcPr>
            <w:tcW w:w="3543" w:type="dxa"/>
            <w:tcBorders>
              <w:top w:val="single" w:sz="4" w:space="0" w:color="auto"/>
              <w:left w:val="single" w:sz="4" w:space="0" w:color="auto"/>
              <w:bottom w:val="single" w:sz="4" w:space="0" w:color="auto"/>
              <w:right w:val="single" w:sz="4" w:space="0" w:color="auto"/>
            </w:tcBorders>
          </w:tcPr>
          <w:p w14:paraId="240AD872" w14:textId="77777777" w:rsidR="00353BDC" w:rsidRPr="00B848B6" w:rsidRDefault="00353BDC" w:rsidP="00401306">
            <w:pPr>
              <w:widowControl w:val="0"/>
              <w:suppressAutoHyphens/>
              <w:ind w:left="57" w:right="113"/>
              <w:rPr>
                <w:sz w:val="20"/>
                <w:szCs w:val="20"/>
                <w:lang w:eastAsia="ar-SA"/>
              </w:rPr>
            </w:pPr>
            <w:r>
              <w:rPr>
                <w:sz w:val="20"/>
                <w:szCs w:val="20"/>
                <w:lang w:eastAsia="ar-SA"/>
              </w:rPr>
              <w:t>g</w:t>
            </w:r>
            <w:r w:rsidRPr="00B848B6">
              <w:rPr>
                <w:sz w:val="20"/>
                <w:szCs w:val="20"/>
                <w:lang w:eastAsia="ar-SA"/>
              </w:rPr>
              <w:t>) je-li povinný audit vyžadován zákonem o účetnictví, vyjádření, zda za účetní období bezprostředně předcházející účetnímu období, za které se sestavená účetní závěrka ověřuje, byla účetní jednotka povinna zveřejnit zprávu o daních z příjmů nebo konsolidovanou zprávu o daních z příjmů, a pokud ano, zda tak učinila.</w:t>
            </w:r>
          </w:p>
        </w:tc>
        <w:tc>
          <w:tcPr>
            <w:tcW w:w="1276" w:type="dxa"/>
            <w:tcBorders>
              <w:top w:val="single" w:sz="4" w:space="0" w:color="auto"/>
              <w:left w:val="single" w:sz="4" w:space="0" w:color="auto"/>
              <w:bottom w:val="single" w:sz="4" w:space="0" w:color="auto"/>
              <w:right w:val="single" w:sz="4" w:space="0" w:color="auto"/>
            </w:tcBorders>
          </w:tcPr>
          <w:p w14:paraId="4F1E5F76" w14:textId="77777777" w:rsidR="00353BDC" w:rsidRPr="00806EF6" w:rsidRDefault="00353BDC" w:rsidP="00401306">
            <w:pPr>
              <w:widowControl w:val="0"/>
              <w:ind w:left="57" w:right="113"/>
              <w:rPr>
                <w:sz w:val="20"/>
                <w:szCs w:val="20"/>
              </w:rPr>
            </w:pPr>
            <w:r w:rsidRPr="0096447E">
              <w:rPr>
                <w:sz w:val="20"/>
                <w:szCs w:val="20"/>
              </w:rPr>
              <w:t>32021L2101</w:t>
            </w:r>
          </w:p>
        </w:tc>
        <w:tc>
          <w:tcPr>
            <w:tcW w:w="1559" w:type="dxa"/>
            <w:tcBorders>
              <w:top w:val="single" w:sz="4" w:space="0" w:color="auto"/>
              <w:left w:val="single" w:sz="4" w:space="0" w:color="auto"/>
              <w:bottom w:val="single" w:sz="4" w:space="0" w:color="auto"/>
              <w:right w:val="single" w:sz="4" w:space="0" w:color="auto"/>
            </w:tcBorders>
          </w:tcPr>
          <w:p w14:paraId="5B4107BC" w14:textId="77777777" w:rsidR="00353BDC" w:rsidRDefault="00353BDC" w:rsidP="00401306">
            <w:pPr>
              <w:widowControl w:val="0"/>
              <w:ind w:left="57" w:right="113"/>
              <w:rPr>
                <w:sz w:val="20"/>
                <w:szCs w:val="20"/>
              </w:rPr>
            </w:pPr>
            <w:r>
              <w:rPr>
                <w:sz w:val="20"/>
                <w:szCs w:val="20"/>
              </w:rPr>
              <w:t>Článek 1 odst. 2</w:t>
            </w:r>
          </w:p>
        </w:tc>
        <w:tc>
          <w:tcPr>
            <w:tcW w:w="6663" w:type="dxa"/>
            <w:tcBorders>
              <w:top w:val="single" w:sz="4" w:space="0" w:color="auto"/>
              <w:left w:val="single" w:sz="4" w:space="0" w:color="auto"/>
              <w:bottom w:val="single" w:sz="4" w:space="0" w:color="auto"/>
              <w:right w:val="single" w:sz="4" w:space="0" w:color="auto"/>
            </w:tcBorders>
          </w:tcPr>
          <w:p w14:paraId="68D29747" w14:textId="77777777" w:rsidR="00353BDC" w:rsidRPr="0096447E" w:rsidRDefault="00353BDC" w:rsidP="00401306">
            <w:pPr>
              <w:widowControl w:val="0"/>
              <w:ind w:left="57" w:right="113"/>
              <w:rPr>
                <w:sz w:val="20"/>
                <w:szCs w:val="20"/>
              </w:rPr>
            </w:pPr>
            <w:r w:rsidRPr="0096447E">
              <w:rPr>
                <w:sz w:val="20"/>
                <w:szCs w:val="20"/>
              </w:rPr>
              <w:t>Prohlášení statutárního auditora</w:t>
            </w:r>
          </w:p>
          <w:p w14:paraId="720272C7" w14:textId="77777777" w:rsidR="00353BDC" w:rsidRPr="009E2553" w:rsidRDefault="00353BDC" w:rsidP="00401306">
            <w:pPr>
              <w:shd w:val="clear" w:color="auto" w:fill="FFFFFF"/>
              <w:rPr>
                <w:sz w:val="20"/>
                <w:szCs w:val="20"/>
              </w:rPr>
            </w:pPr>
            <w:r w:rsidRPr="0096447E">
              <w:rPr>
                <w:sz w:val="20"/>
                <w:szCs w:val="20"/>
              </w:rPr>
              <w:t>Členské státy vyžadují, aby v případě, že účetní závěrka podniku řídícího se právem některého členského státu podléhá ověření jedním nebo více statutárními auditory nebo auditorskými společnostmi, bylo ve zprávě auditora uvedeno, zda za účetní období předcházející účetnímu období, za které byla sestavena auditovaná účetní závěrka, byl podnik povinen zveřejnit zprávu s informacemi o dani z příjmů v souladu s článkem 48b, a pokud ano, zda byla tato zpráva zveřejněna v souladu s článkem 48d.</w:t>
            </w:r>
          </w:p>
        </w:tc>
      </w:tr>
      <w:tr w:rsidR="00353BDC" w:rsidRPr="00675767" w14:paraId="6B6A70F7"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35F819FD" w14:textId="77777777" w:rsidR="00353BDC" w:rsidRDefault="00353BDC" w:rsidP="00401306">
            <w:pPr>
              <w:widowControl w:val="0"/>
              <w:suppressAutoHyphens/>
              <w:ind w:left="57" w:right="113"/>
              <w:rPr>
                <w:sz w:val="20"/>
                <w:szCs w:val="20"/>
                <w:lang w:eastAsia="ar-SA"/>
              </w:rPr>
            </w:pPr>
            <w:r>
              <w:rPr>
                <w:sz w:val="20"/>
                <w:szCs w:val="20"/>
                <w:lang w:eastAsia="ar-SA"/>
              </w:rPr>
              <w:t>§ 20a odst. 1</w:t>
            </w:r>
          </w:p>
        </w:tc>
        <w:tc>
          <w:tcPr>
            <w:tcW w:w="3543" w:type="dxa"/>
            <w:tcBorders>
              <w:top w:val="single" w:sz="4" w:space="0" w:color="auto"/>
              <w:left w:val="single" w:sz="4" w:space="0" w:color="auto"/>
              <w:bottom w:val="single" w:sz="4" w:space="0" w:color="auto"/>
              <w:right w:val="single" w:sz="4" w:space="0" w:color="auto"/>
            </w:tcBorders>
          </w:tcPr>
          <w:p w14:paraId="0A09BD67" w14:textId="77777777" w:rsidR="00353BDC" w:rsidRDefault="00353BDC" w:rsidP="00401306">
            <w:pPr>
              <w:widowControl w:val="0"/>
              <w:suppressAutoHyphens/>
              <w:ind w:left="57" w:right="113"/>
              <w:rPr>
                <w:sz w:val="20"/>
                <w:szCs w:val="20"/>
                <w:lang w:eastAsia="ar-SA"/>
              </w:rPr>
            </w:pPr>
            <w:r w:rsidRPr="009E2553">
              <w:rPr>
                <w:sz w:val="20"/>
                <w:szCs w:val="20"/>
                <w:lang w:eastAsia="ar-SA"/>
              </w:rPr>
              <w:t>(1) O průběhu auditorské činnosti vede auditor spis, který obsahuje informace podle auditorských standardů a dále záznamy a dokumenty podle § 14a odst. 5, § 14b odst. 2, § 19 odst. 2, § 20, § 20ab, § 45 odst. 2 a čl. 6, 8, 10, 11 a 12 nařízení Evropského parlamentu a Rady (EU) č. 537/2014.</w:t>
            </w:r>
            <w:r w:rsidRPr="00D54EF5">
              <w:rPr>
                <w:sz w:val="20"/>
                <w:szCs w:val="20"/>
                <w:lang w:eastAsia="ar-SA"/>
              </w:rPr>
              <w:t xml:space="preserve"> </w:t>
            </w:r>
          </w:p>
        </w:tc>
        <w:tc>
          <w:tcPr>
            <w:tcW w:w="1276" w:type="dxa"/>
            <w:tcBorders>
              <w:top w:val="single" w:sz="4" w:space="0" w:color="auto"/>
              <w:left w:val="single" w:sz="4" w:space="0" w:color="auto"/>
              <w:bottom w:val="single" w:sz="4" w:space="0" w:color="auto"/>
              <w:right w:val="single" w:sz="4" w:space="0" w:color="auto"/>
            </w:tcBorders>
          </w:tcPr>
          <w:p w14:paraId="32B3DEA0" w14:textId="77777777" w:rsidR="00353BDC" w:rsidRPr="00806EF6"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39708188" w14:textId="77777777" w:rsidR="00353BDC" w:rsidRPr="001E58E9" w:rsidRDefault="00353BDC" w:rsidP="00401306">
            <w:pPr>
              <w:widowControl w:val="0"/>
              <w:ind w:left="57" w:right="113"/>
              <w:rPr>
                <w:sz w:val="20"/>
                <w:szCs w:val="20"/>
              </w:rPr>
            </w:pPr>
            <w:r>
              <w:rPr>
                <w:sz w:val="20"/>
                <w:szCs w:val="20"/>
              </w:rPr>
              <w:t>Článek 3 odst. 12 písm. d)</w:t>
            </w:r>
          </w:p>
        </w:tc>
        <w:tc>
          <w:tcPr>
            <w:tcW w:w="6663" w:type="dxa"/>
            <w:tcBorders>
              <w:top w:val="single" w:sz="4" w:space="0" w:color="auto"/>
              <w:left w:val="single" w:sz="4" w:space="0" w:color="auto"/>
              <w:bottom w:val="single" w:sz="4" w:space="0" w:color="auto"/>
              <w:right w:val="single" w:sz="4" w:space="0" w:color="auto"/>
            </w:tcBorders>
          </w:tcPr>
          <w:p w14:paraId="2C261D58" w14:textId="77777777" w:rsidR="00353BDC" w:rsidRPr="009E2553" w:rsidRDefault="00353BDC" w:rsidP="00401306">
            <w:pPr>
              <w:shd w:val="clear" w:color="auto" w:fill="FFFFFF"/>
              <w:rPr>
                <w:sz w:val="20"/>
                <w:szCs w:val="20"/>
              </w:rPr>
            </w:pPr>
            <w:r w:rsidRPr="009E2553">
              <w:rPr>
                <w:sz w:val="20"/>
                <w:szCs w:val="20"/>
              </w:rPr>
              <w:t>5a.</w:t>
            </w:r>
            <w:r>
              <w:rPr>
                <w:sz w:val="20"/>
                <w:szCs w:val="20"/>
              </w:rPr>
              <w:t xml:space="preserve"> </w:t>
            </w:r>
            <w:r w:rsidRPr="009E2553">
              <w:rPr>
                <w:sz w:val="20"/>
                <w:szCs w:val="20"/>
              </w:rPr>
              <w:t>Pro každou ověřovací zakázku týkající se zpráv o udržitelnosti založí statutární auditor nebo auditorská společnost spis o ověření.</w:t>
            </w:r>
          </w:p>
          <w:p w14:paraId="4D4071C4" w14:textId="77777777" w:rsidR="00353BDC" w:rsidRPr="009E2553" w:rsidRDefault="00353BDC" w:rsidP="00401306">
            <w:pPr>
              <w:shd w:val="clear" w:color="auto" w:fill="FFFFFF"/>
              <w:rPr>
                <w:sz w:val="20"/>
                <w:szCs w:val="20"/>
              </w:rPr>
            </w:pPr>
            <w:r w:rsidRPr="009E2553">
              <w:rPr>
                <w:sz w:val="20"/>
                <w:szCs w:val="20"/>
              </w:rPr>
              <w:t>Statutární auditor nebo auditorská společnost dokumentují v souvislosti s ověřováním zpráv o udržitelnosti alespoň údaje uchovávané podle článku 22b.</w:t>
            </w:r>
          </w:p>
          <w:p w14:paraId="3C5939E8" w14:textId="77777777" w:rsidR="00353BDC" w:rsidRPr="009E2553" w:rsidRDefault="00353BDC" w:rsidP="00401306">
            <w:pPr>
              <w:shd w:val="clear" w:color="auto" w:fill="FFFFFF"/>
              <w:rPr>
                <w:sz w:val="20"/>
                <w:szCs w:val="20"/>
              </w:rPr>
            </w:pPr>
            <w:r w:rsidRPr="009E2553">
              <w:rPr>
                <w:sz w:val="20"/>
                <w:szCs w:val="20"/>
              </w:rPr>
              <w:t>Statutární auditor nebo auditorská společnost uchovávají veškeré další údaje a dokumenty důležité pro vypracování zprávy o ověření zprávy o udržitelnosti podle článku 28a a pro sledování souladu s touto směrnicí a dalšími příslušnými právními předpisy, jež se týkají ověřování zpráv o udržitelnosti.</w:t>
            </w:r>
          </w:p>
          <w:p w14:paraId="460F3A9E" w14:textId="77777777" w:rsidR="00353BDC" w:rsidRPr="009E2553" w:rsidRDefault="00353BDC" w:rsidP="00401306">
            <w:pPr>
              <w:shd w:val="clear" w:color="auto" w:fill="FFFFFF"/>
              <w:rPr>
                <w:sz w:val="20"/>
                <w:szCs w:val="20"/>
              </w:rPr>
            </w:pPr>
            <w:r w:rsidRPr="009E2553">
              <w:rPr>
                <w:sz w:val="20"/>
                <w:szCs w:val="20"/>
              </w:rPr>
              <w:t>Spis o ověření musí být uzavřen 60 dní od data podpisu zprávy o ověření zprávy o udržitelnosti podle článku 28a.</w:t>
            </w:r>
          </w:p>
          <w:p w14:paraId="5148A839" w14:textId="77777777" w:rsidR="00353BDC" w:rsidRPr="001E58E9" w:rsidRDefault="00353BDC" w:rsidP="00401306">
            <w:pPr>
              <w:shd w:val="clear" w:color="auto" w:fill="FFFFFF"/>
              <w:rPr>
                <w:sz w:val="20"/>
                <w:szCs w:val="20"/>
              </w:rPr>
            </w:pPr>
            <w:r w:rsidRPr="009E2553">
              <w:rPr>
                <w:sz w:val="20"/>
                <w:szCs w:val="20"/>
              </w:rPr>
              <w:t>Provádí-li povinný audit roční účetní závěrky i ověření zprávy o udržitelnosti tentýž statutární auditor, může být spis o ověření součástí spisu auditora.“;</w:t>
            </w:r>
          </w:p>
        </w:tc>
      </w:tr>
      <w:tr w:rsidR="00353BDC" w:rsidRPr="00675767" w14:paraId="5924E16B"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6D7CA0E6" w14:textId="77777777" w:rsidR="00353BDC" w:rsidRDefault="00353BDC" w:rsidP="00401306">
            <w:pPr>
              <w:widowControl w:val="0"/>
              <w:suppressAutoHyphens/>
              <w:ind w:left="57" w:right="113"/>
              <w:rPr>
                <w:sz w:val="20"/>
                <w:szCs w:val="20"/>
                <w:lang w:eastAsia="ar-SA"/>
              </w:rPr>
            </w:pPr>
            <w:r>
              <w:rPr>
                <w:sz w:val="20"/>
                <w:szCs w:val="20"/>
                <w:lang w:eastAsia="ar-SA"/>
              </w:rPr>
              <w:lastRenderedPageBreak/>
              <w:t xml:space="preserve">§ 20ab odst. 1 písm. c) </w:t>
            </w:r>
          </w:p>
        </w:tc>
        <w:tc>
          <w:tcPr>
            <w:tcW w:w="3543" w:type="dxa"/>
            <w:tcBorders>
              <w:top w:val="single" w:sz="4" w:space="0" w:color="auto"/>
              <w:left w:val="single" w:sz="4" w:space="0" w:color="auto"/>
              <w:bottom w:val="single" w:sz="4" w:space="0" w:color="auto"/>
              <w:right w:val="single" w:sz="4" w:space="0" w:color="auto"/>
            </w:tcBorders>
          </w:tcPr>
          <w:p w14:paraId="61358A6B" w14:textId="77777777" w:rsidR="00353BDC" w:rsidRPr="009D701A" w:rsidRDefault="00353BDC" w:rsidP="00401306">
            <w:pPr>
              <w:widowControl w:val="0"/>
              <w:suppressAutoHyphens/>
              <w:ind w:left="57" w:right="113"/>
              <w:rPr>
                <w:sz w:val="20"/>
                <w:szCs w:val="20"/>
                <w:lang w:eastAsia="ar-SA"/>
              </w:rPr>
            </w:pPr>
            <w:r w:rsidRPr="724ED67C">
              <w:rPr>
                <w:sz w:val="20"/>
                <w:szCs w:val="20"/>
                <w:lang w:eastAsia="ar-SA"/>
              </w:rPr>
              <w:t>c) závěr auditora, zda</w:t>
            </w:r>
          </w:p>
          <w:p w14:paraId="5E0C163E" w14:textId="77777777" w:rsidR="00353BDC" w:rsidRPr="009A6AD5" w:rsidRDefault="00353BDC" w:rsidP="00401306">
            <w:pPr>
              <w:widowControl w:val="0"/>
              <w:suppressAutoHyphens/>
              <w:ind w:left="57" w:right="113"/>
              <w:rPr>
                <w:sz w:val="20"/>
                <w:szCs w:val="20"/>
                <w:lang w:eastAsia="ar-SA"/>
              </w:rPr>
            </w:pPr>
            <w:r>
              <w:rPr>
                <w:sz w:val="20"/>
                <w:szCs w:val="20"/>
                <w:lang w:eastAsia="ar-SA"/>
              </w:rPr>
              <w:t xml:space="preserve">1. </w:t>
            </w:r>
            <w:r w:rsidRPr="009A6AD5">
              <w:rPr>
                <w:sz w:val="20"/>
                <w:szCs w:val="20"/>
                <w:lang w:eastAsia="ar-SA"/>
              </w:rPr>
              <w:t>zjistil okolnosti, které by ho vedly k domněnce, že zpráva o udržitelnosti nebyla vyhotovena v souladu s požadavky zákona o účetnictví včetně standardů pro podávání zpráv o udržitelnosti, postupu pro určování informací vykazovaných podle těchto standardů a značkování v souladu s přímo použitelným právním předpisem Evropské unie upravujícím jednotný elektronický formát pro podávání zpráv, a v souladu s přímo použitelným právním předpisem Evropské unie upravujícím rámec pro usnadnění udržitelných investic, nebo</w:t>
            </w:r>
          </w:p>
          <w:p w14:paraId="10BE2D88" w14:textId="77777777" w:rsidR="00353BDC" w:rsidRPr="009D701A" w:rsidRDefault="00353BDC" w:rsidP="00401306">
            <w:pPr>
              <w:widowControl w:val="0"/>
              <w:suppressAutoHyphens/>
              <w:ind w:left="57" w:right="113"/>
              <w:rPr>
                <w:sz w:val="20"/>
                <w:szCs w:val="20"/>
                <w:lang w:eastAsia="ar-SA"/>
              </w:rPr>
            </w:pPr>
            <w:r>
              <w:rPr>
                <w:sz w:val="20"/>
                <w:szCs w:val="20"/>
                <w:lang w:eastAsia="ar-SA"/>
              </w:rPr>
              <w:t xml:space="preserve">2. </w:t>
            </w:r>
            <w:r w:rsidRPr="009A6AD5">
              <w:rPr>
                <w:sz w:val="20"/>
                <w:szCs w:val="20"/>
                <w:lang w:eastAsia="ar-SA"/>
              </w:rPr>
              <w:t>zpráva o udržitelnosti byla vyhotovena v souladu s požadavky zákona o účetnictví včetně standardů pro podávání zpráv o udržitelnosti, postupu pro určování informací vykazovaných podle těchto standardů a značkování v souladu s přímo použitelným právním předpisem Evropské unie upravujícím jednotný elektronický formát pro podávání zpráv, a v souladu s přímo použitelným právním předpisem Evropské unie upravujícím rámec pro usnadnění udržitelných investic.</w:t>
            </w:r>
            <w:r w:rsidRPr="724ED67C">
              <w:rPr>
                <w:sz w:val="20"/>
                <w:szCs w:val="20"/>
                <w:lang w:eastAsia="ar-SA"/>
              </w:rPr>
              <w:t xml:space="preserve"> </w:t>
            </w:r>
          </w:p>
        </w:tc>
        <w:tc>
          <w:tcPr>
            <w:tcW w:w="1276" w:type="dxa"/>
            <w:tcBorders>
              <w:top w:val="single" w:sz="4" w:space="0" w:color="auto"/>
              <w:left w:val="single" w:sz="4" w:space="0" w:color="auto"/>
              <w:bottom w:val="single" w:sz="4" w:space="0" w:color="auto"/>
              <w:right w:val="single" w:sz="4" w:space="0" w:color="auto"/>
            </w:tcBorders>
          </w:tcPr>
          <w:p w14:paraId="6AE5682F" w14:textId="77777777" w:rsidR="00353BDC" w:rsidRPr="00806EF6"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7DDAD299" w14:textId="77777777" w:rsidR="00353BDC" w:rsidRPr="001E58E9" w:rsidRDefault="00353BDC" w:rsidP="00401306">
            <w:pPr>
              <w:widowControl w:val="0"/>
              <w:ind w:left="57" w:right="113"/>
              <w:rPr>
                <w:sz w:val="20"/>
                <w:szCs w:val="20"/>
              </w:rPr>
            </w:pPr>
            <w:r>
              <w:rPr>
                <w:sz w:val="20"/>
                <w:szCs w:val="20"/>
              </w:rPr>
              <w:t>Článek 3 odst. 18</w:t>
            </w:r>
          </w:p>
        </w:tc>
        <w:tc>
          <w:tcPr>
            <w:tcW w:w="6663" w:type="dxa"/>
            <w:tcBorders>
              <w:top w:val="single" w:sz="4" w:space="0" w:color="auto"/>
              <w:left w:val="single" w:sz="4" w:space="0" w:color="auto"/>
              <w:bottom w:val="single" w:sz="4" w:space="0" w:color="auto"/>
              <w:right w:val="single" w:sz="4" w:space="0" w:color="auto"/>
            </w:tcBorders>
          </w:tcPr>
          <w:p w14:paraId="4ECE3DC7" w14:textId="77777777" w:rsidR="00353BDC" w:rsidRPr="001E58E9" w:rsidRDefault="00353BDC" w:rsidP="00401306">
            <w:pPr>
              <w:shd w:val="clear" w:color="auto" w:fill="FFFFFF"/>
              <w:rPr>
                <w:sz w:val="20"/>
                <w:szCs w:val="20"/>
              </w:rPr>
            </w:pPr>
            <w:r w:rsidRPr="000607D0">
              <w:rPr>
                <w:sz w:val="20"/>
                <w:szCs w:val="20"/>
              </w:rPr>
              <w:t xml:space="preserve">c) vyjádření závěru podle čl. 34 odst. 1 druhého pododstavce písm. </w:t>
            </w:r>
            <w:proofErr w:type="spellStart"/>
            <w:r w:rsidRPr="000607D0">
              <w:rPr>
                <w:sz w:val="20"/>
                <w:szCs w:val="20"/>
              </w:rPr>
              <w:t>aa</w:t>
            </w:r>
            <w:proofErr w:type="spellEnd"/>
            <w:r w:rsidRPr="000607D0">
              <w:rPr>
                <w:sz w:val="20"/>
                <w:szCs w:val="20"/>
              </w:rPr>
              <w:t>) směrnice 2013/34/EU</w:t>
            </w:r>
          </w:p>
        </w:tc>
      </w:tr>
      <w:tr w:rsidR="00353BDC" w:rsidRPr="00675767" w14:paraId="7A8C8D68"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76E8B5D0" w14:textId="77777777" w:rsidR="00353BDC" w:rsidRDefault="00353BDC" w:rsidP="00401306">
            <w:pPr>
              <w:widowControl w:val="0"/>
              <w:suppressAutoHyphens/>
              <w:ind w:left="57" w:right="113"/>
              <w:rPr>
                <w:sz w:val="20"/>
                <w:szCs w:val="20"/>
                <w:lang w:eastAsia="ar-SA"/>
              </w:rPr>
            </w:pPr>
            <w:r>
              <w:rPr>
                <w:sz w:val="20"/>
                <w:szCs w:val="20"/>
                <w:lang w:eastAsia="ar-SA"/>
              </w:rPr>
              <w:lastRenderedPageBreak/>
              <w:t>§ 20c</w:t>
            </w:r>
          </w:p>
        </w:tc>
        <w:tc>
          <w:tcPr>
            <w:tcW w:w="3543" w:type="dxa"/>
            <w:tcBorders>
              <w:top w:val="single" w:sz="4" w:space="0" w:color="auto"/>
              <w:left w:val="single" w:sz="4" w:space="0" w:color="auto"/>
              <w:bottom w:val="single" w:sz="4" w:space="0" w:color="auto"/>
              <w:right w:val="single" w:sz="4" w:space="0" w:color="auto"/>
            </w:tcBorders>
          </w:tcPr>
          <w:p w14:paraId="5893D4A3" w14:textId="77777777" w:rsidR="00353BDC" w:rsidRPr="00CD7CD2" w:rsidRDefault="00353BDC" w:rsidP="00401306">
            <w:pPr>
              <w:widowControl w:val="0"/>
              <w:suppressAutoHyphens/>
              <w:ind w:left="57" w:right="113"/>
              <w:rPr>
                <w:sz w:val="20"/>
                <w:szCs w:val="20"/>
                <w:lang w:eastAsia="ar-SA"/>
              </w:rPr>
            </w:pPr>
            <w:r w:rsidRPr="00CD7CD2">
              <w:rPr>
                <w:sz w:val="20"/>
                <w:szCs w:val="20"/>
                <w:lang w:eastAsia="ar-SA"/>
              </w:rPr>
              <w:t>Společné provádění povinného auditu nebo ověření zprávy o udržitelnosti</w:t>
            </w:r>
          </w:p>
          <w:p w14:paraId="3A515698" w14:textId="77777777" w:rsidR="00353BDC" w:rsidRDefault="00353BDC" w:rsidP="00401306">
            <w:pPr>
              <w:widowControl w:val="0"/>
              <w:suppressAutoHyphens/>
              <w:ind w:left="57" w:right="113"/>
              <w:rPr>
                <w:sz w:val="20"/>
                <w:szCs w:val="20"/>
                <w:lang w:eastAsia="ar-SA"/>
              </w:rPr>
            </w:pPr>
            <w:r w:rsidRPr="000607D0">
              <w:rPr>
                <w:sz w:val="20"/>
                <w:szCs w:val="20"/>
                <w:lang w:eastAsia="ar-SA"/>
              </w:rPr>
              <w:t>Určí-li účetní jednotka více než jednoho statutárního auditora vykonávajícího auditorskou činnost vlastním jménem a na vlastní účet nebo více než jednu auditorskou společnost pro společné provedení povinného auditu nebo ověření zprávy o udržitelnosti, vyhotovují určení auditoři společnou zprávu auditora obsahující společný výrok auditora; § 20 a 20ab se použije obdobně. Dospějí-li statutární auditoři vykonávající auditorskou činnost vlastním jménem a na vlastní účet nebo auditorské společnosti vzájemně k rozdílnému stanovisku auditora, ve společné zprávě auditora uvede každý z nich vlastní výrok auditora a důvody neshody.</w:t>
            </w:r>
          </w:p>
        </w:tc>
        <w:tc>
          <w:tcPr>
            <w:tcW w:w="1276" w:type="dxa"/>
            <w:tcBorders>
              <w:top w:val="single" w:sz="4" w:space="0" w:color="auto"/>
              <w:left w:val="single" w:sz="4" w:space="0" w:color="auto"/>
              <w:bottom w:val="single" w:sz="4" w:space="0" w:color="auto"/>
              <w:right w:val="single" w:sz="4" w:space="0" w:color="auto"/>
            </w:tcBorders>
          </w:tcPr>
          <w:p w14:paraId="5D73D5D7" w14:textId="77777777" w:rsidR="00353BDC" w:rsidRPr="00806EF6"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3FDF8407" w14:textId="77777777" w:rsidR="00353BDC" w:rsidRPr="001E58E9" w:rsidRDefault="00353BDC" w:rsidP="00401306">
            <w:pPr>
              <w:widowControl w:val="0"/>
              <w:ind w:left="57" w:right="113"/>
              <w:rPr>
                <w:sz w:val="20"/>
                <w:szCs w:val="20"/>
              </w:rPr>
            </w:pPr>
            <w:r>
              <w:rPr>
                <w:sz w:val="20"/>
                <w:szCs w:val="20"/>
              </w:rPr>
              <w:t>Článek 3 odst. 18</w:t>
            </w:r>
          </w:p>
        </w:tc>
        <w:tc>
          <w:tcPr>
            <w:tcW w:w="6663" w:type="dxa"/>
            <w:tcBorders>
              <w:top w:val="single" w:sz="4" w:space="0" w:color="auto"/>
              <w:left w:val="single" w:sz="4" w:space="0" w:color="auto"/>
              <w:bottom w:val="single" w:sz="4" w:space="0" w:color="auto"/>
              <w:right w:val="single" w:sz="4" w:space="0" w:color="auto"/>
            </w:tcBorders>
          </w:tcPr>
          <w:p w14:paraId="7CD8E219" w14:textId="77777777" w:rsidR="00353BDC" w:rsidRPr="00CD7CD2" w:rsidRDefault="00353BDC" w:rsidP="00401306">
            <w:pPr>
              <w:shd w:val="clear" w:color="auto" w:fill="FFFFFF"/>
              <w:rPr>
                <w:sz w:val="20"/>
                <w:szCs w:val="20"/>
              </w:rPr>
            </w:pPr>
            <w:r w:rsidRPr="00CD7CD2">
              <w:rPr>
                <w:sz w:val="20"/>
                <w:szCs w:val="20"/>
              </w:rPr>
              <w:t>Zpráva o ověření zprávy o udržitelnosti</w:t>
            </w:r>
          </w:p>
          <w:p w14:paraId="2766C5F4" w14:textId="77777777" w:rsidR="00353BDC" w:rsidRPr="00CD7CD2" w:rsidRDefault="00353BDC" w:rsidP="00401306">
            <w:pPr>
              <w:shd w:val="clear" w:color="auto" w:fill="FFFFFF"/>
              <w:rPr>
                <w:sz w:val="20"/>
                <w:szCs w:val="20"/>
              </w:rPr>
            </w:pPr>
            <w:r w:rsidRPr="00CD7CD2">
              <w:rPr>
                <w:sz w:val="20"/>
                <w:szCs w:val="20"/>
              </w:rPr>
              <w:t>1.</w:t>
            </w:r>
            <w:r>
              <w:rPr>
                <w:sz w:val="20"/>
                <w:szCs w:val="20"/>
              </w:rPr>
              <w:t xml:space="preserve"> </w:t>
            </w:r>
            <w:r w:rsidRPr="00CD7CD2">
              <w:rPr>
                <w:sz w:val="20"/>
                <w:szCs w:val="20"/>
              </w:rPr>
              <w:t>Statutární auditor či auditoři nebo auditorská společnost či společnosti uvedou výsledky ověření zprávy o udržitelnosti ve zprávě o ověření zprávy o udržitelnosti. Tato zpráva se vypracuje v souladu s požadavky ověřovacích standardů přijatých Komisí prostřednictvím aktů v přenesené pravomoci podle čl. 26a odst. 3 nebo, dokud Komise tyto ověřovací standardy nepřijme, v souladu s vnitrostátními ověřovacími standardy, jak je uvedeno v čl. 26a odst. 2.</w:t>
            </w:r>
          </w:p>
          <w:p w14:paraId="2CC4F8A2" w14:textId="77777777" w:rsidR="00353BDC" w:rsidRPr="00CD7CD2" w:rsidRDefault="00353BDC" w:rsidP="00401306">
            <w:pPr>
              <w:shd w:val="clear" w:color="auto" w:fill="FFFFFF"/>
              <w:rPr>
                <w:sz w:val="20"/>
                <w:szCs w:val="20"/>
              </w:rPr>
            </w:pPr>
            <w:r w:rsidRPr="00CD7CD2">
              <w:rPr>
                <w:sz w:val="20"/>
                <w:szCs w:val="20"/>
              </w:rPr>
              <w:t>2.</w:t>
            </w:r>
            <w:r>
              <w:rPr>
                <w:sz w:val="20"/>
                <w:szCs w:val="20"/>
              </w:rPr>
              <w:t xml:space="preserve"> </w:t>
            </w:r>
            <w:r w:rsidRPr="00CD7CD2">
              <w:rPr>
                <w:sz w:val="20"/>
                <w:szCs w:val="20"/>
              </w:rPr>
              <w:t>Zpráva o ověření zprávy o udržitelnosti musí být vypracována písemně a musí obsahovat:</w:t>
            </w:r>
          </w:p>
          <w:p w14:paraId="1B833446" w14:textId="77777777" w:rsidR="00353BDC" w:rsidRPr="00CD7CD2" w:rsidRDefault="00353BDC" w:rsidP="00401306">
            <w:pPr>
              <w:shd w:val="clear" w:color="auto" w:fill="FFFFFF"/>
              <w:rPr>
                <w:sz w:val="20"/>
                <w:szCs w:val="20"/>
              </w:rPr>
            </w:pPr>
            <w:r>
              <w:rPr>
                <w:sz w:val="20"/>
                <w:szCs w:val="20"/>
              </w:rPr>
              <w:t xml:space="preserve">   </w:t>
            </w:r>
            <w:r w:rsidRPr="00CD7CD2">
              <w:rPr>
                <w:sz w:val="20"/>
                <w:szCs w:val="20"/>
              </w:rPr>
              <w:t>a)</w:t>
            </w:r>
            <w:r>
              <w:rPr>
                <w:sz w:val="20"/>
                <w:szCs w:val="20"/>
              </w:rPr>
              <w:t xml:space="preserve"> </w:t>
            </w:r>
            <w:r w:rsidRPr="00CD7CD2">
              <w:rPr>
                <w:sz w:val="20"/>
                <w:szCs w:val="20"/>
              </w:rPr>
              <w:t>označení subjektu, jehož roční nebo konsolidovaná zpráva o udržitelnosti je předmětem ověřovací zakázky; vymezení roční nebo konsolidované zprávy o udržitelnosti a datum a období, na něž se vztahuje; a vymezení rámce pro podávání zpráv o udržitelnosti, který byl použit při jejím vypracování;</w:t>
            </w:r>
          </w:p>
          <w:p w14:paraId="1379179B" w14:textId="77777777" w:rsidR="00353BDC" w:rsidRPr="00CD7CD2" w:rsidRDefault="00353BDC" w:rsidP="00401306">
            <w:pPr>
              <w:shd w:val="clear" w:color="auto" w:fill="FFFFFF"/>
              <w:rPr>
                <w:sz w:val="20"/>
                <w:szCs w:val="20"/>
              </w:rPr>
            </w:pPr>
            <w:r>
              <w:rPr>
                <w:sz w:val="20"/>
                <w:szCs w:val="20"/>
              </w:rPr>
              <w:t xml:space="preserve">   </w:t>
            </w:r>
            <w:r w:rsidRPr="00CD7CD2">
              <w:rPr>
                <w:sz w:val="20"/>
                <w:szCs w:val="20"/>
              </w:rPr>
              <w:t>b)</w:t>
            </w:r>
            <w:r>
              <w:rPr>
                <w:sz w:val="20"/>
                <w:szCs w:val="20"/>
              </w:rPr>
              <w:t xml:space="preserve"> </w:t>
            </w:r>
            <w:r w:rsidRPr="00CD7CD2">
              <w:rPr>
                <w:sz w:val="20"/>
                <w:szCs w:val="20"/>
              </w:rPr>
              <w:t>popis rozsahu ověření zprávy o udržitelnosti, který obsahuje alespoň údaje o ověřovacích standardech, podle nichž bylo ověření zprávy o udržitelnosti provedeno;</w:t>
            </w:r>
          </w:p>
          <w:p w14:paraId="278B554D" w14:textId="77777777" w:rsidR="00353BDC" w:rsidRPr="00CD7CD2" w:rsidRDefault="00353BDC" w:rsidP="00401306">
            <w:pPr>
              <w:shd w:val="clear" w:color="auto" w:fill="FFFFFF"/>
              <w:rPr>
                <w:sz w:val="20"/>
                <w:szCs w:val="20"/>
              </w:rPr>
            </w:pPr>
            <w:r>
              <w:rPr>
                <w:sz w:val="20"/>
                <w:szCs w:val="20"/>
              </w:rPr>
              <w:t xml:space="preserve">   </w:t>
            </w:r>
            <w:r w:rsidRPr="00CD7CD2">
              <w:rPr>
                <w:sz w:val="20"/>
                <w:szCs w:val="20"/>
              </w:rPr>
              <w:t>c)</w:t>
            </w:r>
            <w:r>
              <w:rPr>
                <w:sz w:val="20"/>
                <w:szCs w:val="20"/>
              </w:rPr>
              <w:t xml:space="preserve"> </w:t>
            </w:r>
            <w:r w:rsidRPr="00CD7CD2">
              <w:rPr>
                <w:sz w:val="20"/>
                <w:szCs w:val="20"/>
              </w:rPr>
              <w:t xml:space="preserve">vyjádření závěru podle čl. 34 odst. 1 druhého pododstavce písm. </w:t>
            </w:r>
            <w:proofErr w:type="spellStart"/>
            <w:r w:rsidRPr="00CD7CD2">
              <w:rPr>
                <w:sz w:val="20"/>
                <w:szCs w:val="20"/>
              </w:rPr>
              <w:t>aa</w:t>
            </w:r>
            <w:proofErr w:type="spellEnd"/>
            <w:r w:rsidRPr="00CD7CD2">
              <w:rPr>
                <w:sz w:val="20"/>
                <w:szCs w:val="20"/>
              </w:rPr>
              <w:t>) směrnice 2013/34/EU.</w:t>
            </w:r>
          </w:p>
          <w:p w14:paraId="27542319" w14:textId="77777777" w:rsidR="00353BDC" w:rsidRPr="00CD7CD2" w:rsidRDefault="00353BDC" w:rsidP="00401306">
            <w:pPr>
              <w:shd w:val="clear" w:color="auto" w:fill="FFFFFF"/>
              <w:rPr>
                <w:sz w:val="20"/>
                <w:szCs w:val="20"/>
              </w:rPr>
            </w:pPr>
            <w:r w:rsidRPr="00CD7CD2">
              <w:rPr>
                <w:sz w:val="20"/>
                <w:szCs w:val="20"/>
              </w:rPr>
              <w:t>3.</w:t>
            </w:r>
            <w:r>
              <w:rPr>
                <w:sz w:val="20"/>
                <w:szCs w:val="20"/>
              </w:rPr>
              <w:t xml:space="preserve"> </w:t>
            </w:r>
            <w:r w:rsidRPr="00CD7CD2">
              <w:rPr>
                <w:sz w:val="20"/>
                <w:szCs w:val="20"/>
              </w:rPr>
              <w:t>Pokud bylo ověření zprávy o udržitelnosti provedeno více než jedním statutárním auditorem nebo více než jednou auditorskou společností, dohodnou se statutární auditor či auditoři nebo auditorská společnost či společnosti na výsledcích ověření zprávy o udržitelnosti a předloží společnou zprávu a závěr. Nemohou-li se shodnout, předloží každý statutární auditor nebo auditorská společnost vlastní závěr v samostatném bodu zprávy o ověření zprávy o udržitelnosti a uvedou důvod neshody.</w:t>
            </w:r>
          </w:p>
          <w:p w14:paraId="61D32B6E" w14:textId="77777777" w:rsidR="00353BDC" w:rsidRDefault="00353BDC" w:rsidP="00401306">
            <w:pPr>
              <w:shd w:val="clear" w:color="auto" w:fill="FFFFFF"/>
              <w:rPr>
                <w:sz w:val="20"/>
                <w:szCs w:val="20"/>
              </w:rPr>
            </w:pPr>
            <w:r w:rsidRPr="00CD7CD2">
              <w:rPr>
                <w:sz w:val="20"/>
                <w:szCs w:val="20"/>
              </w:rPr>
              <w:t>4.</w:t>
            </w:r>
            <w:r>
              <w:rPr>
                <w:sz w:val="20"/>
                <w:szCs w:val="20"/>
              </w:rPr>
              <w:t xml:space="preserve"> </w:t>
            </w:r>
            <w:r w:rsidRPr="00CD7CD2">
              <w:rPr>
                <w:sz w:val="20"/>
                <w:szCs w:val="20"/>
              </w:rPr>
              <w:t>Statutární auditor provádějící ověření zprávy o udržitelnosti zprávu o ověření zprávy o udržitelnosti podepíše a uvede datum. Pokud provádí ověřování zprávy o udržitelnosti auditorská společnost, musí být zpráva o ověření zprávy o udržitelnosti podepsána alespoň statutárním auditorem nebo auditory, kteří provádějí ověření zprávy o udržitelnosti jménem auditorské společnosti. Pokud byli zároveň jmenováni více než jeden statutární auditor nebo jedna auditorská společnost, musí být zpráva o ověření zprávy o udržitelnosti podepsána všemi statutárními auditory nebo alespoň těmi statutárními auditory, kteří provádějí ověření zprávy o udržitelnosti jménem každé auditorské společnosti. Ve výjimečných případech mohou členské státy stanovit, že tento podpis či podpisy nemusí být zveřejněny, pokud by takové zveřejnění mohlo vést k bezprostřednímu a závažnému ohrožení osobní bezpečnosti nějaké osoby.</w:t>
            </w:r>
          </w:p>
          <w:p w14:paraId="7D360162" w14:textId="77777777" w:rsidR="00353BDC" w:rsidRPr="00CD7CD2" w:rsidRDefault="00353BDC" w:rsidP="00401306">
            <w:pPr>
              <w:shd w:val="clear" w:color="auto" w:fill="FFFFFF"/>
              <w:rPr>
                <w:sz w:val="20"/>
                <w:szCs w:val="20"/>
              </w:rPr>
            </w:pPr>
            <w:r w:rsidRPr="00CD7CD2">
              <w:rPr>
                <w:sz w:val="20"/>
                <w:szCs w:val="20"/>
              </w:rPr>
              <w:t>Jméno či jména této osoby nebo osob musí být vždy známa příslušným orgánům.</w:t>
            </w:r>
          </w:p>
          <w:p w14:paraId="1BE0186C" w14:textId="77777777" w:rsidR="00353BDC" w:rsidRPr="00CD7CD2" w:rsidRDefault="00353BDC" w:rsidP="00401306">
            <w:pPr>
              <w:shd w:val="clear" w:color="auto" w:fill="FFFFFF"/>
              <w:rPr>
                <w:sz w:val="20"/>
                <w:szCs w:val="20"/>
              </w:rPr>
            </w:pPr>
            <w:r w:rsidRPr="00CD7CD2">
              <w:rPr>
                <w:sz w:val="20"/>
                <w:szCs w:val="20"/>
              </w:rPr>
              <w:t>5.</w:t>
            </w:r>
            <w:r>
              <w:rPr>
                <w:sz w:val="20"/>
                <w:szCs w:val="20"/>
              </w:rPr>
              <w:t xml:space="preserve"> </w:t>
            </w:r>
            <w:r w:rsidRPr="00CD7CD2">
              <w:rPr>
                <w:sz w:val="20"/>
                <w:szCs w:val="20"/>
              </w:rPr>
              <w:t>Členské státy mohou vyžadovat, aby v případě, že povinný audit roční účetní závěrky i ověření zprávy o udržitelnosti provádí tentýž statutární auditor, mohla být zpráva o ověření zprávy o udržitelnosti uvedena jako samostatný oddíl ve zprávě auditora.</w:t>
            </w:r>
          </w:p>
          <w:p w14:paraId="7F15989C" w14:textId="77777777" w:rsidR="00353BDC" w:rsidRPr="001E58E9" w:rsidRDefault="00353BDC" w:rsidP="00401306">
            <w:pPr>
              <w:shd w:val="clear" w:color="auto" w:fill="FFFFFF"/>
              <w:rPr>
                <w:sz w:val="20"/>
                <w:szCs w:val="20"/>
              </w:rPr>
            </w:pPr>
            <w:r w:rsidRPr="00CD7CD2">
              <w:rPr>
                <w:sz w:val="20"/>
                <w:szCs w:val="20"/>
              </w:rPr>
              <w:t>6.</w:t>
            </w:r>
            <w:r>
              <w:rPr>
                <w:sz w:val="20"/>
                <w:szCs w:val="20"/>
              </w:rPr>
              <w:t xml:space="preserve"> </w:t>
            </w:r>
            <w:r w:rsidRPr="00CD7CD2">
              <w:rPr>
                <w:sz w:val="20"/>
                <w:szCs w:val="20"/>
              </w:rPr>
              <w:t>Zpráva statutárního auditora nebo auditorské společnosti o konsolidované zprávě o udržitelnosti musí splňovat požadavky stanovené v odstavcích 1 až 5.“</w:t>
            </w:r>
          </w:p>
        </w:tc>
      </w:tr>
      <w:tr w:rsidR="00353BDC" w:rsidRPr="00675767" w14:paraId="38018F8C"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7D19CEFB" w14:textId="77777777" w:rsidR="00353BDC" w:rsidRDefault="00353BDC" w:rsidP="00401306">
            <w:pPr>
              <w:widowControl w:val="0"/>
              <w:suppressAutoHyphens/>
              <w:ind w:left="57" w:right="113"/>
              <w:rPr>
                <w:sz w:val="20"/>
                <w:szCs w:val="20"/>
                <w:lang w:eastAsia="ar-SA"/>
              </w:rPr>
            </w:pPr>
            <w:r>
              <w:rPr>
                <w:sz w:val="20"/>
                <w:szCs w:val="20"/>
                <w:lang w:eastAsia="ar-SA"/>
              </w:rPr>
              <w:lastRenderedPageBreak/>
              <w:t>§ 38 odst. 1 písm. d)</w:t>
            </w:r>
          </w:p>
        </w:tc>
        <w:tc>
          <w:tcPr>
            <w:tcW w:w="3543" w:type="dxa"/>
            <w:tcBorders>
              <w:top w:val="single" w:sz="4" w:space="0" w:color="auto"/>
              <w:left w:val="single" w:sz="4" w:space="0" w:color="auto"/>
              <w:bottom w:val="single" w:sz="4" w:space="0" w:color="auto"/>
              <w:right w:val="single" w:sz="4" w:space="0" w:color="auto"/>
            </w:tcBorders>
          </w:tcPr>
          <w:p w14:paraId="62266B4B" w14:textId="77777777" w:rsidR="00353BDC" w:rsidRDefault="00353BDC" w:rsidP="00401306">
            <w:pPr>
              <w:widowControl w:val="0"/>
              <w:suppressAutoHyphens/>
              <w:ind w:left="57" w:right="113"/>
              <w:rPr>
                <w:sz w:val="20"/>
                <w:szCs w:val="20"/>
                <w:lang w:eastAsia="ar-SA"/>
              </w:rPr>
            </w:pPr>
            <w:r>
              <w:rPr>
                <w:sz w:val="20"/>
                <w:szCs w:val="20"/>
                <w:lang w:eastAsia="ar-SA"/>
              </w:rPr>
              <w:t xml:space="preserve">d) </w:t>
            </w:r>
            <w:r w:rsidRPr="00CD7CD2">
              <w:rPr>
                <w:sz w:val="20"/>
                <w:szCs w:val="20"/>
                <w:lang w:eastAsia="ar-SA"/>
              </w:rPr>
              <w:t>uplatňováním kárných a jiných opatření podle tohoto zákona Komorou při řízeních proti auditorům, případně osobám registrovaným podle § 47 a 47a.</w:t>
            </w:r>
          </w:p>
          <w:p w14:paraId="76EEFCAD" w14:textId="77777777" w:rsidR="00353BDC" w:rsidRDefault="00353BDC" w:rsidP="00401306">
            <w:pPr>
              <w:widowControl w:val="0"/>
              <w:suppressAutoHyphens/>
              <w:ind w:left="57" w:right="113"/>
              <w:rPr>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49607048" w14:textId="77777777" w:rsidR="00353BDC" w:rsidRPr="00806EF6"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13C068AE" w14:textId="77777777" w:rsidR="00353BDC" w:rsidRPr="001E58E9" w:rsidRDefault="00353BDC" w:rsidP="00401306">
            <w:pPr>
              <w:widowControl w:val="0"/>
              <w:ind w:left="57" w:right="113"/>
              <w:rPr>
                <w:sz w:val="20"/>
                <w:szCs w:val="20"/>
              </w:rPr>
            </w:pPr>
            <w:r>
              <w:rPr>
                <w:sz w:val="20"/>
                <w:szCs w:val="20"/>
              </w:rPr>
              <w:t>Článek 3 odst. 20</w:t>
            </w:r>
          </w:p>
        </w:tc>
        <w:tc>
          <w:tcPr>
            <w:tcW w:w="6663" w:type="dxa"/>
            <w:tcBorders>
              <w:top w:val="single" w:sz="4" w:space="0" w:color="auto"/>
              <w:left w:val="single" w:sz="4" w:space="0" w:color="auto"/>
              <w:bottom w:val="single" w:sz="4" w:space="0" w:color="auto"/>
              <w:right w:val="single" w:sz="4" w:space="0" w:color="auto"/>
            </w:tcBorders>
          </w:tcPr>
          <w:p w14:paraId="577C8B9D" w14:textId="77777777" w:rsidR="00353BDC" w:rsidRPr="00FA1B30" w:rsidRDefault="00353BDC" w:rsidP="00401306">
            <w:pPr>
              <w:widowControl w:val="0"/>
              <w:ind w:left="57" w:right="113"/>
              <w:rPr>
                <w:sz w:val="20"/>
                <w:szCs w:val="20"/>
              </w:rPr>
            </w:pPr>
            <w:r w:rsidRPr="00FA1B30">
              <w:rPr>
                <w:sz w:val="20"/>
                <w:szCs w:val="20"/>
              </w:rPr>
              <w:t>1.</w:t>
            </w:r>
            <w:r>
              <w:rPr>
                <w:sz w:val="20"/>
                <w:szCs w:val="20"/>
              </w:rPr>
              <w:t xml:space="preserve"> </w:t>
            </w:r>
            <w:r w:rsidRPr="00FA1B30">
              <w:rPr>
                <w:sz w:val="20"/>
                <w:szCs w:val="20"/>
              </w:rPr>
              <w:t>Členské státy zajistí, aby existovaly účinné systémy vyšetřování a sankcí pro odhalování, nápravu a prevenci nesprávného provádění povinného auditu a ověřování zpráv o udržitelnosti.</w:t>
            </w:r>
          </w:p>
          <w:p w14:paraId="6004ECE9" w14:textId="77777777" w:rsidR="00353BDC" w:rsidRPr="001E58E9" w:rsidRDefault="00353BDC" w:rsidP="00401306">
            <w:pPr>
              <w:widowControl w:val="0"/>
              <w:ind w:left="57" w:right="113"/>
              <w:rPr>
                <w:sz w:val="20"/>
                <w:szCs w:val="20"/>
              </w:rPr>
            </w:pPr>
            <w:r w:rsidRPr="00FA1B30">
              <w:rPr>
                <w:sz w:val="20"/>
                <w:szCs w:val="20"/>
              </w:rPr>
              <w:t>2.</w:t>
            </w:r>
            <w:r>
              <w:rPr>
                <w:sz w:val="20"/>
                <w:szCs w:val="20"/>
              </w:rPr>
              <w:t xml:space="preserve"> </w:t>
            </w:r>
            <w:r w:rsidRPr="00FA1B30">
              <w:rPr>
                <w:sz w:val="20"/>
                <w:szCs w:val="20"/>
              </w:rPr>
              <w:t>Aniž jsou dotčeny režimy občanskoprávní odpovědnosti jednotlivých členských států, zavedou členské státy ve vztahu ke statutárním auditorům a auditorským společnostem účinné, přiměřené a odrazující sankce pro případy, kdy povinné audity či ověřování zpráv o udržitelnosti nejsou prováděny v souladu s předpisy přijatými k provedení této směrnice a případně s nařízením (EU) č. 537/2014.</w:t>
            </w:r>
          </w:p>
        </w:tc>
      </w:tr>
      <w:tr w:rsidR="00353BDC" w:rsidRPr="00675767" w14:paraId="10143367"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2EECACBA" w14:textId="77777777" w:rsidR="00353BDC" w:rsidRDefault="00353BDC" w:rsidP="00401306">
            <w:pPr>
              <w:widowControl w:val="0"/>
              <w:suppressAutoHyphens/>
              <w:ind w:left="57" w:right="113"/>
              <w:rPr>
                <w:sz w:val="20"/>
                <w:szCs w:val="20"/>
                <w:lang w:eastAsia="ar-SA"/>
              </w:rPr>
            </w:pPr>
            <w:r>
              <w:rPr>
                <w:sz w:val="20"/>
                <w:szCs w:val="20"/>
                <w:lang w:eastAsia="ar-SA"/>
              </w:rPr>
              <w:t>§ 41 odst. 1</w:t>
            </w:r>
          </w:p>
        </w:tc>
        <w:tc>
          <w:tcPr>
            <w:tcW w:w="3543" w:type="dxa"/>
            <w:tcBorders>
              <w:top w:val="single" w:sz="4" w:space="0" w:color="auto"/>
              <w:left w:val="single" w:sz="4" w:space="0" w:color="auto"/>
              <w:bottom w:val="single" w:sz="4" w:space="0" w:color="auto"/>
              <w:right w:val="single" w:sz="4" w:space="0" w:color="auto"/>
            </w:tcBorders>
          </w:tcPr>
          <w:p w14:paraId="48AB1E42" w14:textId="77777777" w:rsidR="00353BDC" w:rsidRPr="00CD7CD2" w:rsidRDefault="00353BDC" w:rsidP="00401306">
            <w:pPr>
              <w:widowControl w:val="0"/>
              <w:suppressAutoHyphens/>
              <w:ind w:left="57" w:right="113"/>
              <w:rPr>
                <w:sz w:val="20"/>
                <w:szCs w:val="20"/>
                <w:lang w:eastAsia="ar-SA"/>
              </w:rPr>
            </w:pPr>
            <w:r w:rsidRPr="00CD7CD2">
              <w:rPr>
                <w:sz w:val="20"/>
                <w:szCs w:val="20"/>
                <w:lang w:eastAsia="ar-SA"/>
              </w:rPr>
              <w:t xml:space="preserve">(1) </w:t>
            </w:r>
            <w:r w:rsidRPr="00F247AE">
              <w:rPr>
                <w:sz w:val="20"/>
                <w:szCs w:val="20"/>
                <w:lang w:eastAsia="ar-SA"/>
              </w:rPr>
              <w:t>Rada má povinnost vzájemně spolupracovat s příslušnými orgány členských států kdykoli je to pro účely provádění veřejného dohledu podle tohoto zákona a přímo použitelného předpisu Evropské unie upravujícího specifické požadavky na povinný audit subjektů veřejného zájmu nutné nebo žádoucí. Jedná se zejména o výměnu informací a spolupráci při kontrolách kvality a šetřeních, která se týkají provádění povinných auditů nebo ověřování zpráv o udržitelnosti.</w:t>
            </w:r>
          </w:p>
        </w:tc>
        <w:tc>
          <w:tcPr>
            <w:tcW w:w="1276" w:type="dxa"/>
            <w:tcBorders>
              <w:top w:val="single" w:sz="4" w:space="0" w:color="auto"/>
              <w:left w:val="single" w:sz="4" w:space="0" w:color="auto"/>
              <w:bottom w:val="single" w:sz="4" w:space="0" w:color="auto"/>
              <w:right w:val="single" w:sz="4" w:space="0" w:color="auto"/>
            </w:tcBorders>
          </w:tcPr>
          <w:p w14:paraId="67B496C7" w14:textId="77777777" w:rsidR="00353BDC" w:rsidRPr="00806EF6"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1609311A" w14:textId="77777777" w:rsidR="00353BDC" w:rsidRDefault="00353BDC" w:rsidP="00401306">
            <w:pPr>
              <w:widowControl w:val="0"/>
              <w:ind w:left="57" w:right="113"/>
              <w:rPr>
                <w:sz w:val="20"/>
                <w:szCs w:val="20"/>
              </w:rPr>
            </w:pPr>
            <w:r>
              <w:rPr>
                <w:sz w:val="20"/>
                <w:szCs w:val="20"/>
              </w:rPr>
              <w:t>Článek 3 odst. 3</w:t>
            </w:r>
          </w:p>
        </w:tc>
        <w:tc>
          <w:tcPr>
            <w:tcW w:w="6663" w:type="dxa"/>
            <w:tcBorders>
              <w:top w:val="single" w:sz="4" w:space="0" w:color="auto"/>
              <w:left w:val="single" w:sz="4" w:space="0" w:color="auto"/>
              <w:bottom w:val="single" w:sz="4" w:space="0" w:color="auto"/>
              <w:right w:val="single" w:sz="4" w:space="0" w:color="auto"/>
            </w:tcBorders>
          </w:tcPr>
          <w:p w14:paraId="79AD7FFE" w14:textId="77777777" w:rsidR="00353BDC" w:rsidRPr="00FA1B30" w:rsidRDefault="00353BDC" w:rsidP="00401306">
            <w:pPr>
              <w:widowControl w:val="0"/>
              <w:ind w:left="57" w:right="113"/>
              <w:rPr>
                <w:sz w:val="20"/>
                <w:szCs w:val="20"/>
              </w:rPr>
            </w:pPr>
            <w:r w:rsidRPr="00791A77">
              <w:rPr>
                <w:sz w:val="20"/>
                <w:szCs w:val="20"/>
              </w:rPr>
              <w:t>Příslušné orgány uvedené v článku 32 mezi sebou spolupracují s cílem dosáhnout sblížení požadavků stanovených v tomto článku. V rámci této spolupráce přihlédnou tyto příslušné orgány k vývoji v oblasti auditu a auditorské profese, a zejména ke sblížení požadavků, kterého již bylo v rámci této profese dosaženo. Spolupracují s Výborem evropských orgánů dohledu nad auditem a s příslušnými orgány uvedenými v článku 20 nařízení (EU) č. 537/2014 do té míry, v níž se takové sbližování týká povinného auditu subjektů veřejného zájmu a ověřování zpráv o udržitelnosti těchto subjektů.“</w:t>
            </w:r>
          </w:p>
        </w:tc>
      </w:tr>
      <w:tr w:rsidR="00353BDC" w:rsidRPr="00675767" w14:paraId="3E2CE369"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7204C145" w14:textId="77777777" w:rsidR="00353BDC" w:rsidRDefault="00353BDC" w:rsidP="00401306">
            <w:pPr>
              <w:widowControl w:val="0"/>
              <w:suppressAutoHyphens/>
              <w:ind w:left="57" w:right="113"/>
              <w:rPr>
                <w:sz w:val="20"/>
                <w:szCs w:val="20"/>
                <w:lang w:eastAsia="ar-SA"/>
              </w:rPr>
            </w:pPr>
            <w:r>
              <w:rPr>
                <w:sz w:val="20"/>
                <w:szCs w:val="20"/>
                <w:lang w:eastAsia="ar-SA"/>
              </w:rPr>
              <w:lastRenderedPageBreak/>
              <w:t>§ 43ba</w:t>
            </w:r>
          </w:p>
        </w:tc>
        <w:tc>
          <w:tcPr>
            <w:tcW w:w="3543" w:type="dxa"/>
            <w:tcBorders>
              <w:top w:val="single" w:sz="4" w:space="0" w:color="auto"/>
              <w:left w:val="single" w:sz="4" w:space="0" w:color="auto"/>
              <w:bottom w:val="single" w:sz="4" w:space="0" w:color="auto"/>
              <w:right w:val="single" w:sz="4" w:space="0" w:color="auto"/>
            </w:tcBorders>
          </w:tcPr>
          <w:p w14:paraId="3B775F84" w14:textId="77777777" w:rsidR="00353BDC" w:rsidRPr="00D460C4" w:rsidRDefault="00353BDC" w:rsidP="00401306">
            <w:pPr>
              <w:widowControl w:val="0"/>
              <w:suppressAutoHyphens/>
              <w:ind w:left="57" w:right="113"/>
              <w:rPr>
                <w:sz w:val="20"/>
                <w:szCs w:val="20"/>
                <w:lang w:eastAsia="ar-SA"/>
              </w:rPr>
            </w:pPr>
            <w:r w:rsidRPr="00D460C4">
              <w:rPr>
                <w:sz w:val="20"/>
                <w:szCs w:val="20"/>
                <w:lang w:eastAsia="ar-SA"/>
              </w:rPr>
              <w:t xml:space="preserve">Ověřování zprávy o udržitelnosti a poskytování </w:t>
            </w:r>
            <w:proofErr w:type="spellStart"/>
            <w:r w:rsidRPr="00D460C4">
              <w:rPr>
                <w:sz w:val="20"/>
                <w:szCs w:val="20"/>
                <w:lang w:eastAsia="ar-SA"/>
              </w:rPr>
              <w:t>neauditorských</w:t>
            </w:r>
            <w:proofErr w:type="spellEnd"/>
            <w:r w:rsidRPr="00D460C4">
              <w:rPr>
                <w:sz w:val="20"/>
                <w:szCs w:val="20"/>
                <w:lang w:eastAsia="ar-SA"/>
              </w:rPr>
              <w:t xml:space="preserve"> služeb </w:t>
            </w:r>
          </w:p>
          <w:p w14:paraId="6D9810B5" w14:textId="77777777" w:rsidR="00353BDC" w:rsidRPr="00135C5B" w:rsidRDefault="00353BDC" w:rsidP="00401306">
            <w:pPr>
              <w:widowControl w:val="0"/>
              <w:suppressAutoHyphens/>
              <w:ind w:left="57" w:right="113"/>
              <w:rPr>
                <w:sz w:val="20"/>
                <w:szCs w:val="20"/>
                <w:lang w:eastAsia="ar-SA"/>
              </w:rPr>
            </w:pPr>
            <w:r w:rsidRPr="00D460C4">
              <w:rPr>
                <w:sz w:val="20"/>
                <w:szCs w:val="20"/>
                <w:lang w:eastAsia="ar-SA"/>
              </w:rPr>
              <w:t xml:space="preserve">(1) </w:t>
            </w:r>
            <w:r w:rsidRPr="00087D79">
              <w:rPr>
                <w:sz w:val="20"/>
                <w:szCs w:val="20"/>
                <w:lang w:eastAsia="ar-SA"/>
              </w:rPr>
              <w:t xml:space="preserve">Auditor, který ověřuje zprávu o udržitelnosti subjektu veřejného zájmu, nesmí v období počínajícím prvním dnem období, za které je zpráva o udržitelnosti podávána, a dále do vydání zprávy auditora o ověření zprávy o udržitelnosti, poskytovat tomuto subjektu veřejného zájmu, jeho mateřské obchodní korporaci25) se sídlem v České republice a jeho dceřiné obchodní korporaci25) se sídlem v České republice </w:t>
            </w:r>
            <w:proofErr w:type="spellStart"/>
            <w:r w:rsidRPr="00087D79">
              <w:rPr>
                <w:sz w:val="20"/>
                <w:szCs w:val="20"/>
                <w:lang w:eastAsia="ar-SA"/>
              </w:rPr>
              <w:t>neauditorské</w:t>
            </w:r>
            <w:proofErr w:type="spellEnd"/>
            <w:r w:rsidRPr="00087D79">
              <w:rPr>
                <w:sz w:val="20"/>
                <w:szCs w:val="20"/>
                <w:lang w:eastAsia="ar-SA"/>
              </w:rPr>
              <w:t xml:space="preserve"> služby uvedené v čl. 5 odst. 1 druhém pododstavci písm. b), c) a e) až k) nařízení Evropského parlamentu a Rady (EU) č. 537/2014. Auditor, který ověřuje zprávu o udržitelnosti subjektu veřejného zájmu, nesmí poskytovat tomuto subjektu veřejného zájmu, jeho mateřské obchodní korporaci25) se sídlem v České republice a jeho dceřiné obchodní korporaci25) se sídlem v České republice </w:t>
            </w:r>
            <w:proofErr w:type="spellStart"/>
            <w:r w:rsidRPr="00087D79">
              <w:rPr>
                <w:sz w:val="20"/>
                <w:szCs w:val="20"/>
                <w:lang w:eastAsia="ar-SA"/>
              </w:rPr>
              <w:t>neauditorské</w:t>
            </w:r>
            <w:proofErr w:type="spellEnd"/>
            <w:r w:rsidRPr="00087D79">
              <w:rPr>
                <w:sz w:val="20"/>
                <w:szCs w:val="20"/>
                <w:lang w:eastAsia="ar-SA"/>
              </w:rPr>
              <w:t xml:space="preserve"> služby uvedené v čl. 5 odst. 1 druhém pododstavci písm. e) nařízení Evropského parlamentu a Rady (EU) č. 537/2014 také v účetním období bezprostředně předcházejícímu období uvedenému ve větě první.</w:t>
            </w:r>
          </w:p>
        </w:tc>
        <w:tc>
          <w:tcPr>
            <w:tcW w:w="1276" w:type="dxa"/>
            <w:tcBorders>
              <w:top w:val="single" w:sz="4" w:space="0" w:color="auto"/>
              <w:left w:val="single" w:sz="4" w:space="0" w:color="auto"/>
              <w:bottom w:val="single" w:sz="4" w:space="0" w:color="auto"/>
              <w:right w:val="single" w:sz="4" w:space="0" w:color="auto"/>
            </w:tcBorders>
          </w:tcPr>
          <w:p w14:paraId="7DC5F413" w14:textId="77777777" w:rsidR="00353BDC" w:rsidRPr="00806EF6"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2E3174B7" w14:textId="77777777" w:rsidR="00353BDC" w:rsidRPr="001E58E9" w:rsidRDefault="00353BDC" w:rsidP="00401306">
            <w:pPr>
              <w:widowControl w:val="0"/>
              <w:ind w:left="57" w:right="113"/>
              <w:rPr>
                <w:sz w:val="20"/>
                <w:szCs w:val="20"/>
              </w:rPr>
            </w:pPr>
            <w:r>
              <w:rPr>
                <w:sz w:val="20"/>
                <w:szCs w:val="20"/>
              </w:rPr>
              <w:t>Článek 3 odst. 14</w:t>
            </w:r>
          </w:p>
        </w:tc>
        <w:tc>
          <w:tcPr>
            <w:tcW w:w="6663" w:type="dxa"/>
            <w:tcBorders>
              <w:top w:val="single" w:sz="4" w:space="0" w:color="auto"/>
              <w:left w:val="single" w:sz="4" w:space="0" w:color="auto"/>
              <w:bottom w:val="single" w:sz="4" w:space="0" w:color="auto"/>
              <w:right w:val="single" w:sz="4" w:space="0" w:color="auto"/>
            </w:tcBorders>
          </w:tcPr>
          <w:p w14:paraId="3A57550A" w14:textId="77777777" w:rsidR="00353BDC" w:rsidRPr="00087D79" w:rsidRDefault="00353BDC" w:rsidP="00401306">
            <w:pPr>
              <w:widowControl w:val="0"/>
              <w:ind w:left="57" w:right="113"/>
              <w:rPr>
                <w:sz w:val="20"/>
                <w:szCs w:val="20"/>
              </w:rPr>
            </w:pPr>
            <w:r w:rsidRPr="00087D79">
              <w:rPr>
                <w:sz w:val="20"/>
                <w:szCs w:val="20"/>
              </w:rPr>
              <w:t>Článek 25c</w:t>
            </w:r>
          </w:p>
          <w:p w14:paraId="43664231" w14:textId="77777777" w:rsidR="00353BDC" w:rsidRPr="00087D79" w:rsidRDefault="00353BDC" w:rsidP="00401306">
            <w:pPr>
              <w:widowControl w:val="0"/>
              <w:ind w:left="57" w:right="113"/>
              <w:rPr>
                <w:sz w:val="20"/>
                <w:szCs w:val="20"/>
              </w:rPr>
            </w:pPr>
            <w:r w:rsidRPr="00087D79">
              <w:rPr>
                <w:sz w:val="20"/>
                <w:szCs w:val="20"/>
              </w:rPr>
              <w:t xml:space="preserve">Zakázané </w:t>
            </w:r>
            <w:proofErr w:type="spellStart"/>
            <w:r w:rsidRPr="00087D79">
              <w:rPr>
                <w:sz w:val="20"/>
                <w:szCs w:val="20"/>
              </w:rPr>
              <w:t>neauditorské</w:t>
            </w:r>
            <w:proofErr w:type="spellEnd"/>
            <w:r w:rsidRPr="00087D79">
              <w:rPr>
                <w:sz w:val="20"/>
                <w:szCs w:val="20"/>
              </w:rPr>
              <w:t xml:space="preserve"> služby v případech, kdy statutární auditor provádí ověření zprávy o udržitelnosti subjektu veřejného zájmu</w:t>
            </w:r>
          </w:p>
          <w:p w14:paraId="4506184F" w14:textId="77777777" w:rsidR="00353BDC" w:rsidRPr="00087D79" w:rsidRDefault="00353BDC" w:rsidP="00401306">
            <w:pPr>
              <w:widowControl w:val="0"/>
              <w:ind w:left="57" w:right="113"/>
              <w:rPr>
                <w:sz w:val="20"/>
                <w:szCs w:val="20"/>
              </w:rPr>
            </w:pPr>
            <w:r w:rsidRPr="00087D79">
              <w:rPr>
                <w:sz w:val="20"/>
                <w:szCs w:val="20"/>
              </w:rPr>
              <w:t>1.</w:t>
            </w:r>
            <w:r>
              <w:rPr>
                <w:sz w:val="20"/>
                <w:szCs w:val="20"/>
              </w:rPr>
              <w:t xml:space="preserve"> </w:t>
            </w:r>
            <w:r w:rsidRPr="00087D79">
              <w:rPr>
                <w:sz w:val="20"/>
                <w:szCs w:val="20"/>
              </w:rPr>
              <w:t xml:space="preserve">Statutární auditor nebo auditorská společnost provádějící ověření zprávy o udržitelnosti subjektu veřejného zájmu ani žádný člen sítě, do níž daný statutární auditor nebo auditorská společnost patří, nesmí přímo ani nepřímo poskytovat v rámci Unie subjektu veřejného zájmu, jehož zprávy o udržitelnosti jsou ověřovány, jeho mateřskému podniku ani podnikům, které ovládá, zakázané </w:t>
            </w:r>
            <w:proofErr w:type="spellStart"/>
            <w:r w:rsidRPr="00087D79">
              <w:rPr>
                <w:sz w:val="20"/>
                <w:szCs w:val="20"/>
              </w:rPr>
              <w:t>neauditorské</w:t>
            </w:r>
            <w:proofErr w:type="spellEnd"/>
            <w:r w:rsidRPr="00087D79">
              <w:rPr>
                <w:sz w:val="20"/>
                <w:szCs w:val="20"/>
              </w:rPr>
              <w:t xml:space="preserve"> služby uvedené v čl. 5 odst. 1 druhém pododstavci písm. b), c) a e) až k) nařízení (EU) č. 537/2014:</w:t>
            </w:r>
          </w:p>
          <w:p w14:paraId="15DF659E" w14:textId="77777777" w:rsidR="00353BDC" w:rsidRPr="00087D79" w:rsidRDefault="00353BDC" w:rsidP="00401306">
            <w:pPr>
              <w:widowControl w:val="0"/>
              <w:ind w:left="57" w:right="113"/>
              <w:rPr>
                <w:sz w:val="20"/>
                <w:szCs w:val="20"/>
              </w:rPr>
            </w:pPr>
            <w:r w:rsidRPr="00087D79">
              <w:rPr>
                <w:sz w:val="20"/>
                <w:szCs w:val="20"/>
              </w:rPr>
              <w:t>a)</w:t>
            </w:r>
            <w:r>
              <w:rPr>
                <w:sz w:val="20"/>
                <w:szCs w:val="20"/>
              </w:rPr>
              <w:t xml:space="preserve"> </w:t>
            </w:r>
            <w:r w:rsidRPr="00087D79">
              <w:rPr>
                <w:sz w:val="20"/>
                <w:szCs w:val="20"/>
              </w:rPr>
              <w:t>v době od začátku období, které je předmětem ověření zprávy o udržitelnosti, do vydání zprávy o ověření zprávy o udržitelnosti; a</w:t>
            </w:r>
          </w:p>
          <w:p w14:paraId="364A2CD9" w14:textId="77777777" w:rsidR="00353BDC" w:rsidRPr="00087D79" w:rsidRDefault="00353BDC" w:rsidP="00401306">
            <w:pPr>
              <w:widowControl w:val="0"/>
              <w:ind w:left="57" w:right="113"/>
              <w:rPr>
                <w:sz w:val="20"/>
                <w:szCs w:val="20"/>
              </w:rPr>
            </w:pPr>
            <w:r w:rsidRPr="00087D79">
              <w:rPr>
                <w:sz w:val="20"/>
                <w:szCs w:val="20"/>
              </w:rPr>
              <w:t>b)</w:t>
            </w:r>
            <w:r>
              <w:rPr>
                <w:sz w:val="20"/>
                <w:szCs w:val="20"/>
              </w:rPr>
              <w:t xml:space="preserve"> </w:t>
            </w:r>
            <w:r w:rsidRPr="00087D79">
              <w:rPr>
                <w:sz w:val="20"/>
                <w:szCs w:val="20"/>
              </w:rPr>
              <w:t>v účetním období, které bezprostředně předchází době uvedené v písmeni a) tohoto odstavce, pokud jde o služby uvedené v čl. 5 odst. 1 druhém pododstavci písm. e) nařízení (EU) č. 537/2014.</w:t>
            </w:r>
          </w:p>
          <w:p w14:paraId="56A7617D" w14:textId="77777777" w:rsidR="00353BDC" w:rsidRDefault="00353BDC" w:rsidP="00401306">
            <w:pPr>
              <w:widowControl w:val="0"/>
              <w:ind w:left="57" w:right="113"/>
              <w:rPr>
                <w:sz w:val="20"/>
                <w:szCs w:val="20"/>
              </w:rPr>
            </w:pPr>
            <w:r w:rsidRPr="00087D79">
              <w:rPr>
                <w:sz w:val="20"/>
                <w:szCs w:val="20"/>
              </w:rPr>
              <w:t>2.</w:t>
            </w:r>
            <w:r>
              <w:rPr>
                <w:sz w:val="20"/>
                <w:szCs w:val="20"/>
              </w:rPr>
              <w:t xml:space="preserve"> </w:t>
            </w:r>
            <w:r w:rsidRPr="00087D79">
              <w:rPr>
                <w:sz w:val="20"/>
                <w:szCs w:val="20"/>
              </w:rPr>
              <w:t xml:space="preserve">Statutární auditor nebo auditorská společnost provádějící ověřování zpráv o udržitelnosti subjektů veřejného zájmu a jakýkoli člen sítě, do níž daný statutární auditor nebo auditorská společnost případně patří, mohou subjektu veřejného zájmu, jehož zprávy o udržitelnosti jsou ověřovány, jeho mateřskému podniku nebo podnikům, které ovládá, poskytovat jiné </w:t>
            </w:r>
            <w:proofErr w:type="spellStart"/>
            <w:r w:rsidRPr="00087D79">
              <w:rPr>
                <w:sz w:val="20"/>
                <w:szCs w:val="20"/>
              </w:rPr>
              <w:t>neauditorské</w:t>
            </w:r>
            <w:proofErr w:type="spellEnd"/>
            <w:r w:rsidRPr="00087D79">
              <w:rPr>
                <w:sz w:val="20"/>
                <w:szCs w:val="20"/>
              </w:rPr>
              <w:t xml:space="preserve"> služby než zakázané </w:t>
            </w:r>
            <w:proofErr w:type="spellStart"/>
            <w:r w:rsidRPr="00087D79">
              <w:rPr>
                <w:sz w:val="20"/>
                <w:szCs w:val="20"/>
              </w:rPr>
              <w:t>neauditorské</w:t>
            </w:r>
            <w:proofErr w:type="spellEnd"/>
            <w:r w:rsidRPr="00087D79">
              <w:rPr>
                <w:sz w:val="20"/>
                <w:szCs w:val="20"/>
              </w:rPr>
              <w:t xml:space="preserve"> služby uvedené v odstavci 1 tohoto článku nebo případně zakázané </w:t>
            </w:r>
            <w:proofErr w:type="spellStart"/>
            <w:r w:rsidRPr="00087D79">
              <w:rPr>
                <w:sz w:val="20"/>
                <w:szCs w:val="20"/>
              </w:rPr>
              <w:t>neauditorské</w:t>
            </w:r>
            <w:proofErr w:type="spellEnd"/>
            <w:r w:rsidRPr="00087D79">
              <w:rPr>
                <w:sz w:val="20"/>
                <w:szCs w:val="20"/>
              </w:rPr>
              <w:t xml:space="preserve"> služby uvedené v čl. 5 odst. 1 druhém pododstavci nařízení (EU) č. 537/2014 nebo služby, které členské státy považují za služby představující hrozbu pro nezávislost podle čl. 5 odst. 2 uvedeného nařízení, pokud je schválí výbor pro audit poté, co řádně posoudil ohrožení nezávislosti a záruky uplatňované v souladu s článkem 22b této směrnice.</w:t>
            </w:r>
          </w:p>
          <w:p w14:paraId="6E53DE63" w14:textId="77777777" w:rsidR="00353BDC" w:rsidRPr="00087D79" w:rsidRDefault="00353BDC" w:rsidP="00401306">
            <w:pPr>
              <w:widowControl w:val="0"/>
              <w:ind w:left="57" w:right="113"/>
              <w:rPr>
                <w:sz w:val="20"/>
                <w:szCs w:val="20"/>
              </w:rPr>
            </w:pPr>
            <w:r w:rsidRPr="00087D79">
              <w:rPr>
                <w:sz w:val="20"/>
                <w:szCs w:val="20"/>
              </w:rPr>
              <w:t>3.</w:t>
            </w:r>
            <w:r>
              <w:rPr>
                <w:sz w:val="20"/>
                <w:szCs w:val="20"/>
              </w:rPr>
              <w:t xml:space="preserve"> </w:t>
            </w:r>
            <w:r w:rsidRPr="00087D79">
              <w:rPr>
                <w:sz w:val="20"/>
                <w:szCs w:val="20"/>
              </w:rPr>
              <w:t xml:space="preserve">Pokud člen sítě, do níž patří statutární auditor nebo auditorská společnost provádějící ověřování zpráv o udržitelnosti subjektu veřejného zájmu, poskytuje zakázané </w:t>
            </w:r>
            <w:proofErr w:type="spellStart"/>
            <w:r w:rsidRPr="00087D79">
              <w:rPr>
                <w:sz w:val="20"/>
                <w:szCs w:val="20"/>
              </w:rPr>
              <w:t>neauditorské</w:t>
            </w:r>
            <w:proofErr w:type="spellEnd"/>
            <w:r w:rsidRPr="00087D79">
              <w:rPr>
                <w:sz w:val="20"/>
                <w:szCs w:val="20"/>
              </w:rPr>
              <w:t xml:space="preserve"> služby uvedené v odstavci 1 tohoto článku podniku založenému v třetí zemi, jenž je ovládán subjektem veřejného zájmu, jehož zprávy o udržitelnosti jsou ověřovány, dotčený statutární auditor nebo auditorská společnost posoudí, zda by toto poskytování služeb členem sítě neohrozilo jejich nezávislost.</w:t>
            </w:r>
          </w:p>
          <w:p w14:paraId="22875DF9" w14:textId="77777777" w:rsidR="00353BDC" w:rsidRPr="001E58E9" w:rsidRDefault="00353BDC" w:rsidP="00401306">
            <w:pPr>
              <w:widowControl w:val="0"/>
              <w:ind w:left="57" w:right="113"/>
              <w:rPr>
                <w:sz w:val="20"/>
                <w:szCs w:val="20"/>
              </w:rPr>
            </w:pPr>
            <w:r w:rsidRPr="00087D79">
              <w:rPr>
                <w:sz w:val="20"/>
                <w:szCs w:val="20"/>
              </w:rPr>
              <w:t xml:space="preserve">Pokud k dopadu na jejich nezávislost dochází, statutární auditor nebo auditorská společnost přijmou záruky, kterými rizika vyplývající z poskytování zakázaných </w:t>
            </w:r>
            <w:proofErr w:type="spellStart"/>
            <w:r w:rsidRPr="00087D79">
              <w:rPr>
                <w:sz w:val="20"/>
                <w:szCs w:val="20"/>
              </w:rPr>
              <w:t>neauditorských</w:t>
            </w:r>
            <w:proofErr w:type="spellEnd"/>
            <w:r w:rsidRPr="00087D79">
              <w:rPr>
                <w:sz w:val="20"/>
                <w:szCs w:val="20"/>
              </w:rPr>
              <w:t xml:space="preserve"> služeb uvedených v odstavci 1 tohoto článku v třetí zemi omezí. Statutární auditor nebo auditorská společnost mohou pokračovat v ověřování zpráv o udržitelnosti subjektu veřejného zájmu pouze v případě, že mohou v souladu s článkem 22b odůvodnit, že poskytování těchto služeb nemá vliv na jejich profesionální úsudek a na zprávu o ověření zprávy o udržitelnosti.</w:t>
            </w:r>
          </w:p>
        </w:tc>
      </w:tr>
      <w:tr w:rsidR="00353BDC" w:rsidRPr="00675767" w14:paraId="7D082718"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5B1D17B2" w14:textId="77777777" w:rsidR="00353BDC" w:rsidRDefault="00353BDC" w:rsidP="00401306">
            <w:pPr>
              <w:widowControl w:val="0"/>
              <w:suppressAutoHyphens/>
              <w:ind w:left="57" w:right="113"/>
              <w:rPr>
                <w:sz w:val="20"/>
                <w:szCs w:val="20"/>
                <w:lang w:eastAsia="ar-SA"/>
              </w:rPr>
            </w:pPr>
            <w:r>
              <w:rPr>
                <w:sz w:val="20"/>
                <w:szCs w:val="20"/>
                <w:lang w:eastAsia="ar-SA"/>
              </w:rPr>
              <w:t>§ 44a odst. 1 písm. c) a k)</w:t>
            </w:r>
          </w:p>
        </w:tc>
        <w:tc>
          <w:tcPr>
            <w:tcW w:w="3543" w:type="dxa"/>
            <w:tcBorders>
              <w:top w:val="single" w:sz="4" w:space="0" w:color="auto"/>
              <w:left w:val="single" w:sz="4" w:space="0" w:color="auto"/>
              <w:bottom w:val="single" w:sz="4" w:space="0" w:color="auto"/>
              <w:right w:val="single" w:sz="4" w:space="0" w:color="auto"/>
            </w:tcBorders>
          </w:tcPr>
          <w:p w14:paraId="0622FEBB" w14:textId="77777777" w:rsidR="00353BDC" w:rsidRDefault="00353BDC" w:rsidP="00401306">
            <w:pPr>
              <w:widowControl w:val="0"/>
              <w:suppressAutoHyphens/>
              <w:ind w:left="57" w:right="113"/>
              <w:rPr>
                <w:sz w:val="20"/>
                <w:szCs w:val="20"/>
                <w:lang w:eastAsia="ar-SA"/>
              </w:rPr>
            </w:pPr>
            <w:r>
              <w:rPr>
                <w:sz w:val="20"/>
                <w:szCs w:val="20"/>
                <w:lang w:eastAsia="ar-SA"/>
              </w:rPr>
              <w:t xml:space="preserve">c) </w:t>
            </w:r>
            <w:r w:rsidRPr="00B50E09">
              <w:rPr>
                <w:sz w:val="20"/>
                <w:szCs w:val="20"/>
                <w:lang w:eastAsia="ar-SA"/>
              </w:rPr>
              <w:t xml:space="preserve">sleduje postup sestavování účetní závěrky a konsolidované účetní závěrky a postup vyhotovování zprávy o udržitelnosti včetně postupu při určování </w:t>
            </w:r>
            <w:r w:rsidRPr="00B50E09">
              <w:rPr>
                <w:sz w:val="20"/>
                <w:szCs w:val="20"/>
                <w:lang w:eastAsia="ar-SA"/>
              </w:rPr>
              <w:lastRenderedPageBreak/>
              <w:t>informací vykazovaných v souladu se standardy pro podávání zpráv o udržitelnosti přijatými Evropskou komisí a formátování a značkování zprávy o udržitelnosti podle požadavku účetních předpisů a předkládá řídicímu nebo kontrolnímu orgánu doporučení k zajištění integrity systémů účetnictví a finančního výkaznictví a vyhotovování zpráv o udržitelnosti</w:t>
            </w:r>
            <w:r w:rsidRPr="00087D79">
              <w:rPr>
                <w:sz w:val="20"/>
                <w:szCs w:val="20"/>
                <w:lang w:eastAsia="ar-SA"/>
              </w:rPr>
              <w:t>,</w:t>
            </w:r>
          </w:p>
          <w:p w14:paraId="0792F11A" w14:textId="77777777" w:rsidR="00353BDC" w:rsidRDefault="00353BDC" w:rsidP="00401306">
            <w:pPr>
              <w:widowControl w:val="0"/>
              <w:suppressAutoHyphens/>
              <w:ind w:left="57" w:right="113"/>
              <w:rPr>
                <w:sz w:val="20"/>
                <w:szCs w:val="20"/>
                <w:lang w:eastAsia="ar-SA"/>
              </w:rPr>
            </w:pPr>
          </w:p>
          <w:p w14:paraId="2B382985" w14:textId="77777777" w:rsidR="00353BDC" w:rsidRPr="00135C5B" w:rsidRDefault="00353BDC" w:rsidP="00401306">
            <w:pPr>
              <w:widowControl w:val="0"/>
              <w:suppressAutoHyphens/>
              <w:ind w:left="57" w:right="113"/>
              <w:rPr>
                <w:sz w:val="20"/>
                <w:szCs w:val="20"/>
                <w:lang w:eastAsia="ar-SA"/>
              </w:rPr>
            </w:pPr>
            <w:r>
              <w:rPr>
                <w:sz w:val="20"/>
                <w:szCs w:val="20"/>
                <w:lang w:eastAsia="ar-SA"/>
              </w:rPr>
              <w:t xml:space="preserve">k) </w:t>
            </w:r>
            <w:r w:rsidRPr="00087D79">
              <w:rPr>
                <w:sz w:val="20"/>
                <w:szCs w:val="20"/>
                <w:lang w:eastAsia="ar-SA"/>
              </w:rPr>
              <w:t>informuje kontrolní orgán, jakým způsobem povinný audit a ověření zprávy o udržitelnosti přispěly k zajištění integrity systémů účetnictví a finančního výkaznictví a vyhotovování zpráv o udržitelnosti,</w:t>
            </w:r>
          </w:p>
          <w:p w14:paraId="249D9A33" w14:textId="77777777" w:rsidR="00353BDC" w:rsidRPr="00135C5B" w:rsidRDefault="00353BDC" w:rsidP="00401306">
            <w:pPr>
              <w:widowControl w:val="0"/>
              <w:suppressAutoHyphens/>
              <w:ind w:left="57" w:right="113"/>
              <w:rPr>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4D3169EC" w14:textId="77777777" w:rsidR="00353BDC" w:rsidRPr="00806EF6" w:rsidRDefault="00353BDC" w:rsidP="00401306">
            <w:pPr>
              <w:widowControl w:val="0"/>
              <w:ind w:left="57" w:right="113"/>
              <w:rPr>
                <w:sz w:val="20"/>
                <w:szCs w:val="20"/>
              </w:rPr>
            </w:pPr>
            <w:r w:rsidRPr="00806EF6">
              <w:rPr>
                <w:sz w:val="20"/>
                <w:szCs w:val="20"/>
              </w:rPr>
              <w:lastRenderedPageBreak/>
              <w:t>32022L2464</w:t>
            </w:r>
          </w:p>
        </w:tc>
        <w:tc>
          <w:tcPr>
            <w:tcW w:w="1559" w:type="dxa"/>
            <w:tcBorders>
              <w:top w:val="single" w:sz="4" w:space="0" w:color="auto"/>
              <w:left w:val="single" w:sz="4" w:space="0" w:color="auto"/>
              <w:bottom w:val="single" w:sz="4" w:space="0" w:color="auto"/>
              <w:right w:val="single" w:sz="4" w:space="0" w:color="auto"/>
            </w:tcBorders>
          </w:tcPr>
          <w:p w14:paraId="7BB962F0" w14:textId="77777777" w:rsidR="00353BDC" w:rsidRPr="001E58E9" w:rsidRDefault="00353BDC" w:rsidP="00401306">
            <w:pPr>
              <w:widowControl w:val="0"/>
              <w:ind w:left="57" w:right="113"/>
              <w:rPr>
                <w:sz w:val="20"/>
                <w:szCs w:val="20"/>
              </w:rPr>
            </w:pPr>
            <w:r>
              <w:rPr>
                <w:sz w:val="20"/>
                <w:szCs w:val="20"/>
              </w:rPr>
              <w:t>Článek 3 odst. 27 písm. b)</w:t>
            </w:r>
          </w:p>
        </w:tc>
        <w:tc>
          <w:tcPr>
            <w:tcW w:w="6663" w:type="dxa"/>
            <w:tcBorders>
              <w:top w:val="single" w:sz="4" w:space="0" w:color="auto"/>
              <w:left w:val="single" w:sz="4" w:space="0" w:color="auto"/>
              <w:bottom w:val="single" w:sz="4" w:space="0" w:color="auto"/>
              <w:right w:val="single" w:sz="4" w:space="0" w:color="auto"/>
            </w:tcBorders>
          </w:tcPr>
          <w:p w14:paraId="12159A16" w14:textId="77777777" w:rsidR="00353BDC" w:rsidRPr="00B068A8" w:rsidRDefault="00353BDC" w:rsidP="00401306">
            <w:pPr>
              <w:widowControl w:val="0"/>
              <w:ind w:left="57" w:right="113"/>
              <w:rPr>
                <w:sz w:val="20"/>
                <w:szCs w:val="20"/>
              </w:rPr>
            </w:pPr>
            <w:r w:rsidRPr="00B068A8">
              <w:rPr>
                <w:sz w:val="20"/>
                <w:szCs w:val="20"/>
              </w:rPr>
              <w:t>a)</w:t>
            </w:r>
            <w:r>
              <w:rPr>
                <w:sz w:val="20"/>
                <w:szCs w:val="20"/>
              </w:rPr>
              <w:t xml:space="preserve"> </w:t>
            </w:r>
            <w:r w:rsidRPr="00B068A8">
              <w:rPr>
                <w:sz w:val="20"/>
                <w:szCs w:val="20"/>
              </w:rPr>
              <w:t xml:space="preserve">informuje správní nebo dozorčí orgán auditovaného subjektu o výsledku povinného auditu a případně o výsledku ověření zprávy o udržitelnosti a vysvětlí, jakým způsobem povinný audit a ověření zprávy o udržitelnosti přispěly k integritě účetního výkaznictví a podávání zpráv o udržitelnosti a jaká </w:t>
            </w:r>
            <w:r w:rsidRPr="00B068A8">
              <w:rPr>
                <w:sz w:val="20"/>
                <w:szCs w:val="20"/>
              </w:rPr>
              <w:lastRenderedPageBreak/>
              <w:t>byla v tomto procesu role výboru pro audit;</w:t>
            </w:r>
          </w:p>
          <w:p w14:paraId="61C4EC12" w14:textId="77777777" w:rsidR="00353BDC" w:rsidRPr="00B068A8" w:rsidRDefault="00353BDC" w:rsidP="00401306">
            <w:pPr>
              <w:widowControl w:val="0"/>
              <w:ind w:left="57" w:right="113"/>
              <w:rPr>
                <w:sz w:val="20"/>
                <w:szCs w:val="20"/>
              </w:rPr>
            </w:pPr>
            <w:r>
              <w:rPr>
                <w:sz w:val="20"/>
                <w:szCs w:val="20"/>
              </w:rPr>
              <w:t xml:space="preserve">   </w:t>
            </w:r>
            <w:r w:rsidRPr="00B068A8">
              <w:rPr>
                <w:sz w:val="20"/>
                <w:szCs w:val="20"/>
              </w:rPr>
              <w:t>b)</w:t>
            </w:r>
            <w:r>
              <w:rPr>
                <w:sz w:val="20"/>
                <w:szCs w:val="20"/>
              </w:rPr>
              <w:t xml:space="preserve"> </w:t>
            </w:r>
            <w:r w:rsidRPr="00B068A8">
              <w:rPr>
                <w:sz w:val="20"/>
                <w:szCs w:val="20"/>
              </w:rPr>
              <w:t>sleduje postup účetního výkaznictví a případně podávání zpráv o udržitelnosti, včetně podávání zpráv v elektronické podobě podle článku 29d směrnice 2013/34/EU a postupu podniku při určování informací vykazovaných v souladu se standardy pro podávání zpráv o udržitelnosti přijatými podle článku 29b uvedené směrnice, a předkládá doporučení nebo návrhy k zajištění jejich integrity;</w:t>
            </w:r>
          </w:p>
          <w:p w14:paraId="5AA16393" w14:textId="77777777" w:rsidR="00353BDC" w:rsidRPr="00B068A8" w:rsidRDefault="00353BDC" w:rsidP="00401306">
            <w:pPr>
              <w:widowControl w:val="0"/>
              <w:ind w:left="57" w:right="113"/>
              <w:rPr>
                <w:sz w:val="20"/>
                <w:szCs w:val="20"/>
              </w:rPr>
            </w:pPr>
            <w:r>
              <w:rPr>
                <w:sz w:val="20"/>
                <w:szCs w:val="20"/>
              </w:rPr>
              <w:t xml:space="preserve">   </w:t>
            </w:r>
            <w:r w:rsidRPr="00B068A8">
              <w:rPr>
                <w:sz w:val="20"/>
                <w:szCs w:val="20"/>
              </w:rPr>
              <w:t>c)</w:t>
            </w:r>
            <w:r>
              <w:rPr>
                <w:sz w:val="20"/>
                <w:szCs w:val="20"/>
              </w:rPr>
              <w:t xml:space="preserve"> </w:t>
            </w:r>
            <w:r w:rsidRPr="00B068A8">
              <w:rPr>
                <w:sz w:val="20"/>
                <w:szCs w:val="20"/>
              </w:rPr>
              <w:t>sleduje účinnost systémů vnitřní kontroly a systémů řízení rizik podniku a případně jeho vnitřního auditu s ohledem na účetní výkaznictví auditovaného subjektu a případně podávání zpráv o udržitelnosti tímto podnikem, včetně podávání zpráv v elektronické podobě podle článku 29d směrnice 2013/34/EU, aniž by narušil jeho nezávislost;</w:t>
            </w:r>
          </w:p>
          <w:p w14:paraId="7C75F3F6" w14:textId="77777777" w:rsidR="00353BDC" w:rsidRPr="00B068A8" w:rsidRDefault="00353BDC" w:rsidP="00401306">
            <w:pPr>
              <w:widowControl w:val="0"/>
              <w:ind w:left="57" w:right="113"/>
              <w:rPr>
                <w:sz w:val="20"/>
                <w:szCs w:val="20"/>
              </w:rPr>
            </w:pPr>
            <w:r>
              <w:rPr>
                <w:sz w:val="20"/>
                <w:szCs w:val="20"/>
              </w:rPr>
              <w:t xml:space="preserve">   </w:t>
            </w:r>
            <w:r w:rsidRPr="00B068A8">
              <w:rPr>
                <w:sz w:val="20"/>
                <w:szCs w:val="20"/>
              </w:rPr>
              <w:t>d)</w:t>
            </w:r>
            <w:r>
              <w:rPr>
                <w:sz w:val="20"/>
                <w:szCs w:val="20"/>
              </w:rPr>
              <w:t xml:space="preserve"> </w:t>
            </w:r>
            <w:r w:rsidRPr="00B068A8">
              <w:rPr>
                <w:sz w:val="20"/>
                <w:szCs w:val="20"/>
              </w:rPr>
              <w:t>sleduje povinný audit ročních a konsolidovaných účetních závěrek a případně ověřování ročních a konsolidovaných zpráv o udržitelnosti, zejména jejich provádění, přičemž zohledňuje veškerá zjištění a závěry příslušného orgánu podle čl. 26 odst. 6 nařízení (EU) č. 537/2014;</w:t>
            </w:r>
          </w:p>
          <w:p w14:paraId="541D2458" w14:textId="77777777" w:rsidR="00353BDC" w:rsidRPr="001E58E9" w:rsidRDefault="00353BDC" w:rsidP="00401306">
            <w:pPr>
              <w:widowControl w:val="0"/>
              <w:ind w:left="57" w:right="113"/>
              <w:rPr>
                <w:sz w:val="20"/>
                <w:szCs w:val="20"/>
              </w:rPr>
            </w:pPr>
            <w:r>
              <w:rPr>
                <w:sz w:val="20"/>
                <w:szCs w:val="20"/>
              </w:rPr>
              <w:t xml:space="preserve">   </w:t>
            </w:r>
            <w:r w:rsidRPr="00B068A8">
              <w:rPr>
                <w:sz w:val="20"/>
                <w:szCs w:val="20"/>
              </w:rPr>
              <w:t>e)</w:t>
            </w:r>
            <w:r>
              <w:rPr>
                <w:sz w:val="20"/>
                <w:szCs w:val="20"/>
              </w:rPr>
              <w:t xml:space="preserve"> </w:t>
            </w:r>
            <w:r w:rsidRPr="00B068A8">
              <w:rPr>
                <w:sz w:val="20"/>
                <w:szCs w:val="20"/>
              </w:rPr>
              <w:t xml:space="preserve">přezkoumává a sleduje nezávislost statutárních auditorů nebo auditorských společností v souladu s články 22, 22a, 22b, 24a, 24b, 25b, 25c a 25d této směrnice a s článkem 6 nařízení (EU) č. 537/2014, zejména pak vhodnost poskytování </w:t>
            </w:r>
            <w:proofErr w:type="spellStart"/>
            <w:r w:rsidRPr="00B068A8">
              <w:rPr>
                <w:sz w:val="20"/>
                <w:szCs w:val="20"/>
              </w:rPr>
              <w:t>neauditorských</w:t>
            </w:r>
            <w:proofErr w:type="spellEnd"/>
            <w:r w:rsidRPr="00B068A8">
              <w:rPr>
                <w:sz w:val="20"/>
                <w:szCs w:val="20"/>
              </w:rPr>
              <w:t xml:space="preserve"> služeb auditovanému subjektu v souladu s článkem 5 uvedeného nařízení;“.</w:t>
            </w:r>
          </w:p>
        </w:tc>
      </w:tr>
      <w:tr w:rsidR="00353BDC" w:rsidRPr="00675767" w14:paraId="4F057FEA"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3CD0CFD6" w14:textId="77777777" w:rsidR="00353BDC" w:rsidRDefault="00353BDC" w:rsidP="00401306">
            <w:pPr>
              <w:widowControl w:val="0"/>
              <w:suppressAutoHyphens/>
              <w:ind w:left="57" w:right="113"/>
              <w:rPr>
                <w:sz w:val="20"/>
                <w:szCs w:val="20"/>
                <w:lang w:eastAsia="ar-SA"/>
              </w:rPr>
            </w:pPr>
            <w:r>
              <w:rPr>
                <w:sz w:val="20"/>
                <w:szCs w:val="20"/>
                <w:lang w:eastAsia="ar-SA"/>
              </w:rPr>
              <w:lastRenderedPageBreak/>
              <w:t>§ 47 odst. 3 písm. b) a c)</w:t>
            </w:r>
          </w:p>
        </w:tc>
        <w:tc>
          <w:tcPr>
            <w:tcW w:w="3543" w:type="dxa"/>
            <w:tcBorders>
              <w:top w:val="single" w:sz="4" w:space="0" w:color="auto"/>
              <w:left w:val="single" w:sz="4" w:space="0" w:color="auto"/>
              <w:bottom w:val="single" w:sz="4" w:space="0" w:color="auto"/>
              <w:right w:val="single" w:sz="4" w:space="0" w:color="auto"/>
            </w:tcBorders>
          </w:tcPr>
          <w:p w14:paraId="31C211FF" w14:textId="77777777" w:rsidR="00353BDC" w:rsidRPr="00135C5B" w:rsidRDefault="00353BDC" w:rsidP="00401306">
            <w:pPr>
              <w:widowControl w:val="0"/>
              <w:suppressAutoHyphens/>
              <w:ind w:left="57" w:right="113"/>
              <w:rPr>
                <w:sz w:val="20"/>
                <w:szCs w:val="20"/>
                <w:lang w:eastAsia="ar-SA"/>
              </w:rPr>
            </w:pPr>
            <w:r>
              <w:rPr>
                <w:sz w:val="20"/>
                <w:szCs w:val="20"/>
                <w:lang w:eastAsia="ar-SA"/>
              </w:rPr>
              <w:t xml:space="preserve">b) </w:t>
            </w:r>
            <w:r w:rsidRPr="00B068A8">
              <w:rPr>
                <w:sz w:val="20"/>
                <w:szCs w:val="20"/>
                <w:lang w:eastAsia="ar-SA"/>
              </w:rPr>
              <w:t>většina členů jejího řídicího orgánu splňuje v rozsahu významném pro provádění povinného auditu požadavky rovnocenné požadavkům stanoveným v § 4 odst. 1 písm. a) až d) a f) a § 5 odst. 1 písm. h),</w:t>
            </w:r>
            <w:r w:rsidRPr="00D460C4">
              <w:rPr>
                <w:sz w:val="20"/>
                <w:szCs w:val="20"/>
                <w:lang w:eastAsia="ar-SA"/>
              </w:rPr>
              <w:t xml:space="preserve"> </w:t>
            </w:r>
          </w:p>
          <w:p w14:paraId="7D392186" w14:textId="77777777" w:rsidR="00353BDC" w:rsidRDefault="00353BDC" w:rsidP="00401306">
            <w:pPr>
              <w:widowControl w:val="0"/>
              <w:suppressAutoHyphens/>
              <w:ind w:left="57" w:right="113"/>
              <w:rPr>
                <w:sz w:val="20"/>
                <w:szCs w:val="20"/>
                <w:lang w:eastAsia="ar-SA"/>
              </w:rPr>
            </w:pPr>
          </w:p>
          <w:p w14:paraId="13C8133C" w14:textId="77777777" w:rsidR="00353BDC" w:rsidRPr="00135C5B" w:rsidRDefault="00353BDC" w:rsidP="00401306">
            <w:pPr>
              <w:widowControl w:val="0"/>
              <w:suppressAutoHyphens/>
              <w:ind w:left="57" w:right="113"/>
              <w:rPr>
                <w:sz w:val="20"/>
                <w:szCs w:val="20"/>
                <w:lang w:eastAsia="ar-SA"/>
              </w:rPr>
            </w:pPr>
            <w:r>
              <w:rPr>
                <w:sz w:val="20"/>
                <w:szCs w:val="20"/>
                <w:lang w:eastAsia="ar-SA"/>
              </w:rPr>
              <w:t xml:space="preserve">c) </w:t>
            </w:r>
            <w:r w:rsidRPr="00B068A8">
              <w:rPr>
                <w:sz w:val="20"/>
                <w:szCs w:val="20"/>
                <w:lang w:eastAsia="ar-SA"/>
              </w:rPr>
              <w:t>fyzická osoba provádějící pro tuto osobu audit účetní závěrky nebo konsolidované účetní závěrky společnosti ze třetí země splňuje v rozsahu významném pro provádění povinného auditu požadavky rovnocenné požadavkům stanoveným v § 4 odst. 1 písm. a) až d) a f),</w:t>
            </w:r>
          </w:p>
        </w:tc>
        <w:tc>
          <w:tcPr>
            <w:tcW w:w="1276" w:type="dxa"/>
            <w:tcBorders>
              <w:top w:val="single" w:sz="4" w:space="0" w:color="auto"/>
              <w:left w:val="single" w:sz="4" w:space="0" w:color="auto"/>
              <w:bottom w:val="single" w:sz="4" w:space="0" w:color="auto"/>
              <w:right w:val="single" w:sz="4" w:space="0" w:color="auto"/>
            </w:tcBorders>
          </w:tcPr>
          <w:p w14:paraId="7D969A84" w14:textId="77777777" w:rsidR="00353BDC" w:rsidRPr="00806EF6"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15B2C33A" w14:textId="77777777" w:rsidR="00353BDC" w:rsidRPr="001E58E9" w:rsidRDefault="00353BDC" w:rsidP="00401306">
            <w:pPr>
              <w:widowControl w:val="0"/>
              <w:ind w:left="57" w:right="113"/>
              <w:rPr>
                <w:sz w:val="20"/>
                <w:szCs w:val="20"/>
              </w:rPr>
            </w:pPr>
            <w:r>
              <w:rPr>
                <w:sz w:val="20"/>
                <w:szCs w:val="20"/>
              </w:rPr>
              <w:t xml:space="preserve">Článek 3 odst. 28 písm. b) </w:t>
            </w:r>
          </w:p>
        </w:tc>
        <w:tc>
          <w:tcPr>
            <w:tcW w:w="6663" w:type="dxa"/>
            <w:tcBorders>
              <w:top w:val="single" w:sz="4" w:space="0" w:color="auto"/>
              <w:left w:val="single" w:sz="4" w:space="0" w:color="auto"/>
              <w:bottom w:val="single" w:sz="4" w:space="0" w:color="auto"/>
              <w:right w:val="single" w:sz="4" w:space="0" w:color="auto"/>
            </w:tcBorders>
          </w:tcPr>
          <w:p w14:paraId="05F8328F" w14:textId="77777777" w:rsidR="00353BDC" w:rsidRPr="00B068A8" w:rsidRDefault="00353BDC" w:rsidP="00401306">
            <w:pPr>
              <w:widowControl w:val="0"/>
              <w:ind w:left="57" w:right="113"/>
              <w:rPr>
                <w:sz w:val="20"/>
                <w:szCs w:val="20"/>
              </w:rPr>
            </w:pPr>
            <w:r w:rsidRPr="00B068A8">
              <w:rPr>
                <w:sz w:val="20"/>
                <w:szCs w:val="20"/>
              </w:rPr>
              <w:t>4.</w:t>
            </w:r>
            <w:r>
              <w:rPr>
                <w:sz w:val="20"/>
                <w:szCs w:val="20"/>
              </w:rPr>
              <w:t xml:space="preserve"> </w:t>
            </w:r>
            <w:r w:rsidRPr="00B068A8">
              <w:rPr>
                <w:sz w:val="20"/>
                <w:szCs w:val="20"/>
              </w:rPr>
              <w:t>Aniž je dotčen článek 46, nemá zpráva auditora týkající se roční nebo konsolidované účetní závěrky nebo případně zpráva o ověření roční nebo konsolidované zprávy o udržitelnosti podle odstavce 1 tohoto článku, pokud byla vypracována auditory nebo auditorskými subjekty ze třetí země, kteří nejsou zaregistrováni v daném členském státě, v tomto členském státě právní účinky.</w:t>
            </w:r>
          </w:p>
          <w:p w14:paraId="1DB84B0E" w14:textId="77777777" w:rsidR="00353BDC" w:rsidRPr="00B068A8" w:rsidRDefault="00353BDC" w:rsidP="00401306">
            <w:pPr>
              <w:widowControl w:val="0"/>
              <w:ind w:left="57" w:right="113"/>
              <w:rPr>
                <w:sz w:val="20"/>
                <w:szCs w:val="20"/>
              </w:rPr>
            </w:pPr>
            <w:r w:rsidRPr="00B068A8">
              <w:rPr>
                <w:sz w:val="20"/>
                <w:szCs w:val="20"/>
              </w:rPr>
              <w:t>5.</w:t>
            </w:r>
            <w:r>
              <w:rPr>
                <w:sz w:val="20"/>
                <w:szCs w:val="20"/>
              </w:rPr>
              <w:t xml:space="preserve"> </w:t>
            </w:r>
            <w:r w:rsidRPr="00B068A8">
              <w:rPr>
                <w:sz w:val="20"/>
                <w:szCs w:val="20"/>
              </w:rPr>
              <w:t>Členský stát může zaregistrovat pro účely auditu účetní závěrky auditorský subjekt ze třetí země, pouze pokud:</w:t>
            </w:r>
          </w:p>
          <w:p w14:paraId="422406EB" w14:textId="77777777" w:rsidR="00353BDC" w:rsidRPr="00B068A8" w:rsidRDefault="00353BDC" w:rsidP="00401306">
            <w:pPr>
              <w:widowControl w:val="0"/>
              <w:ind w:left="57" w:right="113"/>
              <w:rPr>
                <w:sz w:val="20"/>
                <w:szCs w:val="20"/>
              </w:rPr>
            </w:pPr>
            <w:r>
              <w:rPr>
                <w:sz w:val="20"/>
                <w:szCs w:val="20"/>
              </w:rPr>
              <w:t xml:space="preserve">   </w:t>
            </w:r>
            <w:r w:rsidRPr="00B068A8">
              <w:rPr>
                <w:sz w:val="20"/>
                <w:szCs w:val="20"/>
              </w:rPr>
              <w:t>a)</w:t>
            </w:r>
            <w:r>
              <w:rPr>
                <w:sz w:val="20"/>
                <w:szCs w:val="20"/>
              </w:rPr>
              <w:t xml:space="preserve"> </w:t>
            </w:r>
            <w:r w:rsidRPr="00B068A8">
              <w:rPr>
                <w:sz w:val="20"/>
                <w:szCs w:val="20"/>
              </w:rPr>
              <w:t>většina členů správního nebo řídícího orgánu auditorského subjektu ze třetí země splňuje požadavky rovnocenné požadavkům stanoveným v článcích 4 až 10 s výjimkou čl. 7 odst. 2, čl. 8 odst. 3 a čl. 10 odst. 1 druhého pododstavce;</w:t>
            </w:r>
          </w:p>
          <w:p w14:paraId="7B2A2D00" w14:textId="77777777" w:rsidR="00353BDC" w:rsidRPr="00B068A8" w:rsidRDefault="00353BDC" w:rsidP="00401306">
            <w:pPr>
              <w:widowControl w:val="0"/>
              <w:ind w:left="57" w:right="113"/>
              <w:rPr>
                <w:sz w:val="20"/>
                <w:szCs w:val="20"/>
              </w:rPr>
            </w:pPr>
            <w:r>
              <w:rPr>
                <w:sz w:val="20"/>
                <w:szCs w:val="20"/>
              </w:rPr>
              <w:t xml:space="preserve">   </w:t>
            </w:r>
            <w:r w:rsidRPr="00B068A8">
              <w:rPr>
                <w:sz w:val="20"/>
                <w:szCs w:val="20"/>
              </w:rPr>
              <w:t>b)</w:t>
            </w:r>
            <w:r>
              <w:rPr>
                <w:sz w:val="20"/>
                <w:szCs w:val="20"/>
              </w:rPr>
              <w:t xml:space="preserve"> </w:t>
            </w:r>
            <w:r w:rsidRPr="00B068A8">
              <w:rPr>
                <w:sz w:val="20"/>
                <w:szCs w:val="20"/>
              </w:rPr>
              <w:t>auditor ze třetí země provádějící audit jménem auditorského subjektu ze třetí země splňuje požadavky rovnocenné požadavkům stanoveným v článcích 4 až 10 s výjimkou čl. 7 odst. 2, čl. 8 odst. 3 a čl. 10 odst. 1 druhého pododstavce;</w:t>
            </w:r>
          </w:p>
          <w:p w14:paraId="1C0D4BB8" w14:textId="77777777" w:rsidR="00353BDC" w:rsidRPr="00B068A8" w:rsidRDefault="00353BDC" w:rsidP="00401306">
            <w:pPr>
              <w:widowControl w:val="0"/>
              <w:ind w:left="57" w:right="113"/>
              <w:rPr>
                <w:sz w:val="20"/>
                <w:szCs w:val="20"/>
              </w:rPr>
            </w:pPr>
            <w:r>
              <w:rPr>
                <w:sz w:val="20"/>
                <w:szCs w:val="20"/>
              </w:rPr>
              <w:t xml:space="preserve">   </w:t>
            </w:r>
            <w:r w:rsidRPr="00B068A8">
              <w:rPr>
                <w:sz w:val="20"/>
                <w:szCs w:val="20"/>
              </w:rPr>
              <w:t>c)</w:t>
            </w:r>
            <w:r>
              <w:rPr>
                <w:sz w:val="20"/>
                <w:szCs w:val="20"/>
              </w:rPr>
              <w:t xml:space="preserve"> </w:t>
            </w:r>
            <w:r w:rsidRPr="00B068A8">
              <w:rPr>
                <w:sz w:val="20"/>
                <w:szCs w:val="20"/>
              </w:rPr>
              <w:t>audity roční účetní závěrky nebo konsolidované účetní závěrky uvedené v odstavci 1 tohoto článku jsou prováděny v souladu s mezinárodními auditorskými standardy uvedenými v článku 26 a s požadavky stanovenými v článcích 22, 22b a 25 nebo s rovnocennými standardy a požadavky;</w:t>
            </w:r>
          </w:p>
          <w:p w14:paraId="451E88EB" w14:textId="77777777" w:rsidR="00353BDC" w:rsidRDefault="00353BDC" w:rsidP="00401306">
            <w:pPr>
              <w:widowControl w:val="0"/>
              <w:ind w:left="57" w:right="113"/>
              <w:rPr>
                <w:sz w:val="20"/>
                <w:szCs w:val="20"/>
              </w:rPr>
            </w:pPr>
            <w:r>
              <w:rPr>
                <w:sz w:val="20"/>
                <w:szCs w:val="20"/>
              </w:rPr>
              <w:t xml:space="preserve">   </w:t>
            </w:r>
            <w:r w:rsidRPr="00B068A8">
              <w:rPr>
                <w:sz w:val="20"/>
                <w:szCs w:val="20"/>
              </w:rPr>
              <w:t>d)</w:t>
            </w:r>
            <w:r>
              <w:rPr>
                <w:sz w:val="20"/>
                <w:szCs w:val="20"/>
              </w:rPr>
              <w:t xml:space="preserve"> </w:t>
            </w:r>
            <w:r w:rsidRPr="00B068A8">
              <w:rPr>
                <w:sz w:val="20"/>
                <w:szCs w:val="20"/>
              </w:rPr>
              <w:t>auditorský subjekt ze třetí země zveřejní na své internetové stránce výroční zprávu o transparentnosti, která obsahuje informace uvedené v článku 13 nařízení (EU) č. 537/2014 nebo splňuje rovnocenné požadavky na zveřejnění.</w:t>
            </w:r>
          </w:p>
          <w:p w14:paraId="3F776641" w14:textId="77777777" w:rsidR="00353BDC" w:rsidRDefault="00353BDC" w:rsidP="00401306">
            <w:pPr>
              <w:widowControl w:val="0"/>
              <w:ind w:left="57" w:right="113"/>
              <w:rPr>
                <w:sz w:val="20"/>
                <w:szCs w:val="20"/>
              </w:rPr>
            </w:pPr>
          </w:p>
          <w:p w14:paraId="629A9F02" w14:textId="77777777" w:rsidR="00353BDC" w:rsidRPr="00B068A8" w:rsidRDefault="00353BDC" w:rsidP="00401306">
            <w:pPr>
              <w:widowControl w:val="0"/>
              <w:ind w:left="57" w:right="113"/>
              <w:rPr>
                <w:sz w:val="20"/>
                <w:szCs w:val="20"/>
              </w:rPr>
            </w:pPr>
            <w:r w:rsidRPr="00B068A8">
              <w:rPr>
                <w:sz w:val="20"/>
                <w:szCs w:val="20"/>
              </w:rPr>
              <w:t>Členský stát může zaregistrovat pro účely ověřování zpráv o udržitelnosti auditorský subjekt ze třetí země, pouze pokud:</w:t>
            </w:r>
          </w:p>
          <w:p w14:paraId="60D2EFEF" w14:textId="77777777" w:rsidR="00353BDC" w:rsidRPr="00B068A8" w:rsidRDefault="00353BDC" w:rsidP="00401306">
            <w:pPr>
              <w:widowControl w:val="0"/>
              <w:ind w:left="57" w:right="113"/>
              <w:rPr>
                <w:sz w:val="20"/>
                <w:szCs w:val="20"/>
              </w:rPr>
            </w:pPr>
            <w:r w:rsidRPr="00B068A8">
              <w:rPr>
                <w:sz w:val="20"/>
                <w:szCs w:val="20"/>
              </w:rPr>
              <w:t>a)</w:t>
            </w:r>
            <w:r>
              <w:rPr>
                <w:sz w:val="20"/>
                <w:szCs w:val="20"/>
              </w:rPr>
              <w:t xml:space="preserve"> </w:t>
            </w:r>
            <w:r w:rsidRPr="00B068A8">
              <w:rPr>
                <w:sz w:val="20"/>
                <w:szCs w:val="20"/>
              </w:rPr>
              <w:t>většina členů správního nebo řídícího orgánu auditorského subjektu ze třetí země splňuje požadavky rovnocenné požadavkům stanoveným v článcích 4 až 10;</w:t>
            </w:r>
          </w:p>
          <w:p w14:paraId="174B865C" w14:textId="77777777" w:rsidR="00353BDC" w:rsidRPr="00B068A8" w:rsidRDefault="00353BDC" w:rsidP="00401306">
            <w:pPr>
              <w:widowControl w:val="0"/>
              <w:ind w:left="57" w:right="113"/>
              <w:rPr>
                <w:sz w:val="20"/>
                <w:szCs w:val="20"/>
              </w:rPr>
            </w:pPr>
            <w:r w:rsidRPr="00B068A8">
              <w:rPr>
                <w:sz w:val="20"/>
                <w:szCs w:val="20"/>
              </w:rPr>
              <w:t>b)</w:t>
            </w:r>
            <w:r>
              <w:rPr>
                <w:sz w:val="20"/>
                <w:szCs w:val="20"/>
              </w:rPr>
              <w:t xml:space="preserve"> </w:t>
            </w:r>
            <w:r w:rsidRPr="00B068A8">
              <w:rPr>
                <w:sz w:val="20"/>
                <w:szCs w:val="20"/>
              </w:rPr>
              <w:t>auditor ze třetí země provádějící ověření jménem auditorského subjektu ze třetí země splňuje požadavky rovnocenné požadavkům stanoveným v článcích 4 až 10;</w:t>
            </w:r>
          </w:p>
          <w:p w14:paraId="476E256D" w14:textId="77777777" w:rsidR="00353BDC" w:rsidRPr="00B068A8" w:rsidRDefault="00353BDC" w:rsidP="00401306">
            <w:pPr>
              <w:widowControl w:val="0"/>
              <w:ind w:left="57" w:right="113"/>
              <w:rPr>
                <w:sz w:val="20"/>
                <w:szCs w:val="20"/>
              </w:rPr>
            </w:pPr>
            <w:r w:rsidRPr="00B068A8">
              <w:rPr>
                <w:sz w:val="20"/>
                <w:szCs w:val="20"/>
              </w:rPr>
              <w:t>c)</w:t>
            </w:r>
            <w:r>
              <w:rPr>
                <w:sz w:val="20"/>
                <w:szCs w:val="20"/>
              </w:rPr>
              <w:t xml:space="preserve"> </w:t>
            </w:r>
            <w:r w:rsidRPr="00B068A8">
              <w:rPr>
                <w:sz w:val="20"/>
                <w:szCs w:val="20"/>
              </w:rPr>
              <w:t>ověření roční nebo konsolidované zprávy o udržitelnosti uvedené v odstavci 1 je prováděno v souladu s ověřovacími standardy uvedenými v článku 26a a s požadavky stanovenými v článcích 22, 22b, 25 a 25b nebo s rovnocennými standardy a požadavky;</w:t>
            </w:r>
          </w:p>
          <w:p w14:paraId="679EB4AA" w14:textId="77777777" w:rsidR="00353BDC" w:rsidRDefault="00353BDC" w:rsidP="00401306">
            <w:pPr>
              <w:widowControl w:val="0"/>
              <w:ind w:left="57" w:right="113"/>
              <w:rPr>
                <w:sz w:val="20"/>
                <w:szCs w:val="20"/>
              </w:rPr>
            </w:pPr>
            <w:r w:rsidRPr="00B068A8">
              <w:rPr>
                <w:sz w:val="20"/>
                <w:szCs w:val="20"/>
              </w:rPr>
              <w:t>d)</w:t>
            </w:r>
            <w:r>
              <w:rPr>
                <w:sz w:val="20"/>
                <w:szCs w:val="20"/>
              </w:rPr>
              <w:t xml:space="preserve"> </w:t>
            </w:r>
            <w:r w:rsidRPr="00B068A8">
              <w:rPr>
                <w:sz w:val="20"/>
                <w:szCs w:val="20"/>
              </w:rPr>
              <w:t>auditorský subjekt ze třetí země zveřejní na své internetové stránce výroční zprávu o transparentnosti, která obsahuje informace uvedené v článku 13 nařízení (EU) č. 537/2014 nebo splňuje rovnocenné požadavky na zveřejnění.</w:t>
            </w:r>
          </w:p>
          <w:p w14:paraId="4E85D771" w14:textId="77777777" w:rsidR="00353BDC" w:rsidRDefault="00353BDC" w:rsidP="00401306">
            <w:pPr>
              <w:widowControl w:val="0"/>
              <w:ind w:left="57" w:right="113"/>
              <w:rPr>
                <w:sz w:val="20"/>
                <w:szCs w:val="20"/>
              </w:rPr>
            </w:pPr>
          </w:p>
          <w:p w14:paraId="7FA6E349" w14:textId="77777777" w:rsidR="00353BDC" w:rsidRPr="00B068A8" w:rsidRDefault="00353BDC" w:rsidP="00401306">
            <w:pPr>
              <w:widowControl w:val="0"/>
              <w:ind w:left="57" w:right="113"/>
              <w:rPr>
                <w:sz w:val="20"/>
                <w:szCs w:val="20"/>
              </w:rPr>
            </w:pPr>
            <w:r w:rsidRPr="00B068A8">
              <w:rPr>
                <w:sz w:val="20"/>
                <w:szCs w:val="20"/>
              </w:rPr>
              <w:t>5a.Členský stát může zaregistrovat pro účely auditu účetní závěrky auditora ze třetí země, pouze pokud auditor splňuje požadavky stanovené v odst. 5 prvním pododstavci písm. b), c) a d) tohoto článku.</w:t>
            </w:r>
          </w:p>
          <w:p w14:paraId="406A7489" w14:textId="77777777" w:rsidR="00353BDC" w:rsidRPr="001E58E9" w:rsidRDefault="00353BDC" w:rsidP="00401306">
            <w:pPr>
              <w:widowControl w:val="0"/>
              <w:ind w:left="57" w:right="113"/>
              <w:rPr>
                <w:sz w:val="20"/>
                <w:szCs w:val="20"/>
              </w:rPr>
            </w:pPr>
            <w:r w:rsidRPr="00B068A8">
              <w:rPr>
                <w:sz w:val="20"/>
                <w:szCs w:val="20"/>
              </w:rPr>
              <w:t>Členský stát může zaregistrovat pro účely ověřování zpráv o udržitelnosti auditora ze třetí země, pouze pokud auditor splňuje požadavky stanovené v odst. 5 druhém pododstavci písm. b), c) a d) tohoto článku.</w:t>
            </w:r>
          </w:p>
        </w:tc>
      </w:tr>
      <w:tr w:rsidR="00353BDC" w:rsidRPr="00675767" w14:paraId="3A45A012"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21090D2D" w14:textId="77777777" w:rsidR="00353BDC" w:rsidRDefault="00353BDC" w:rsidP="00401306">
            <w:pPr>
              <w:widowControl w:val="0"/>
              <w:suppressAutoHyphens/>
              <w:ind w:left="57" w:right="113"/>
              <w:rPr>
                <w:sz w:val="20"/>
                <w:szCs w:val="20"/>
                <w:lang w:eastAsia="ar-SA"/>
              </w:rPr>
            </w:pPr>
            <w:r>
              <w:rPr>
                <w:sz w:val="20"/>
                <w:szCs w:val="20"/>
                <w:lang w:eastAsia="ar-SA"/>
              </w:rPr>
              <w:lastRenderedPageBreak/>
              <w:t>§ 48 odst. 1</w:t>
            </w:r>
          </w:p>
        </w:tc>
        <w:tc>
          <w:tcPr>
            <w:tcW w:w="3543" w:type="dxa"/>
            <w:tcBorders>
              <w:top w:val="single" w:sz="4" w:space="0" w:color="auto"/>
              <w:left w:val="single" w:sz="4" w:space="0" w:color="auto"/>
              <w:bottom w:val="single" w:sz="4" w:space="0" w:color="auto"/>
              <w:right w:val="single" w:sz="4" w:space="0" w:color="auto"/>
            </w:tcBorders>
          </w:tcPr>
          <w:p w14:paraId="734B30AA" w14:textId="77777777" w:rsidR="00353BDC" w:rsidRPr="00B068A8" w:rsidRDefault="00353BDC" w:rsidP="00401306">
            <w:pPr>
              <w:widowControl w:val="0"/>
              <w:suppressAutoHyphens/>
              <w:ind w:left="57" w:right="113"/>
              <w:rPr>
                <w:sz w:val="20"/>
                <w:szCs w:val="20"/>
                <w:lang w:eastAsia="ar-SA"/>
              </w:rPr>
            </w:pPr>
            <w:r>
              <w:rPr>
                <w:sz w:val="20"/>
                <w:szCs w:val="20"/>
                <w:lang w:eastAsia="ar-SA"/>
              </w:rPr>
              <w:t xml:space="preserve">(1) </w:t>
            </w:r>
            <w:r w:rsidRPr="00C6553A">
              <w:rPr>
                <w:sz w:val="20"/>
                <w:szCs w:val="20"/>
                <w:lang w:eastAsia="ar-SA"/>
              </w:rPr>
              <w:t>Postup uvedený v § 47 odst. 1 až 3 a 47a odst. 1 až 3 nemusí být použit v případě, že osoby podle § 47 odst. 1 a § 47a odst. 1 podléhají systémům veřejného dohledu, zajištění kvality a sankcí ve třetí zemi, které splňují požadavky rovnocenné požadavkům podle § 24, 25 a hlav VI a XI.</w:t>
            </w:r>
          </w:p>
        </w:tc>
        <w:tc>
          <w:tcPr>
            <w:tcW w:w="1276" w:type="dxa"/>
            <w:tcBorders>
              <w:top w:val="single" w:sz="4" w:space="0" w:color="auto"/>
              <w:left w:val="single" w:sz="4" w:space="0" w:color="auto"/>
              <w:bottom w:val="single" w:sz="4" w:space="0" w:color="auto"/>
              <w:right w:val="single" w:sz="4" w:space="0" w:color="auto"/>
            </w:tcBorders>
          </w:tcPr>
          <w:p w14:paraId="2696E83D" w14:textId="77777777" w:rsidR="00353BDC" w:rsidRPr="00806EF6"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06583704" w14:textId="77777777" w:rsidR="00353BDC" w:rsidRDefault="00353BDC" w:rsidP="00401306">
            <w:pPr>
              <w:widowControl w:val="0"/>
              <w:ind w:left="57" w:right="113"/>
              <w:rPr>
                <w:sz w:val="20"/>
                <w:szCs w:val="20"/>
              </w:rPr>
            </w:pPr>
            <w:r>
              <w:rPr>
                <w:sz w:val="20"/>
                <w:szCs w:val="20"/>
              </w:rPr>
              <w:t xml:space="preserve">Článek 3 odst. 28 písm. b) </w:t>
            </w:r>
          </w:p>
        </w:tc>
        <w:tc>
          <w:tcPr>
            <w:tcW w:w="6663" w:type="dxa"/>
            <w:tcBorders>
              <w:top w:val="single" w:sz="4" w:space="0" w:color="auto"/>
              <w:left w:val="single" w:sz="4" w:space="0" w:color="auto"/>
              <w:bottom w:val="single" w:sz="4" w:space="0" w:color="auto"/>
              <w:right w:val="single" w:sz="4" w:space="0" w:color="auto"/>
            </w:tcBorders>
          </w:tcPr>
          <w:p w14:paraId="0143598B" w14:textId="77777777" w:rsidR="00353BDC" w:rsidRPr="00B068A8" w:rsidRDefault="00353BDC" w:rsidP="00401306">
            <w:pPr>
              <w:widowControl w:val="0"/>
              <w:ind w:left="57" w:right="113"/>
              <w:rPr>
                <w:sz w:val="20"/>
                <w:szCs w:val="20"/>
              </w:rPr>
            </w:pPr>
            <w:r w:rsidRPr="00B068A8">
              <w:rPr>
                <w:sz w:val="20"/>
                <w:szCs w:val="20"/>
              </w:rPr>
              <w:t>4.</w:t>
            </w:r>
            <w:r>
              <w:rPr>
                <w:sz w:val="20"/>
                <w:szCs w:val="20"/>
              </w:rPr>
              <w:t xml:space="preserve"> </w:t>
            </w:r>
            <w:r w:rsidRPr="00B068A8">
              <w:rPr>
                <w:sz w:val="20"/>
                <w:szCs w:val="20"/>
              </w:rPr>
              <w:t>Aniž je dotčen článek 46, nemá zpráva auditora týkající se roční nebo konsolidované účetní závěrky nebo případně zpráva o ověření roční nebo konsolidované zprávy o udržitelnosti podle odstavce 1 tohoto článku, pokud byla vypracována auditory nebo auditorskými subjekty ze třetí země, kteří nejsou zaregistrováni v daném členském státě, v tomto členském státě právní účinky.</w:t>
            </w:r>
          </w:p>
          <w:p w14:paraId="0FCEC8BF" w14:textId="77777777" w:rsidR="00353BDC" w:rsidRPr="00B068A8" w:rsidRDefault="00353BDC" w:rsidP="00401306">
            <w:pPr>
              <w:widowControl w:val="0"/>
              <w:ind w:left="57" w:right="113"/>
              <w:rPr>
                <w:sz w:val="20"/>
                <w:szCs w:val="20"/>
              </w:rPr>
            </w:pPr>
            <w:r w:rsidRPr="00B068A8">
              <w:rPr>
                <w:sz w:val="20"/>
                <w:szCs w:val="20"/>
              </w:rPr>
              <w:t>5.</w:t>
            </w:r>
            <w:r>
              <w:rPr>
                <w:sz w:val="20"/>
                <w:szCs w:val="20"/>
              </w:rPr>
              <w:t xml:space="preserve"> </w:t>
            </w:r>
            <w:r w:rsidRPr="00B068A8">
              <w:rPr>
                <w:sz w:val="20"/>
                <w:szCs w:val="20"/>
              </w:rPr>
              <w:t>Členský stát může zaregistrovat pro účely auditu účetní závěrky auditorský subjekt ze třetí země, pouze pokud:</w:t>
            </w:r>
          </w:p>
          <w:p w14:paraId="0AF7F10D" w14:textId="77777777" w:rsidR="00353BDC" w:rsidRPr="00B068A8" w:rsidRDefault="00353BDC" w:rsidP="00401306">
            <w:pPr>
              <w:widowControl w:val="0"/>
              <w:ind w:left="57" w:right="113"/>
              <w:rPr>
                <w:sz w:val="20"/>
                <w:szCs w:val="20"/>
              </w:rPr>
            </w:pPr>
            <w:r>
              <w:rPr>
                <w:sz w:val="20"/>
                <w:szCs w:val="20"/>
              </w:rPr>
              <w:t xml:space="preserve">   </w:t>
            </w:r>
            <w:r w:rsidRPr="00B068A8">
              <w:rPr>
                <w:sz w:val="20"/>
                <w:szCs w:val="20"/>
              </w:rPr>
              <w:t>a)</w:t>
            </w:r>
            <w:r>
              <w:rPr>
                <w:sz w:val="20"/>
                <w:szCs w:val="20"/>
              </w:rPr>
              <w:t xml:space="preserve"> </w:t>
            </w:r>
            <w:r w:rsidRPr="00B068A8">
              <w:rPr>
                <w:sz w:val="20"/>
                <w:szCs w:val="20"/>
              </w:rPr>
              <w:t>většina členů správního nebo řídícího orgánu auditorského subjektu ze třetí země splňuje požadavky rovnocenné požadavkům stanoveným v článcích 4 až 10 s výjimkou čl. 7 odst. 2, čl. 8 odst. 3 a čl. 10 odst. 1 druhého pododstavce;</w:t>
            </w:r>
          </w:p>
          <w:p w14:paraId="64E73E66" w14:textId="77777777" w:rsidR="00353BDC" w:rsidRPr="00B068A8" w:rsidRDefault="00353BDC" w:rsidP="00401306">
            <w:pPr>
              <w:widowControl w:val="0"/>
              <w:ind w:left="57" w:right="113"/>
              <w:rPr>
                <w:sz w:val="20"/>
                <w:szCs w:val="20"/>
              </w:rPr>
            </w:pPr>
            <w:r>
              <w:rPr>
                <w:sz w:val="20"/>
                <w:szCs w:val="20"/>
              </w:rPr>
              <w:t xml:space="preserve">   </w:t>
            </w:r>
            <w:r w:rsidRPr="00B068A8">
              <w:rPr>
                <w:sz w:val="20"/>
                <w:szCs w:val="20"/>
              </w:rPr>
              <w:t>b)</w:t>
            </w:r>
            <w:r>
              <w:rPr>
                <w:sz w:val="20"/>
                <w:szCs w:val="20"/>
              </w:rPr>
              <w:t xml:space="preserve"> </w:t>
            </w:r>
            <w:r w:rsidRPr="00B068A8">
              <w:rPr>
                <w:sz w:val="20"/>
                <w:szCs w:val="20"/>
              </w:rPr>
              <w:t>auditor ze třetí země provádějící audit jménem auditorského subjektu ze třetí země splňuje požadavky rovnocenné požadavkům stanoveným v článcích 4 až 10 s výjimkou čl. 7 odst. 2, čl. 8 odst. 3 a čl. 10 odst. 1 druhého pododstavce;</w:t>
            </w:r>
          </w:p>
          <w:p w14:paraId="1651B9DE" w14:textId="77777777" w:rsidR="00353BDC" w:rsidRPr="00B068A8" w:rsidRDefault="00353BDC" w:rsidP="00401306">
            <w:pPr>
              <w:widowControl w:val="0"/>
              <w:ind w:left="57" w:right="113"/>
              <w:rPr>
                <w:sz w:val="20"/>
                <w:szCs w:val="20"/>
              </w:rPr>
            </w:pPr>
            <w:r>
              <w:rPr>
                <w:sz w:val="20"/>
                <w:szCs w:val="20"/>
              </w:rPr>
              <w:t xml:space="preserve">   </w:t>
            </w:r>
            <w:r w:rsidRPr="00B068A8">
              <w:rPr>
                <w:sz w:val="20"/>
                <w:szCs w:val="20"/>
              </w:rPr>
              <w:t>c)</w:t>
            </w:r>
            <w:r>
              <w:rPr>
                <w:sz w:val="20"/>
                <w:szCs w:val="20"/>
              </w:rPr>
              <w:t xml:space="preserve"> </w:t>
            </w:r>
            <w:r w:rsidRPr="00B068A8">
              <w:rPr>
                <w:sz w:val="20"/>
                <w:szCs w:val="20"/>
              </w:rPr>
              <w:t>audity roční účetní závěrky nebo konsolidované účetní závěrky uvedené v odstavci 1 tohoto článku jsou prováděny v souladu s mezinárodními auditorskými standardy uvedenými v článku 26 a s požadavky stanovenými v článcích 22, 22b a 25 nebo s rovnocennými standardy a požadavky;</w:t>
            </w:r>
          </w:p>
          <w:p w14:paraId="58543D88" w14:textId="77777777" w:rsidR="00353BDC" w:rsidRDefault="00353BDC" w:rsidP="00401306">
            <w:pPr>
              <w:widowControl w:val="0"/>
              <w:ind w:left="57" w:right="113"/>
              <w:rPr>
                <w:sz w:val="20"/>
                <w:szCs w:val="20"/>
              </w:rPr>
            </w:pPr>
            <w:r>
              <w:rPr>
                <w:sz w:val="20"/>
                <w:szCs w:val="20"/>
              </w:rPr>
              <w:t xml:space="preserve">   </w:t>
            </w:r>
            <w:r w:rsidRPr="00B068A8">
              <w:rPr>
                <w:sz w:val="20"/>
                <w:szCs w:val="20"/>
              </w:rPr>
              <w:t>d)</w:t>
            </w:r>
            <w:r>
              <w:rPr>
                <w:sz w:val="20"/>
                <w:szCs w:val="20"/>
              </w:rPr>
              <w:t xml:space="preserve"> </w:t>
            </w:r>
            <w:r w:rsidRPr="00B068A8">
              <w:rPr>
                <w:sz w:val="20"/>
                <w:szCs w:val="20"/>
              </w:rPr>
              <w:t>auditorský subjekt ze třetí země zveřejní na své internetové stránce výroční zprávu o transparentnosti, která obsahuje informace uvedené v článku 13 nařízení (EU) č. 537/2014 nebo splňuje rovnocenné požadavky na zveřejnění.</w:t>
            </w:r>
          </w:p>
          <w:p w14:paraId="32C979FA" w14:textId="77777777" w:rsidR="00353BDC" w:rsidRDefault="00353BDC" w:rsidP="00401306">
            <w:pPr>
              <w:widowControl w:val="0"/>
              <w:ind w:left="57" w:right="113"/>
              <w:rPr>
                <w:sz w:val="20"/>
                <w:szCs w:val="20"/>
              </w:rPr>
            </w:pPr>
          </w:p>
          <w:p w14:paraId="7659310D" w14:textId="77777777" w:rsidR="00353BDC" w:rsidRPr="00B068A8" w:rsidRDefault="00353BDC" w:rsidP="00401306">
            <w:pPr>
              <w:widowControl w:val="0"/>
              <w:ind w:left="57" w:right="113"/>
              <w:rPr>
                <w:sz w:val="20"/>
                <w:szCs w:val="20"/>
              </w:rPr>
            </w:pPr>
            <w:r w:rsidRPr="00B068A8">
              <w:rPr>
                <w:sz w:val="20"/>
                <w:szCs w:val="20"/>
              </w:rPr>
              <w:t>Členský stát může zaregistrovat pro účely ověřování zpráv o udržitelnosti auditorský subjekt ze třetí země, pouze pokud:</w:t>
            </w:r>
          </w:p>
          <w:p w14:paraId="56BBB9A1" w14:textId="77777777" w:rsidR="00353BDC" w:rsidRPr="00B068A8" w:rsidRDefault="00353BDC" w:rsidP="00401306">
            <w:pPr>
              <w:widowControl w:val="0"/>
              <w:ind w:left="57" w:right="113"/>
              <w:rPr>
                <w:sz w:val="20"/>
                <w:szCs w:val="20"/>
              </w:rPr>
            </w:pPr>
            <w:r w:rsidRPr="00B068A8">
              <w:rPr>
                <w:sz w:val="20"/>
                <w:szCs w:val="20"/>
              </w:rPr>
              <w:t>a)</w:t>
            </w:r>
            <w:r>
              <w:rPr>
                <w:sz w:val="20"/>
                <w:szCs w:val="20"/>
              </w:rPr>
              <w:t xml:space="preserve"> </w:t>
            </w:r>
            <w:r w:rsidRPr="00B068A8">
              <w:rPr>
                <w:sz w:val="20"/>
                <w:szCs w:val="20"/>
              </w:rPr>
              <w:t>většina členů správního nebo řídícího orgánu auditorského subjektu ze třetí země splňuje požadavky rovnocenné požadavkům stanoveným v článcích 4 až 10;</w:t>
            </w:r>
          </w:p>
          <w:p w14:paraId="7ACD43B4" w14:textId="77777777" w:rsidR="00353BDC" w:rsidRPr="00B068A8" w:rsidRDefault="00353BDC" w:rsidP="00401306">
            <w:pPr>
              <w:widowControl w:val="0"/>
              <w:ind w:left="57" w:right="113"/>
              <w:rPr>
                <w:sz w:val="20"/>
                <w:szCs w:val="20"/>
              </w:rPr>
            </w:pPr>
            <w:r w:rsidRPr="00B068A8">
              <w:rPr>
                <w:sz w:val="20"/>
                <w:szCs w:val="20"/>
              </w:rPr>
              <w:t>b)</w:t>
            </w:r>
            <w:r>
              <w:rPr>
                <w:sz w:val="20"/>
                <w:szCs w:val="20"/>
              </w:rPr>
              <w:t xml:space="preserve"> </w:t>
            </w:r>
            <w:r w:rsidRPr="00B068A8">
              <w:rPr>
                <w:sz w:val="20"/>
                <w:szCs w:val="20"/>
              </w:rPr>
              <w:t>auditor ze třetí země provádějící ověření jménem auditorského subjektu ze třetí země splňuje požadavky rovnocenné požadavkům stanoveným v článcích 4 až 10;</w:t>
            </w:r>
          </w:p>
          <w:p w14:paraId="2FAB5803" w14:textId="77777777" w:rsidR="00353BDC" w:rsidRPr="00B068A8" w:rsidRDefault="00353BDC" w:rsidP="00401306">
            <w:pPr>
              <w:widowControl w:val="0"/>
              <w:ind w:left="57" w:right="113"/>
              <w:rPr>
                <w:sz w:val="20"/>
                <w:szCs w:val="20"/>
              </w:rPr>
            </w:pPr>
            <w:r w:rsidRPr="00B068A8">
              <w:rPr>
                <w:sz w:val="20"/>
                <w:szCs w:val="20"/>
              </w:rPr>
              <w:t>c)</w:t>
            </w:r>
            <w:r>
              <w:rPr>
                <w:sz w:val="20"/>
                <w:szCs w:val="20"/>
              </w:rPr>
              <w:t xml:space="preserve"> </w:t>
            </w:r>
            <w:r w:rsidRPr="00B068A8">
              <w:rPr>
                <w:sz w:val="20"/>
                <w:szCs w:val="20"/>
              </w:rPr>
              <w:t>ověření roční nebo konsolidované zprávy o udržitelnosti uvedené v odstavci 1 je prováděno v souladu s ověřovacími standardy uvedenými v článku 26a a s požadavky stanovenými v článcích 22, 22b, 25 a 25b nebo s rovnocennými standardy a požadavky;</w:t>
            </w:r>
          </w:p>
          <w:p w14:paraId="5B5C3C3C" w14:textId="77777777" w:rsidR="00353BDC" w:rsidRDefault="00353BDC" w:rsidP="00401306">
            <w:pPr>
              <w:widowControl w:val="0"/>
              <w:ind w:left="57" w:right="113"/>
              <w:rPr>
                <w:sz w:val="20"/>
                <w:szCs w:val="20"/>
              </w:rPr>
            </w:pPr>
            <w:r w:rsidRPr="00B068A8">
              <w:rPr>
                <w:sz w:val="20"/>
                <w:szCs w:val="20"/>
              </w:rPr>
              <w:t>d)</w:t>
            </w:r>
            <w:r>
              <w:rPr>
                <w:sz w:val="20"/>
                <w:szCs w:val="20"/>
              </w:rPr>
              <w:t xml:space="preserve"> </w:t>
            </w:r>
            <w:r w:rsidRPr="00B068A8">
              <w:rPr>
                <w:sz w:val="20"/>
                <w:szCs w:val="20"/>
              </w:rPr>
              <w:t>auditorský subjekt ze třetí země zveřejní na své internetové stránce výroční zprávu o transparentnosti, která obsahuje informace uvedené v článku 13 nařízení (EU) č. 537/2014 nebo splňuje rovnocenné požadavky na zveřejnění.</w:t>
            </w:r>
          </w:p>
          <w:p w14:paraId="7C7FBF22" w14:textId="77777777" w:rsidR="00353BDC" w:rsidRDefault="00353BDC" w:rsidP="00401306">
            <w:pPr>
              <w:widowControl w:val="0"/>
              <w:ind w:left="57" w:right="113"/>
              <w:rPr>
                <w:sz w:val="20"/>
                <w:szCs w:val="20"/>
              </w:rPr>
            </w:pPr>
          </w:p>
          <w:p w14:paraId="4BD4666C" w14:textId="77777777" w:rsidR="00353BDC" w:rsidRPr="00B068A8" w:rsidRDefault="00353BDC" w:rsidP="00401306">
            <w:pPr>
              <w:widowControl w:val="0"/>
              <w:ind w:left="57" w:right="113"/>
              <w:rPr>
                <w:sz w:val="20"/>
                <w:szCs w:val="20"/>
              </w:rPr>
            </w:pPr>
            <w:r w:rsidRPr="00B068A8">
              <w:rPr>
                <w:sz w:val="20"/>
                <w:szCs w:val="20"/>
              </w:rPr>
              <w:t>5a.Členský stát může zaregistrovat pro účely auditu účetní závěrky auditora ze třetí země, pouze pokud auditor splňuje požadavky stanovené v odst. 5 prvním pododstavci písm. b), c) a d) tohoto článku.</w:t>
            </w:r>
          </w:p>
          <w:p w14:paraId="2E6A2CCE" w14:textId="77777777" w:rsidR="00353BDC" w:rsidRPr="00B068A8" w:rsidRDefault="00353BDC" w:rsidP="00401306">
            <w:pPr>
              <w:widowControl w:val="0"/>
              <w:ind w:left="57" w:right="113"/>
              <w:rPr>
                <w:sz w:val="20"/>
                <w:szCs w:val="20"/>
              </w:rPr>
            </w:pPr>
            <w:r w:rsidRPr="00B068A8">
              <w:rPr>
                <w:sz w:val="20"/>
                <w:szCs w:val="20"/>
              </w:rPr>
              <w:t>Členský stát může zaregistrovat pro účely ověřování zpráv o udržitelnosti auditora ze třetí země, pouze pokud auditor splňuje požadavky stanovené v odst. 5 druhém pododstavci písm. b), c) a d) tohoto článku.</w:t>
            </w:r>
          </w:p>
        </w:tc>
      </w:tr>
      <w:tr w:rsidR="00353BDC" w:rsidRPr="00675767" w14:paraId="54A58847"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1C1AA616" w14:textId="77777777" w:rsidR="00353BDC" w:rsidRDefault="00353BDC" w:rsidP="00401306">
            <w:pPr>
              <w:widowControl w:val="0"/>
              <w:suppressAutoHyphens/>
              <w:ind w:left="57" w:right="113"/>
              <w:rPr>
                <w:sz w:val="20"/>
                <w:szCs w:val="20"/>
                <w:lang w:eastAsia="ar-SA"/>
              </w:rPr>
            </w:pPr>
            <w:r>
              <w:rPr>
                <w:sz w:val="20"/>
                <w:szCs w:val="20"/>
                <w:lang w:eastAsia="ar-SA"/>
              </w:rPr>
              <w:lastRenderedPageBreak/>
              <w:t>§ 49b odst. 1 písm. a) a odst. 3</w:t>
            </w:r>
          </w:p>
        </w:tc>
        <w:tc>
          <w:tcPr>
            <w:tcW w:w="3543" w:type="dxa"/>
            <w:tcBorders>
              <w:top w:val="single" w:sz="4" w:space="0" w:color="auto"/>
              <w:left w:val="single" w:sz="4" w:space="0" w:color="auto"/>
              <w:bottom w:val="single" w:sz="4" w:space="0" w:color="auto"/>
              <w:right w:val="single" w:sz="4" w:space="0" w:color="auto"/>
            </w:tcBorders>
          </w:tcPr>
          <w:p w14:paraId="456261C6" w14:textId="77777777" w:rsidR="00353BDC" w:rsidRPr="000E18E3" w:rsidRDefault="00353BDC" w:rsidP="00401306">
            <w:pPr>
              <w:widowControl w:val="0"/>
              <w:suppressAutoHyphens/>
              <w:ind w:left="57" w:right="113"/>
              <w:rPr>
                <w:sz w:val="20"/>
                <w:szCs w:val="20"/>
                <w:lang w:eastAsia="ar-SA"/>
              </w:rPr>
            </w:pPr>
            <w:r w:rsidRPr="000E18E3">
              <w:rPr>
                <w:sz w:val="20"/>
                <w:szCs w:val="20"/>
                <w:lang w:eastAsia="ar-SA"/>
              </w:rPr>
              <w:t>(1) Statutární auditor vykonávající auditorskou činnost vlastním jménem a na vlastní účet nebo auditorská společnost se dopustí přestupku tím, že</w:t>
            </w:r>
          </w:p>
          <w:p w14:paraId="6A4DC337" w14:textId="77777777" w:rsidR="00353BDC" w:rsidRDefault="00353BDC" w:rsidP="00401306">
            <w:pPr>
              <w:widowControl w:val="0"/>
              <w:suppressAutoHyphens/>
              <w:ind w:left="57" w:right="113"/>
              <w:rPr>
                <w:sz w:val="20"/>
                <w:szCs w:val="20"/>
                <w:lang w:eastAsia="ar-SA"/>
              </w:rPr>
            </w:pPr>
            <w:r>
              <w:rPr>
                <w:sz w:val="20"/>
                <w:szCs w:val="20"/>
                <w:lang w:eastAsia="ar-SA"/>
              </w:rPr>
              <w:t xml:space="preserve">a) </w:t>
            </w:r>
            <w:r w:rsidRPr="000E18E3">
              <w:rPr>
                <w:sz w:val="20"/>
                <w:szCs w:val="20"/>
                <w:lang w:eastAsia="ar-SA"/>
              </w:rPr>
              <w:t>požaduje nebo přijme od subjektu veřejného zájmu odměnu za provedení povinného auditu nebo ověření zprávy o udržitelnosti, která je v rozporu s § 16,</w:t>
            </w:r>
          </w:p>
          <w:p w14:paraId="44471076" w14:textId="77777777" w:rsidR="00353BDC" w:rsidRDefault="00353BDC" w:rsidP="00401306">
            <w:pPr>
              <w:widowControl w:val="0"/>
              <w:suppressAutoHyphens/>
              <w:ind w:left="57" w:right="113"/>
              <w:rPr>
                <w:sz w:val="20"/>
                <w:szCs w:val="20"/>
                <w:lang w:eastAsia="ar-SA"/>
              </w:rPr>
            </w:pPr>
          </w:p>
          <w:p w14:paraId="754F65E4" w14:textId="77777777" w:rsidR="00353BDC" w:rsidRDefault="00353BDC" w:rsidP="00401306">
            <w:pPr>
              <w:widowControl w:val="0"/>
              <w:suppressAutoHyphens/>
              <w:ind w:left="57" w:right="113"/>
              <w:rPr>
                <w:sz w:val="20"/>
                <w:szCs w:val="20"/>
                <w:lang w:eastAsia="ar-SA"/>
              </w:rPr>
            </w:pPr>
            <w:r w:rsidRPr="000E18E3">
              <w:rPr>
                <w:sz w:val="20"/>
                <w:szCs w:val="20"/>
                <w:lang w:eastAsia="ar-SA"/>
              </w:rPr>
              <w:t>(3) Statutární auditor vykonávající auditorskou činnost vlastním jménem a na vlastní účet nebo auditorská společnost se dopustí přestupku tím, že při provádění povinného auditu nebo ověření zprávy o udržitelnosti subjektu veřejného zájmu</w:t>
            </w:r>
          </w:p>
        </w:tc>
        <w:tc>
          <w:tcPr>
            <w:tcW w:w="1276" w:type="dxa"/>
            <w:tcBorders>
              <w:top w:val="single" w:sz="4" w:space="0" w:color="auto"/>
              <w:left w:val="single" w:sz="4" w:space="0" w:color="auto"/>
              <w:bottom w:val="single" w:sz="4" w:space="0" w:color="auto"/>
              <w:right w:val="single" w:sz="4" w:space="0" w:color="auto"/>
            </w:tcBorders>
          </w:tcPr>
          <w:p w14:paraId="0204D2AB" w14:textId="77777777" w:rsidR="00353BDC" w:rsidRPr="00806EF6"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0E12A0E6" w14:textId="77777777" w:rsidR="00353BDC" w:rsidRDefault="00353BDC" w:rsidP="00401306">
            <w:pPr>
              <w:widowControl w:val="0"/>
              <w:ind w:left="57" w:right="113"/>
              <w:rPr>
                <w:sz w:val="20"/>
                <w:szCs w:val="20"/>
              </w:rPr>
            </w:pPr>
            <w:r>
              <w:rPr>
                <w:sz w:val="20"/>
                <w:szCs w:val="20"/>
              </w:rPr>
              <w:t xml:space="preserve">Článek 3 odst. 20 </w:t>
            </w:r>
          </w:p>
        </w:tc>
        <w:tc>
          <w:tcPr>
            <w:tcW w:w="6663" w:type="dxa"/>
            <w:tcBorders>
              <w:top w:val="single" w:sz="4" w:space="0" w:color="auto"/>
              <w:left w:val="single" w:sz="4" w:space="0" w:color="auto"/>
              <w:bottom w:val="single" w:sz="4" w:space="0" w:color="auto"/>
              <w:right w:val="single" w:sz="4" w:space="0" w:color="auto"/>
            </w:tcBorders>
          </w:tcPr>
          <w:p w14:paraId="7BB34290" w14:textId="77777777" w:rsidR="00353BDC" w:rsidRPr="000E18E3" w:rsidRDefault="00353BDC" w:rsidP="00401306">
            <w:pPr>
              <w:widowControl w:val="0"/>
              <w:ind w:left="57" w:right="113"/>
              <w:rPr>
                <w:sz w:val="20"/>
                <w:szCs w:val="20"/>
              </w:rPr>
            </w:pPr>
            <w:r w:rsidRPr="000E18E3">
              <w:rPr>
                <w:sz w:val="20"/>
                <w:szCs w:val="20"/>
              </w:rPr>
              <w:t>1.</w:t>
            </w:r>
            <w:r>
              <w:rPr>
                <w:sz w:val="20"/>
                <w:szCs w:val="20"/>
              </w:rPr>
              <w:t xml:space="preserve"> </w:t>
            </w:r>
            <w:r w:rsidRPr="000E18E3">
              <w:rPr>
                <w:sz w:val="20"/>
                <w:szCs w:val="20"/>
              </w:rPr>
              <w:t>Členské státy zajistí, aby existovaly účinné systémy vyšetřování a sankcí pro odhalování, nápravu a prevenci nesprávného provádění povinného auditu a ověřování zpráv o udržitelnosti.</w:t>
            </w:r>
          </w:p>
          <w:p w14:paraId="270D8932" w14:textId="77777777" w:rsidR="00353BDC" w:rsidRPr="000E18E3" w:rsidRDefault="00353BDC" w:rsidP="00401306">
            <w:pPr>
              <w:widowControl w:val="0"/>
              <w:ind w:left="57" w:right="113"/>
              <w:rPr>
                <w:sz w:val="20"/>
                <w:szCs w:val="20"/>
              </w:rPr>
            </w:pPr>
            <w:r w:rsidRPr="000E18E3">
              <w:rPr>
                <w:sz w:val="20"/>
                <w:szCs w:val="20"/>
              </w:rPr>
              <w:t>2.</w:t>
            </w:r>
            <w:r>
              <w:rPr>
                <w:sz w:val="20"/>
                <w:szCs w:val="20"/>
              </w:rPr>
              <w:t xml:space="preserve"> </w:t>
            </w:r>
            <w:r w:rsidRPr="000E18E3">
              <w:rPr>
                <w:sz w:val="20"/>
                <w:szCs w:val="20"/>
              </w:rPr>
              <w:t>Aniž jsou dotčeny režimy občanskoprávní odpovědnosti jednotlivých členských států, zavedou členské státy ve vztahu ke statutárním auditorům a auditorským společnostem účinné, přiměřené a odrazující sankce pro případy, kdy povinné audity či ověřování zpráv o udržitelnosti nejsou prováděny v souladu s předpisy přijatými k provedení této směrnice a případně s nařízením (EU) č. 537/2014.</w:t>
            </w:r>
          </w:p>
          <w:p w14:paraId="4D5518CE" w14:textId="77777777" w:rsidR="00353BDC" w:rsidRPr="00B068A8" w:rsidRDefault="00353BDC" w:rsidP="00401306">
            <w:pPr>
              <w:widowControl w:val="0"/>
              <w:ind w:left="57" w:right="113"/>
              <w:rPr>
                <w:sz w:val="20"/>
                <w:szCs w:val="20"/>
              </w:rPr>
            </w:pPr>
            <w:r w:rsidRPr="000E18E3">
              <w:rPr>
                <w:sz w:val="20"/>
                <w:szCs w:val="20"/>
              </w:rPr>
              <w:t>Členské státy mohou rozhodnout, že nestanoví správní sankce v případě porušení, na něž se již vztahuje vnitrostátní trestní právo. V takovém případě sdělí Komisi příslušná trestněprávní ustanovení.“</w:t>
            </w:r>
          </w:p>
        </w:tc>
      </w:tr>
      <w:tr w:rsidR="00353BDC" w:rsidRPr="00675767" w14:paraId="41119560"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6D69E5C8" w14:textId="77777777" w:rsidR="00353BDC" w:rsidRDefault="00353BDC" w:rsidP="00401306">
            <w:pPr>
              <w:widowControl w:val="0"/>
              <w:suppressAutoHyphens/>
              <w:ind w:left="57" w:right="113"/>
              <w:rPr>
                <w:sz w:val="20"/>
                <w:szCs w:val="20"/>
                <w:lang w:eastAsia="ar-SA"/>
              </w:rPr>
            </w:pPr>
            <w:r>
              <w:rPr>
                <w:sz w:val="20"/>
                <w:szCs w:val="20"/>
                <w:lang w:eastAsia="ar-SA"/>
              </w:rPr>
              <w:t>Přechodná ustanovení bod 1</w:t>
            </w:r>
          </w:p>
        </w:tc>
        <w:tc>
          <w:tcPr>
            <w:tcW w:w="3543" w:type="dxa"/>
            <w:tcBorders>
              <w:top w:val="single" w:sz="4" w:space="0" w:color="auto"/>
              <w:left w:val="single" w:sz="4" w:space="0" w:color="auto"/>
              <w:bottom w:val="single" w:sz="4" w:space="0" w:color="auto"/>
              <w:right w:val="single" w:sz="4" w:space="0" w:color="auto"/>
            </w:tcBorders>
          </w:tcPr>
          <w:p w14:paraId="12A10945" w14:textId="77777777" w:rsidR="00353BDC" w:rsidRPr="000E18E3" w:rsidRDefault="00353BDC" w:rsidP="00401306">
            <w:pPr>
              <w:widowControl w:val="0"/>
              <w:suppressAutoHyphens/>
              <w:ind w:left="57" w:right="113"/>
              <w:rPr>
                <w:sz w:val="20"/>
                <w:szCs w:val="20"/>
                <w:lang w:eastAsia="ar-SA"/>
              </w:rPr>
            </w:pPr>
            <w:r w:rsidRPr="00EE3693">
              <w:rPr>
                <w:sz w:val="20"/>
                <w:szCs w:val="20"/>
                <w:lang w:eastAsia="ar-SA"/>
              </w:rPr>
              <w:t>Ustanovení § 20 odst. 1 písm. g) zákona č. 93/2009 Sb., ve znění účinném před dnem účinnosti tohoto zákona se na zprávu auditora o povinném auditu vyhotovenou přede dnem nabytí účinnosti tohoto zákona nemusí použít. Ustanovení § 20 odst. 1 písm. g) zákona č. 93/2009 Sb., ve znění účinném ode dne nabytí účinnosti tohoto zákona se nepoužije při ověření účetní závěrky sestavené za účetní období započaté přede dnem 22. června 2024 a za první účetní období započaté ode dne 22. června 2024.</w:t>
            </w:r>
            <w:r>
              <w:rPr>
                <w:sz w:val="20"/>
                <w:szCs w:val="20"/>
                <w:lang w:eastAsia="ar-SA"/>
              </w:rPr>
              <w:t xml:space="preserve"> </w:t>
            </w:r>
          </w:p>
        </w:tc>
        <w:tc>
          <w:tcPr>
            <w:tcW w:w="1276" w:type="dxa"/>
            <w:tcBorders>
              <w:top w:val="single" w:sz="4" w:space="0" w:color="auto"/>
              <w:left w:val="single" w:sz="4" w:space="0" w:color="auto"/>
              <w:bottom w:val="single" w:sz="4" w:space="0" w:color="auto"/>
              <w:right w:val="single" w:sz="4" w:space="0" w:color="auto"/>
            </w:tcBorders>
          </w:tcPr>
          <w:p w14:paraId="46ED46DA" w14:textId="77777777" w:rsidR="00353BDC" w:rsidRPr="00806EF6" w:rsidRDefault="00353BDC" w:rsidP="00401306">
            <w:pPr>
              <w:widowControl w:val="0"/>
              <w:ind w:left="57" w:right="113"/>
              <w:rPr>
                <w:sz w:val="20"/>
                <w:szCs w:val="20"/>
              </w:rPr>
            </w:pPr>
            <w:r w:rsidRPr="00B00906">
              <w:rPr>
                <w:sz w:val="20"/>
                <w:szCs w:val="20"/>
              </w:rPr>
              <w:t>32021L2101</w:t>
            </w:r>
          </w:p>
        </w:tc>
        <w:tc>
          <w:tcPr>
            <w:tcW w:w="1559" w:type="dxa"/>
            <w:tcBorders>
              <w:top w:val="single" w:sz="4" w:space="0" w:color="auto"/>
              <w:left w:val="single" w:sz="4" w:space="0" w:color="auto"/>
              <w:bottom w:val="single" w:sz="4" w:space="0" w:color="auto"/>
              <w:right w:val="single" w:sz="4" w:space="0" w:color="auto"/>
            </w:tcBorders>
          </w:tcPr>
          <w:p w14:paraId="17C3E82C" w14:textId="77777777" w:rsidR="00353BDC" w:rsidRDefault="00353BDC" w:rsidP="00401306">
            <w:pPr>
              <w:widowControl w:val="0"/>
              <w:ind w:left="57" w:right="113"/>
              <w:rPr>
                <w:sz w:val="20"/>
                <w:szCs w:val="20"/>
              </w:rPr>
            </w:pPr>
            <w:r>
              <w:rPr>
                <w:sz w:val="20"/>
                <w:szCs w:val="20"/>
              </w:rPr>
              <w:t>Článek 1 odst. 2</w:t>
            </w:r>
          </w:p>
        </w:tc>
        <w:tc>
          <w:tcPr>
            <w:tcW w:w="6663" w:type="dxa"/>
            <w:tcBorders>
              <w:top w:val="single" w:sz="4" w:space="0" w:color="auto"/>
              <w:left w:val="single" w:sz="4" w:space="0" w:color="auto"/>
              <w:bottom w:val="single" w:sz="4" w:space="0" w:color="auto"/>
              <w:right w:val="single" w:sz="4" w:space="0" w:color="auto"/>
            </w:tcBorders>
          </w:tcPr>
          <w:p w14:paraId="51AEA4B1" w14:textId="77777777" w:rsidR="00353BDC" w:rsidRPr="00471F04" w:rsidRDefault="00353BDC" w:rsidP="00401306">
            <w:pPr>
              <w:widowControl w:val="0"/>
              <w:ind w:left="57" w:right="113"/>
              <w:rPr>
                <w:sz w:val="20"/>
                <w:szCs w:val="20"/>
              </w:rPr>
            </w:pPr>
            <w:r w:rsidRPr="00471F04">
              <w:rPr>
                <w:sz w:val="20"/>
                <w:szCs w:val="20"/>
              </w:rPr>
              <w:t>První den pro podávání zpráv s informacemi o dani z příjmů</w:t>
            </w:r>
          </w:p>
          <w:p w14:paraId="33F109CC" w14:textId="77777777" w:rsidR="00353BDC" w:rsidRPr="000E18E3" w:rsidRDefault="00353BDC" w:rsidP="00401306">
            <w:pPr>
              <w:widowControl w:val="0"/>
              <w:ind w:left="57" w:right="113"/>
              <w:rPr>
                <w:sz w:val="20"/>
                <w:szCs w:val="20"/>
              </w:rPr>
            </w:pPr>
            <w:r w:rsidRPr="00471F04">
              <w:rPr>
                <w:sz w:val="20"/>
                <w:szCs w:val="20"/>
              </w:rPr>
              <w:t>Členské státy zajistí, aby se právní a správní předpisy provádějící články 48a až 48f použily nejpozději od prvního dne prvního účetního období začínajícího dnem 22. června 2024 nebo po tomto dni.</w:t>
            </w:r>
          </w:p>
        </w:tc>
      </w:tr>
      <w:tr w:rsidR="00353BDC" w:rsidRPr="00675767" w14:paraId="36BACF98" w14:textId="77777777" w:rsidTr="00B1678D">
        <w:trPr>
          <w:cantSplit/>
        </w:trPr>
        <w:tc>
          <w:tcPr>
            <w:tcW w:w="1100" w:type="dxa"/>
            <w:tcBorders>
              <w:top w:val="single" w:sz="4" w:space="0" w:color="auto"/>
              <w:left w:val="single" w:sz="4" w:space="0" w:color="auto"/>
              <w:bottom w:val="single" w:sz="4" w:space="0" w:color="auto"/>
              <w:right w:val="single" w:sz="4" w:space="0" w:color="auto"/>
            </w:tcBorders>
          </w:tcPr>
          <w:p w14:paraId="5A9C5B8A" w14:textId="77777777" w:rsidR="00353BDC" w:rsidRDefault="00353BDC" w:rsidP="00401306">
            <w:pPr>
              <w:widowControl w:val="0"/>
              <w:suppressAutoHyphens/>
              <w:ind w:left="57" w:right="113"/>
              <w:rPr>
                <w:sz w:val="20"/>
                <w:szCs w:val="20"/>
                <w:lang w:eastAsia="ar-SA"/>
              </w:rPr>
            </w:pPr>
            <w:r>
              <w:rPr>
                <w:sz w:val="20"/>
                <w:szCs w:val="20"/>
                <w:lang w:eastAsia="ar-SA"/>
              </w:rPr>
              <w:lastRenderedPageBreak/>
              <w:t>Přechodná ustanovení bod 2</w:t>
            </w:r>
          </w:p>
        </w:tc>
        <w:tc>
          <w:tcPr>
            <w:tcW w:w="3543" w:type="dxa"/>
            <w:tcBorders>
              <w:top w:val="single" w:sz="4" w:space="0" w:color="auto"/>
              <w:left w:val="single" w:sz="4" w:space="0" w:color="auto"/>
              <w:bottom w:val="single" w:sz="4" w:space="0" w:color="auto"/>
              <w:right w:val="single" w:sz="4" w:space="0" w:color="auto"/>
            </w:tcBorders>
          </w:tcPr>
          <w:p w14:paraId="3B70AAE7" w14:textId="77777777" w:rsidR="00353BDC" w:rsidRPr="00EE3693" w:rsidRDefault="00353BDC" w:rsidP="00401306">
            <w:pPr>
              <w:widowControl w:val="0"/>
              <w:suppressAutoHyphens/>
              <w:ind w:right="113"/>
              <w:rPr>
                <w:sz w:val="20"/>
                <w:szCs w:val="20"/>
                <w:lang w:eastAsia="ar-SA"/>
              </w:rPr>
            </w:pPr>
            <w:r w:rsidRPr="00EE3693">
              <w:rPr>
                <w:sz w:val="20"/>
                <w:szCs w:val="20"/>
                <w:lang w:eastAsia="ar-SA"/>
              </w:rPr>
              <w:t>Statutární auditor, který složil auditorskou zkoušku přede dnem 1. ledna 2026, která nesplňovala požadavky podle § 8 odst. 3 písm. c), f) nebo k) zákona č. 93/2009 Sb. ve znění účinném ode dne 1. ledna 2024, a který neabsolvoval průběžné vzdělávání pokrývající oblasti podle § 8 odst. 3 písm. c), f) a k) zákona č. 93/2009 Sb. ve znění účinném ode dne 1. ledna 2024, není oprávněn provádět ověření zprávy o udržitelnosti ani být klíčovým auditorským partnerem ověřování zprávy o udržitelnosti; tento údaj Komora auditorů České republiky uvede u osoby statutárního auditora v rejstříku společně s údaji podle</w:t>
            </w:r>
          </w:p>
          <w:p w14:paraId="6C593DBA" w14:textId="77777777" w:rsidR="00353BDC" w:rsidRPr="00EE3693" w:rsidRDefault="00353BDC" w:rsidP="00401306">
            <w:pPr>
              <w:widowControl w:val="0"/>
              <w:suppressAutoHyphens/>
              <w:ind w:right="113"/>
              <w:rPr>
                <w:sz w:val="20"/>
                <w:szCs w:val="20"/>
                <w:lang w:eastAsia="ar-SA"/>
              </w:rPr>
            </w:pPr>
            <w:r>
              <w:rPr>
                <w:sz w:val="20"/>
                <w:szCs w:val="20"/>
                <w:lang w:eastAsia="ar-SA"/>
              </w:rPr>
              <w:t xml:space="preserve">a. </w:t>
            </w:r>
            <w:r w:rsidRPr="00EE3693">
              <w:rPr>
                <w:sz w:val="20"/>
                <w:szCs w:val="20"/>
                <w:lang w:eastAsia="ar-SA"/>
              </w:rPr>
              <w:t>§12 zákona č. 93/2009 Sb. a</w:t>
            </w:r>
          </w:p>
          <w:p w14:paraId="36A1F24C" w14:textId="77777777" w:rsidR="00353BDC" w:rsidRPr="00EE3693" w:rsidRDefault="00353BDC" w:rsidP="00401306">
            <w:pPr>
              <w:widowControl w:val="0"/>
              <w:suppressAutoHyphens/>
              <w:ind w:right="113"/>
              <w:rPr>
                <w:sz w:val="20"/>
                <w:szCs w:val="20"/>
                <w:lang w:eastAsia="ar-SA"/>
              </w:rPr>
            </w:pPr>
            <w:r>
              <w:rPr>
                <w:sz w:val="20"/>
                <w:szCs w:val="20"/>
                <w:lang w:eastAsia="ar-SA"/>
              </w:rPr>
              <w:t xml:space="preserve">b. </w:t>
            </w:r>
            <w:r w:rsidRPr="00EE3693">
              <w:rPr>
                <w:sz w:val="20"/>
                <w:szCs w:val="20"/>
                <w:lang w:eastAsia="ar-SA"/>
              </w:rPr>
              <w:t>§ 12a zákona č. 93/2009 Sb., jedná-li se o statutárního auditora, který vykonává auditorskou činnost v rámci základního pracovněprávního vztahu k auditorské společnosti nebo jako společník auditorské společnosti.</w:t>
            </w:r>
          </w:p>
        </w:tc>
        <w:tc>
          <w:tcPr>
            <w:tcW w:w="1276" w:type="dxa"/>
            <w:tcBorders>
              <w:top w:val="single" w:sz="4" w:space="0" w:color="auto"/>
              <w:left w:val="single" w:sz="4" w:space="0" w:color="auto"/>
              <w:bottom w:val="single" w:sz="4" w:space="0" w:color="auto"/>
              <w:right w:val="single" w:sz="4" w:space="0" w:color="auto"/>
            </w:tcBorders>
          </w:tcPr>
          <w:p w14:paraId="7DD90C79" w14:textId="77777777" w:rsidR="00353BDC" w:rsidRPr="00806EF6" w:rsidRDefault="00353BDC" w:rsidP="00401306">
            <w:pPr>
              <w:widowControl w:val="0"/>
              <w:ind w:left="57" w:right="113"/>
              <w:rPr>
                <w:sz w:val="20"/>
                <w:szCs w:val="20"/>
              </w:rPr>
            </w:pPr>
            <w:r w:rsidRPr="00806EF6">
              <w:rPr>
                <w:sz w:val="20"/>
                <w:szCs w:val="20"/>
              </w:rPr>
              <w:t>32022L2464</w:t>
            </w:r>
          </w:p>
        </w:tc>
        <w:tc>
          <w:tcPr>
            <w:tcW w:w="1559" w:type="dxa"/>
            <w:tcBorders>
              <w:top w:val="single" w:sz="4" w:space="0" w:color="auto"/>
              <w:left w:val="single" w:sz="4" w:space="0" w:color="auto"/>
              <w:bottom w:val="single" w:sz="4" w:space="0" w:color="auto"/>
              <w:right w:val="single" w:sz="4" w:space="0" w:color="auto"/>
            </w:tcBorders>
          </w:tcPr>
          <w:p w14:paraId="0AC06703" w14:textId="77777777" w:rsidR="00353BDC" w:rsidRDefault="00353BDC" w:rsidP="00401306">
            <w:pPr>
              <w:widowControl w:val="0"/>
              <w:ind w:left="57" w:right="113"/>
              <w:rPr>
                <w:sz w:val="20"/>
                <w:szCs w:val="20"/>
              </w:rPr>
            </w:pPr>
            <w:r>
              <w:rPr>
                <w:sz w:val="20"/>
                <w:szCs w:val="20"/>
              </w:rPr>
              <w:t>Článek 3 odst. 11</w:t>
            </w:r>
          </w:p>
        </w:tc>
        <w:tc>
          <w:tcPr>
            <w:tcW w:w="6663" w:type="dxa"/>
            <w:tcBorders>
              <w:top w:val="single" w:sz="4" w:space="0" w:color="auto"/>
              <w:left w:val="single" w:sz="4" w:space="0" w:color="auto"/>
              <w:bottom w:val="single" w:sz="4" w:space="0" w:color="auto"/>
              <w:right w:val="single" w:sz="4" w:space="0" w:color="auto"/>
            </w:tcBorders>
          </w:tcPr>
          <w:p w14:paraId="123C84AE" w14:textId="77777777" w:rsidR="00353BDC" w:rsidRDefault="00353BDC" w:rsidP="00401306">
            <w:pPr>
              <w:widowControl w:val="0"/>
              <w:ind w:left="57" w:right="113"/>
              <w:rPr>
                <w:sz w:val="20"/>
                <w:szCs w:val="20"/>
              </w:rPr>
            </w:pPr>
            <w:r w:rsidRPr="008F085A">
              <w:rPr>
                <w:sz w:val="20"/>
                <w:szCs w:val="20"/>
              </w:rPr>
              <w:t>e) jména a registrační čísla všech statutárních auditorů zaměstnaných u auditorské společnosti nebo s ní spojených jako společníci či jinak a údaj o tom, zda jsou rovněž schváleni pro ověřování zpráv o udržitelnosti</w:t>
            </w:r>
          </w:p>
        </w:tc>
      </w:tr>
    </w:tbl>
    <w:p w14:paraId="37BABF87" w14:textId="77777777" w:rsidR="00353BDC" w:rsidRDefault="00353BDC" w:rsidP="00353BDC"/>
    <w:p w14:paraId="1252788F" w14:textId="77777777" w:rsidR="00353BDC" w:rsidRDefault="00353BDC" w:rsidP="00353BDC"/>
    <w:tbl>
      <w:tblPr>
        <w:tblW w:w="14136" w:type="dxa"/>
        <w:tblInd w:w="-112" w:type="dxa"/>
        <w:tblLayout w:type="fixed"/>
        <w:tblCellMar>
          <w:left w:w="0" w:type="dxa"/>
          <w:right w:w="0" w:type="dxa"/>
        </w:tblCellMar>
        <w:tblLook w:val="04A0" w:firstRow="1" w:lastRow="0" w:firstColumn="1" w:lastColumn="0" w:noHBand="0" w:noVBand="1"/>
      </w:tblPr>
      <w:tblGrid>
        <w:gridCol w:w="4638"/>
        <w:gridCol w:w="9498"/>
      </w:tblGrid>
      <w:tr w:rsidR="00353BDC" w:rsidRPr="00B1678D" w14:paraId="2466F4D8" w14:textId="77777777" w:rsidTr="00401306">
        <w:trPr>
          <w:cantSplit/>
          <w:trHeight w:val="397"/>
        </w:trPr>
        <w:tc>
          <w:tcPr>
            <w:tcW w:w="4638" w:type="dxa"/>
            <w:tcBorders>
              <w:top w:val="single" w:sz="8" w:space="0" w:color="000000"/>
              <w:left w:val="single" w:sz="8" w:space="0" w:color="000000"/>
              <w:bottom w:val="single" w:sz="8" w:space="0" w:color="000000"/>
              <w:right w:val="nil"/>
            </w:tcBorders>
            <w:shd w:val="pct25" w:color="auto" w:fill="auto"/>
            <w:vAlign w:val="center"/>
            <w:hideMark/>
          </w:tcPr>
          <w:p w14:paraId="00E7C99D" w14:textId="77777777" w:rsidR="00353BDC" w:rsidRPr="00B1678D" w:rsidRDefault="00353BDC" w:rsidP="00401306">
            <w:pPr>
              <w:widowControl w:val="0"/>
              <w:tabs>
                <w:tab w:val="left" w:pos="360"/>
              </w:tabs>
              <w:suppressAutoHyphens/>
              <w:spacing w:line="276" w:lineRule="auto"/>
              <w:ind w:left="57" w:right="113"/>
              <w:rPr>
                <w:b/>
                <w:sz w:val="18"/>
                <w:szCs w:val="18"/>
                <w:lang w:eastAsia="ar-SA"/>
              </w:rPr>
            </w:pPr>
            <w:r w:rsidRPr="00B1678D">
              <w:rPr>
                <w:b/>
                <w:sz w:val="18"/>
                <w:szCs w:val="18"/>
                <w:lang w:eastAsia="en-US"/>
              </w:rPr>
              <w:t>Číslo předpisu EU (kód CELEX)</w:t>
            </w:r>
          </w:p>
        </w:tc>
        <w:tc>
          <w:tcPr>
            <w:tcW w:w="9498" w:type="dxa"/>
            <w:tcBorders>
              <w:top w:val="single" w:sz="8" w:space="0" w:color="000000"/>
              <w:left w:val="single" w:sz="8" w:space="0" w:color="000000"/>
              <w:bottom w:val="single" w:sz="8" w:space="0" w:color="000000"/>
              <w:right w:val="single" w:sz="8" w:space="0" w:color="000000"/>
            </w:tcBorders>
            <w:shd w:val="pct25" w:color="auto" w:fill="auto"/>
            <w:vAlign w:val="center"/>
            <w:hideMark/>
          </w:tcPr>
          <w:p w14:paraId="572E4056" w14:textId="77777777" w:rsidR="00353BDC" w:rsidRPr="00B1678D" w:rsidRDefault="00353BDC" w:rsidP="00401306">
            <w:pPr>
              <w:widowControl w:val="0"/>
              <w:tabs>
                <w:tab w:val="left" w:pos="360"/>
              </w:tabs>
              <w:suppressAutoHyphens/>
              <w:spacing w:line="276" w:lineRule="auto"/>
              <w:ind w:left="57" w:right="113"/>
              <w:rPr>
                <w:b/>
                <w:sz w:val="18"/>
                <w:szCs w:val="18"/>
                <w:lang w:eastAsia="ar-SA"/>
              </w:rPr>
            </w:pPr>
            <w:r w:rsidRPr="00B1678D">
              <w:rPr>
                <w:b/>
                <w:sz w:val="18"/>
                <w:szCs w:val="18"/>
                <w:lang w:eastAsia="en-US"/>
              </w:rPr>
              <w:t>Název předpisu EU</w:t>
            </w:r>
          </w:p>
        </w:tc>
      </w:tr>
      <w:tr w:rsidR="00353BDC" w:rsidRPr="00B1678D" w14:paraId="138267FB" w14:textId="77777777" w:rsidTr="00401306">
        <w:trPr>
          <w:cantSplit/>
        </w:trPr>
        <w:tc>
          <w:tcPr>
            <w:tcW w:w="4638" w:type="dxa"/>
            <w:tcBorders>
              <w:top w:val="single" w:sz="8" w:space="0" w:color="000000"/>
              <w:left w:val="single" w:sz="8" w:space="0" w:color="000000"/>
              <w:bottom w:val="single" w:sz="2" w:space="0" w:color="000000"/>
              <w:right w:val="nil"/>
            </w:tcBorders>
          </w:tcPr>
          <w:p w14:paraId="1CCBB9FE" w14:textId="77777777" w:rsidR="00353BDC" w:rsidRPr="00B1678D" w:rsidRDefault="00353BDC" w:rsidP="00401306">
            <w:pPr>
              <w:widowControl w:val="0"/>
              <w:spacing w:line="276" w:lineRule="auto"/>
              <w:ind w:left="57" w:right="113"/>
              <w:rPr>
                <w:bCs/>
                <w:sz w:val="18"/>
                <w:szCs w:val="18"/>
                <w:lang w:eastAsia="en-US"/>
              </w:rPr>
            </w:pPr>
            <w:r w:rsidRPr="00B1678D">
              <w:rPr>
                <w:sz w:val="18"/>
                <w:szCs w:val="18"/>
                <w:lang w:eastAsia="en-US"/>
              </w:rPr>
              <w:t>23022L2464</w:t>
            </w:r>
          </w:p>
        </w:tc>
        <w:tc>
          <w:tcPr>
            <w:tcW w:w="9498" w:type="dxa"/>
            <w:tcBorders>
              <w:top w:val="single" w:sz="8" w:space="0" w:color="000000"/>
              <w:left w:val="single" w:sz="8" w:space="0" w:color="000000"/>
              <w:bottom w:val="single" w:sz="2" w:space="0" w:color="000000"/>
              <w:right w:val="single" w:sz="8" w:space="0" w:color="000000"/>
            </w:tcBorders>
            <w:hideMark/>
          </w:tcPr>
          <w:p w14:paraId="4EAB0F9A" w14:textId="77777777" w:rsidR="00353BDC" w:rsidRPr="00B1678D" w:rsidRDefault="00353BDC" w:rsidP="00401306">
            <w:pPr>
              <w:widowControl w:val="0"/>
              <w:spacing w:line="276" w:lineRule="auto"/>
              <w:ind w:left="57" w:right="113"/>
              <w:rPr>
                <w:bCs/>
                <w:sz w:val="18"/>
                <w:szCs w:val="18"/>
                <w:lang w:eastAsia="en-US"/>
              </w:rPr>
            </w:pPr>
            <w:r w:rsidRPr="00B1678D">
              <w:rPr>
                <w:bCs/>
                <w:sz w:val="18"/>
                <w:szCs w:val="18"/>
                <w:lang w:eastAsia="en-US"/>
              </w:rPr>
              <w:t>Směrnice Evropského parlamentu a Rady (EU) 2022/2464 ze dne 14. prosince 2022, kterou se mění nařízení (EU) č. 537/2014, směrnice 2004/109/ES, směrnice 2006/43/ES a směrnice 2013/34/EU, pokud jde o podávání zpráv podniků o udržitelnosti</w:t>
            </w:r>
          </w:p>
        </w:tc>
      </w:tr>
      <w:tr w:rsidR="00353BDC" w:rsidRPr="00B1678D" w14:paraId="019F3AFF" w14:textId="77777777" w:rsidTr="00401306">
        <w:trPr>
          <w:cantSplit/>
        </w:trPr>
        <w:tc>
          <w:tcPr>
            <w:tcW w:w="4638" w:type="dxa"/>
            <w:tcBorders>
              <w:top w:val="single" w:sz="8" w:space="0" w:color="000000"/>
              <w:left w:val="single" w:sz="8" w:space="0" w:color="000000"/>
              <w:bottom w:val="single" w:sz="8" w:space="0" w:color="000000"/>
              <w:right w:val="nil"/>
            </w:tcBorders>
            <w:hideMark/>
          </w:tcPr>
          <w:p w14:paraId="0CDBC448" w14:textId="77777777" w:rsidR="00353BDC" w:rsidRPr="00B1678D" w:rsidRDefault="00353BDC" w:rsidP="00401306">
            <w:pPr>
              <w:widowControl w:val="0"/>
              <w:spacing w:line="276" w:lineRule="auto"/>
              <w:ind w:left="57" w:right="113"/>
              <w:rPr>
                <w:bCs/>
                <w:sz w:val="18"/>
                <w:szCs w:val="18"/>
                <w:lang w:eastAsia="en-US"/>
              </w:rPr>
            </w:pPr>
            <w:r w:rsidRPr="00B1678D">
              <w:rPr>
                <w:sz w:val="18"/>
                <w:szCs w:val="18"/>
              </w:rPr>
              <w:t>32021L2101</w:t>
            </w:r>
          </w:p>
        </w:tc>
        <w:tc>
          <w:tcPr>
            <w:tcW w:w="9498" w:type="dxa"/>
            <w:tcBorders>
              <w:top w:val="single" w:sz="8" w:space="0" w:color="000000"/>
              <w:left w:val="single" w:sz="8" w:space="0" w:color="000000"/>
              <w:bottom w:val="single" w:sz="8" w:space="0" w:color="000000"/>
              <w:right w:val="single" w:sz="8" w:space="0" w:color="000000"/>
            </w:tcBorders>
            <w:hideMark/>
          </w:tcPr>
          <w:p w14:paraId="6605A531" w14:textId="77777777" w:rsidR="00353BDC" w:rsidRPr="00B1678D" w:rsidRDefault="00353BDC" w:rsidP="00401306">
            <w:pPr>
              <w:widowControl w:val="0"/>
              <w:spacing w:line="276" w:lineRule="auto"/>
              <w:ind w:left="57" w:right="113"/>
              <w:rPr>
                <w:bCs/>
                <w:sz w:val="18"/>
                <w:szCs w:val="18"/>
                <w:lang w:eastAsia="en-US"/>
              </w:rPr>
            </w:pPr>
            <w:r w:rsidRPr="00B1678D">
              <w:rPr>
                <w:bCs/>
                <w:sz w:val="18"/>
                <w:szCs w:val="18"/>
                <w:lang w:eastAsia="en-US"/>
              </w:rPr>
              <w:t>Směrnice Evropského parlamentu a Rady (EU) 2021/2101 ze dne 24. listopadu 2021, kterou se mění směrnice 2013/34/EU, pokud jde o zveřejňování informací o dani z příjmů některými podniky a pobočkami</w:t>
            </w:r>
          </w:p>
        </w:tc>
      </w:tr>
    </w:tbl>
    <w:p w14:paraId="54A6F538" w14:textId="77777777" w:rsidR="00353BDC" w:rsidRPr="00806EF6" w:rsidRDefault="00353BDC" w:rsidP="00353BD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0"/>
        <w:gridCol w:w="3822"/>
        <w:gridCol w:w="1203"/>
        <w:gridCol w:w="1422"/>
        <w:gridCol w:w="6853"/>
      </w:tblGrid>
      <w:tr w:rsidR="006436F8" w:rsidRPr="00675767" w14:paraId="7EDF5F45" w14:textId="77777777" w:rsidTr="00430543">
        <w:trPr>
          <w:trHeight w:val="624"/>
          <w:tblHeader/>
        </w:trPr>
        <w:tc>
          <w:tcPr>
            <w:tcW w:w="170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276217" w14:textId="15A3B450" w:rsidR="006436F8" w:rsidRPr="00430543" w:rsidRDefault="002407F3" w:rsidP="00353BDC">
            <w:pPr>
              <w:pageBreakBefore/>
              <w:widowControl w:val="0"/>
              <w:tabs>
                <w:tab w:val="left" w:pos="360"/>
              </w:tabs>
              <w:spacing w:before="40" w:after="40" w:line="276" w:lineRule="auto"/>
              <w:ind w:left="57" w:right="113"/>
              <w:jc w:val="center"/>
              <w:rPr>
                <w:b/>
                <w:sz w:val="18"/>
                <w:szCs w:val="18"/>
                <w:lang w:eastAsia="ar-SA"/>
              </w:rPr>
            </w:pPr>
            <w:r>
              <w:rPr>
                <w:b/>
                <w:sz w:val="18"/>
                <w:szCs w:val="18"/>
                <w:lang w:eastAsia="ar-SA"/>
              </w:rPr>
              <w:lastRenderedPageBreak/>
              <w:t xml:space="preserve">Změna </w:t>
            </w:r>
            <w:r w:rsidR="00420C6A" w:rsidRPr="00430543">
              <w:rPr>
                <w:b/>
                <w:sz w:val="18"/>
                <w:szCs w:val="18"/>
                <w:lang w:eastAsia="ar-SA"/>
              </w:rPr>
              <w:t xml:space="preserve">zákona o dorovnávacích daních pro velké nadnárodní skupiny a velké vnitrostátní skupiny </w:t>
            </w:r>
          </w:p>
        </w:tc>
        <w:tc>
          <w:tcPr>
            <w:tcW w:w="3293"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EAC048" w14:textId="77777777" w:rsidR="006436F8" w:rsidRPr="00430543" w:rsidRDefault="006436F8" w:rsidP="00BD568C">
            <w:pPr>
              <w:widowControl w:val="0"/>
              <w:tabs>
                <w:tab w:val="left" w:pos="360"/>
              </w:tabs>
              <w:suppressAutoHyphens/>
              <w:spacing w:before="40" w:after="40" w:line="276" w:lineRule="auto"/>
              <w:ind w:left="57" w:right="113"/>
              <w:jc w:val="center"/>
              <w:rPr>
                <w:b/>
                <w:sz w:val="18"/>
                <w:szCs w:val="18"/>
                <w:lang w:eastAsia="ar-SA"/>
              </w:rPr>
            </w:pPr>
            <w:r w:rsidRPr="00430543">
              <w:rPr>
                <w:b/>
                <w:sz w:val="18"/>
                <w:szCs w:val="18"/>
              </w:rPr>
              <w:t>Odpovídající předpis EU</w:t>
            </w:r>
          </w:p>
        </w:tc>
      </w:tr>
      <w:tr w:rsidR="00675767" w:rsidRPr="00675767" w14:paraId="74E389C8" w14:textId="77777777" w:rsidTr="00430543">
        <w:trPr>
          <w:tblHeader/>
        </w:trPr>
        <w:tc>
          <w:tcPr>
            <w:tcW w:w="3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56E774" w14:textId="77777777" w:rsidR="006436F8" w:rsidRPr="00430543" w:rsidRDefault="006436F8" w:rsidP="00BD568C">
            <w:pPr>
              <w:widowControl w:val="0"/>
              <w:tabs>
                <w:tab w:val="left" w:pos="360"/>
              </w:tabs>
              <w:suppressAutoHyphens/>
              <w:spacing w:before="40" w:after="40"/>
              <w:ind w:left="57" w:right="113"/>
              <w:jc w:val="center"/>
              <w:rPr>
                <w:sz w:val="18"/>
                <w:szCs w:val="18"/>
                <w:lang w:eastAsia="ar-SA"/>
              </w:rPr>
            </w:pPr>
            <w:r w:rsidRPr="00430543">
              <w:rPr>
                <w:sz w:val="18"/>
                <w:szCs w:val="18"/>
              </w:rPr>
              <w:t>Ustanovení (část, §, odst., písm., apod.)</w:t>
            </w:r>
          </w:p>
        </w:tc>
        <w:tc>
          <w:tcPr>
            <w:tcW w:w="13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FA440D" w14:textId="77777777" w:rsidR="006436F8" w:rsidRPr="00430543" w:rsidRDefault="006436F8" w:rsidP="00BD568C">
            <w:pPr>
              <w:widowControl w:val="0"/>
              <w:tabs>
                <w:tab w:val="left" w:pos="360"/>
              </w:tabs>
              <w:suppressAutoHyphens/>
              <w:spacing w:before="40" w:after="40"/>
              <w:ind w:left="57" w:right="113"/>
              <w:jc w:val="center"/>
              <w:rPr>
                <w:sz w:val="18"/>
                <w:szCs w:val="18"/>
                <w:lang w:eastAsia="ar-SA"/>
              </w:rPr>
            </w:pPr>
            <w:r w:rsidRPr="00430543">
              <w:rPr>
                <w:sz w:val="18"/>
                <w:szCs w:val="18"/>
              </w:rPr>
              <w:t>Obsah</w:t>
            </w:r>
          </w:p>
        </w:tc>
        <w:tc>
          <w:tcPr>
            <w:tcW w:w="4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118AAD" w14:textId="77777777" w:rsidR="006436F8" w:rsidRPr="00430543" w:rsidRDefault="006436F8" w:rsidP="00BD568C">
            <w:pPr>
              <w:widowControl w:val="0"/>
              <w:tabs>
                <w:tab w:val="left" w:pos="360"/>
              </w:tabs>
              <w:suppressAutoHyphens/>
              <w:spacing w:before="40" w:after="40"/>
              <w:ind w:left="57" w:right="113"/>
              <w:jc w:val="center"/>
              <w:rPr>
                <w:sz w:val="18"/>
                <w:szCs w:val="18"/>
                <w:lang w:eastAsia="ar-SA"/>
              </w:rPr>
            </w:pPr>
            <w:proofErr w:type="spellStart"/>
            <w:r w:rsidRPr="00430543">
              <w:rPr>
                <w:sz w:val="18"/>
                <w:szCs w:val="18"/>
              </w:rPr>
              <w:t>Celex</w:t>
            </w:r>
            <w:proofErr w:type="spellEnd"/>
            <w:r w:rsidRPr="00430543">
              <w:rPr>
                <w:sz w:val="18"/>
                <w:szCs w:val="18"/>
              </w:rPr>
              <w:t xml:space="preserve"> č.</w:t>
            </w:r>
          </w:p>
        </w:tc>
        <w:tc>
          <w:tcPr>
            <w:tcW w:w="4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01F486" w14:textId="77777777" w:rsidR="006436F8" w:rsidRPr="00430543" w:rsidRDefault="006436F8" w:rsidP="00BD568C">
            <w:pPr>
              <w:widowControl w:val="0"/>
              <w:tabs>
                <w:tab w:val="left" w:pos="360"/>
              </w:tabs>
              <w:suppressAutoHyphens/>
              <w:spacing w:before="40" w:after="40"/>
              <w:ind w:left="57" w:right="113"/>
              <w:jc w:val="center"/>
              <w:rPr>
                <w:sz w:val="18"/>
                <w:szCs w:val="18"/>
                <w:lang w:eastAsia="ar-SA"/>
              </w:rPr>
            </w:pPr>
            <w:r w:rsidRPr="00430543">
              <w:rPr>
                <w:sz w:val="18"/>
                <w:szCs w:val="18"/>
              </w:rPr>
              <w:t>Ustanovení (čl., odst., písm., bod, apod.)</w:t>
            </w:r>
          </w:p>
        </w:tc>
        <w:tc>
          <w:tcPr>
            <w:tcW w:w="23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0EA52D" w14:textId="77777777" w:rsidR="006436F8" w:rsidRPr="00430543" w:rsidRDefault="006436F8" w:rsidP="00BD568C">
            <w:pPr>
              <w:widowControl w:val="0"/>
              <w:tabs>
                <w:tab w:val="left" w:pos="360"/>
              </w:tabs>
              <w:suppressAutoHyphens/>
              <w:spacing w:before="40" w:after="40"/>
              <w:ind w:left="57" w:right="113"/>
              <w:jc w:val="center"/>
              <w:rPr>
                <w:sz w:val="18"/>
                <w:szCs w:val="18"/>
                <w:lang w:eastAsia="ar-SA"/>
              </w:rPr>
            </w:pPr>
            <w:r w:rsidRPr="00430543">
              <w:rPr>
                <w:sz w:val="18"/>
                <w:szCs w:val="18"/>
              </w:rPr>
              <w:t>Obsah</w:t>
            </w:r>
          </w:p>
        </w:tc>
      </w:tr>
      <w:tr w:rsidR="00844D2C" w:rsidRPr="00675767" w14:paraId="4752D5E8" w14:textId="77777777" w:rsidTr="00A46A98">
        <w:tc>
          <w:tcPr>
            <w:tcW w:w="379" w:type="pct"/>
            <w:tcBorders>
              <w:top w:val="single" w:sz="4" w:space="0" w:color="auto"/>
              <w:left w:val="single" w:sz="4" w:space="0" w:color="auto"/>
              <w:bottom w:val="single" w:sz="4" w:space="0" w:color="auto"/>
              <w:right w:val="single" w:sz="4" w:space="0" w:color="auto"/>
            </w:tcBorders>
          </w:tcPr>
          <w:p w14:paraId="23B7012B" w14:textId="7155DF4A" w:rsidR="00844D2C" w:rsidRPr="00430543" w:rsidRDefault="0097268B" w:rsidP="00F72915">
            <w:pPr>
              <w:widowControl w:val="0"/>
              <w:suppressAutoHyphens/>
              <w:ind w:left="57" w:right="113"/>
              <w:jc w:val="both"/>
              <w:rPr>
                <w:sz w:val="18"/>
                <w:szCs w:val="18"/>
                <w:lang w:eastAsia="ar-SA"/>
              </w:rPr>
            </w:pPr>
            <w:r w:rsidRPr="00430543">
              <w:rPr>
                <w:sz w:val="18"/>
                <w:szCs w:val="18"/>
                <w:lang w:eastAsia="ar-SA"/>
              </w:rPr>
              <w:t>§ 5</w:t>
            </w:r>
            <w:r w:rsidR="001779C8">
              <w:rPr>
                <w:sz w:val="18"/>
                <w:szCs w:val="18"/>
                <w:lang w:eastAsia="ar-SA"/>
              </w:rPr>
              <w:t xml:space="preserve"> odst. 1</w:t>
            </w:r>
          </w:p>
        </w:tc>
        <w:tc>
          <w:tcPr>
            <w:tcW w:w="1328" w:type="pct"/>
            <w:tcBorders>
              <w:top w:val="single" w:sz="4" w:space="0" w:color="auto"/>
              <w:left w:val="single" w:sz="4" w:space="0" w:color="auto"/>
              <w:bottom w:val="single" w:sz="4" w:space="0" w:color="auto"/>
              <w:right w:val="single" w:sz="4" w:space="0" w:color="auto"/>
            </w:tcBorders>
          </w:tcPr>
          <w:p w14:paraId="3C60B6D4" w14:textId="04563028" w:rsidR="0097268B" w:rsidRPr="00430543" w:rsidRDefault="0097268B" w:rsidP="0097268B">
            <w:pPr>
              <w:widowControl w:val="0"/>
              <w:suppressAutoHyphens/>
              <w:ind w:left="57" w:right="113"/>
              <w:jc w:val="both"/>
              <w:rPr>
                <w:sz w:val="18"/>
                <w:szCs w:val="18"/>
                <w:lang w:eastAsia="ar-SA"/>
              </w:rPr>
            </w:pPr>
            <w:r w:rsidRPr="00430543">
              <w:rPr>
                <w:sz w:val="18"/>
                <w:szCs w:val="18"/>
                <w:lang w:eastAsia="ar-SA"/>
              </w:rPr>
              <w:t>(1)</w:t>
            </w:r>
            <w:r w:rsidRPr="00430543">
              <w:rPr>
                <w:sz w:val="18"/>
                <w:szCs w:val="18"/>
                <w:lang w:eastAsia="ar-SA"/>
              </w:rPr>
              <w:tab/>
              <w:t xml:space="preserve">Pravidlem pro nedostatečně zdaněný zisk se pro účely dorovnávacích daní rozumí postup, podle kterého členské entitě nadnárodní skupiny vznikne za dané </w:t>
            </w:r>
            <w:r w:rsidR="001779C8" w:rsidRPr="001779C8">
              <w:rPr>
                <w:b/>
                <w:sz w:val="18"/>
                <w:szCs w:val="18"/>
                <w:u w:val="single"/>
                <w:lang w:eastAsia="ar-SA"/>
              </w:rPr>
              <w:t>výkazní</w:t>
            </w:r>
            <w:r w:rsidRPr="00430543">
              <w:rPr>
                <w:sz w:val="18"/>
                <w:szCs w:val="18"/>
                <w:lang w:eastAsia="ar-SA"/>
              </w:rPr>
              <w:t xml:space="preserve"> období dodatečná splatná daň ve výši odpovídající podílu této entity na přiřazované dorovnávací dani, která nebyla stanovena podle pravidla pro zahrnutí zisku ve vztahu k nízce zdaněným členským entitám této skupiny.</w:t>
            </w:r>
          </w:p>
          <w:p w14:paraId="3EB49115" w14:textId="4AF9C6BE" w:rsidR="00844D2C" w:rsidRPr="00430543" w:rsidRDefault="00844D2C" w:rsidP="0097268B">
            <w:pPr>
              <w:widowControl w:val="0"/>
              <w:suppressAutoHyphens/>
              <w:ind w:left="57"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tcPr>
          <w:p w14:paraId="302EB0E4" w14:textId="092F07D3" w:rsidR="00844D2C" w:rsidRPr="00430543" w:rsidRDefault="00CD3523" w:rsidP="00CD3523">
            <w:pPr>
              <w:widowControl w:val="0"/>
              <w:ind w:left="57" w:right="113"/>
              <w:rPr>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tcPr>
          <w:p w14:paraId="545265DC" w14:textId="77777777" w:rsidR="00F56CFB" w:rsidRPr="00430543" w:rsidRDefault="00F25400" w:rsidP="00F56CFB">
            <w:pPr>
              <w:widowControl w:val="0"/>
              <w:ind w:left="57" w:right="113"/>
              <w:rPr>
                <w:sz w:val="18"/>
                <w:szCs w:val="18"/>
              </w:rPr>
            </w:pPr>
            <w:r w:rsidRPr="00430543">
              <w:rPr>
                <w:sz w:val="18"/>
                <w:szCs w:val="18"/>
              </w:rPr>
              <w:t>čl. 1 odst. 1 písm. b)</w:t>
            </w:r>
          </w:p>
          <w:p w14:paraId="64C3BDDA" w14:textId="77777777" w:rsidR="00F56CFB" w:rsidRPr="00430543" w:rsidRDefault="00F56CFB" w:rsidP="00F56CFB">
            <w:pPr>
              <w:widowControl w:val="0"/>
              <w:ind w:left="57" w:right="113"/>
              <w:rPr>
                <w:sz w:val="18"/>
                <w:szCs w:val="18"/>
              </w:rPr>
            </w:pPr>
          </w:p>
          <w:p w14:paraId="7E61B11F" w14:textId="77777777" w:rsidR="00F56CFB" w:rsidRPr="00430543" w:rsidRDefault="00F56CFB" w:rsidP="00F56CFB">
            <w:pPr>
              <w:widowControl w:val="0"/>
              <w:ind w:left="57" w:right="113"/>
              <w:rPr>
                <w:sz w:val="18"/>
                <w:szCs w:val="18"/>
              </w:rPr>
            </w:pPr>
          </w:p>
          <w:p w14:paraId="24D5DC1B" w14:textId="77777777" w:rsidR="00F56CFB" w:rsidRPr="00430543" w:rsidRDefault="00F56CFB" w:rsidP="00F56CFB">
            <w:pPr>
              <w:widowControl w:val="0"/>
              <w:ind w:left="57" w:right="113"/>
              <w:rPr>
                <w:sz w:val="18"/>
                <w:szCs w:val="18"/>
              </w:rPr>
            </w:pPr>
          </w:p>
          <w:p w14:paraId="356A82F9" w14:textId="3027007E" w:rsidR="00F56CFB" w:rsidRPr="00430543" w:rsidRDefault="00F56CFB" w:rsidP="00F56CFB">
            <w:pPr>
              <w:widowControl w:val="0"/>
              <w:ind w:left="57" w:right="113"/>
              <w:rPr>
                <w:sz w:val="18"/>
                <w:szCs w:val="18"/>
              </w:rPr>
            </w:pPr>
          </w:p>
          <w:p w14:paraId="634AB518" w14:textId="2B91D9CD" w:rsidR="00F56CFB" w:rsidRPr="00430543" w:rsidRDefault="00F56CFB" w:rsidP="00F56CFB">
            <w:pPr>
              <w:widowControl w:val="0"/>
              <w:ind w:left="57" w:right="113"/>
              <w:rPr>
                <w:sz w:val="18"/>
                <w:szCs w:val="18"/>
              </w:rPr>
            </w:pPr>
          </w:p>
          <w:p w14:paraId="155D49CB" w14:textId="32824094" w:rsidR="00F56CFB" w:rsidRPr="00430543" w:rsidRDefault="00F56CFB" w:rsidP="00F56CFB">
            <w:pPr>
              <w:widowControl w:val="0"/>
              <w:ind w:left="57" w:right="113"/>
              <w:rPr>
                <w:sz w:val="18"/>
                <w:szCs w:val="18"/>
              </w:rPr>
            </w:pPr>
          </w:p>
          <w:p w14:paraId="49F443B5" w14:textId="47B2ACE0" w:rsidR="00F56CFB" w:rsidRPr="00430543" w:rsidRDefault="00F56CFB" w:rsidP="00F56CFB">
            <w:pPr>
              <w:widowControl w:val="0"/>
              <w:ind w:left="57" w:right="113"/>
              <w:rPr>
                <w:sz w:val="18"/>
                <w:szCs w:val="18"/>
              </w:rPr>
            </w:pPr>
          </w:p>
          <w:p w14:paraId="2C9EF574" w14:textId="259F899D" w:rsidR="00F56CFB" w:rsidRPr="00430543" w:rsidRDefault="00F56CFB" w:rsidP="00F56CFB">
            <w:pPr>
              <w:widowControl w:val="0"/>
              <w:ind w:left="57" w:right="113"/>
              <w:rPr>
                <w:sz w:val="18"/>
                <w:szCs w:val="18"/>
              </w:rPr>
            </w:pPr>
          </w:p>
          <w:p w14:paraId="746F01FB" w14:textId="0A3C0C02" w:rsidR="00F56CFB" w:rsidRPr="00430543" w:rsidRDefault="00F56CFB" w:rsidP="00F56CFB">
            <w:pPr>
              <w:widowControl w:val="0"/>
              <w:ind w:left="57" w:right="113"/>
              <w:rPr>
                <w:sz w:val="18"/>
                <w:szCs w:val="18"/>
              </w:rPr>
            </w:pPr>
          </w:p>
          <w:p w14:paraId="3CA57155" w14:textId="77777777" w:rsidR="00F56CFB" w:rsidRPr="00430543" w:rsidRDefault="00F56CFB" w:rsidP="00F56CFB">
            <w:pPr>
              <w:widowControl w:val="0"/>
              <w:ind w:left="57" w:right="113"/>
              <w:rPr>
                <w:sz w:val="18"/>
                <w:szCs w:val="18"/>
              </w:rPr>
            </w:pPr>
          </w:p>
          <w:p w14:paraId="36ED7824" w14:textId="77777777" w:rsidR="007D66FA" w:rsidRDefault="007D66FA" w:rsidP="00F72915">
            <w:pPr>
              <w:widowControl w:val="0"/>
              <w:ind w:left="57" w:right="113"/>
              <w:rPr>
                <w:sz w:val="18"/>
                <w:szCs w:val="18"/>
              </w:rPr>
            </w:pPr>
          </w:p>
          <w:p w14:paraId="0A44E1A4" w14:textId="29A15F3D" w:rsidR="00844D2C" w:rsidRPr="00430543" w:rsidRDefault="00844D2C" w:rsidP="00F72915">
            <w:pPr>
              <w:widowControl w:val="0"/>
              <w:ind w:left="57" w:right="113"/>
              <w:rPr>
                <w:sz w:val="18"/>
                <w:szCs w:val="18"/>
              </w:rPr>
            </w:pPr>
          </w:p>
        </w:tc>
        <w:tc>
          <w:tcPr>
            <w:tcW w:w="2381" w:type="pct"/>
            <w:tcBorders>
              <w:top w:val="single" w:sz="4" w:space="0" w:color="auto"/>
              <w:left w:val="single" w:sz="4" w:space="0" w:color="auto"/>
              <w:bottom w:val="single" w:sz="4" w:space="0" w:color="auto"/>
              <w:right w:val="single" w:sz="4" w:space="0" w:color="auto"/>
            </w:tcBorders>
          </w:tcPr>
          <w:p w14:paraId="0F149FFE" w14:textId="3C6EEEC0" w:rsidR="00F56CFB" w:rsidRPr="00F56CFB" w:rsidRDefault="00F56CFB" w:rsidP="00F56CFB">
            <w:pPr>
              <w:pStyle w:val="Default"/>
              <w:rPr>
                <w:rFonts w:ascii="Times New Roman" w:hAnsi="Times New Roman" w:cs="Times New Roman"/>
                <w:sz w:val="18"/>
                <w:szCs w:val="18"/>
              </w:rPr>
            </w:pPr>
            <w:r w:rsidRPr="00F56CFB">
              <w:rPr>
                <w:rFonts w:ascii="Times New Roman" w:hAnsi="Times New Roman" w:cs="Times New Roman"/>
                <w:sz w:val="18"/>
                <w:szCs w:val="18"/>
              </w:rPr>
              <w:t>1.   Tato směrnice stanoví společná opatření pro minimální efektivní zdanění nadnárodních skupin podniků a velkých vnitrostátních skupin v podobě:</w:t>
            </w:r>
          </w:p>
          <w:p w14:paraId="254A7F68" w14:textId="77777777" w:rsidR="00F56CFB" w:rsidRPr="00F56CFB" w:rsidRDefault="00F56CFB" w:rsidP="00F56CFB">
            <w:pPr>
              <w:pStyle w:val="Default"/>
              <w:rPr>
                <w:rFonts w:ascii="Times New Roman" w:hAnsi="Times New Roman" w:cs="Times New Roman"/>
                <w:sz w:val="18"/>
                <w:szCs w:val="18"/>
              </w:rPr>
            </w:pPr>
          </w:p>
          <w:p w14:paraId="16F1297B" w14:textId="3D19CEA1" w:rsidR="00F56CFB" w:rsidRPr="00F56CFB" w:rsidRDefault="00F56CFB" w:rsidP="00F56CFB">
            <w:pPr>
              <w:pStyle w:val="Default"/>
              <w:rPr>
                <w:rFonts w:ascii="Times New Roman" w:hAnsi="Times New Roman" w:cs="Times New Roman"/>
                <w:sz w:val="18"/>
                <w:szCs w:val="18"/>
              </w:rPr>
            </w:pPr>
            <w:r w:rsidRPr="00F56CFB">
              <w:rPr>
                <w:rFonts w:ascii="Times New Roman" w:hAnsi="Times New Roman" w:cs="Times New Roman"/>
                <w:sz w:val="18"/>
                <w:szCs w:val="18"/>
              </w:rPr>
              <w:t>a)</w:t>
            </w:r>
            <w:r>
              <w:rPr>
                <w:rFonts w:ascii="Times New Roman" w:hAnsi="Times New Roman" w:cs="Times New Roman"/>
                <w:sz w:val="18"/>
                <w:szCs w:val="18"/>
              </w:rPr>
              <w:t xml:space="preserve"> </w:t>
            </w:r>
            <w:r w:rsidRPr="00F56CFB">
              <w:rPr>
                <w:rFonts w:ascii="Times New Roman" w:hAnsi="Times New Roman" w:cs="Times New Roman"/>
                <w:sz w:val="18"/>
                <w:szCs w:val="18"/>
              </w:rPr>
              <w:t>pravidla pro zahrnutí příjmů, podle něhož mateřský subjekt nadnárodní skupiny podniků nebo velké vnitrostátní skupiny vypočítává a hradí svůj přidělitelný podíl dorovnávací daně ve vztahu k nízce zdaněným členským subjektům dané skupiny; a</w:t>
            </w:r>
          </w:p>
          <w:p w14:paraId="3CD11F49" w14:textId="77777777" w:rsidR="00F56CFB" w:rsidRPr="00F56CFB" w:rsidRDefault="00F56CFB" w:rsidP="00F56CFB">
            <w:pPr>
              <w:pStyle w:val="Default"/>
              <w:rPr>
                <w:rFonts w:ascii="Times New Roman" w:hAnsi="Times New Roman" w:cs="Times New Roman"/>
                <w:sz w:val="18"/>
                <w:szCs w:val="18"/>
              </w:rPr>
            </w:pPr>
          </w:p>
          <w:p w14:paraId="0F90F6A5" w14:textId="63124002" w:rsidR="00844D2C" w:rsidRDefault="00F56CFB" w:rsidP="00F72915">
            <w:pPr>
              <w:pStyle w:val="Default"/>
              <w:rPr>
                <w:rFonts w:ascii="Times New Roman" w:hAnsi="Times New Roman" w:cs="Times New Roman"/>
                <w:sz w:val="18"/>
                <w:szCs w:val="18"/>
              </w:rPr>
            </w:pPr>
            <w:r w:rsidRPr="00F56CFB">
              <w:rPr>
                <w:rFonts w:ascii="Times New Roman" w:hAnsi="Times New Roman" w:cs="Times New Roman"/>
                <w:sz w:val="18"/>
                <w:szCs w:val="18"/>
              </w:rPr>
              <w:t>b)</w:t>
            </w:r>
            <w:r>
              <w:rPr>
                <w:rFonts w:ascii="Times New Roman" w:hAnsi="Times New Roman" w:cs="Times New Roman"/>
                <w:sz w:val="18"/>
                <w:szCs w:val="18"/>
              </w:rPr>
              <w:t xml:space="preserve"> </w:t>
            </w:r>
            <w:r w:rsidRPr="00F56CFB">
              <w:rPr>
                <w:rFonts w:ascii="Times New Roman" w:hAnsi="Times New Roman" w:cs="Times New Roman"/>
                <w:sz w:val="18"/>
                <w:szCs w:val="18"/>
              </w:rPr>
              <w:t>pravidla pro nedostatečně zdaněný zisk, podle něhož má členský subjekt nadnárodní skupiny podniků dodatečný hotovostní daňový náklad, který se rovná jeho podílu dorovnávací daně, která nebyla vyměřena podle pravidla pro zahrnutí příjmů, ve vztahu k nízce zdaněným členským subjektům dané skupiny.</w:t>
            </w:r>
          </w:p>
        </w:tc>
      </w:tr>
      <w:tr w:rsidR="00F25400" w:rsidRPr="00675767" w14:paraId="058A779F" w14:textId="77777777" w:rsidTr="00165E18">
        <w:trPr>
          <w:trHeight w:val="5258"/>
        </w:trPr>
        <w:tc>
          <w:tcPr>
            <w:tcW w:w="379" w:type="pct"/>
            <w:tcBorders>
              <w:top w:val="single" w:sz="4" w:space="0" w:color="auto"/>
              <w:left w:val="single" w:sz="4" w:space="0" w:color="auto"/>
              <w:bottom w:val="single" w:sz="4" w:space="0" w:color="auto"/>
              <w:right w:val="single" w:sz="4" w:space="0" w:color="auto"/>
            </w:tcBorders>
          </w:tcPr>
          <w:p w14:paraId="5CC07492" w14:textId="1AFBF326" w:rsidR="00F25400" w:rsidRPr="001E5CD0" w:rsidRDefault="00F25400" w:rsidP="00F72915">
            <w:pPr>
              <w:widowControl w:val="0"/>
              <w:suppressAutoHyphens/>
              <w:ind w:left="57" w:right="113"/>
              <w:jc w:val="both"/>
              <w:rPr>
                <w:sz w:val="18"/>
                <w:szCs w:val="18"/>
                <w:lang w:eastAsia="ar-SA"/>
              </w:rPr>
            </w:pPr>
            <w:r w:rsidRPr="001E5CD0">
              <w:rPr>
                <w:sz w:val="18"/>
                <w:szCs w:val="18"/>
                <w:lang w:eastAsia="ar-SA"/>
              </w:rPr>
              <w:t>§ 6</w:t>
            </w:r>
            <w:r w:rsidR="00933585" w:rsidRPr="001E5CD0">
              <w:rPr>
                <w:sz w:val="18"/>
                <w:szCs w:val="18"/>
                <w:lang w:eastAsia="ar-SA"/>
              </w:rPr>
              <w:t xml:space="preserve"> odst. 1 písm. g) a h)</w:t>
            </w:r>
          </w:p>
        </w:tc>
        <w:tc>
          <w:tcPr>
            <w:tcW w:w="1328" w:type="pct"/>
            <w:tcBorders>
              <w:top w:val="single" w:sz="4" w:space="0" w:color="auto"/>
              <w:left w:val="single" w:sz="4" w:space="0" w:color="auto"/>
              <w:bottom w:val="single" w:sz="4" w:space="0" w:color="auto"/>
              <w:right w:val="single" w:sz="4" w:space="0" w:color="auto"/>
            </w:tcBorders>
          </w:tcPr>
          <w:p w14:paraId="52D8FB31" w14:textId="77777777" w:rsidR="001E5CD0" w:rsidRPr="001E5CD0" w:rsidRDefault="001E5CD0" w:rsidP="001E5CD0">
            <w:pPr>
              <w:pStyle w:val="Textparagrafu"/>
              <w:ind w:firstLine="0"/>
              <w:rPr>
                <w:sz w:val="18"/>
                <w:szCs w:val="18"/>
              </w:rPr>
            </w:pPr>
            <w:r w:rsidRPr="001E5CD0">
              <w:rPr>
                <w:sz w:val="18"/>
                <w:szCs w:val="18"/>
              </w:rPr>
              <w:t>Pro účely dorovnávacích daní se rozumí</w:t>
            </w:r>
          </w:p>
          <w:p w14:paraId="4B608A62" w14:textId="3256E6A2" w:rsidR="001E5CD0" w:rsidRPr="001E5CD0" w:rsidRDefault="001E5CD0" w:rsidP="009F20F8">
            <w:pPr>
              <w:pStyle w:val="PZTextpsmene"/>
              <w:rPr>
                <w:sz w:val="18"/>
                <w:szCs w:val="18"/>
              </w:rPr>
            </w:pPr>
          </w:p>
          <w:p w14:paraId="4ADA9092" w14:textId="77777777" w:rsidR="001E5CD0" w:rsidRPr="001E5CD0" w:rsidRDefault="001E5CD0" w:rsidP="009F20F8">
            <w:pPr>
              <w:pStyle w:val="PZTextpsmene"/>
              <w:rPr>
                <w:sz w:val="18"/>
                <w:szCs w:val="18"/>
              </w:rPr>
            </w:pPr>
          </w:p>
          <w:p w14:paraId="1D90998B" w14:textId="3A7C3DED" w:rsidR="009F20F8" w:rsidRPr="001E5CD0" w:rsidRDefault="009F20F8" w:rsidP="009F20F8">
            <w:pPr>
              <w:pStyle w:val="PZTextpsmene"/>
              <w:rPr>
                <w:sz w:val="18"/>
                <w:szCs w:val="18"/>
              </w:rPr>
            </w:pPr>
            <w:proofErr w:type="gramStart"/>
            <w:r w:rsidRPr="001E5CD0">
              <w:rPr>
                <w:sz w:val="18"/>
                <w:szCs w:val="18"/>
              </w:rPr>
              <w:t>g)</w:t>
            </w:r>
            <w:r w:rsidRPr="001E5CD0">
              <w:rPr>
                <w:sz w:val="18"/>
                <w:szCs w:val="18"/>
              </w:rPr>
              <w:tab/>
              <w:t>střední</w:t>
            </w:r>
            <w:proofErr w:type="gramEnd"/>
            <w:r w:rsidRPr="001E5CD0">
              <w:rPr>
                <w:sz w:val="18"/>
                <w:szCs w:val="18"/>
              </w:rPr>
              <w:t xml:space="preserve"> mateřskou entitou členská entita, </w:t>
            </w:r>
            <w:proofErr w:type="gramStart"/>
            <w:r w:rsidRPr="001E5CD0">
              <w:rPr>
                <w:sz w:val="18"/>
                <w:szCs w:val="18"/>
              </w:rPr>
              <w:t>která</w:t>
            </w:r>
            <w:proofErr w:type="gramEnd"/>
          </w:p>
          <w:p w14:paraId="4F5F2C08" w14:textId="77777777" w:rsidR="009F20F8" w:rsidRPr="001E5CD0" w:rsidRDefault="009F20F8" w:rsidP="009F20F8">
            <w:pPr>
              <w:pStyle w:val="PZTextbodu"/>
              <w:rPr>
                <w:sz w:val="18"/>
                <w:szCs w:val="18"/>
              </w:rPr>
            </w:pPr>
            <w:r w:rsidRPr="001E5CD0">
              <w:rPr>
                <w:sz w:val="18"/>
                <w:szCs w:val="18"/>
              </w:rPr>
              <w:t>1.</w:t>
            </w:r>
            <w:r w:rsidRPr="001E5CD0">
              <w:rPr>
                <w:sz w:val="18"/>
                <w:szCs w:val="18"/>
              </w:rPr>
              <w:tab/>
              <w:t>přímo nebo nepřímo drží vlastnický podíl v jiné členské entitě z téže nadnárodní skupiny nebo vnitrostátní skupiny a</w:t>
            </w:r>
          </w:p>
          <w:p w14:paraId="11291423" w14:textId="5AD151BD" w:rsidR="009F20F8" w:rsidRPr="001E5CD0" w:rsidRDefault="009F20F8" w:rsidP="009F20F8">
            <w:pPr>
              <w:pStyle w:val="PZTextbodu"/>
              <w:rPr>
                <w:sz w:val="18"/>
                <w:szCs w:val="18"/>
              </w:rPr>
            </w:pPr>
            <w:r w:rsidRPr="001E5CD0">
              <w:rPr>
                <w:sz w:val="18"/>
                <w:szCs w:val="18"/>
              </w:rPr>
              <w:t>2.</w:t>
            </w:r>
            <w:r w:rsidRPr="001E5CD0">
              <w:rPr>
                <w:sz w:val="18"/>
                <w:szCs w:val="18"/>
              </w:rPr>
              <w:tab/>
              <w:t>není nejvyšší mateřskou entitou, částečně vlastněnou mateřskou entitou, stálou provozovnou</w:t>
            </w:r>
            <w:r w:rsidRPr="001E5CD0">
              <w:rPr>
                <w:noProof/>
                <w:sz w:val="18"/>
                <w:szCs w:val="18"/>
              </w:rPr>
              <w:t>,</w:t>
            </w:r>
            <w:r w:rsidRPr="001E5CD0">
              <w:rPr>
                <w:b/>
                <w:noProof/>
                <w:sz w:val="18"/>
                <w:szCs w:val="18"/>
              </w:rPr>
              <w:t> </w:t>
            </w:r>
            <w:r w:rsidRPr="001E5CD0">
              <w:rPr>
                <w:b/>
                <w:noProof/>
                <w:sz w:val="18"/>
                <w:szCs w:val="18"/>
                <w:u w:val="single"/>
              </w:rPr>
              <w:t>investiční entitou</w:t>
            </w:r>
            <w:r w:rsidRPr="001E5CD0">
              <w:rPr>
                <w:noProof/>
                <w:sz w:val="18"/>
                <w:szCs w:val="18"/>
              </w:rPr>
              <w:t xml:space="preserve"> ani pojišťovací investiční entitou</w:t>
            </w:r>
            <w:r w:rsidRPr="001E5CD0">
              <w:rPr>
                <w:sz w:val="18"/>
                <w:szCs w:val="18"/>
              </w:rPr>
              <w:t>,</w:t>
            </w:r>
          </w:p>
          <w:p w14:paraId="6FF64566" w14:textId="77777777" w:rsidR="009F20F8" w:rsidRPr="001E5CD0" w:rsidRDefault="009F20F8" w:rsidP="009F20F8">
            <w:pPr>
              <w:pStyle w:val="PZTextpsmene"/>
              <w:rPr>
                <w:sz w:val="18"/>
                <w:szCs w:val="18"/>
              </w:rPr>
            </w:pPr>
            <w:r w:rsidRPr="001E5CD0">
              <w:rPr>
                <w:sz w:val="18"/>
                <w:szCs w:val="18"/>
              </w:rPr>
              <w:t>h)</w:t>
            </w:r>
            <w:r w:rsidRPr="001E5CD0">
              <w:rPr>
                <w:sz w:val="18"/>
                <w:szCs w:val="18"/>
              </w:rPr>
              <w:tab/>
              <w:t>částečně vlastněnou mateřskou entitou členská entita,</w:t>
            </w:r>
          </w:p>
          <w:p w14:paraId="55D14D38" w14:textId="77777777" w:rsidR="009F20F8" w:rsidRPr="001E5CD0" w:rsidRDefault="009F20F8" w:rsidP="009F20F8">
            <w:pPr>
              <w:pStyle w:val="PZTextbodu"/>
              <w:rPr>
                <w:sz w:val="18"/>
                <w:szCs w:val="18"/>
              </w:rPr>
            </w:pPr>
            <w:r w:rsidRPr="001E5CD0">
              <w:rPr>
                <w:sz w:val="18"/>
                <w:szCs w:val="18"/>
              </w:rPr>
              <w:t>1.</w:t>
            </w:r>
            <w:r w:rsidRPr="001E5CD0">
              <w:rPr>
                <w:sz w:val="18"/>
                <w:szCs w:val="18"/>
              </w:rPr>
              <w:tab/>
              <w:t>která přímo nebo nepřímo drží vlastnický podíl v jiné členské entitě téže nadnárodní skupiny nebo vnitrostátní skupiny,</w:t>
            </w:r>
          </w:p>
          <w:p w14:paraId="598C3E3A" w14:textId="66AD3050" w:rsidR="009F20F8" w:rsidRPr="001E5CD0" w:rsidRDefault="009F20F8" w:rsidP="009F20F8">
            <w:pPr>
              <w:pStyle w:val="PZTextbodu"/>
              <w:rPr>
                <w:sz w:val="18"/>
                <w:szCs w:val="18"/>
              </w:rPr>
            </w:pPr>
            <w:r w:rsidRPr="001E5CD0">
              <w:rPr>
                <w:sz w:val="18"/>
                <w:szCs w:val="18"/>
              </w:rPr>
              <w:t>2.</w:t>
            </w:r>
            <w:r w:rsidRPr="001E5CD0">
              <w:rPr>
                <w:sz w:val="18"/>
                <w:szCs w:val="18"/>
              </w:rPr>
              <w:tab/>
              <w:t xml:space="preserve">ve které přímo nebo nepřímo drží podíl na základním kapitálu, s nímž je spojeno právo na podíl na zisku, ve výši </w:t>
            </w:r>
            <w:r w:rsidRPr="001E5CD0">
              <w:rPr>
                <w:b/>
                <w:sz w:val="18"/>
                <w:szCs w:val="18"/>
                <w:u w:val="single"/>
              </w:rPr>
              <w:t>převyšující</w:t>
            </w:r>
            <w:r w:rsidRPr="001E5CD0">
              <w:rPr>
                <w:sz w:val="18"/>
                <w:szCs w:val="18"/>
              </w:rPr>
              <w:t xml:space="preserve"> 20 % jedna nebo několik osob, které nejsou členskými entitami nadnárodní skupiny nebo vnitrostátní skupiny podle bodu 1, a</w:t>
            </w:r>
          </w:p>
          <w:p w14:paraId="743C0B96" w14:textId="320210A9" w:rsidR="009F20F8" w:rsidRPr="001E5CD0" w:rsidRDefault="009F20F8" w:rsidP="009F20F8">
            <w:pPr>
              <w:pStyle w:val="PZTextbodu"/>
              <w:rPr>
                <w:sz w:val="18"/>
                <w:szCs w:val="18"/>
              </w:rPr>
            </w:pPr>
            <w:r w:rsidRPr="001E5CD0">
              <w:rPr>
                <w:sz w:val="18"/>
                <w:szCs w:val="18"/>
              </w:rPr>
              <w:lastRenderedPageBreak/>
              <w:t>3.</w:t>
            </w:r>
            <w:r w:rsidRPr="001E5CD0">
              <w:rPr>
                <w:sz w:val="18"/>
                <w:szCs w:val="18"/>
              </w:rPr>
              <w:tab/>
              <w:t>která není nejvyšší mateřskou entitou, stálou provozovnou</w:t>
            </w:r>
            <w:r w:rsidRPr="001E5CD0">
              <w:rPr>
                <w:noProof/>
                <w:sz w:val="18"/>
                <w:szCs w:val="18"/>
              </w:rPr>
              <w:t>, </w:t>
            </w:r>
            <w:r w:rsidRPr="001E5CD0">
              <w:rPr>
                <w:b/>
                <w:noProof/>
                <w:sz w:val="18"/>
                <w:szCs w:val="18"/>
                <w:u w:val="single"/>
              </w:rPr>
              <w:t>investiční entitou</w:t>
            </w:r>
            <w:r w:rsidRPr="001E5CD0">
              <w:rPr>
                <w:b/>
                <w:noProof/>
                <w:sz w:val="18"/>
                <w:szCs w:val="18"/>
              </w:rPr>
              <w:t xml:space="preserve"> </w:t>
            </w:r>
            <w:r w:rsidRPr="001E5CD0">
              <w:rPr>
                <w:noProof/>
                <w:sz w:val="18"/>
                <w:szCs w:val="18"/>
              </w:rPr>
              <w:t>ani pojišťovací investiční entitou</w:t>
            </w:r>
            <w:r w:rsidRPr="001E5CD0">
              <w:rPr>
                <w:sz w:val="18"/>
                <w:szCs w:val="18"/>
              </w:rPr>
              <w:t>,</w:t>
            </w:r>
          </w:p>
          <w:p w14:paraId="5E44FCC6" w14:textId="3EB0BEB2" w:rsidR="00F25400" w:rsidRPr="001E5CD0" w:rsidRDefault="00F25400" w:rsidP="00933585">
            <w:pPr>
              <w:widowControl w:val="0"/>
              <w:suppressAutoHyphens/>
              <w:ind w:left="57"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tcPr>
          <w:p w14:paraId="17A21BD0" w14:textId="6C4BEB4A" w:rsidR="00F25400" w:rsidRPr="00430543" w:rsidRDefault="00CD3523" w:rsidP="00CD3523">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tcPr>
          <w:p w14:paraId="21539A0F" w14:textId="3F22CF0C" w:rsidR="00401306" w:rsidRDefault="00401306" w:rsidP="00F72915">
            <w:pPr>
              <w:widowControl w:val="0"/>
              <w:ind w:left="57" w:right="113"/>
              <w:rPr>
                <w:sz w:val="18"/>
                <w:szCs w:val="18"/>
              </w:rPr>
            </w:pPr>
            <w:r>
              <w:rPr>
                <w:sz w:val="18"/>
                <w:szCs w:val="18"/>
              </w:rPr>
              <w:t>Čl. 3 body 20 a 22</w:t>
            </w:r>
          </w:p>
          <w:p w14:paraId="30C26A58" w14:textId="77777777" w:rsidR="00401306" w:rsidRDefault="00401306" w:rsidP="00F72915">
            <w:pPr>
              <w:widowControl w:val="0"/>
              <w:ind w:left="57" w:right="113"/>
              <w:rPr>
                <w:sz w:val="18"/>
                <w:szCs w:val="18"/>
              </w:rPr>
            </w:pPr>
          </w:p>
          <w:p w14:paraId="298F2D60" w14:textId="77777777" w:rsidR="00401306" w:rsidRDefault="00401306" w:rsidP="00F72915">
            <w:pPr>
              <w:widowControl w:val="0"/>
              <w:ind w:left="57" w:right="113"/>
              <w:rPr>
                <w:sz w:val="18"/>
                <w:szCs w:val="18"/>
              </w:rPr>
            </w:pPr>
          </w:p>
          <w:p w14:paraId="572E654E" w14:textId="77777777" w:rsidR="00401306" w:rsidRDefault="00401306" w:rsidP="00F72915">
            <w:pPr>
              <w:widowControl w:val="0"/>
              <w:ind w:left="57" w:right="113"/>
              <w:rPr>
                <w:sz w:val="18"/>
                <w:szCs w:val="18"/>
              </w:rPr>
            </w:pPr>
          </w:p>
          <w:p w14:paraId="12986DC7" w14:textId="77777777" w:rsidR="00401306" w:rsidRDefault="00401306" w:rsidP="00F72915">
            <w:pPr>
              <w:widowControl w:val="0"/>
              <w:ind w:left="57" w:right="113"/>
              <w:rPr>
                <w:sz w:val="18"/>
                <w:szCs w:val="18"/>
              </w:rPr>
            </w:pPr>
          </w:p>
          <w:p w14:paraId="54CBEBBD" w14:textId="77777777" w:rsidR="00401306" w:rsidRDefault="00401306" w:rsidP="00F72915">
            <w:pPr>
              <w:widowControl w:val="0"/>
              <w:ind w:left="57" w:right="113"/>
              <w:rPr>
                <w:sz w:val="18"/>
                <w:szCs w:val="18"/>
              </w:rPr>
            </w:pPr>
          </w:p>
          <w:p w14:paraId="1F5B60BD" w14:textId="77777777" w:rsidR="00401306" w:rsidRDefault="00401306" w:rsidP="00F72915">
            <w:pPr>
              <w:widowControl w:val="0"/>
              <w:ind w:left="57" w:right="113"/>
              <w:rPr>
                <w:sz w:val="18"/>
                <w:szCs w:val="18"/>
              </w:rPr>
            </w:pPr>
          </w:p>
          <w:p w14:paraId="4C225533" w14:textId="77777777" w:rsidR="00401306" w:rsidRDefault="00401306" w:rsidP="00F72915">
            <w:pPr>
              <w:widowControl w:val="0"/>
              <w:ind w:left="57" w:right="113"/>
              <w:rPr>
                <w:sz w:val="18"/>
                <w:szCs w:val="18"/>
              </w:rPr>
            </w:pPr>
          </w:p>
          <w:p w14:paraId="141DF749" w14:textId="77777777" w:rsidR="00401306" w:rsidRDefault="00401306" w:rsidP="00F72915">
            <w:pPr>
              <w:widowControl w:val="0"/>
              <w:ind w:left="57" w:right="113"/>
              <w:rPr>
                <w:sz w:val="18"/>
                <w:szCs w:val="18"/>
              </w:rPr>
            </w:pPr>
          </w:p>
          <w:p w14:paraId="0C54EEF5" w14:textId="77777777" w:rsidR="00401306" w:rsidRDefault="00401306" w:rsidP="00F72915">
            <w:pPr>
              <w:widowControl w:val="0"/>
              <w:ind w:left="57" w:right="113"/>
              <w:rPr>
                <w:sz w:val="18"/>
                <w:szCs w:val="18"/>
              </w:rPr>
            </w:pPr>
          </w:p>
          <w:p w14:paraId="19D360C8" w14:textId="77777777" w:rsidR="00401306" w:rsidRDefault="00401306" w:rsidP="00F72915">
            <w:pPr>
              <w:widowControl w:val="0"/>
              <w:ind w:left="57" w:right="113"/>
              <w:rPr>
                <w:sz w:val="18"/>
                <w:szCs w:val="18"/>
              </w:rPr>
            </w:pPr>
          </w:p>
          <w:p w14:paraId="355E2015" w14:textId="77777777" w:rsidR="00401306" w:rsidRDefault="00401306" w:rsidP="00F72915">
            <w:pPr>
              <w:widowControl w:val="0"/>
              <w:ind w:left="57" w:right="113"/>
              <w:rPr>
                <w:sz w:val="18"/>
                <w:szCs w:val="18"/>
              </w:rPr>
            </w:pPr>
          </w:p>
          <w:p w14:paraId="066FBC26" w14:textId="77777777" w:rsidR="00401306" w:rsidRDefault="00401306" w:rsidP="00F72915">
            <w:pPr>
              <w:widowControl w:val="0"/>
              <w:ind w:left="57" w:right="113"/>
              <w:rPr>
                <w:sz w:val="18"/>
                <w:szCs w:val="18"/>
              </w:rPr>
            </w:pPr>
          </w:p>
          <w:p w14:paraId="05985555" w14:textId="77777777" w:rsidR="00401306" w:rsidRDefault="00401306" w:rsidP="00F72915">
            <w:pPr>
              <w:widowControl w:val="0"/>
              <w:ind w:left="57" w:right="113"/>
              <w:rPr>
                <w:sz w:val="18"/>
                <w:szCs w:val="18"/>
              </w:rPr>
            </w:pPr>
          </w:p>
          <w:p w14:paraId="37984541" w14:textId="77777777" w:rsidR="00401306" w:rsidRDefault="00401306" w:rsidP="00F72915">
            <w:pPr>
              <w:widowControl w:val="0"/>
              <w:ind w:left="57" w:right="113"/>
              <w:rPr>
                <w:sz w:val="18"/>
                <w:szCs w:val="18"/>
              </w:rPr>
            </w:pPr>
          </w:p>
          <w:p w14:paraId="22834CAE" w14:textId="1B3E2F86" w:rsidR="00F25400" w:rsidRDefault="00401306" w:rsidP="00F72915">
            <w:pPr>
              <w:widowControl w:val="0"/>
              <w:ind w:left="57" w:right="113"/>
              <w:rPr>
                <w:sz w:val="18"/>
                <w:szCs w:val="18"/>
              </w:rPr>
            </w:pPr>
            <w:r>
              <w:rPr>
                <w:sz w:val="18"/>
                <w:szCs w:val="18"/>
              </w:rPr>
              <w:t>Čl. 7</w:t>
            </w:r>
          </w:p>
          <w:p w14:paraId="2345ED91" w14:textId="77777777" w:rsidR="00401306" w:rsidRDefault="00401306" w:rsidP="00F72915">
            <w:pPr>
              <w:widowControl w:val="0"/>
              <w:ind w:left="57" w:right="113"/>
              <w:rPr>
                <w:sz w:val="18"/>
                <w:szCs w:val="18"/>
              </w:rPr>
            </w:pPr>
          </w:p>
          <w:p w14:paraId="12AE7E64" w14:textId="77777777" w:rsidR="00401306" w:rsidRDefault="00401306" w:rsidP="00F72915">
            <w:pPr>
              <w:widowControl w:val="0"/>
              <w:ind w:left="57" w:right="113"/>
              <w:rPr>
                <w:sz w:val="18"/>
                <w:szCs w:val="18"/>
              </w:rPr>
            </w:pPr>
          </w:p>
          <w:p w14:paraId="1DA9E22D" w14:textId="77777777" w:rsidR="00401306" w:rsidRDefault="00401306" w:rsidP="00F72915">
            <w:pPr>
              <w:widowControl w:val="0"/>
              <w:ind w:left="57" w:right="113"/>
              <w:rPr>
                <w:sz w:val="18"/>
                <w:szCs w:val="18"/>
              </w:rPr>
            </w:pPr>
          </w:p>
          <w:p w14:paraId="22697CFC" w14:textId="77777777" w:rsidR="00401306" w:rsidRDefault="00401306" w:rsidP="00F72915">
            <w:pPr>
              <w:widowControl w:val="0"/>
              <w:ind w:left="57" w:right="113"/>
              <w:rPr>
                <w:sz w:val="18"/>
                <w:szCs w:val="18"/>
              </w:rPr>
            </w:pPr>
          </w:p>
          <w:p w14:paraId="02F0E471" w14:textId="77777777" w:rsidR="00401306" w:rsidRDefault="00401306" w:rsidP="00F72915">
            <w:pPr>
              <w:widowControl w:val="0"/>
              <w:ind w:left="57" w:right="113"/>
              <w:rPr>
                <w:sz w:val="18"/>
                <w:szCs w:val="18"/>
              </w:rPr>
            </w:pPr>
          </w:p>
          <w:p w14:paraId="5E992112" w14:textId="77777777" w:rsidR="00401306" w:rsidRDefault="00401306" w:rsidP="00F72915">
            <w:pPr>
              <w:widowControl w:val="0"/>
              <w:ind w:left="57" w:right="113"/>
              <w:rPr>
                <w:sz w:val="18"/>
                <w:szCs w:val="18"/>
              </w:rPr>
            </w:pPr>
          </w:p>
          <w:p w14:paraId="09B1BC5F" w14:textId="77777777" w:rsidR="00401306" w:rsidRDefault="00401306" w:rsidP="00F72915">
            <w:pPr>
              <w:widowControl w:val="0"/>
              <w:ind w:left="57" w:right="113"/>
              <w:rPr>
                <w:sz w:val="18"/>
                <w:szCs w:val="18"/>
              </w:rPr>
            </w:pPr>
          </w:p>
          <w:p w14:paraId="0563B067" w14:textId="77777777" w:rsidR="00401306" w:rsidRDefault="00401306" w:rsidP="00F72915">
            <w:pPr>
              <w:widowControl w:val="0"/>
              <w:ind w:left="57" w:right="113"/>
              <w:rPr>
                <w:sz w:val="18"/>
                <w:szCs w:val="18"/>
              </w:rPr>
            </w:pPr>
          </w:p>
          <w:p w14:paraId="3344D34D" w14:textId="77777777" w:rsidR="00401306" w:rsidRDefault="00401306" w:rsidP="00F72915">
            <w:pPr>
              <w:widowControl w:val="0"/>
              <w:ind w:left="57" w:right="113"/>
              <w:rPr>
                <w:sz w:val="18"/>
                <w:szCs w:val="18"/>
              </w:rPr>
            </w:pPr>
          </w:p>
          <w:p w14:paraId="558134D7" w14:textId="77777777" w:rsidR="00401306" w:rsidRDefault="00401306" w:rsidP="00F72915">
            <w:pPr>
              <w:widowControl w:val="0"/>
              <w:ind w:left="57" w:right="113"/>
              <w:rPr>
                <w:sz w:val="18"/>
                <w:szCs w:val="18"/>
              </w:rPr>
            </w:pPr>
          </w:p>
          <w:p w14:paraId="7E9DC345" w14:textId="77777777" w:rsidR="00401306" w:rsidRDefault="00401306" w:rsidP="00F72915">
            <w:pPr>
              <w:widowControl w:val="0"/>
              <w:ind w:left="57" w:right="113"/>
              <w:rPr>
                <w:sz w:val="18"/>
                <w:szCs w:val="18"/>
              </w:rPr>
            </w:pPr>
          </w:p>
          <w:p w14:paraId="3B918B31" w14:textId="77777777" w:rsidR="00401306" w:rsidRDefault="00401306" w:rsidP="00F72915">
            <w:pPr>
              <w:widowControl w:val="0"/>
              <w:ind w:left="57" w:right="113"/>
              <w:rPr>
                <w:sz w:val="18"/>
                <w:szCs w:val="18"/>
              </w:rPr>
            </w:pPr>
          </w:p>
          <w:p w14:paraId="4F4D32BA" w14:textId="77777777" w:rsidR="00401306" w:rsidRDefault="00401306" w:rsidP="00F72915">
            <w:pPr>
              <w:widowControl w:val="0"/>
              <w:ind w:left="57" w:right="113"/>
              <w:rPr>
                <w:sz w:val="18"/>
                <w:szCs w:val="18"/>
              </w:rPr>
            </w:pPr>
          </w:p>
          <w:p w14:paraId="5D698109" w14:textId="77777777" w:rsidR="00401306" w:rsidRDefault="00401306" w:rsidP="00F72915">
            <w:pPr>
              <w:widowControl w:val="0"/>
              <w:ind w:left="57" w:right="113"/>
              <w:rPr>
                <w:sz w:val="18"/>
                <w:szCs w:val="18"/>
              </w:rPr>
            </w:pPr>
          </w:p>
          <w:p w14:paraId="5525E25E" w14:textId="77777777" w:rsidR="00401306" w:rsidRDefault="00401306" w:rsidP="00F72915">
            <w:pPr>
              <w:widowControl w:val="0"/>
              <w:ind w:left="57" w:right="113"/>
              <w:rPr>
                <w:sz w:val="18"/>
                <w:szCs w:val="18"/>
              </w:rPr>
            </w:pPr>
          </w:p>
          <w:p w14:paraId="00599F5C" w14:textId="77777777" w:rsidR="00401306" w:rsidRDefault="00401306" w:rsidP="00F72915">
            <w:pPr>
              <w:widowControl w:val="0"/>
              <w:ind w:left="57" w:right="113"/>
              <w:rPr>
                <w:sz w:val="18"/>
                <w:szCs w:val="18"/>
              </w:rPr>
            </w:pPr>
          </w:p>
          <w:p w14:paraId="3D599339" w14:textId="77777777" w:rsidR="00401306" w:rsidRDefault="00401306" w:rsidP="00F72915">
            <w:pPr>
              <w:widowControl w:val="0"/>
              <w:ind w:left="57" w:right="113"/>
              <w:rPr>
                <w:sz w:val="18"/>
                <w:szCs w:val="18"/>
              </w:rPr>
            </w:pPr>
            <w:bookmarkStart w:id="0" w:name="_GoBack"/>
            <w:bookmarkEnd w:id="0"/>
          </w:p>
          <w:p w14:paraId="4111B2E9" w14:textId="4AC9FCBB" w:rsidR="00401306" w:rsidRPr="00430543" w:rsidRDefault="00401306" w:rsidP="00401306">
            <w:pPr>
              <w:widowControl w:val="0"/>
              <w:ind w:left="57" w:right="113"/>
              <w:rPr>
                <w:sz w:val="18"/>
                <w:szCs w:val="18"/>
              </w:rPr>
            </w:pPr>
            <w:r>
              <w:rPr>
                <w:sz w:val="18"/>
                <w:szCs w:val="18"/>
              </w:rPr>
              <w:t>Čl. 8</w:t>
            </w:r>
          </w:p>
        </w:tc>
        <w:tc>
          <w:tcPr>
            <w:tcW w:w="2381" w:type="pct"/>
            <w:tcBorders>
              <w:top w:val="single" w:sz="4" w:space="0" w:color="auto"/>
              <w:left w:val="single" w:sz="4" w:space="0" w:color="auto"/>
              <w:bottom w:val="single" w:sz="4" w:space="0" w:color="auto"/>
              <w:right w:val="single" w:sz="4" w:space="0" w:color="auto"/>
            </w:tcBorders>
          </w:tcPr>
          <w:p w14:paraId="61025FDD" w14:textId="77777777" w:rsidR="00AF3210" w:rsidRPr="00AF3210" w:rsidRDefault="00AF3210" w:rsidP="00AF3210">
            <w:pPr>
              <w:pStyle w:val="Default"/>
              <w:rPr>
                <w:rFonts w:ascii="Times New Roman" w:hAnsi="Times New Roman" w:cs="Times New Roman"/>
                <w:sz w:val="18"/>
                <w:szCs w:val="18"/>
              </w:rPr>
            </w:pPr>
          </w:p>
          <w:p w14:paraId="3FC0A6BB" w14:textId="630AC17F" w:rsidR="001E5CD0" w:rsidRDefault="001E5CD0" w:rsidP="00AF3210">
            <w:pPr>
              <w:pStyle w:val="Default"/>
              <w:rPr>
                <w:rFonts w:ascii="Times New Roman" w:hAnsi="Times New Roman" w:cs="Times New Roman"/>
                <w:sz w:val="18"/>
                <w:szCs w:val="18"/>
              </w:rPr>
            </w:pPr>
            <w:r>
              <w:rPr>
                <w:rFonts w:ascii="Times New Roman" w:hAnsi="Times New Roman" w:cs="Times New Roman"/>
                <w:sz w:val="18"/>
                <w:szCs w:val="18"/>
              </w:rPr>
              <w:t>Pro účely této směrnice se rozumí:</w:t>
            </w:r>
          </w:p>
          <w:p w14:paraId="1C4AC3C0" w14:textId="77777777" w:rsidR="001E5CD0" w:rsidRDefault="001E5CD0" w:rsidP="00AF3210">
            <w:pPr>
              <w:pStyle w:val="Default"/>
              <w:rPr>
                <w:rFonts w:ascii="Times New Roman" w:hAnsi="Times New Roman" w:cs="Times New Roman"/>
                <w:sz w:val="18"/>
                <w:szCs w:val="18"/>
              </w:rPr>
            </w:pPr>
          </w:p>
          <w:p w14:paraId="09585072" w14:textId="04C8895F" w:rsidR="00AF3210" w:rsidRDefault="00AF3210" w:rsidP="00AF3210">
            <w:pPr>
              <w:pStyle w:val="Default"/>
              <w:rPr>
                <w:rFonts w:ascii="Times New Roman" w:hAnsi="Times New Roman" w:cs="Times New Roman"/>
                <w:sz w:val="18"/>
                <w:szCs w:val="18"/>
              </w:rPr>
            </w:pPr>
            <w:r w:rsidRPr="00AF3210">
              <w:rPr>
                <w:rFonts w:ascii="Times New Roman" w:hAnsi="Times New Roman" w:cs="Times New Roman"/>
                <w:sz w:val="18"/>
                <w:szCs w:val="18"/>
              </w:rPr>
              <w:t>20)</w:t>
            </w:r>
            <w:r>
              <w:rPr>
                <w:rFonts w:ascii="Times New Roman" w:hAnsi="Times New Roman" w:cs="Times New Roman"/>
                <w:sz w:val="18"/>
                <w:szCs w:val="18"/>
              </w:rPr>
              <w:t xml:space="preserve"> </w:t>
            </w:r>
            <w:r w:rsidRPr="00AF3210">
              <w:rPr>
                <w:rFonts w:ascii="Times New Roman" w:hAnsi="Times New Roman" w:cs="Times New Roman"/>
                <w:sz w:val="18"/>
                <w:szCs w:val="18"/>
              </w:rPr>
              <w:t>„středním mateřským subjektem“ členský subjekt, který přímo či nepřímo vlastní vlastnický podíl v jiném členském subjektu z téže nadnárodní skupiny podniků nebo velké vnitrostátní skupiny a který není považován za nejvyšší mateřský subjekt, částečně vlastněný mateřský subjekt, stálou provozovnu nebo investiční subjekt;</w:t>
            </w:r>
          </w:p>
          <w:p w14:paraId="66D04289" w14:textId="77777777" w:rsidR="00712AEE" w:rsidRPr="00712AEE" w:rsidRDefault="00712AEE" w:rsidP="00712AEE">
            <w:pPr>
              <w:pStyle w:val="Default"/>
              <w:rPr>
                <w:rFonts w:ascii="Times New Roman" w:hAnsi="Times New Roman" w:cs="Times New Roman"/>
                <w:sz w:val="18"/>
                <w:szCs w:val="18"/>
              </w:rPr>
            </w:pPr>
          </w:p>
          <w:p w14:paraId="4E17EBF5" w14:textId="2CD4FC39" w:rsidR="00AF3210" w:rsidRDefault="00712AEE" w:rsidP="00712AEE">
            <w:pPr>
              <w:pStyle w:val="Default"/>
              <w:rPr>
                <w:rFonts w:ascii="Times New Roman" w:hAnsi="Times New Roman" w:cs="Times New Roman"/>
                <w:sz w:val="18"/>
                <w:szCs w:val="18"/>
              </w:rPr>
            </w:pPr>
            <w:r w:rsidRPr="00712AEE">
              <w:rPr>
                <w:rFonts w:ascii="Times New Roman" w:hAnsi="Times New Roman" w:cs="Times New Roman"/>
                <w:sz w:val="18"/>
                <w:szCs w:val="18"/>
              </w:rPr>
              <w:t>22)</w:t>
            </w:r>
            <w:r>
              <w:rPr>
                <w:rFonts w:ascii="Times New Roman" w:hAnsi="Times New Roman" w:cs="Times New Roman"/>
                <w:sz w:val="18"/>
                <w:szCs w:val="18"/>
              </w:rPr>
              <w:t xml:space="preserve"> </w:t>
            </w:r>
            <w:r w:rsidRPr="00712AEE">
              <w:rPr>
                <w:rFonts w:ascii="Times New Roman" w:hAnsi="Times New Roman" w:cs="Times New Roman"/>
                <w:sz w:val="18"/>
                <w:szCs w:val="18"/>
              </w:rPr>
              <w:t>„částečně vlastněným mateřským subjektem“ členský subjekt, který přímo nebo nepřímo vlastní vlastnický podíl v jiném členském subjektu téže nadnárodní skupiny podniků nebo velké vnitrostátní skupiny a pro nějž vlastnické podíly na jeho zisku z více než 20 % drží přímo nebo nepřímo jedna nebo několik osob, jež nejsou členskými subjekty této nadnárodní skupiny podniků nebo velké vnitrostátní skupiny, a nelze ho považovat za nejvyšší mateřský subjekt, stálou provozovnu nebo investiční subjekt;</w:t>
            </w:r>
          </w:p>
          <w:p w14:paraId="01DCDBB8" w14:textId="20CBB317" w:rsidR="00712AEE" w:rsidRDefault="00712AEE" w:rsidP="00712AEE">
            <w:pPr>
              <w:pStyle w:val="Default"/>
              <w:rPr>
                <w:rFonts w:ascii="Times New Roman" w:hAnsi="Times New Roman" w:cs="Times New Roman"/>
                <w:sz w:val="18"/>
                <w:szCs w:val="18"/>
              </w:rPr>
            </w:pPr>
          </w:p>
          <w:p w14:paraId="488251BD" w14:textId="77777777" w:rsidR="001E530B" w:rsidRPr="001E530B" w:rsidRDefault="001E530B" w:rsidP="001E530B">
            <w:pPr>
              <w:pStyle w:val="Default"/>
              <w:rPr>
                <w:rFonts w:ascii="Times New Roman" w:hAnsi="Times New Roman" w:cs="Times New Roman"/>
                <w:sz w:val="18"/>
                <w:szCs w:val="18"/>
              </w:rPr>
            </w:pPr>
          </w:p>
          <w:p w14:paraId="4A4F5050" w14:textId="77777777" w:rsidR="001E530B" w:rsidRPr="001E530B" w:rsidRDefault="001E530B" w:rsidP="001E530B">
            <w:pPr>
              <w:pStyle w:val="Default"/>
              <w:rPr>
                <w:rFonts w:ascii="Times New Roman" w:hAnsi="Times New Roman" w:cs="Times New Roman"/>
                <w:sz w:val="18"/>
                <w:szCs w:val="18"/>
              </w:rPr>
            </w:pPr>
            <w:r w:rsidRPr="001E530B">
              <w:rPr>
                <w:rFonts w:ascii="Times New Roman" w:hAnsi="Times New Roman" w:cs="Times New Roman"/>
                <w:sz w:val="18"/>
                <w:szCs w:val="18"/>
              </w:rPr>
              <w:t>1.   Členské státy zajistí, aby střední mateřský subjekt nacházející se v členském státě a držený nejvyšším mateřským subjektem, jenž je vyloučeným subjektem, podléhal za dané účetní období ve vztahu ke svým nízce zdaněným členským subjektům, které se nacházejí v jiné jurisdikci nebo které jsou bez státní příslušnosti, dorovnávací dani podle pravidla pro zahrnutí příjmů.</w:t>
            </w:r>
          </w:p>
          <w:p w14:paraId="5FC8F0F1" w14:textId="77777777" w:rsidR="001E530B" w:rsidRPr="001E530B" w:rsidRDefault="001E530B" w:rsidP="001E530B">
            <w:pPr>
              <w:pStyle w:val="Default"/>
              <w:rPr>
                <w:rFonts w:ascii="Times New Roman" w:hAnsi="Times New Roman" w:cs="Times New Roman"/>
                <w:sz w:val="18"/>
                <w:szCs w:val="18"/>
              </w:rPr>
            </w:pPr>
          </w:p>
          <w:p w14:paraId="3AD02C43" w14:textId="77777777" w:rsidR="001E530B" w:rsidRPr="001E530B" w:rsidRDefault="001E530B" w:rsidP="001E530B">
            <w:pPr>
              <w:pStyle w:val="Default"/>
              <w:rPr>
                <w:rFonts w:ascii="Times New Roman" w:hAnsi="Times New Roman" w:cs="Times New Roman"/>
                <w:sz w:val="18"/>
                <w:szCs w:val="18"/>
              </w:rPr>
            </w:pPr>
            <w:r w:rsidRPr="001E530B">
              <w:rPr>
                <w:rFonts w:ascii="Times New Roman" w:hAnsi="Times New Roman" w:cs="Times New Roman"/>
                <w:sz w:val="18"/>
                <w:szCs w:val="18"/>
              </w:rPr>
              <w:t>2.   Pokud se střední mateřský subjekt nachází v členském státě, který je jurisdikcí s nízkým zdaněním, a je držen nejvyšším mateřským subjektem, jenž je vyloučeným subjektem, zajistí členské státy, aby uvedený střední mateřský subjekt a všechny nízce zdaněné členské subjekty dané skupiny nacházející se v tomtéž členském státě za dané účetní období podléhaly dorovnávací dani podle pravidla pro zahrnutí příjmů.</w:t>
            </w:r>
          </w:p>
          <w:p w14:paraId="5F3ED098" w14:textId="77777777" w:rsidR="001E530B" w:rsidRPr="001E530B" w:rsidRDefault="001E530B" w:rsidP="001E530B">
            <w:pPr>
              <w:pStyle w:val="Default"/>
              <w:rPr>
                <w:rFonts w:ascii="Times New Roman" w:hAnsi="Times New Roman" w:cs="Times New Roman"/>
                <w:sz w:val="18"/>
                <w:szCs w:val="18"/>
              </w:rPr>
            </w:pPr>
          </w:p>
          <w:p w14:paraId="07D53149" w14:textId="77777777" w:rsidR="001E530B" w:rsidRPr="001E530B" w:rsidRDefault="001E530B" w:rsidP="001E530B">
            <w:pPr>
              <w:pStyle w:val="Default"/>
              <w:rPr>
                <w:rFonts w:ascii="Times New Roman" w:hAnsi="Times New Roman" w:cs="Times New Roman"/>
                <w:sz w:val="18"/>
                <w:szCs w:val="18"/>
              </w:rPr>
            </w:pPr>
            <w:r w:rsidRPr="001E530B">
              <w:rPr>
                <w:rFonts w:ascii="Times New Roman" w:hAnsi="Times New Roman" w:cs="Times New Roman"/>
                <w:sz w:val="18"/>
                <w:szCs w:val="18"/>
              </w:rPr>
              <w:t>3.   Odstavce 1 a 2 se nepoužijí, pokud se jiný střední mateřský subjekt nachází v jurisdikci, v níž za dané účetní období podléhá kvalifikovanému pravidlu pro zahrnutí příjmů, a přímo či nepřímo vlastní kontrolní podíl ve středním mateřském subjektu uvedeném v odstavcích 1 a 2.</w:t>
            </w:r>
          </w:p>
          <w:p w14:paraId="18D07DBC" w14:textId="77777777" w:rsidR="001E530B" w:rsidRPr="001E530B" w:rsidRDefault="001E530B" w:rsidP="001E530B">
            <w:pPr>
              <w:pStyle w:val="Default"/>
              <w:rPr>
                <w:rFonts w:ascii="Times New Roman" w:hAnsi="Times New Roman" w:cs="Times New Roman"/>
                <w:sz w:val="18"/>
                <w:szCs w:val="18"/>
              </w:rPr>
            </w:pPr>
          </w:p>
          <w:p w14:paraId="17F11C7B" w14:textId="77777777" w:rsidR="00401306" w:rsidRDefault="00401306" w:rsidP="001E530B">
            <w:pPr>
              <w:pStyle w:val="Default"/>
              <w:rPr>
                <w:rFonts w:ascii="Times New Roman" w:hAnsi="Times New Roman" w:cs="Times New Roman"/>
                <w:sz w:val="18"/>
                <w:szCs w:val="18"/>
              </w:rPr>
            </w:pPr>
          </w:p>
          <w:p w14:paraId="2E262C9D" w14:textId="77777777" w:rsidR="001E530B" w:rsidRPr="001E530B" w:rsidRDefault="001E530B" w:rsidP="001E530B">
            <w:pPr>
              <w:pStyle w:val="Default"/>
              <w:rPr>
                <w:rFonts w:ascii="Times New Roman" w:hAnsi="Times New Roman" w:cs="Times New Roman"/>
                <w:sz w:val="18"/>
                <w:szCs w:val="18"/>
              </w:rPr>
            </w:pPr>
          </w:p>
          <w:p w14:paraId="098A4341" w14:textId="77777777" w:rsidR="001E530B" w:rsidRPr="001E530B" w:rsidRDefault="001E530B" w:rsidP="001E530B">
            <w:pPr>
              <w:pStyle w:val="Default"/>
              <w:rPr>
                <w:rFonts w:ascii="Times New Roman" w:hAnsi="Times New Roman" w:cs="Times New Roman"/>
                <w:sz w:val="18"/>
                <w:szCs w:val="18"/>
              </w:rPr>
            </w:pPr>
            <w:r w:rsidRPr="001E530B">
              <w:rPr>
                <w:rFonts w:ascii="Times New Roman" w:hAnsi="Times New Roman" w:cs="Times New Roman"/>
                <w:sz w:val="18"/>
                <w:szCs w:val="18"/>
              </w:rPr>
              <w:t>1.   Členské státy zajistí, aby částečně vlastněný mateřský subjekt, který se nachází v členském státě, podléhal za dané účetní období ve vztahu ke svým nízce zdaněným členským subjektům, které se nacházejí v jiné jurisdikci nebo které jsou bez státní příslušnosti, dorovnávací dani podle pravidla pro zahrnutí příjmů.</w:t>
            </w:r>
          </w:p>
          <w:p w14:paraId="1842BB47" w14:textId="77777777" w:rsidR="001E530B" w:rsidRPr="001E530B" w:rsidRDefault="001E530B" w:rsidP="001E530B">
            <w:pPr>
              <w:pStyle w:val="Default"/>
              <w:rPr>
                <w:rFonts w:ascii="Times New Roman" w:hAnsi="Times New Roman" w:cs="Times New Roman"/>
                <w:sz w:val="18"/>
                <w:szCs w:val="18"/>
              </w:rPr>
            </w:pPr>
          </w:p>
          <w:p w14:paraId="53176224" w14:textId="77777777" w:rsidR="001E530B" w:rsidRPr="001E530B" w:rsidRDefault="001E530B" w:rsidP="001E530B">
            <w:pPr>
              <w:pStyle w:val="Default"/>
              <w:rPr>
                <w:rFonts w:ascii="Times New Roman" w:hAnsi="Times New Roman" w:cs="Times New Roman"/>
                <w:sz w:val="18"/>
                <w:szCs w:val="18"/>
              </w:rPr>
            </w:pPr>
            <w:r w:rsidRPr="001E530B">
              <w:rPr>
                <w:rFonts w:ascii="Times New Roman" w:hAnsi="Times New Roman" w:cs="Times New Roman"/>
                <w:sz w:val="18"/>
                <w:szCs w:val="18"/>
              </w:rPr>
              <w:t>2.   Pokud se částečně vlastněný mateřský subjekt nachází v členském státě, který je jurisdikcí s nízkým zdaněním, zajistí členské státy, aby uvedený částečně vlastněný subjekt podléhal za dané účetní období dorovnávací dani podle pravidla pro zahrnutí příjmů ve vztahu k sobě a svým nízce zdaněným členským subjektům nacházejícím se v tomtéž členském státě.</w:t>
            </w:r>
          </w:p>
          <w:p w14:paraId="431CE6A1" w14:textId="77777777" w:rsidR="001E530B" w:rsidRPr="001E530B" w:rsidRDefault="001E530B" w:rsidP="001E530B">
            <w:pPr>
              <w:pStyle w:val="Default"/>
              <w:rPr>
                <w:rFonts w:ascii="Times New Roman" w:hAnsi="Times New Roman" w:cs="Times New Roman"/>
                <w:sz w:val="18"/>
                <w:szCs w:val="18"/>
              </w:rPr>
            </w:pPr>
          </w:p>
          <w:p w14:paraId="5F095EE6" w14:textId="7A8EAD30" w:rsidR="00F25400" w:rsidRDefault="001E530B" w:rsidP="00C76715">
            <w:pPr>
              <w:pStyle w:val="Default"/>
              <w:rPr>
                <w:rFonts w:ascii="Times New Roman" w:hAnsi="Times New Roman" w:cs="Times New Roman"/>
                <w:sz w:val="18"/>
                <w:szCs w:val="18"/>
              </w:rPr>
            </w:pPr>
            <w:r w:rsidRPr="001E530B">
              <w:rPr>
                <w:rFonts w:ascii="Times New Roman" w:hAnsi="Times New Roman" w:cs="Times New Roman"/>
                <w:sz w:val="18"/>
                <w:szCs w:val="18"/>
              </w:rPr>
              <w:t>3.   Odstavce 1 a 2 se nepoužijí, pokud jsou všechny vlastnické podíly částečně vlastněného mateřského subjektu přímo či nepřímo drženy jiným částečně vlastněným mateřským subjektem, který podléhá za dané účetní období kvalifikovanému pravidlu pro zahrnutí příjmů.</w:t>
            </w:r>
          </w:p>
        </w:tc>
      </w:tr>
      <w:tr w:rsidR="00F25400" w:rsidRPr="00675767" w14:paraId="7F2B7524" w14:textId="77777777" w:rsidTr="00430543">
        <w:tc>
          <w:tcPr>
            <w:tcW w:w="379" w:type="pct"/>
            <w:tcBorders>
              <w:top w:val="single" w:sz="4" w:space="0" w:color="auto"/>
              <w:left w:val="single" w:sz="4" w:space="0" w:color="auto"/>
              <w:bottom w:val="single" w:sz="4" w:space="0" w:color="auto"/>
              <w:right w:val="single" w:sz="4" w:space="0" w:color="auto"/>
            </w:tcBorders>
          </w:tcPr>
          <w:p w14:paraId="580DF04E" w14:textId="422AD2D7" w:rsidR="00F25400" w:rsidRPr="00430543" w:rsidRDefault="00F25400" w:rsidP="00F72915">
            <w:pPr>
              <w:widowControl w:val="0"/>
              <w:suppressAutoHyphens/>
              <w:ind w:left="57" w:right="113"/>
              <w:jc w:val="both"/>
              <w:rPr>
                <w:sz w:val="18"/>
                <w:szCs w:val="18"/>
                <w:lang w:eastAsia="ar-SA"/>
              </w:rPr>
            </w:pPr>
            <w:r w:rsidRPr="00430543">
              <w:rPr>
                <w:sz w:val="18"/>
                <w:szCs w:val="18"/>
                <w:lang w:eastAsia="ar-SA"/>
              </w:rPr>
              <w:lastRenderedPageBreak/>
              <w:t>§ 8</w:t>
            </w:r>
            <w:r w:rsidR="00165E18">
              <w:rPr>
                <w:sz w:val="18"/>
                <w:szCs w:val="18"/>
                <w:lang w:eastAsia="ar-SA"/>
              </w:rPr>
              <w:t xml:space="preserve"> odst. 1</w:t>
            </w:r>
          </w:p>
        </w:tc>
        <w:tc>
          <w:tcPr>
            <w:tcW w:w="1328" w:type="pct"/>
            <w:tcBorders>
              <w:top w:val="single" w:sz="4" w:space="0" w:color="auto"/>
              <w:left w:val="single" w:sz="4" w:space="0" w:color="auto"/>
              <w:bottom w:val="single" w:sz="4" w:space="0" w:color="auto"/>
              <w:right w:val="single" w:sz="4" w:space="0" w:color="auto"/>
            </w:tcBorders>
          </w:tcPr>
          <w:p w14:paraId="6D7EC871" w14:textId="77777777" w:rsidR="00165E18" w:rsidRPr="00165E18" w:rsidRDefault="00165E18" w:rsidP="00165E18">
            <w:pPr>
              <w:pStyle w:val="Textparagrafu"/>
              <w:rPr>
                <w:sz w:val="18"/>
                <w:szCs w:val="18"/>
              </w:rPr>
            </w:pPr>
            <w:r w:rsidRPr="00165E18">
              <w:rPr>
                <w:sz w:val="18"/>
                <w:szCs w:val="18"/>
              </w:rPr>
              <w:t>(1) Pro účely dorovnávacích daní se rozumí</w:t>
            </w:r>
          </w:p>
          <w:p w14:paraId="33DC91B6" w14:textId="77777777" w:rsidR="00165E18" w:rsidRPr="00165E18" w:rsidRDefault="00165E18" w:rsidP="00165E18">
            <w:pPr>
              <w:pStyle w:val="PZTextpsmene"/>
              <w:rPr>
                <w:sz w:val="18"/>
                <w:szCs w:val="18"/>
              </w:rPr>
            </w:pPr>
            <w:r w:rsidRPr="00165E18">
              <w:rPr>
                <w:sz w:val="18"/>
                <w:szCs w:val="18"/>
              </w:rPr>
              <w:t>a)</w:t>
            </w:r>
            <w:r w:rsidRPr="00165E18">
              <w:rPr>
                <w:sz w:val="18"/>
                <w:szCs w:val="18"/>
              </w:rPr>
              <w:tab/>
              <w:t>skupinou</w:t>
            </w:r>
          </w:p>
          <w:p w14:paraId="2FCEB3EE" w14:textId="77777777" w:rsidR="00165E18" w:rsidRPr="00165E18" w:rsidRDefault="00165E18" w:rsidP="00165E18">
            <w:pPr>
              <w:pStyle w:val="PZTextbodu"/>
              <w:rPr>
                <w:sz w:val="18"/>
                <w:szCs w:val="18"/>
              </w:rPr>
            </w:pPr>
            <w:r w:rsidRPr="00165E18">
              <w:rPr>
                <w:sz w:val="18"/>
                <w:szCs w:val="18"/>
              </w:rPr>
              <w:t>1.</w:t>
            </w:r>
            <w:r w:rsidRPr="00165E18">
              <w:rPr>
                <w:sz w:val="18"/>
                <w:szCs w:val="18"/>
              </w:rPr>
              <w:tab/>
              <w:t>soubor entit, které jsou spojeny prostřednictvím vztahu vlastnictví nebo kontroly vymezeným v přijatelném rámci účetního výkaznictví pro sestavení konsolidované účetní závěrky nejvyšší mateřskou entitou, včetně entit, které jsou vyloučeny z konsolidované účetní závěrky nejvyšší mateřské</w:t>
            </w:r>
            <w:r w:rsidRPr="00165E18" w:rsidDel="004E20D4">
              <w:rPr>
                <w:sz w:val="18"/>
                <w:szCs w:val="18"/>
              </w:rPr>
              <w:t xml:space="preserve"> </w:t>
            </w:r>
            <w:r w:rsidRPr="00165E18">
              <w:rPr>
                <w:sz w:val="18"/>
                <w:szCs w:val="18"/>
              </w:rPr>
              <w:t xml:space="preserve">entity pouze z důvodu malé velikosti, nevýznamnosti nebo proto, že jsou vlastněny nebo kontrolovány za účelem prodeje, </w:t>
            </w:r>
          </w:p>
          <w:p w14:paraId="27D98FDF" w14:textId="77777777" w:rsidR="00165E18" w:rsidRPr="00165E18" w:rsidRDefault="00165E18" w:rsidP="00165E18">
            <w:pPr>
              <w:pStyle w:val="PZTextbodu"/>
              <w:rPr>
                <w:sz w:val="18"/>
                <w:szCs w:val="18"/>
              </w:rPr>
            </w:pPr>
            <w:r w:rsidRPr="00165E18">
              <w:rPr>
                <w:sz w:val="18"/>
                <w:szCs w:val="18"/>
              </w:rPr>
              <w:lastRenderedPageBreak/>
              <w:t>2.</w:t>
            </w:r>
            <w:r w:rsidRPr="00165E18">
              <w:rPr>
                <w:sz w:val="18"/>
                <w:szCs w:val="18"/>
              </w:rPr>
              <w:tab/>
              <w:t xml:space="preserve">entita, která není součástí skupiny podle bodu 1, a všechny stálé provozovny této entity, které jsou z jiného státu, než je tato entita, </w:t>
            </w:r>
          </w:p>
          <w:p w14:paraId="607132C1" w14:textId="6B7B04C0" w:rsidR="00165E18" w:rsidRPr="00165E18" w:rsidRDefault="00165E18" w:rsidP="00165E18">
            <w:pPr>
              <w:pStyle w:val="PZTextpsmene"/>
              <w:rPr>
                <w:sz w:val="18"/>
                <w:szCs w:val="18"/>
              </w:rPr>
            </w:pPr>
            <w:r w:rsidRPr="00165E18">
              <w:rPr>
                <w:sz w:val="18"/>
                <w:szCs w:val="18"/>
              </w:rPr>
              <w:t>b)</w:t>
            </w:r>
            <w:r w:rsidRPr="00165E18">
              <w:rPr>
                <w:sz w:val="18"/>
                <w:szCs w:val="18"/>
              </w:rPr>
              <w:tab/>
              <w:t xml:space="preserve">velkou skupinou skupina, jejíž konsolidované roční výnosy vykázané v konsolidované účetní závěrce nejvyšší mateřské entity nejméně ve 2 ze 4 výkazních obdobích bezprostředně předcházejících danému </w:t>
            </w:r>
            <w:r w:rsidRPr="00165E18">
              <w:rPr>
                <w:b/>
                <w:sz w:val="18"/>
                <w:szCs w:val="18"/>
                <w:u w:val="single"/>
              </w:rPr>
              <w:t>výkaznímu</w:t>
            </w:r>
            <w:r w:rsidRPr="00165E18">
              <w:rPr>
                <w:sz w:val="18"/>
                <w:szCs w:val="18"/>
              </w:rPr>
              <w:t xml:space="preserve"> období, včetně výnosů vyloučených entit, činí alespoň částku odpovídající 750 000 000 EUR; má-li některé z těchto výkazních období jinou délku než 12 měsíců, upraví se prahová hodnota konsolidovaných výnosů poměrně pro každé z těchto výkazních období,</w:t>
            </w:r>
          </w:p>
          <w:p w14:paraId="71B500A9" w14:textId="77777777" w:rsidR="00165E18" w:rsidRPr="00165E18" w:rsidRDefault="00165E18" w:rsidP="00165E18">
            <w:pPr>
              <w:pStyle w:val="PZTextpsmene"/>
              <w:rPr>
                <w:sz w:val="18"/>
                <w:szCs w:val="18"/>
              </w:rPr>
            </w:pPr>
            <w:r w:rsidRPr="00165E18">
              <w:rPr>
                <w:sz w:val="18"/>
                <w:szCs w:val="18"/>
              </w:rPr>
              <w:t>c)</w:t>
            </w:r>
            <w:r w:rsidRPr="00165E18">
              <w:rPr>
                <w:sz w:val="18"/>
                <w:szCs w:val="18"/>
              </w:rPr>
              <w:tab/>
              <w:t>nadnárodní skupinou</w:t>
            </w:r>
            <w:r w:rsidRPr="00165E18" w:rsidDel="004E20D4">
              <w:rPr>
                <w:sz w:val="18"/>
                <w:szCs w:val="18"/>
              </w:rPr>
              <w:t xml:space="preserve"> </w:t>
            </w:r>
            <w:r w:rsidRPr="00165E18">
              <w:rPr>
                <w:sz w:val="18"/>
                <w:szCs w:val="18"/>
              </w:rPr>
              <w:t>skupina zahrnující alespoň jednu</w:t>
            </w:r>
            <w:r w:rsidRPr="00165E18" w:rsidDel="004E20D4">
              <w:rPr>
                <w:sz w:val="18"/>
                <w:szCs w:val="18"/>
              </w:rPr>
              <w:t xml:space="preserve"> </w:t>
            </w:r>
            <w:r w:rsidRPr="00165E18">
              <w:rPr>
                <w:sz w:val="18"/>
                <w:szCs w:val="18"/>
              </w:rPr>
              <w:t>entitu nebo stálou provozovnu, které jsou z jiného státu než nejvyšší mateřská entita,</w:t>
            </w:r>
          </w:p>
          <w:p w14:paraId="47E73879" w14:textId="77777777" w:rsidR="00165E18" w:rsidRPr="00165E18" w:rsidRDefault="00165E18" w:rsidP="00165E18">
            <w:pPr>
              <w:pStyle w:val="PZTextpsmene"/>
              <w:rPr>
                <w:sz w:val="18"/>
                <w:szCs w:val="18"/>
              </w:rPr>
            </w:pPr>
            <w:r w:rsidRPr="00165E18">
              <w:rPr>
                <w:sz w:val="18"/>
                <w:szCs w:val="18"/>
              </w:rPr>
              <w:t>d)</w:t>
            </w:r>
            <w:r w:rsidRPr="00165E18">
              <w:rPr>
                <w:sz w:val="18"/>
                <w:szCs w:val="18"/>
              </w:rPr>
              <w:tab/>
              <w:t>vnitrostátní skupinou skupina zahrnující pouze členské entity z jediného členského státu.</w:t>
            </w:r>
          </w:p>
          <w:p w14:paraId="29C8C411" w14:textId="07FC1A04" w:rsidR="00F25400" w:rsidRPr="00165E18" w:rsidRDefault="00F25400" w:rsidP="00D62659">
            <w:pPr>
              <w:widowControl w:val="0"/>
              <w:suppressAutoHyphens/>
              <w:ind w:left="57"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tcPr>
          <w:p w14:paraId="161690F4" w14:textId="6A41B631" w:rsidR="00F25400" w:rsidRPr="00430543" w:rsidRDefault="00CD3523" w:rsidP="00CD3523">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tcPr>
          <w:p w14:paraId="45E117F5" w14:textId="77777777" w:rsidR="007309D9" w:rsidRPr="00430543" w:rsidRDefault="00D62659" w:rsidP="007309D9">
            <w:pPr>
              <w:widowControl w:val="0"/>
              <w:ind w:left="57" w:right="113"/>
              <w:rPr>
                <w:sz w:val="18"/>
                <w:szCs w:val="18"/>
              </w:rPr>
            </w:pPr>
            <w:r w:rsidRPr="00430543">
              <w:rPr>
                <w:sz w:val="18"/>
                <w:szCs w:val="18"/>
              </w:rPr>
              <w:t>čl. 2 odst. 1 a 2</w:t>
            </w:r>
          </w:p>
          <w:p w14:paraId="5A37C05E" w14:textId="77777777" w:rsidR="007309D9" w:rsidRPr="00430543" w:rsidRDefault="007309D9" w:rsidP="007309D9">
            <w:pPr>
              <w:widowControl w:val="0"/>
              <w:ind w:left="57" w:right="113"/>
              <w:rPr>
                <w:sz w:val="18"/>
                <w:szCs w:val="18"/>
              </w:rPr>
            </w:pPr>
          </w:p>
          <w:p w14:paraId="1C7F0A0D" w14:textId="4B6F03B7" w:rsidR="007309D9" w:rsidRPr="00430543" w:rsidRDefault="007309D9" w:rsidP="007309D9">
            <w:pPr>
              <w:widowControl w:val="0"/>
              <w:ind w:left="57" w:right="113"/>
              <w:rPr>
                <w:sz w:val="18"/>
                <w:szCs w:val="18"/>
              </w:rPr>
            </w:pPr>
          </w:p>
          <w:p w14:paraId="7CEE6735" w14:textId="5A7FC29A" w:rsidR="007309D9" w:rsidRPr="00430543" w:rsidRDefault="007309D9" w:rsidP="007309D9">
            <w:pPr>
              <w:widowControl w:val="0"/>
              <w:ind w:left="57" w:right="113"/>
              <w:rPr>
                <w:sz w:val="18"/>
                <w:szCs w:val="18"/>
              </w:rPr>
            </w:pPr>
          </w:p>
          <w:p w14:paraId="725979B0" w14:textId="41A48148" w:rsidR="007309D9" w:rsidRPr="00430543" w:rsidRDefault="007309D9" w:rsidP="007309D9">
            <w:pPr>
              <w:widowControl w:val="0"/>
              <w:ind w:left="57" w:right="113"/>
              <w:rPr>
                <w:sz w:val="18"/>
                <w:szCs w:val="18"/>
              </w:rPr>
            </w:pPr>
          </w:p>
          <w:p w14:paraId="5F00784D" w14:textId="4E684B0A" w:rsidR="007309D9" w:rsidRPr="00430543" w:rsidRDefault="007309D9" w:rsidP="007309D9">
            <w:pPr>
              <w:widowControl w:val="0"/>
              <w:ind w:left="57" w:right="113"/>
              <w:rPr>
                <w:sz w:val="18"/>
                <w:szCs w:val="18"/>
              </w:rPr>
            </w:pPr>
          </w:p>
          <w:p w14:paraId="1213915B" w14:textId="4372E666" w:rsidR="007309D9" w:rsidRPr="00430543" w:rsidRDefault="007309D9" w:rsidP="007309D9">
            <w:pPr>
              <w:widowControl w:val="0"/>
              <w:ind w:left="57" w:right="113"/>
              <w:rPr>
                <w:sz w:val="18"/>
                <w:szCs w:val="18"/>
              </w:rPr>
            </w:pPr>
          </w:p>
          <w:p w14:paraId="29FDA0C9" w14:textId="344F0404" w:rsidR="007309D9" w:rsidRPr="00430543" w:rsidRDefault="007309D9" w:rsidP="007309D9">
            <w:pPr>
              <w:widowControl w:val="0"/>
              <w:ind w:left="57" w:right="113"/>
              <w:rPr>
                <w:sz w:val="18"/>
                <w:szCs w:val="18"/>
              </w:rPr>
            </w:pPr>
          </w:p>
          <w:p w14:paraId="5659CBA4" w14:textId="2A30F598" w:rsidR="007309D9" w:rsidRPr="00430543" w:rsidRDefault="007309D9" w:rsidP="007309D9">
            <w:pPr>
              <w:widowControl w:val="0"/>
              <w:ind w:left="57" w:right="113"/>
              <w:rPr>
                <w:sz w:val="18"/>
                <w:szCs w:val="18"/>
              </w:rPr>
            </w:pPr>
          </w:p>
          <w:p w14:paraId="334A9519" w14:textId="76A529AA" w:rsidR="007309D9" w:rsidRPr="00430543" w:rsidRDefault="007309D9" w:rsidP="007309D9">
            <w:pPr>
              <w:widowControl w:val="0"/>
              <w:ind w:left="57" w:right="113"/>
              <w:rPr>
                <w:sz w:val="18"/>
                <w:szCs w:val="18"/>
              </w:rPr>
            </w:pPr>
          </w:p>
          <w:p w14:paraId="393C43C3" w14:textId="4B5992C9" w:rsidR="007309D9" w:rsidRPr="00430543" w:rsidRDefault="007309D9" w:rsidP="007309D9">
            <w:pPr>
              <w:widowControl w:val="0"/>
              <w:ind w:left="57" w:right="113"/>
              <w:rPr>
                <w:sz w:val="18"/>
                <w:szCs w:val="18"/>
              </w:rPr>
            </w:pPr>
          </w:p>
          <w:p w14:paraId="46610BDA" w14:textId="77777777" w:rsidR="007309D9" w:rsidRPr="00430543" w:rsidRDefault="007309D9" w:rsidP="007309D9">
            <w:pPr>
              <w:widowControl w:val="0"/>
              <w:ind w:left="57" w:right="113"/>
              <w:rPr>
                <w:sz w:val="18"/>
                <w:szCs w:val="18"/>
              </w:rPr>
            </w:pPr>
          </w:p>
          <w:p w14:paraId="7AC38CC5" w14:textId="36BC850E" w:rsidR="00F25400" w:rsidRPr="00430543" w:rsidRDefault="00D62659" w:rsidP="00F72915">
            <w:pPr>
              <w:widowControl w:val="0"/>
              <w:ind w:left="57" w:right="113"/>
              <w:rPr>
                <w:sz w:val="18"/>
                <w:szCs w:val="18"/>
              </w:rPr>
            </w:pPr>
            <w:r w:rsidRPr="00430543">
              <w:rPr>
                <w:sz w:val="18"/>
                <w:szCs w:val="18"/>
              </w:rPr>
              <w:t>čl. 3 body 3 až 5</w:t>
            </w:r>
          </w:p>
        </w:tc>
        <w:tc>
          <w:tcPr>
            <w:tcW w:w="2381" w:type="pct"/>
            <w:tcBorders>
              <w:top w:val="single" w:sz="4" w:space="0" w:color="auto"/>
              <w:left w:val="single" w:sz="4" w:space="0" w:color="auto"/>
              <w:bottom w:val="single" w:sz="4" w:space="0" w:color="auto"/>
              <w:right w:val="single" w:sz="4" w:space="0" w:color="auto"/>
            </w:tcBorders>
          </w:tcPr>
          <w:p w14:paraId="76CB0F07" w14:textId="77777777" w:rsidR="007309D9" w:rsidRPr="007309D9" w:rsidRDefault="007309D9" w:rsidP="007309D9">
            <w:pPr>
              <w:pStyle w:val="Default"/>
              <w:rPr>
                <w:rFonts w:ascii="Times New Roman" w:hAnsi="Times New Roman" w:cs="Times New Roman"/>
                <w:sz w:val="18"/>
                <w:szCs w:val="18"/>
              </w:rPr>
            </w:pPr>
            <w:r w:rsidRPr="007309D9">
              <w:rPr>
                <w:rFonts w:ascii="Times New Roman" w:hAnsi="Times New Roman" w:cs="Times New Roman"/>
                <w:sz w:val="18"/>
                <w:szCs w:val="18"/>
              </w:rPr>
              <w:t>1.   Tato směrnice se vztahuje na členské subjekty nacházející se v členském státě, které jsou členy nadnárodní skupiny podniků nebo velké vnitrostátní skupiny s ročními výnosy ve výši 750 000 000 EUR nebo více, včetně výnosů vyloučených subjektů uvedených v odstavci 3, v konsolidované účetní závěrce nejvyššího mateřského subjektu nejméně ve dvou ze čtyř účetních období bezprostředně předcházejících rozhodnému účetnímu období.</w:t>
            </w:r>
          </w:p>
          <w:p w14:paraId="670C6585" w14:textId="77777777" w:rsidR="007309D9" w:rsidRPr="007309D9" w:rsidRDefault="007309D9" w:rsidP="007309D9">
            <w:pPr>
              <w:pStyle w:val="Default"/>
              <w:rPr>
                <w:rFonts w:ascii="Times New Roman" w:hAnsi="Times New Roman" w:cs="Times New Roman"/>
                <w:sz w:val="18"/>
                <w:szCs w:val="18"/>
              </w:rPr>
            </w:pPr>
          </w:p>
          <w:p w14:paraId="59FDB92E" w14:textId="77777777" w:rsidR="007309D9" w:rsidRDefault="007309D9" w:rsidP="007309D9">
            <w:pPr>
              <w:pStyle w:val="Default"/>
              <w:rPr>
                <w:rFonts w:ascii="Times New Roman" w:hAnsi="Times New Roman" w:cs="Times New Roman"/>
                <w:sz w:val="18"/>
                <w:szCs w:val="18"/>
              </w:rPr>
            </w:pPr>
            <w:r w:rsidRPr="007309D9">
              <w:rPr>
                <w:rFonts w:ascii="Times New Roman" w:hAnsi="Times New Roman" w:cs="Times New Roman"/>
                <w:sz w:val="18"/>
                <w:szCs w:val="18"/>
              </w:rPr>
              <w:t>2.   Je-li jedno nebo více ze čtyř účetních období uvedených v odstavci 1 delší nebo kratší než 12 měsíců, upraví se prahová hodnota výnosů uvedená v daném odstavci poměrně pro každé z těchto účetních období.</w:t>
            </w:r>
          </w:p>
          <w:p w14:paraId="681A7722" w14:textId="77777777" w:rsidR="007309D9" w:rsidRDefault="007309D9" w:rsidP="007309D9">
            <w:pPr>
              <w:pStyle w:val="Default"/>
              <w:rPr>
                <w:rFonts w:ascii="Times New Roman" w:hAnsi="Times New Roman" w:cs="Times New Roman"/>
                <w:sz w:val="18"/>
                <w:szCs w:val="18"/>
              </w:rPr>
            </w:pPr>
          </w:p>
          <w:p w14:paraId="64DE5CFD" w14:textId="77777777" w:rsidR="007309D9" w:rsidRDefault="007309D9" w:rsidP="007309D9">
            <w:pPr>
              <w:pStyle w:val="Default"/>
              <w:rPr>
                <w:rFonts w:ascii="Times New Roman" w:hAnsi="Times New Roman" w:cs="Times New Roman"/>
                <w:sz w:val="18"/>
                <w:szCs w:val="18"/>
              </w:rPr>
            </w:pPr>
          </w:p>
          <w:p w14:paraId="69DB7C82" w14:textId="77777777" w:rsidR="007309D9" w:rsidRDefault="007309D9" w:rsidP="007309D9">
            <w:pPr>
              <w:pStyle w:val="Default"/>
              <w:rPr>
                <w:rFonts w:ascii="Times New Roman" w:hAnsi="Times New Roman" w:cs="Times New Roman"/>
                <w:sz w:val="18"/>
                <w:szCs w:val="18"/>
              </w:rPr>
            </w:pPr>
          </w:p>
          <w:p w14:paraId="325C31DE" w14:textId="77777777" w:rsidR="007309D9" w:rsidRDefault="007309D9" w:rsidP="007309D9">
            <w:pPr>
              <w:pStyle w:val="Default"/>
              <w:rPr>
                <w:rFonts w:ascii="Times New Roman" w:hAnsi="Times New Roman" w:cs="Times New Roman"/>
                <w:sz w:val="18"/>
                <w:szCs w:val="18"/>
              </w:rPr>
            </w:pPr>
            <w:r w:rsidRPr="007309D9">
              <w:rPr>
                <w:rFonts w:ascii="Times New Roman" w:hAnsi="Times New Roman" w:cs="Times New Roman"/>
                <w:sz w:val="18"/>
                <w:szCs w:val="18"/>
              </w:rPr>
              <w:t>Pro účely této směrnice se rozumí:</w:t>
            </w:r>
          </w:p>
          <w:p w14:paraId="22D21B21" w14:textId="54D7B41F" w:rsidR="007309D9" w:rsidRDefault="007309D9" w:rsidP="007309D9">
            <w:pPr>
              <w:pStyle w:val="Default"/>
              <w:rPr>
                <w:rFonts w:ascii="Times New Roman" w:hAnsi="Times New Roman" w:cs="Times New Roman"/>
                <w:sz w:val="18"/>
                <w:szCs w:val="18"/>
              </w:rPr>
            </w:pPr>
            <w:r w:rsidRPr="007309D9">
              <w:rPr>
                <w:rFonts w:ascii="Times New Roman" w:hAnsi="Times New Roman" w:cs="Times New Roman"/>
                <w:sz w:val="18"/>
                <w:szCs w:val="18"/>
              </w:rPr>
              <w:t>3)</w:t>
            </w:r>
            <w:r>
              <w:rPr>
                <w:rFonts w:ascii="Times New Roman" w:hAnsi="Times New Roman" w:cs="Times New Roman"/>
                <w:sz w:val="18"/>
                <w:szCs w:val="18"/>
              </w:rPr>
              <w:t xml:space="preserve"> „skupinou“:</w:t>
            </w:r>
          </w:p>
          <w:p w14:paraId="7225DFBA" w14:textId="77777777" w:rsidR="007309D9" w:rsidRPr="007309D9" w:rsidRDefault="007309D9" w:rsidP="007309D9">
            <w:pPr>
              <w:pStyle w:val="Default"/>
              <w:rPr>
                <w:rFonts w:ascii="Times New Roman" w:hAnsi="Times New Roman" w:cs="Times New Roman"/>
                <w:sz w:val="18"/>
                <w:szCs w:val="18"/>
              </w:rPr>
            </w:pPr>
          </w:p>
          <w:p w14:paraId="4D298B60" w14:textId="75869FCE" w:rsidR="007309D9" w:rsidRPr="007309D9" w:rsidRDefault="007309D9" w:rsidP="007309D9">
            <w:pPr>
              <w:pStyle w:val="Default"/>
              <w:rPr>
                <w:rFonts w:ascii="Times New Roman" w:hAnsi="Times New Roman" w:cs="Times New Roman"/>
                <w:sz w:val="18"/>
                <w:szCs w:val="18"/>
              </w:rPr>
            </w:pPr>
            <w:r w:rsidRPr="007309D9">
              <w:rPr>
                <w:rFonts w:ascii="Times New Roman" w:hAnsi="Times New Roman" w:cs="Times New Roman"/>
                <w:sz w:val="18"/>
                <w:szCs w:val="18"/>
              </w:rPr>
              <w:lastRenderedPageBreak/>
              <w:t>a)</w:t>
            </w:r>
            <w:r>
              <w:rPr>
                <w:rFonts w:ascii="Times New Roman" w:hAnsi="Times New Roman" w:cs="Times New Roman"/>
                <w:sz w:val="18"/>
                <w:szCs w:val="18"/>
              </w:rPr>
              <w:t xml:space="preserve"> </w:t>
            </w:r>
            <w:r w:rsidRPr="007309D9">
              <w:rPr>
                <w:rFonts w:ascii="Times New Roman" w:hAnsi="Times New Roman" w:cs="Times New Roman"/>
                <w:sz w:val="18"/>
                <w:szCs w:val="18"/>
              </w:rPr>
              <w:t>soubor subjektů, které jsou spojeny prostřednictvím vlastnictví nebo kontroly dle vymezení v přijatelném účetním standardu pro sestavení konsolidované účetní závěrky nejvyšším mateřským subjektem, včetně veškerých subjektů, které byly případně vyloučeny z konsolidované účetní závěrky nejvyššího mateřského subjektu pouze z důvodu malé velikosti, významnosti nebo na základě toho, že jsou určeny k prodeji, nebo</w:t>
            </w:r>
          </w:p>
          <w:p w14:paraId="4DD4AEE7" w14:textId="77777777" w:rsidR="007309D9" w:rsidRPr="007309D9" w:rsidRDefault="007309D9" w:rsidP="007309D9">
            <w:pPr>
              <w:pStyle w:val="Default"/>
              <w:rPr>
                <w:rFonts w:ascii="Times New Roman" w:hAnsi="Times New Roman" w:cs="Times New Roman"/>
                <w:sz w:val="18"/>
                <w:szCs w:val="18"/>
              </w:rPr>
            </w:pPr>
          </w:p>
          <w:p w14:paraId="25D74BA7" w14:textId="5EA2AF2F" w:rsidR="007309D9" w:rsidRPr="007309D9" w:rsidRDefault="007309D9" w:rsidP="007309D9">
            <w:pPr>
              <w:pStyle w:val="Default"/>
              <w:rPr>
                <w:rFonts w:ascii="Times New Roman" w:hAnsi="Times New Roman" w:cs="Times New Roman"/>
                <w:sz w:val="18"/>
                <w:szCs w:val="18"/>
              </w:rPr>
            </w:pPr>
            <w:r w:rsidRPr="007309D9">
              <w:rPr>
                <w:rFonts w:ascii="Times New Roman" w:hAnsi="Times New Roman" w:cs="Times New Roman"/>
                <w:sz w:val="18"/>
                <w:szCs w:val="18"/>
              </w:rPr>
              <w:t>b)</w:t>
            </w:r>
            <w:r>
              <w:rPr>
                <w:rFonts w:ascii="Times New Roman" w:hAnsi="Times New Roman" w:cs="Times New Roman"/>
                <w:sz w:val="18"/>
                <w:szCs w:val="18"/>
              </w:rPr>
              <w:t xml:space="preserve"> </w:t>
            </w:r>
            <w:r w:rsidRPr="007309D9">
              <w:rPr>
                <w:rFonts w:ascii="Times New Roman" w:hAnsi="Times New Roman" w:cs="Times New Roman"/>
                <w:sz w:val="18"/>
                <w:szCs w:val="18"/>
              </w:rPr>
              <w:t>subjekt, který má jednu nebo více stálých provozoven, pokud není součástí jiné skupiny ve smyslu písmene a);</w:t>
            </w:r>
          </w:p>
          <w:p w14:paraId="4F7E13D1" w14:textId="77777777" w:rsidR="007309D9" w:rsidRPr="007309D9" w:rsidRDefault="007309D9" w:rsidP="007309D9">
            <w:pPr>
              <w:pStyle w:val="Default"/>
              <w:rPr>
                <w:rFonts w:ascii="Times New Roman" w:hAnsi="Times New Roman" w:cs="Times New Roman"/>
                <w:sz w:val="18"/>
                <w:szCs w:val="18"/>
              </w:rPr>
            </w:pPr>
          </w:p>
          <w:p w14:paraId="79E68981" w14:textId="02F4900C" w:rsidR="007309D9" w:rsidRPr="007309D9" w:rsidRDefault="007309D9" w:rsidP="007309D9">
            <w:pPr>
              <w:pStyle w:val="Default"/>
              <w:rPr>
                <w:rFonts w:ascii="Times New Roman" w:hAnsi="Times New Roman" w:cs="Times New Roman"/>
                <w:sz w:val="18"/>
                <w:szCs w:val="18"/>
              </w:rPr>
            </w:pPr>
            <w:r w:rsidRPr="007309D9">
              <w:rPr>
                <w:rFonts w:ascii="Times New Roman" w:hAnsi="Times New Roman" w:cs="Times New Roman"/>
                <w:sz w:val="18"/>
                <w:szCs w:val="18"/>
              </w:rPr>
              <w:t>4)</w:t>
            </w:r>
            <w:r>
              <w:rPr>
                <w:rFonts w:ascii="Times New Roman" w:hAnsi="Times New Roman" w:cs="Times New Roman"/>
                <w:sz w:val="18"/>
                <w:szCs w:val="18"/>
              </w:rPr>
              <w:t xml:space="preserve"> </w:t>
            </w:r>
            <w:r w:rsidRPr="007309D9">
              <w:rPr>
                <w:rFonts w:ascii="Times New Roman" w:hAnsi="Times New Roman" w:cs="Times New Roman"/>
                <w:sz w:val="18"/>
                <w:szCs w:val="18"/>
              </w:rPr>
              <w:t>„nadnárodní skupinou podniků“ jakákoli skupina, která zahrnuje alespoň jeden subjekt nebo stálou provozovnu, které se nenacházejí v jurisdikci nejvyššího mateřského subjektu;</w:t>
            </w:r>
          </w:p>
          <w:p w14:paraId="1C361845" w14:textId="77777777" w:rsidR="007309D9" w:rsidRPr="007309D9" w:rsidRDefault="007309D9" w:rsidP="007309D9">
            <w:pPr>
              <w:pStyle w:val="Default"/>
              <w:rPr>
                <w:rFonts w:ascii="Times New Roman" w:hAnsi="Times New Roman" w:cs="Times New Roman"/>
                <w:sz w:val="18"/>
                <w:szCs w:val="18"/>
              </w:rPr>
            </w:pPr>
          </w:p>
          <w:p w14:paraId="0EBAEAF6" w14:textId="5D2A7E63" w:rsidR="007309D9" w:rsidRPr="007309D9" w:rsidRDefault="007309D9" w:rsidP="007309D9">
            <w:pPr>
              <w:pStyle w:val="Default"/>
              <w:rPr>
                <w:rFonts w:ascii="Times New Roman" w:hAnsi="Times New Roman" w:cs="Times New Roman"/>
                <w:sz w:val="18"/>
                <w:szCs w:val="18"/>
              </w:rPr>
            </w:pPr>
            <w:r w:rsidRPr="007309D9">
              <w:rPr>
                <w:rFonts w:ascii="Times New Roman" w:hAnsi="Times New Roman" w:cs="Times New Roman"/>
                <w:sz w:val="18"/>
                <w:szCs w:val="18"/>
              </w:rPr>
              <w:t>5)</w:t>
            </w:r>
            <w:r>
              <w:rPr>
                <w:rFonts w:ascii="Times New Roman" w:hAnsi="Times New Roman" w:cs="Times New Roman"/>
                <w:sz w:val="18"/>
                <w:szCs w:val="18"/>
              </w:rPr>
              <w:t xml:space="preserve"> </w:t>
            </w:r>
            <w:r w:rsidRPr="007309D9">
              <w:rPr>
                <w:rFonts w:ascii="Times New Roman" w:hAnsi="Times New Roman" w:cs="Times New Roman"/>
                <w:sz w:val="18"/>
                <w:szCs w:val="18"/>
              </w:rPr>
              <w:t>„velkou vnitrostátní skupinou“ jakákoli skupina, jejíž veškeré členské subjekty se nacházejí ve stejném členském státě;</w:t>
            </w:r>
          </w:p>
          <w:p w14:paraId="3AFC613F" w14:textId="77777777" w:rsidR="00F25400" w:rsidRDefault="00F25400" w:rsidP="00F72915">
            <w:pPr>
              <w:pStyle w:val="Default"/>
              <w:rPr>
                <w:rFonts w:ascii="Times New Roman" w:hAnsi="Times New Roman" w:cs="Times New Roman"/>
                <w:sz w:val="18"/>
                <w:szCs w:val="18"/>
              </w:rPr>
            </w:pPr>
          </w:p>
        </w:tc>
      </w:tr>
      <w:tr w:rsidR="00F25400" w:rsidRPr="00675767" w14:paraId="6248C5DF" w14:textId="77777777" w:rsidTr="00430543">
        <w:tc>
          <w:tcPr>
            <w:tcW w:w="379" w:type="pct"/>
            <w:tcBorders>
              <w:top w:val="single" w:sz="4" w:space="0" w:color="auto"/>
              <w:left w:val="single" w:sz="4" w:space="0" w:color="auto"/>
              <w:bottom w:val="single" w:sz="4" w:space="0" w:color="auto"/>
              <w:right w:val="single" w:sz="4" w:space="0" w:color="auto"/>
            </w:tcBorders>
          </w:tcPr>
          <w:p w14:paraId="700C0240" w14:textId="1F2185BD" w:rsidR="00F25400" w:rsidRPr="00430543" w:rsidRDefault="00FC70B3" w:rsidP="00FC70B3">
            <w:pPr>
              <w:widowControl w:val="0"/>
              <w:suppressAutoHyphens/>
              <w:ind w:left="57" w:right="113"/>
              <w:rPr>
                <w:sz w:val="18"/>
                <w:szCs w:val="18"/>
                <w:lang w:eastAsia="ar-SA"/>
              </w:rPr>
            </w:pPr>
            <w:r w:rsidRPr="00430543">
              <w:rPr>
                <w:sz w:val="18"/>
                <w:szCs w:val="18"/>
                <w:lang w:eastAsia="ar-SA"/>
              </w:rPr>
              <w:lastRenderedPageBreak/>
              <w:t>§ 10</w:t>
            </w:r>
            <w:r w:rsidR="00FE3C59">
              <w:rPr>
                <w:sz w:val="18"/>
                <w:szCs w:val="18"/>
                <w:lang w:eastAsia="ar-SA"/>
              </w:rPr>
              <w:t xml:space="preserve"> odst. 2 písm. a)</w:t>
            </w:r>
          </w:p>
        </w:tc>
        <w:tc>
          <w:tcPr>
            <w:tcW w:w="1328" w:type="pct"/>
            <w:tcBorders>
              <w:top w:val="single" w:sz="4" w:space="0" w:color="auto"/>
              <w:left w:val="single" w:sz="4" w:space="0" w:color="auto"/>
              <w:bottom w:val="single" w:sz="4" w:space="0" w:color="auto"/>
              <w:right w:val="single" w:sz="4" w:space="0" w:color="auto"/>
            </w:tcBorders>
          </w:tcPr>
          <w:p w14:paraId="32E4900B" w14:textId="45FA90BC" w:rsidR="00FC70B3" w:rsidRPr="00430543" w:rsidRDefault="00FC70B3" w:rsidP="00FC70B3">
            <w:pPr>
              <w:widowControl w:val="0"/>
              <w:suppressAutoHyphens/>
              <w:ind w:left="57" w:right="113"/>
              <w:jc w:val="both"/>
              <w:rPr>
                <w:sz w:val="18"/>
                <w:szCs w:val="18"/>
                <w:lang w:eastAsia="ar-SA"/>
              </w:rPr>
            </w:pPr>
            <w:r w:rsidRPr="00430543">
              <w:rPr>
                <w:sz w:val="18"/>
                <w:szCs w:val="18"/>
                <w:lang w:eastAsia="ar-SA"/>
              </w:rPr>
              <w:t>a)</w:t>
            </w:r>
            <w:r w:rsidRPr="00430543">
              <w:rPr>
                <w:sz w:val="18"/>
                <w:szCs w:val="18"/>
                <w:lang w:eastAsia="ar-SA"/>
              </w:rPr>
              <w:tab/>
              <w:t xml:space="preserve">jejímž účelem je sdružovat aktiva od </w:t>
            </w:r>
            <w:r w:rsidR="00FE3C59" w:rsidRPr="00FE3C59">
              <w:rPr>
                <w:b/>
                <w:sz w:val="18"/>
                <w:szCs w:val="18"/>
                <w:u w:val="single"/>
                <w:lang w:eastAsia="ar-SA"/>
              </w:rPr>
              <w:t>nejméně 2</w:t>
            </w:r>
            <w:r w:rsidRPr="00FE3C59">
              <w:rPr>
                <w:b/>
                <w:sz w:val="18"/>
                <w:szCs w:val="18"/>
                <w:u w:val="single"/>
                <w:lang w:eastAsia="ar-SA"/>
              </w:rPr>
              <w:t xml:space="preserve"> investorů</w:t>
            </w:r>
            <w:r w:rsidRPr="00430543">
              <w:rPr>
                <w:sz w:val="18"/>
                <w:szCs w:val="18"/>
                <w:lang w:eastAsia="ar-SA"/>
              </w:rPr>
              <w:t>, z nichž někteří nejsou propojeni,</w:t>
            </w:r>
          </w:p>
          <w:p w14:paraId="17BF44B8" w14:textId="04703AE3" w:rsidR="00F25400" w:rsidRPr="00430543" w:rsidRDefault="00F25400" w:rsidP="00FE3C59">
            <w:pPr>
              <w:widowControl w:val="0"/>
              <w:suppressAutoHyphens/>
              <w:ind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tcPr>
          <w:p w14:paraId="1FBBF6E0" w14:textId="2FE18845" w:rsidR="00F25400" w:rsidRPr="00430543" w:rsidRDefault="00CD3523" w:rsidP="00CD3523">
            <w:pPr>
              <w:widowControl w:val="0"/>
              <w:ind w:left="57" w:right="113"/>
              <w:rPr>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tcPr>
          <w:p w14:paraId="08FAB36A" w14:textId="0C013F1F" w:rsidR="00F25400" w:rsidRPr="00430543" w:rsidRDefault="00FC70B3" w:rsidP="001E5CD0">
            <w:pPr>
              <w:widowControl w:val="0"/>
              <w:ind w:left="57" w:right="113"/>
              <w:rPr>
                <w:sz w:val="18"/>
                <w:szCs w:val="18"/>
              </w:rPr>
            </w:pPr>
            <w:r w:rsidRPr="00430543">
              <w:rPr>
                <w:sz w:val="18"/>
                <w:szCs w:val="18"/>
              </w:rPr>
              <w:t xml:space="preserve">čl. 3 body </w:t>
            </w:r>
            <w:r w:rsidR="001E5CD0">
              <w:rPr>
                <w:sz w:val="18"/>
                <w:szCs w:val="18"/>
              </w:rPr>
              <w:t>31 písm. a)</w:t>
            </w:r>
          </w:p>
        </w:tc>
        <w:tc>
          <w:tcPr>
            <w:tcW w:w="2381" w:type="pct"/>
            <w:tcBorders>
              <w:top w:val="single" w:sz="4" w:space="0" w:color="auto"/>
              <w:left w:val="single" w:sz="4" w:space="0" w:color="auto"/>
              <w:bottom w:val="single" w:sz="4" w:space="0" w:color="auto"/>
              <w:right w:val="single" w:sz="4" w:space="0" w:color="auto"/>
            </w:tcBorders>
          </w:tcPr>
          <w:p w14:paraId="19D39F7F" w14:textId="137DCEC0" w:rsidR="00650581" w:rsidRPr="00650581" w:rsidRDefault="00650581" w:rsidP="00650581">
            <w:pPr>
              <w:pStyle w:val="Default"/>
              <w:rPr>
                <w:rFonts w:ascii="Times New Roman" w:hAnsi="Times New Roman" w:cs="Times New Roman"/>
                <w:sz w:val="18"/>
                <w:szCs w:val="18"/>
              </w:rPr>
            </w:pPr>
            <w:r w:rsidRPr="00650581">
              <w:rPr>
                <w:rFonts w:ascii="Times New Roman" w:hAnsi="Times New Roman" w:cs="Times New Roman"/>
                <w:sz w:val="18"/>
                <w:szCs w:val="18"/>
              </w:rPr>
              <w:t>a)</w:t>
            </w:r>
            <w:r>
              <w:rPr>
                <w:rFonts w:ascii="Times New Roman" w:hAnsi="Times New Roman" w:cs="Times New Roman"/>
                <w:sz w:val="18"/>
                <w:szCs w:val="18"/>
              </w:rPr>
              <w:t xml:space="preserve"> </w:t>
            </w:r>
            <w:r w:rsidRPr="00650581">
              <w:rPr>
                <w:rFonts w:ascii="Times New Roman" w:hAnsi="Times New Roman" w:cs="Times New Roman"/>
                <w:sz w:val="18"/>
                <w:szCs w:val="18"/>
              </w:rPr>
              <w:t>jejich účelem je sdružovat finanční nebo nefinanční aktiva od řady investorů, z nichž někteří nejsou propojeni;</w:t>
            </w:r>
          </w:p>
          <w:p w14:paraId="14C19A4A" w14:textId="77777777" w:rsidR="00F25400" w:rsidRDefault="00F25400" w:rsidP="001E5CD0">
            <w:pPr>
              <w:pStyle w:val="Default"/>
              <w:rPr>
                <w:rFonts w:ascii="Times New Roman" w:hAnsi="Times New Roman" w:cs="Times New Roman"/>
                <w:sz w:val="18"/>
                <w:szCs w:val="18"/>
              </w:rPr>
            </w:pPr>
          </w:p>
        </w:tc>
      </w:tr>
      <w:tr w:rsidR="009908D6" w:rsidRPr="00675767" w14:paraId="2F286A06" w14:textId="77777777" w:rsidTr="00430543">
        <w:tc>
          <w:tcPr>
            <w:tcW w:w="379" w:type="pct"/>
            <w:tcBorders>
              <w:top w:val="single" w:sz="4" w:space="0" w:color="auto"/>
              <w:left w:val="single" w:sz="4" w:space="0" w:color="auto"/>
              <w:bottom w:val="single" w:sz="4" w:space="0" w:color="auto"/>
              <w:right w:val="single" w:sz="4" w:space="0" w:color="auto"/>
            </w:tcBorders>
          </w:tcPr>
          <w:p w14:paraId="4EAE066F" w14:textId="7C3AA7E1" w:rsidR="009908D6" w:rsidRPr="00430543" w:rsidRDefault="005857A2" w:rsidP="00F72915">
            <w:pPr>
              <w:widowControl w:val="0"/>
              <w:suppressAutoHyphens/>
              <w:ind w:left="57" w:right="113"/>
              <w:jc w:val="both"/>
              <w:rPr>
                <w:sz w:val="18"/>
                <w:szCs w:val="18"/>
                <w:lang w:eastAsia="ar-SA"/>
              </w:rPr>
            </w:pPr>
            <w:r w:rsidRPr="00430543">
              <w:rPr>
                <w:sz w:val="18"/>
                <w:szCs w:val="18"/>
                <w:lang w:eastAsia="ar-SA"/>
              </w:rPr>
              <w:t>§ 20</w:t>
            </w:r>
            <w:r w:rsidR="001E5CD0">
              <w:rPr>
                <w:sz w:val="18"/>
                <w:szCs w:val="18"/>
                <w:lang w:eastAsia="ar-SA"/>
              </w:rPr>
              <w:t xml:space="preserve"> písm. m)</w:t>
            </w:r>
          </w:p>
        </w:tc>
        <w:tc>
          <w:tcPr>
            <w:tcW w:w="1328" w:type="pct"/>
            <w:tcBorders>
              <w:top w:val="single" w:sz="4" w:space="0" w:color="auto"/>
              <w:left w:val="single" w:sz="4" w:space="0" w:color="auto"/>
              <w:bottom w:val="single" w:sz="4" w:space="0" w:color="auto"/>
              <w:right w:val="single" w:sz="4" w:space="0" w:color="auto"/>
            </w:tcBorders>
          </w:tcPr>
          <w:p w14:paraId="0A83D39B" w14:textId="7BBCEA00" w:rsidR="001E5CD0" w:rsidRDefault="001E5CD0" w:rsidP="001E5CD0">
            <w:pPr>
              <w:pStyle w:val="Textparagrafu"/>
              <w:ind w:firstLine="0"/>
              <w:rPr>
                <w:sz w:val="18"/>
                <w:szCs w:val="18"/>
              </w:rPr>
            </w:pPr>
            <w:r w:rsidRPr="001E5CD0">
              <w:rPr>
                <w:sz w:val="18"/>
                <w:szCs w:val="18"/>
              </w:rPr>
              <w:t>Pro účely dorovnávacích daní se rozumí</w:t>
            </w:r>
          </w:p>
          <w:p w14:paraId="4C579A19" w14:textId="77777777" w:rsidR="001E5CD0" w:rsidRDefault="001E5CD0" w:rsidP="005857A2">
            <w:pPr>
              <w:widowControl w:val="0"/>
              <w:suppressAutoHyphens/>
              <w:ind w:left="57" w:right="113"/>
              <w:jc w:val="both"/>
              <w:rPr>
                <w:sz w:val="18"/>
                <w:szCs w:val="18"/>
              </w:rPr>
            </w:pPr>
          </w:p>
          <w:p w14:paraId="0539A825" w14:textId="6C8B82E9" w:rsidR="009908D6" w:rsidRPr="001E5CD0" w:rsidRDefault="001E5CD0" w:rsidP="008B606F">
            <w:pPr>
              <w:widowControl w:val="0"/>
              <w:suppressAutoHyphens/>
              <w:ind w:left="57" w:right="113"/>
              <w:jc w:val="both"/>
              <w:rPr>
                <w:sz w:val="18"/>
                <w:szCs w:val="18"/>
                <w:lang w:eastAsia="ar-SA"/>
              </w:rPr>
            </w:pPr>
            <w:r>
              <w:rPr>
                <w:sz w:val="18"/>
                <w:szCs w:val="18"/>
              </w:rPr>
              <w:t xml:space="preserve">m) </w:t>
            </w:r>
            <w:r w:rsidRPr="001E5CD0">
              <w:rPr>
                <w:sz w:val="18"/>
                <w:szCs w:val="18"/>
              </w:rPr>
              <w:t xml:space="preserve">čistou účetní hodnotou hmotných aktiv průměr hodnoty hmotných aktiv po zohlednění jejich odpisů a znehodnocení vykázaných v účetní závěrce vykázaných na začátku a na konci </w:t>
            </w:r>
            <w:r w:rsidRPr="008B606F">
              <w:rPr>
                <w:b/>
                <w:sz w:val="18"/>
                <w:szCs w:val="18"/>
                <w:u w:val="single"/>
              </w:rPr>
              <w:t>výkazního</w:t>
            </w:r>
            <w:r w:rsidRPr="001E5CD0">
              <w:rPr>
                <w:sz w:val="18"/>
                <w:szCs w:val="18"/>
              </w:rPr>
              <w:t xml:space="preserve"> období,</w:t>
            </w:r>
          </w:p>
        </w:tc>
        <w:tc>
          <w:tcPr>
            <w:tcW w:w="418" w:type="pct"/>
            <w:tcBorders>
              <w:top w:val="single" w:sz="4" w:space="0" w:color="auto"/>
              <w:left w:val="single" w:sz="4" w:space="0" w:color="auto"/>
              <w:bottom w:val="single" w:sz="4" w:space="0" w:color="auto"/>
              <w:right w:val="single" w:sz="4" w:space="0" w:color="auto"/>
            </w:tcBorders>
          </w:tcPr>
          <w:p w14:paraId="0FF4426D" w14:textId="5E3A6764" w:rsidR="009908D6" w:rsidRPr="00430543" w:rsidRDefault="00CD3523" w:rsidP="00CD3523">
            <w:pPr>
              <w:widowControl w:val="0"/>
              <w:ind w:left="57" w:right="113"/>
              <w:rPr>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tcPr>
          <w:p w14:paraId="28A4FECE" w14:textId="674DA395" w:rsidR="009908D6" w:rsidRPr="00430543" w:rsidRDefault="009908D6" w:rsidP="00F72915">
            <w:pPr>
              <w:widowControl w:val="0"/>
              <w:ind w:left="57" w:right="113"/>
              <w:rPr>
                <w:sz w:val="18"/>
                <w:szCs w:val="18"/>
              </w:rPr>
            </w:pPr>
          </w:p>
        </w:tc>
        <w:tc>
          <w:tcPr>
            <w:tcW w:w="2381" w:type="pct"/>
            <w:tcBorders>
              <w:top w:val="single" w:sz="4" w:space="0" w:color="auto"/>
              <w:left w:val="single" w:sz="4" w:space="0" w:color="auto"/>
              <w:bottom w:val="single" w:sz="4" w:space="0" w:color="auto"/>
              <w:right w:val="single" w:sz="4" w:space="0" w:color="auto"/>
            </w:tcBorders>
          </w:tcPr>
          <w:p w14:paraId="7CE32E99" w14:textId="77777777" w:rsidR="00022BD9" w:rsidRDefault="00022BD9" w:rsidP="00022BD9">
            <w:pPr>
              <w:pStyle w:val="Default"/>
              <w:rPr>
                <w:rFonts w:ascii="Times New Roman" w:hAnsi="Times New Roman" w:cs="Times New Roman"/>
                <w:sz w:val="18"/>
                <w:szCs w:val="18"/>
              </w:rPr>
            </w:pPr>
            <w:r w:rsidRPr="00EF2DD8">
              <w:rPr>
                <w:rFonts w:ascii="Times New Roman" w:hAnsi="Times New Roman" w:cs="Times New Roman"/>
                <w:sz w:val="18"/>
                <w:szCs w:val="18"/>
              </w:rPr>
              <w:t>Pro účely této směrnice se rozumí:</w:t>
            </w:r>
          </w:p>
          <w:p w14:paraId="4E3871E9" w14:textId="77777777" w:rsidR="00022BD9" w:rsidRPr="00022BD9" w:rsidRDefault="00022BD9" w:rsidP="00022BD9">
            <w:pPr>
              <w:pStyle w:val="Default"/>
              <w:rPr>
                <w:rFonts w:ascii="Times New Roman" w:hAnsi="Times New Roman" w:cs="Times New Roman"/>
                <w:sz w:val="18"/>
                <w:szCs w:val="18"/>
              </w:rPr>
            </w:pPr>
          </w:p>
          <w:p w14:paraId="5CCFE8F2" w14:textId="2B563D88" w:rsidR="009908D6" w:rsidRDefault="00022BD9" w:rsidP="00F72915">
            <w:pPr>
              <w:pStyle w:val="Default"/>
              <w:rPr>
                <w:rFonts w:ascii="Times New Roman" w:hAnsi="Times New Roman" w:cs="Times New Roman"/>
                <w:sz w:val="18"/>
                <w:szCs w:val="18"/>
              </w:rPr>
            </w:pPr>
            <w:r w:rsidRPr="00022BD9">
              <w:rPr>
                <w:rFonts w:ascii="Times New Roman" w:hAnsi="Times New Roman" w:cs="Times New Roman"/>
                <w:sz w:val="18"/>
                <w:szCs w:val="18"/>
              </w:rPr>
              <w:t>29)</w:t>
            </w:r>
            <w:r>
              <w:rPr>
                <w:rFonts w:ascii="Times New Roman" w:hAnsi="Times New Roman" w:cs="Times New Roman"/>
                <w:sz w:val="18"/>
                <w:szCs w:val="18"/>
              </w:rPr>
              <w:t xml:space="preserve"> </w:t>
            </w:r>
            <w:r w:rsidRPr="00022BD9">
              <w:rPr>
                <w:rFonts w:ascii="Times New Roman" w:hAnsi="Times New Roman" w:cs="Times New Roman"/>
                <w:sz w:val="18"/>
                <w:szCs w:val="18"/>
              </w:rPr>
              <w:t>„čistou účetní hodnotou hmotných aktiv“ průměr počáteční a konečné hodnoty hmotných aktiv po zohlednění kumulovaných odpisů, vyčerpání a znehodnocení, jak jsou zaznamenány v účetní závěrce;</w:t>
            </w:r>
          </w:p>
        </w:tc>
      </w:tr>
      <w:tr w:rsidR="008B606F" w:rsidRPr="007936DA" w14:paraId="7F7A3434"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21D3ED5D" w14:textId="77777777" w:rsidR="008B606F" w:rsidRPr="00430543" w:rsidRDefault="008B606F" w:rsidP="008B606F">
            <w:pPr>
              <w:widowControl w:val="0"/>
              <w:suppressAutoHyphens/>
              <w:ind w:left="57" w:right="113"/>
              <w:jc w:val="both"/>
              <w:rPr>
                <w:sz w:val="18"/>
                <w:szCs w:val="18"/>
                <w:lang w:eastAsia="ar-SA"/>
              </w:rPr>
            </w:pPr>
            <w:r w:rsidRPr="00430543">
              <w:rPr>
                <w:sz w:val="18"/>
                <w:szCs w:val="18"/>
                <w:lang w:eastAsia="ar-SA"/>
              </w:rPr>
              <w:t>§ 28</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61B959FA" w14:textId="0CB7B211" w:rsidR="008B606F" w:rsidRPr="008B606F" w:rsidRDefault="008B606F" w:rsidP="008B606F">
            <w:pPr>
              <w:pStyle w:val="Textparagrafu"/>
              <w:rPr>
                <w:sz w:val="18"/>
                <w:szCs w:val="18"/>
              </w:rPr>
            </w:pPr>
            <w:r w:rsidRPr="008B606F">
              <w:rPr>
                <w:sz w:val="18"/>
                <w:szCs w:val="18"/>
              </w:rPr>
              <w:t xml:space="preserve">(1) Jednorázové rozhodnutí činí poplatník dorovnávací daně v souvislosti s jednotlivou skutečností vymezenou v tomto zákoně, a to pro </w:t>
            </w:r>
            <w:r w:rsidRPr="008B606F">
              <w:rPr>
                <w:b/>
                <w:sz w:val="18"/>
                <w:szCs w:val="18"/>
                <w:u w:val="single"/>
              </w:rPr>
              <w:t>výkazní</w:t>
            </w:r>
            <w:r w:rsidRPr="008B606F">
              <w:rPr>
                <w:sz w:val="18"/>
                <w:szCs w:val="18"/>
              </w:rPr>
              <w:t xml:space="preserve"> období, ve kterém tato skutečnost nastane.</w:t>
            </w:r>
          </w:p>
          <w:p w14:paraId="1EBDA9DC" w14:textId="3AE1D792" w:rsidR="008B606F" w:rsidRPr="008B606F" w:rsidRDefault="008B606F" w:rsidP="008B606F">
            <w:pPr>
              <w:pStyle w:val="Textparagrafu"/>
              <w:rPr>
                <w:sz w:val="18"/>
                <w:szCs w:val="18"/>
              </w:rPr>
            </w:pPr>
            <w:r w:rsidRPr="008B606F">
              <w:rPr>
                <w:sz w:val="18"/>
                <w:szCs w:val="18"/>
              </w:rPr>
              <w:lastRenderedPageBreak/>
              <w:t xml:space="preserve">(2) Poplatník je povinen sdělit správci daně v informačním přehledu, že učinil jednorázové rozhodnutí, a to ve lhůtě pro podání informačního přehledu k dorovnávací dani, který je podáván za </w:t>
            </w:r>
            <w:r w:rsidRPr="008B606F">
              <w:rPr>
                <w:b/>
                <w:sz w:val="18"/>
                <w:szCs w:val="18"/>
                <w:u w:val="single"/>
              </w:rPr>
              <w:t>výkazní</w:t>
            </w:r>
            <w:r w:rsidRPr="008B606F">
              <w:rPr>
                <w:sz w:val="18"/>
                <w:szCs w:val="18"/>
              </w:rPr>
              <w:t xml:space="preserve"> období, pro které se rozhodnutí činí.</w:t>
            </w:r>
          </w:p>
          <w:p w14:paraId="6D2A0ED2" w14:textId="77777777" w:rsidR="008B606F" w:rsidRPr="008B606F" w:rsidRDefault="008B606F" w:rsidP="008B606F">
            <w:pPr>
              <w:pStyle w:val="Textparagrafu"/>
              <w:rPr>
                <w:sz w:val="18"/>
                <w:szCs w:val="18"/>
              </w:rPr>
            </w:pPr>
            <w:r w:rsidRPr="008B606F">
              <w:rPr>
                <w:sz w:val="18"/>
                <w:szCs w:val="18"/>
              </w:rPr>
              <w:t>(3) Neučiní-li poplatník včas sdělení podle odstavce 2, platí, že jednorázové rozhodnutí neučinil.</w:t>
            </w:r>
          </w:p>
          <w:p w14:paraId="5A45CCAB" w14:textId="2F802287" w:rsidR="008B606F" w:rsidRPr="00430543" w:rsidRDefault="008B606F" w:rsidP="008B606F">
            <w:pPr>
              <w:widowControl w:val="0"/>
              <w:suppressAutoHyphens/>
              <w:ind w:left="57"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2C9ABB1" w14:textId="49A1460D" w:rsidR="008B606F" w:rsidRPr="00430543" w:rsidRDefault="008B606F" w:rsidP="008B606F">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4DCC6A89" w14:textId="01833401" w:rsidR="008B606F" w:rsidRPr="00430543" w:rsidRDefault="008B606F" w:rsidP="008B606F">
            <w:pPr>
              <w:widowControl w:val="0"/>
              <w:ind w:left="57" w:right="113"/>
              <w:rPr>
                <w:sz w:val="18"/>
                <w:szCs w:val="18"/>
              </w:rPr>
            </w:pPr>
            <w:r w:rsidRPr="00430543">
              <w:rPr>
                <w:sz w:val="18"/>
                <w:szCs w:val="18"/>
              </w:rPr>
              <w:t>čl. 35 odst. 5</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56243C06" w14:textId="77777777" w:rsidR="008B606F" w:rsidRPr="009E47F6" w:rsidRDefault="008B606F" w:rsidP="008B606F">
            <w:pPr>
              <w:pStyle w:val="Default"/>
              <w:rPr>
                <w:rFonts w:ascii="Times New Roman" w:hAnsi="Times New Roman" w:cs="Times New Roman"/>
                <w:sz w:val="18"/>
                <w:szCs w:val="18"/>
              </w:rPr>
            </w:pPr>
            <w:r w:rsidRPr="009E47F6">
              <w:rPr>
                <w:rFonts w:ascii="Times New Roman" w:hAnsi="Times New Roman" w:cs="Times New Roman"/>
                <w:sz w:val="18"/>
                <w:szCs w:val="18"/>
              </w:rPr>
              <w:t>5.   Podávající členský subjekt se může rozhodnout, že v případech, kdy je členský subjekt pro daňové účely v jurisdikci, v níž se nachází, povinen nebo oprávněn upravit základ svých aktiv a výši svých pasiv na reálnou hodnotu, může tento členský subjekt:</w:t>
            </w:r>
          </w:p>
          <w:p w14:paraId="471F9649" w14:textId="77777777" w:rsidR="008B606F" w:rsidRPr="009E47F6" w:rsidRDefault="008B606F" w:rsidP="008B606F">
            <w:pPr>
              <w:pStyle w:val="Default"/>
              <w:rPr>
                <w:rFonts w:ascii="Times New Roman" w:hAnsi="Times New Roman" w:cs="Times New Roman"/>
                <w:sz w:val="18"/>
                <w:szCs w:val="18"/>
              </w:rPr>
            </w:pPr>
          </w:p>
          <w:p w14:paraId="21D53BC6" w14:textId="77777777" w:rsidR="008B606F" w:rsidRPr="009E47F6" w:rsidRDefault="008B606F" w:rsidP="008B606F">
            <w:pPr>
              <w:pStyle w:val="Default"/>
              <w:rPr>
                <w:rFonts w:ascii="Times New Roman" w:hAnsi="Times New Roman" w:cs="Times New Roman"/>
                <w:sz w:val="18"/>
                <w:szCs w:val="18"/>
              </w:rPr>
            </w:pPr>
            <w:r w:rsidRPr="009E47F6">
              <w:rPr>
                <w:rFonts w:ascii="Times New Roman" w:hAnsi="Times New Roman" w:cs="Times New Roman"/>
                <w:sz w:val="18"/>
                <w:szCs w:val="18"/>
              </w:rPr>
              <w:t>a)</w:t>
            </w:r>
            <w:r>
              <w:rPr>
                <w:rFonts w:ascii="Times New Roman" w:hAnsi="Times New Roman" w:cs="Times New Roman"/>
                <w:sz w:val="18"/>
                <w:szCs w:val="18"/>
              </w:rPr>
              <w:t xml:space="preserve"> </w:t>
            </w:r>
            <w:r w:rsidRPr="009E47F6">
              <w:rPr>
                <w:rFonts w:ascii="Times New Roman" w:hAnsi="Times New Roman" w:cs="Times New Roman"/>
                <w:sz w:val="18"/>
                <w:szCs w:val="18"/>
              </w:rPr>
              <w:t xml:space="preserve">zahrnout do výpočtu svého kvalifikovaného příjmu nebo ztráty částku zisku nebo ztráty ve vztahu ke každému ze svých aktiv a pasiv, která </w:t>
            </w:r>
            <w:proofErr w:type="gramStart"/>
            <w:r w:rsidRPr="009E47F6">
              <w:rPr>
                <w:rFonts w:ascii="Times New Roman" w:hAnsi="Times New Roman" w:cs="Times New Roman"/>
                <w:sz w:val="18"/>
                <w:szCs w:val="18"/>
              </w:rPr>
              <w:t>se</w:t>
            </w:r>
            <w:proofErr w:type="gramEnd"/>
            <w:r w:rsidRPr="009E47F6">
              <w:rPr>
                <w:rFonts w:ascii="Times New Roman" w:hAnsi="Times New Roman" w:cs="Times New Roman"/>
                <w:sz w:val="18"/>
                <w:szCs w:val="18"/>
              </w:rPr>
              <w:t>:</w:t>
            </w:r>
          </w:p>
          <w:p w14:paraId="0C62D8D3" w14:textId="77777777" w:rsidR="008B606F" w:rsidRPr="009E47F6" w:rsidRDefault="008B606F" w:rsidP="008B606F">
            <w:pPr>
              <w:pStyle w:val="Default"/>
              <w:rPr>
                <w:rFonts w:ascii="Times New Roman" w:hAnsi="Times New Roman" w:cs="Times New Roman"/>
                <w:sz w:val="18"/>
                <w:szCs w:val="18"/>
              </w:rPr>
            </w:pPr>
          </w:p>
          <w:p w14:paraId="4724CB7A" w14:textId="77777777" w:rsidR="008B606F" w:rsidRPr="009E47F6" w:rsidRDefault="008B606F" w:rsidP="008B606F">
            <w:pPr>
              <w:pStyle w:val="Default"/>
              <w:rPr>
                <w:rFonts w:ascii="Times New Roman" w:hAnsi="Times New Roman" w:cs="Times New Roman"/>
                <w:sz w:val="18"/>
                <w:szCs w:val="18"/>
              </w:rPr>
            </w:pPr>
            <w:r w:rsidRPr="009E47F6">
              <w:rPr>
                <w:rFonts w:ascii="Times New Roman" w:hAnsi="Times New Roman" w:cs="Times New Roman"/>
                <w:sz w:val="18"/>
                <w:szCs w:val="18"/>
              </w:rPr>
              <w:t>i)</w:t>
            </w:r>
            <w:r>
              <w:rPr>
                <w:rFonts w:ascii="Times New Roman" w:hAnsi="Times New Roman" w:cs="Times New Roman"/>
                <w:sz w:val="18"/>
                <w:szCs w:val="18"/>
              </w:rPr>
              <w:t xml:space="preserve"> </w:t>
            </w:r>
            <w:r w:rsidRPr="009E47F6">
              <w:rPr>
                <w:rFonts w:ascii="Times New Roman" w:hAnsi="Times New Roman" w:cs="Times New Roman"/>
                <w:sz w:val="18"/>
                <w:szCs w:val="18"/>
              </w:rPr>
              <w:t>rovná rozdílu mezi účetní hodnotou aktiva nebo pasiva pro účely účetního výkaznictví bezprostředně před datem události, která vedla k úpravě daně (dále jen „rozhodná událost“), a reálnou hodnotou aktiva nebo pasiva bezprostředně po rozhodné události a</w:t>
            </w:r>
          </w:p>
          <w:p w14:paraId="699EE354" w14:textId="77777777" w:rsidR="008B606F" w:rsidRPr="009E47F6" w:rsidRDefault="008B606F" w:rsidP="008B606F">
            <w:pPr>
              <w:pStyle w:val="Default"/>
              <w:rPr>
                <w:rFonts w:ascii="Times New Roman" w:hAnsi="Times New Roman" w:cs="Times New Roman"/>
                <w:sz w:val="18"/>
                <w:szCs w:val="18"/>
              </w:rPr>
            </w:pPr>
          </w:p>
          <w:p w14:paraId="0F840FD2" w14:textId="77777777" w:rsidR="008B606F" w:rsidRPr="009E47F6" w:rsidRDefault="008B606F" w:rsidP="008B606F">
            <w:pPr>
              <w:pStyle w:val="Default"/>
              <w:rPr>
                <w:rFonts w:ascii="Times New Roman" w:hAnsi="Times New Roman" w:cs="Times New Roman"/>
                <w:sz w:val="18"/>
                <w:szCs w:val="18"/>
              </w:rPr>
            </w:pPr>
            <w:proofErr w:type="spellStart"/>
            <w:r w:rsidRPr="009E47F6">
              <w:rPr>
                <w:rFonts w:ascii="Times New Roman" w:hAnsi="Times New Roman" w:cs="Times New Roman"/>
                <w:sz w:val="18"/>
                <w:szCs w:val="18"/>
              </w:rPr>
              <w:t>ii</w:t>
            </w:r>
            <w:proofErr w:type="spellEnd"/>
            <w:r w:rsidRPr="009E47F6">
              <w:rPr>
                <w:rFonts w:ascii="Times New Roman" w:hAnsi="Times New Roman" w:cs="Times New Roman"/>
                <w:sz w:val="18"/>
                <w:szCs w:val="18"/>
              </w:rPr>
              <w:t>)</w:t>
            </w:r>
            <w:r>
              <w:rPr>
                <w:rFonts w:ascii="Times New Roman" w:hAnsi="Times New Roman" w:cs="Times New Roman"/>
                <w:sz w:val="18"/>
                <w:szCs w:val="18"/>
              </w:rPr>
              <w:t xml:space="preserve"> </w:t>
            </w:r>
            <w:r w:rsidRPr="009E47F6">
              <w:rPr>
                <w:rFonts w:ascii="Times New Roman" w:hAnsi="Times New Roman" w:cs="Times New Roman"/>
                <w:sz w:val="18"/>
                <w:szCs w:val="18"/>
              </w:rPr>
              <w:t>sníží (nebo zvýší) o případný nekvalifikovaný zisk nebo ztrátu vzniklé v souvislosti s rozhodnou událostí;</w:t>
            </w:r>
          </w:p>
          <w:p w14:paraId="585F99E5" w14:textId="77777777" w:rsidR="008B606F" w:rsidRPr="009E47F6" w:rsidRDefault="008B606F" w:rsidP="008B606F">
            <w:pPr>
              <w:pStyle w:val="Default"/>
              <w:rPr>
                <w:rFonts w:ascii="Times New Roman" w:hAnsi="Times New Roman" w:cs="Times New Roman"/>
                <w:sz w:val="18"/>
                <w:szCs w:val="18"/>
              </w:rPr>
            </w:pPr>
          </w:p>
          <w:p w14:paraId="669FBF47" w14:textId="77777777" w:rsidR="008B606F" w:rsidRPr="009E47F6" w:rsidRDefault="008B606F" w:rsidP="008B606F">
            <w:pPr>
              <w:pStyle w:val="Default"/>
              <w:rPr>
                <w:rFonts w:ascii="Times New Roman" w:hAnsi="Times New Roman" w:cs="Times New Roman"/>
                <w:sz w:val="18"/>
                <w:szCs w:val="18"/>
              </w:rPr>
            </w:pPr>
            <w:r w:rsidRPr="009E47F6">
              <w:rPr>
                <w:rFonts w:ascii="Times New Roman" w:hAnsi="Times New Roman" w:cs="Times New Roman"/>
                <w:sz w:val="18"/>
                <w:szCs w:val="18"/>
              </w:rPr>
              <w:t>b)</w:t>
            </w:r>
            <w:r>
              <w:rPr>
                <w:rFonts w:ascii="Times New Roman" w:hAnsi="Times New Roman" w:cs="Times New Roman"/>
                <w:sz w:val="18"/>
                <w:szCs w:val="18"/>
              </w:rPr>
              <w:t xml:space="preserve"> </w:t>
            </w:r>
            <w:r w:rsidRPr="009E47F6">
              <w:rPr>
                <w:rFonts w:ascii="Times New Roman" w:hAnsi="Times New Roman" w:cs="Times New Roman"/>
                <w:sz w:val="18"/>
                <w:szCs w:val="18"/>
              </w:rPr>
              <w:t>použít reálnou hodnotu aktiva nebo pasiva pro účely účetního výkaznictví bezprostředně po rozhodné události k výpočtu kvalifikovaného příjmu nebo ztráty v účetních obdobích končících po rozhodné události; a</w:t>
            </w:r>
          </w:p>
          <w:p w14:paraId="197A05E0" w14:textId="77777777" w:rsidR="008B606F" w:rsidRPr="009E47F6" w:rsidRDefault="008B606F" w:rsidP="008B606F">
            <w:pPr>
              <w:pStyle w:val="Default"/>
              <w:rPr>
                <w:rFonts w:ascii="Times New Roman" w:hAnsi="Times New Roman" w:cs="Times New Roman"/>
                <w:sz w:val="18"/>
                <w:szCs w:val="18"/>
              </w:rPr>
            </w:pPr>
          </w:p>
          <w:p w14:paraId="7940183F" w14:textId="77777777" w:rsidR="008B606F" w:rsidRPr="009E47F6" w:rsidRDefault="008B606F" w:rsidP="008B606F">
            <w:pPr>
              <w:pStyle w:val="Default"/>
              <w:rPr>
                <w:rFonts w:ascii="Times New Roman" w:hAnsi="Times New Roman" w:cs="Times New Roman"/>
                <w:sz w:val="18"/>
                <w:szCs w:val="18"/>
              </w:rPr>
            </w:pPr>
            <w:r w:rsidRPr="009E47F6">
              <w:rPr>
                <w:rFonts w:ascii="Times New Roman" w:hAnsi="Times New Roman" w:cs="Times New Roman"/>
                <w:sz w:val="18"/>
                <w:szCs w:val="18"/>
              </w:rPr>
              <w:t>c)</w:t>
            </w:r>
            <w:r>
              <w:rPr>
                <w:rFonts w:ascii="Times New Roman" w:hAnsi="Times New Roman" w:cs="Times New Roman"/>
                <w:sz w:val="18"/>
                <w:szCs w:val="18"/>
              </w:rPr>
              <w:t xml:space="preserve"> </w:t>
            </w:r>
            <w:r w:rsidRPr="009E47F6">
              <w:rPr>
                <w:rFonts w:ascii="Times New Roman" w:hAnsi="Times New Roman" w:cs="Times New Roman"/>
                <w:sz w:val="18"/>
                <w:szCs w:val="18"/>
              </w:rPr>
              <w:t>zahrnout celkovou čistou výši částek stanovených v písmeni a) do kvalifikovaného příjmu nebo ztráty členského subjektu jedním z těchto způsobů:</w:t>
            </w:r>
          </w:p>
          <w:p w14:paraId="2AEF19BB" w14:textId="77777777" w:rsidR="008B606F" w:rsidRPr="009E47F6" w:rsidRDefault="008B606F" w:rsidP="008B606F">
            <w:pPr>
              <w:pStyle w:val="Default"/>
              <w:rPr>
                <w:rFonts w:ascii="Times New Roman" w:hAnsi="Times New Roman" w:cs="Times New Roman"/>
                <w:sz w:val="18"/>
                <w:szCs w:val="18"/>
              </w:rPr>
            </w:pPr>
          </w:p>
          <w:p w14:paraId="31BAE3B1" w14:textId="77777777" w:rsidR="008B606F" w:rsidRPr="009E47F6" w:rsidRDefault="008B606F" w:rsidP="008B606F">
            <w:pPr>
              <w:pStyle w:val="Default"/>
              <w:rPr>
                <w:rFonts w:ascii="Times New Roman" w:hAnsi="Times New Roman" w:cs="Times New Roman"/>
                <w:sz w:val="18"/>
                <w:szCs w:val="18"/>
              </w:rPr>
            </w:pPr>
            <w:r w:rsidRPr="009E47F6">
              <w:rPr>
                <w:rFonts w:ascii="Times New Roman" w:hAnsi="Times New Roman" w:cs="Times New Roman"/>
                <w:sz w:val="18"/>
                <w:szCs w:val="18"/>
              </w:rPr>
              <w:t>i)</w:t>
            </w:r>
            <w:r>
              <w:rPr>
                <w:rFonts w:ascii="Times New Roman" w:hAnsi="Times New Roman" w:cs="Times New Roman"/>
                <w:sz w:val="18"/>
                <w:szCs w:val="18"/>
              </w:rPr>
              <w:t xml:space="preserve"> </w:t>
            </w:r>
            <w:r w:rsidRPr="009E47F6">
              <w:rPr>
                <w:rFonts w:ascii="Times New Roman" w:hAnsi="Times New Roman" w:cs="Times New Roman"/>
                <w:sz w:val="18"/>
                <w:szCs w:val="18"/>
              </w:rPr>
              <w:t>celková čistá výše těchto částek se zahrne v účetním období, v němž nastala rozhodná událost, nebo</w:t>
            </w:r>
          </w:p>
          <w:p w14:paraId="69BDBF16" w14:textId="77777777" w:rsidR="008B606F" w:rsidRPr="009E47F6" w:rsidRDefault="008B606F" w:rsidP="008B606F">
            <w:pPr>
              <w:pStyle w:val="Default"/>
              <w:rPr>
                <w:rFonts w:ascii="Times New Roman" w:hAnsi="Times New Roman" w:cs="Times New Roman"/>
                <w:sz w:val="18"/>
                <w:szCs w:val="18"/>
              </w:rPr>
            </w:pPr>
          </w:p>
          <w:p w14:paraId="361FDD51" w14:textId="2F589B44" w:rsidR="008B606F" w:rsidRPr="007936DA" w:rsidRDefault="008B606F" w:rsidP="008B606F">
            <w:pPr>
              <w:pStyle w:val="Default"/>
              <w:rPr>
                <w:rFonts w:ascii="Times New Roman" w:hAnsi="Times New Roman" w:cs="Times New Roman"/>
                <w:sz w:val="18"/>
                <w:szCs w:val="18"/>
              </w:rPr>
            </w:pPr>
            <w:proofErr w:type="spellStart"/>
            <w:r w:rsidRPr="009E47F6">
              <w:rPr>
                <w:rFonts w:ascii="Times New Roman" w:hAnsi="Times New Roman" w:cs="Times New Roman"/>
                <w:sz w:val="18"/>
                <w:szCs w:val="18"/>
              </w:rPr>
              <w:t>ii</w:t>
            </w:r>
            <w:proofErr w:type="spellEnd"/>
            <w:r w:rsidRPr="009E47F6">
              <w:rPr>
                <w:rFonts w:ascii="Times New Roman" w:hAnsi="Times New Roman" w:cs="Times New Roman"/>
                <w:sz w:val="18"/>
                <w:szCs w:val="18"/>
              </w:rPr>
              <w:t>)</w:t>
            </w:r>
            <w:r>
              <w:rPr>
                <w:rFonts w:ascii="Times New Roman" w:hAnsi="Times New Roman" w:cs="Times New Roman"/>
                <w:sz w:val="18"/>
                <w:szCs w:val="18"/>
              </w:rPr>
              <w:t xml:space="preserve"> </w:t>
            </w:r>
            <w:r w:rsidRPr="009E47F6">
              <w:rPr>
                <w:rFonts w:ascii="Times New Roman" w:hAnsi="Times New Roman" w:cs="Times New Roman"/>
                <w:sz w:val="18"/>
                <w:szCs w:val="18"/>
              </w:rPr>
              <w:t>jedna pětina čisté výše těchto částek se zahrne v účetním období, v němž nastala rozhodná událost, a v každém z bezprostředně následujících čtyř účetních období, ledaže členský subjekt v některém z účetních období uvedeného časového horizontu nadnárodní skupinu podniků nebo velkou vnitrostátní skupinu opustí, přičemž v tomto případě se v daném účetním období zahrne celá zbývající částka.</w:t>
            </w:r>
          </w:p>
        </w:tc>
      </w:tr>
      <w:tr w:rsidR="008B606F" w:rsidRPr="007936DA" w14:paraId="51471708"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0E31AF8C" w14:textId="77777777" w:rsidR="008B606F" w:rsidRPr="00430543" w:rsidRDefault="008B606F" w:rsidP="008B606F">
            <w:pPr>
              <w:widowControl w:val="0"/>
              <w:suppressAutoHyphens/>
              <w:ind w:left="57" w:right="113"/>
              <w:jc w:val="both"/>
              <w:rPr>
                <w:sz w:val="18"/>
                <w:szCs w:val="18"/>
                <w:lang w:eastAsia="ar-SA"/>
              </w:rPr>
            </w:pPr>
            <w:r w:rsidRPr="00430543">
              <w:rPr>
                <w:sz w:val="18"/>
                <w:szCs w:val="18"/>
                <w:lang w:eastAsia="ar-SA"/>
              </w:rPr>
              <w:lastRenderedPageBreak/>
              <w:t>§ 29</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3ACCBB19" w14:textId="61A4C8C7" w:rsidR="00413C5D" w:rsidRPr="00413C5D" w:rsidRDefault="00413C5D" w:rsidP="00413C5D">
            <w:pPr>
              <w:pStyle w:val="Textparagrafu"/>
              <w:rPr>
                <w:sz w:val="18"/>
                <w:szCs w:val="18"/>
              </w:rPr>
            </w:pPr>
            <w:r w:rsidRPr="00413C5D">
              <w:rPr>
                <w:sz w:val="18"/>
                <w:szCs w:val="18"/>
              </w:rPr>
              <w:t xml:space="preserve">(1) Krátkodobé rozhodnutí činí poplatník dorovnávací daně pro jedno </w:t>
            </w:r>
            <w:r w:rsidRPr="00413C5D">
              <w:rPr>
                <w:b/>
                <w:sz w:val="18"/>
                <w:szCs w:val="18"/>
                <w:u w:val="single"/>
              </w:rPr>
              <w:t>výkazní</w:t>
            </w:r>
            <w:r w:rsidRPr="00413C5D">
              <w:rPr>
                <w:sz w:val="18"/>
                <w:szCs w:val="18"/>
              </w:rPr>
              <w:t xml:space="preserve"> období.</w:t>
            </w:r>
          </w:p>
          <w:p w14:paraId="5B327D48" w14:textId="68B92777" w:rsidR="00413C5D" w:rsidRPr="00413C5D" w:rsidRDefault="00413C5D" w:rsidP="00413C5D">
            <w:pPr>
              <w:pStyle w:val="Textparagrafu"/>
              <w:rPr>
                <w:sz w:val="18"/>
                <w:szCs w:val="18"/>
              </w:rPr>
            </w:pPr>
            <w:r w:rsidRPr="00413C5D">
              <w:rPr>
                <w:sz w:val="18"/>
                <w:szCs w:val="18"/>
              </w:rPr>
              <w:t xml:space="preserve">(2) Poplatník je povinen sdělit správci daně v informačním přehledu, že učinil krátkodobé rozhodnutí, a to ve lhůtě pro podání informačního přehledu k dorovnávací dani, který je podáván za </w:t>
            </w:r>
            <w:r w:rsidRPr="00413C5D">
              <w:rPr>
                <w:b/>
                <w:sz w:val="18"/>
                <w:szCs w:val="18"/>
                <w:u w:val="single"/>
              </w:rPr>
              <w:t>výkazní</w:t>
            </w:r>
            <w:r w:rsidRPr="00413C5D">
              <w:rPr>
                <w:sz w:val="18"/>
                <w:szCs w:val="18"/>
                <w:u w:val="single"/>
              </w:rPr>
              <w:t xml:space="preserve"> </w:t>
            </w:r>
            <w:r w:rsidRPr="00413C5D">
              <w:rPr>
                <w:sz w:val="18"/>
                <w:szCs w:val="18"/>
              </w:rPr>
              <w:t>období, pro které se rozhodnutí činí.</w:t>
            </w:r>
          </w:p>
          <w:p w14:paraId="3AFD0CC5" w14:textId="77777777" w:rsidR="00413C5D" w:rsidRPr="00413C5D" w:rsidRDefault="00413C5D" w:rsidP="00413C5D">
            <w:pPr>
              <w:pStyle w:val="Textparagrafu"/>
              <w:rPr>
                <w:sz w:val="18"/>
                <w:szCs w:val="18"/>
              </w:rPr>
            </w:pPr>
            <w:r w:rsidRPr="00413C5D">
              <w:rPr>
                <w:sz w:val="18"/>
                <w:szCs w:val="18"/>
              </w:rPr>
              <w:t>(3) Neučiní-li poplatník včas sdělení podle odstavce 2, platí, že krátkodobé rozhodnutí neučinil.</w:t>
            </w:r>
          </w:p>
          <w:p w14:paraId="18DFC4B3" w14:textId="77777777" w:rsidR="00413C5D" w:rsidRPr="00413C5D" w:rsidRDefault="00413C5D" w:rsidP="00413C5D">
            <w:pPr>
              <w:pStyle w:val="Textparagrafu"/>
              <w:rPr>
                <w:sz w:val="18"/>
                <w:szCs w:val="18"/>
              </w:rPr>
            </w:pPr>
            <w:r w:rsidRPr="00413C5D">
              <w:rPr>
                <w:sz w:val="18"/>
                <w:szCs w:val="18"/>
              </w:rPr>
              <w:t>(4) Krátkodobé rozhodnutí se po uplynutí jeho účinnosti obnovuje, ledaže poplatník rozhodne o jeho neobnovení.</w:t>
            </w:r>
          </w:p>
          <w:p w14:paraId="5B89C66A" w14:textId="65C10DAB" w:rsidR="00413C5D" w:rsidRPr="00413C5D" w:rsidRDefault="00413C5D" w:rsidP="00413C5D">
            <w:pPr>
              <w:pStyle w:val="Textparagrafu"/>
              <w:rPr>
                <w:sz w:val="18"/>
                <w:szCs w:val="18"/>
              </w:rPr>
            </w:pPr>
            <w:r w:rsidRPr="00413C5D">
              <w:rPr>
                <w:sz w:val="18"/>
                <w:szCs w:val="18"/>
              </w:rPr>
              <w:lastRenderedPageBreak/>
              <w:t xml:space="preserve">(5) Rozhodnutí o neobnovení krátkodobého rozhodnutí je poplatník dorovnávací daně povinen sdělit správci daně do dne předcházejícího prvnímu dni prvního </w:t>
            </w:r>
            <w:r w:rsidRPr="00413C5D">
              <w:rPr>
                <w:b/>
                <w:sz w:val="18"/>
                <w:szCs w:val="18"/>
                <w:u w:val="single"/>
              </w:rPr>
              <w:t>výkazního</w:t>
            </w:r>
            <w:r w:rsidRPr="00413C5D">
              <w:rPr>
                <w:sz w:val="18"/>
                <w:szCs w:val="18"/>
              </w:rPr>
              <w:t xml:space="preserve"> období, pro které není rozhodnutí obnoveno. Neučiní-li poplatník včas toto sdělení, platí, že rozhodnutí o neobnovení krátkodobého rozhodnutí neučinil.</w:t>
            </w:r>
          </w:p>
          <w:p w14:paraId="23283CB1" w14:textId="356690C6" w:rsidR="008B606F" w:rsidRPr="00430543" w:rsidRDefault="008B606F" w:rsidP="008B606F">
            <w:pPr>
              <w:widowControl w:val="0"/>
              <w:suppressAutoHyphens/>
              <w:ind w:left="57"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59AD19EE" w14:textId="4B0936F7" w:rsidR="008B606F" w:rsidRPr="00430543" w:rsidRDefault="008B606F" w:rsidP="008B606F">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60C8B22D" w14:textId="77E481B3" w:rsidR="008B606F" w:rsidRPr="00430543" w:rsidRDefault="008B606F" w:rsidP="008B606F">
            <w:pPr>
              <w:widowControl w:val="0"/>
              <w:ind w:left="57" w:right="113"/>
              <w:rPr>
                <w:sz w:val="18"/>
                <w:szCs w:val="18"/>
              </w:rPr>
            </w:pPr>
            <w:r w:rsidRPr="00430543">
              <w:rPr>
                <w:sz w:val="18"/>
                <w:szCs w:val="18"/>
              </w:rPr>
              <w:t>čl. 45 odst. 2</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0E6845B6" w14:textId="7FA04688" w:rsidR="008B606F" w:rsidRPr="007936DA" w:rsidRDefault="008B606F" w:rsidP="008B606F">
            <w:pPr>
              <w:pStyle w:val="Default"/>
              <w:rPr>
                <w:rFonts w:ascii="Times New Roman" w:hAnsi="Times New Roman" w:cs="Times New Roman"/>
                <w:sz w:val="18"/>
                <w:szCs w:val="18"/>
              </w:rPr>
            </w:pPr>
            <w:r w:rsidRPr="00627814">
              <w:rPr>
                <w:rFonts w:ascii="Times New Roman" w:hAnsi="Times New Roman" w:cs="Times New Roman"/>
                <w:sz w:val="18"/>
                <w:szCs w:val="18"/>
              </w:rPr>
              <w:t>2.   Rozhodnutí uvedená v čl. 16 odst. 7, čl. 22 odst. 1 písm. b), čl. 25 odst. 1, čl. 28 odst. 2, čl. 30 odst. 1 a čl. 40 odst. 1 jsou platná po dobu jednoho roku. Rozhodnutí se automaticky obnovuje, pokud jej podávající členský subjekt na konci roku nezruší.</w:t>
            </w:r>
          </w:p>
        </w:tc>
      </w:tr>
      <w:tr w:rsidR="008B606F" w:rsidRPr="007936DA" w14:paraId="215ADE62"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2F4B656D" w14:textId="77777777" w:rsidR="008B606F" w:rsidRPr="00430543" w:rsidRDefault="008B606F" w:rsidP="008B606F">
            <w:pPr>
              <w:widowControl w:val="0"/>
              <w:suppressAutoHyphens/>
              <w:ind w:left="57" w:right="113"/>
              <w:jc w:val="both"/>
              <w:rPr>
                <w:sz w:val="18"/>
                <w:szCs w:val="18"/>
                <w:lang w:eastAsia="ar-SA"/>
              </w:rPr>
            </w:pPr>
            <w:r w:rsidRPr="00430543">
              <w:rPr>
                <w:sz w:val="18"/>
                <w:szCs w:val="18"/>
                <w:lang w:eastAsia="ar-SA"/>
              </w:rPr>
              <w:t>§ 30</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2498C164" w14:textId="2ADFB783" w:rsidR="00413C5D" w:rsidRPr="00413C5D" w:rsidRDefault="00413C5D" w:rsidP="00413C5D">
            <w:pPr>
              <w:pStyle w:val="Textparagrafu"/>
              <w:rPr>
                <w:sz w:val="18"/>
                <w:szCs w:val="18"/>
              </w:rPr>
            </w:pPr>
            <w:r w:rsidRPr="00413C5D">
              <w:rPr>
                <w:sz w:val="18"/>
                <w:szCs w:val="18"/>
              </w:rPr>
              <w:t xml:space="preserve">(1) Střednědobé rozhodnutí činí poplatník dorovnávací daně pro 5 po sobě následujících </w:t>
            </w:r>
            <w:r w:rsidRPr="00413C5D">
              <w:rPr>
                <w:b/>
                <w:sz w:val="18"/>
                <w:szCs w:val="18"/>
                <w:u w:val="single"/>
              </w:rPr>
              <w:t>výkazních</w:t>
            </w:r>
            <w:r w:rsidRPr="00413C5D">
              <w:rPr>
                <w:sz w:val="18"/>
                <w:szCs w:val="18"/>
              </w:rPr>
              <w:t xml:space="preserve"> období.</w:t>
            </w:r>
          </w:p>
          <w:p w14:paraId="133FDD24" w14:textId="77777777" w:rsidR="00413C5D" w:rsidRPr="00413C5D" w:rsidRDefault="00413C5D" w:rsidP="00413C5D">
            <w:pPr>
              <w:pStyle w:val="Textparagrafu"/>
              <w:rPr>
                <w:sz w:val="18"/>
                <w:szCs w:val="18"/>
              </w:rPr>
            </w:pPr>
            <w:r w:rsidRPr="00413C5D">
              <w:rPr>
                <w:sz w:val="18"/>
                <w:szCs w:val="18"/>
              </w:rPr>
              <w:t>(2) Poplatník je povinen sdělit správci daně v informačním přehledu, že učinil střednědobé rozhodnutí, a to ve lhůtě pro podání informačního přehledu k dorovnávací dani, který</w:t>
            </w:r>
          </w:p>
          <w:p w14:paraId="14137051" w14:textId="2270B2BB" w:rsidR="00413C5D" w:rsidRPr="00413C5D" w:rsidRDefault="00413C5D" w:rsidP="00413C5D">
            <w:pPr>
              <w:pStyle w:val="PZTextpsmene"/>
              <w:rPr>
                <w:sz w:val="18"/>
                <w:szCs w:val="18"/>
              </w:rPr>
            </w:pPr>
            <w:r w:rsidRPr="00413C5D">
              <w:rPr>
                <w:sz w:val="18"/>
                <w:szCs w:val="18"/>
              </w:rPr>
              <w:t>a)</w:t>
            </w:r>
            <w:r w:rsidRPr="00413C5D">
              <w:rPr>
                <w:sz w:val="18"/>
                <w:szCs w:val="18"/>
              </w:rPr>
              <w:tab/>
              <w:t xml:space="preserve">je podáván za první ze </w:t>
            </w:r>
            <w:r w:rsidRPr="00413C5D">
              <w:rPr>
                <w:b/>
                <w:sz w:val="18"/>
                <w:szCs w:val="18"/>
                <w:u w:val="single"/>
              </w:rPr>
              <w:t>výkazních</w:t>
            </w:r>
            <w:r w:rsidRPr="00413C5D">
              <w:rPr>
                <w:sz w:val="18"/>
                <w:szCs w:val="18"/>
              </w:rPr>
              <w:t xml:space="preserve"> období, pro které se rozhodnutí činí, nebo</w:t>
            </w:r>
          </w:p>
          <w:p w14:paraId="48C89CC8" w14:textId="77777777" w:rsidR="00413C5D" w:rsidRPr="00413C5D" w:rsidRDefault="00413C5D" w:rsidP="00413C5D">
            <w:pPr>
              <w:pStyle w:val="PZTextpsmene"/>
              <w:rPr>
                <w:sz w:val="18"/>
                <w:szCs w:val="18"/>
              </w:rPr>
            </w:pPr>
            <w:r w:rsidRPr="00413C5D">
              <w:rPr>
                <w:sz w:val="18"/>
                <w:szCs w:val="18"/>
              </w:rPr>
              <w:t>b)</w:t>
            </w:r>
            <w:r w:rsidRPr="00413C5D">
              <w:rPr>
                <w:sz w:val="18"/>
                <w:szCs w:val="18"/>
              </w:rPr>
              <w:tab/>
              <w:t>by byl podáván, pokud poplatník dorovnávací daně není podávající členskou entitou.</w:t>
            </w:r>
          </w:p>
          <w:p w14:paraId="533377D3" w14:textId="77777777" w:rsidR="00413C5D" w:rsidRPr="00413C5D" w:rsidRDefault="00413C5D" w:rsidP="00413C5D">
            <w:pPr>
              <w:pStyle w:val="Textparagrafu"/>
              <w:rPr>
                <w:sz w:val="18"/>
                <w:szCs w:val="18"/>
              </w:rPr>
            </w:pPr>
            <w:r w:rsidRPr="00413C5D">
              <w:rPr>
                <w:sz w:val="18"/>
                <w:szCs w:val="18"/>
              </w:rPr>
              <w:t>(3) Neučiní-li poplatník včas sdělení podle odstavce 2, platí, že střednědobé rozhodnutí neučinil.</w:t>
            </w:r>
          </w:p>
          <w:p w14:paraId="7888CB51" w14:textId="77777777" w:rsidR="00413C5D" w:rsidRPr="00413C5D" w:rsidRDefault="00413C5D" w:rsidP="00413C5D">
            <w:pPr>
              <w:pStyle w:val="Textparagrafu"/>
              <w:rPr>
                <w:sz w:val="18"/>
                <w:szCs w:val="18"/>
              </w:rPr>
            </w:pPr>
            <w:r w:rsidRPr="00413C5D">
              <w:rPr>
                <w:sz w:val="18"/>
                <w:szCs w:val="18"/>
              </w:rPr>
              <w:t>(3) Střednědobé rozhodnutí se po uplynutí jeho účinnosti obnovuje, ledaže poplatník rozhodne o jeho neobnovení.</w:t>
            </w:r>
          </w:p>
          <w:p w14:paraId="32ECD152" w14:textId="3AA4722C" w:rsidR="00413C5D" w:rsidRPr="00413C5D" w:rsidRDefault="00413C5D" w:rsidP="00413C5D">
            <w:pPr>
              <w:pStyle w:val="Textparagrafu"/>
              <w:rPr>
                <w:sz w:val="18"/>
                <w:szCs w:val="18"/>
              </w:rPr>
            </w:pPr>
            <w:r w:rsidRPr="00413C5D">
              <w:rPr>
                <w:sz w:val="18"/>
                <w:szCs w:val="18"/>
              </w:rPr>
              <w:t xml:space="preserve">(4) Rozhodnutí o neobnovení střednědobého rozhodnutí je poplatník dorovnávací daně povinen sdělit správci daně do dne předcházejícího prvnímu dni prvního </w:t>
            </w:r>
            <w:r w:rsidRPr="00413C5D">
              <w:rPr>
                <w:b/>
                <w:sz w:val="18"/>
                <w:szCs w:val="18"/>
                <w:u w:val="single"/>
              </w:rPr>
              <w:t>výkazního</w:t>
            </w:r>
            <w:r w:rsidRPr="00413C5D">
              <w:rPr>
                <w:sz w:val="18"/>
                <w:szCs w:val="18"/>
              </w:rPr>
              <w:t xml:space="preserve"> období, pro které nemá být rozhodnutí obnoveno. Neučiní-li poplatník včas toto sdělení, platí, že rozhodnutí o neobnovení střednědobého rozhodnutí neučinil.</w:t>
            </w:r>
          </w:p>
          <w:p w14:paraId="42270A09" w14:textId="2CF3B10F" w:rsidR="00413C5D" w:rsidRPr="00413C5D" w:rsidRDefault="00413C5D" w:rsidP="00413C5D">
            <w:pPr>
              <w:pStyle w:val="Textparagrafu"/>
              <w:rPr>
                <w:sz w:val="18"/>
                <w:szCs w:val="18"/>
              </w:rPr>
            </w:pPr>
            <w:r w:rsidRPr="00413C5D">
              <w:rPr>
                <w:sz w:val="18"/>
                <w:szCs w:val="18"/>
              </w:rPr>
              <w:t xml:space="preserve">(5) Pokud poplatník rozhodne o neobnovení střednědobého rozhodnutí, může nové střednědobé </w:t>
            </w:r>
            <w:r w:rsidRPr="00413C5D">
              <w:rPr>
                <w:sz w:val="18"/>
                <w:szCs w:val="18"/>
              </w:rPr>
              <w:lastRenderedPageBreak/>
              <w:t xml:space="preserve">rozhodnutí učinit pro </w:t>
            </w:r>
            <w:r w:rsidRPr="00413C5D">
              <w:rPr>
                <w:b/>
                <w:sz w:val="18"/>
                <w:szCs w:val="18"/>
                <w:u w:val="single"/>
              </w:rPr>
              <w:t>výkazní</w:t>
            </w:r>
            <w:r w:rsidRPr="00413C5D">
              <w:rPr>
                <w:sz w:val="18"/>
                <w:szCs w:val="18"/>
              </w:rPr>
              <w:t xml:space="preserve"> období bezprostředně následující po uplynutí 5 po sobě následujících </w:t>
            </w:r>
            <w:r w:rsidRPr="00413C5D">
              <w:rPr>
                <w:b/>
                <w:sz w:val="18"/>
                <w:szCs w:val="18"/>
                <w:u w:val="single"/>
              </w:rPr>
              <w:t>výkazních</w:t>
            </w:r>
            <w:r w:rsidRPr="00413C5D">
              <w:rPr>
                <w:sz w:val="18"/>
                <w:szCs w:val="18"/>
              </w:rPr>
              <w:t xml:space="preserve"> období, pro které nebylo předešlé střednědobé rozhodnutí obnoveno.</w:t>
            </w:r>
          </w:p>
          <w:p w14:paraId="7A7EC010" w14:textId="3A67363E" w:rsidR="008B606F" w:rsidRPr="00413C5D" w:rsidRDefault="008B606F" w:rsidP="008B606F">
            <w:pPr>
              <w:widowControl w:val="0"/>
              <w:suppressAutoHyphens/>
              <w:ind w:left="57"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6B9B323A" w14:textId="3B8E7E31" w:rsidR="008B606F" w:rsidRPr="00430543" w:rsidRDefault="008B606F" w:rsidP="008B606F">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3BE2C432" w14:textId="71D92291" w:rsidR="008B606F" w:rsidRPr="00430543" w:rsidRDefault="008B606F" w:rsidP="008B606F">
            <w:pPr>
              <w:widowControl w:val="0"/>
              <w:ind w:left="57" w:right="113"/>
              <w:rPr>
                <w:sz w:val="18"/>
                <w:szCs w:val="18"/>
              </w:rPr>
            </w:pPr>
            <w:r w:rsidRPr="00430543">
              <w:rPr>
                <w:sz w:val="18"/>
                <w:szCs w:val="18"/>
              </w:rPr>
              <w:t>čl. 45 odst. 1</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058D8603" w14:textId="7D0B6AC3" w:rsidR="008B606F" w:rsidRPr="007936DA" w:rsidRDefault="008B606F" w:rsidP="008B606F">
            <w:pPr>
              <w:pStyle w:val="Default"/>
              <w:rPr>
                <w:rFonts w:ascii="Times New Roman" w:hAnsi="Times New Roman" w:cs="Times New Roman"/>
                <w:sz w:val="18"/>
                <w:szCs w:val="18"/>
              </w:rPr>
            </w:pPr>
            <w:r w:rsidRPr="00627814">
              <w:rPr>
                <w:rFonts w:ascii="Times New Roman" w:hAnsi="Times New Roman" w:cs="Times New Roman"/>
                <w:sz w:val="18"/>
                <w:szCs w:val="18"/>
              </w:rPr>
              <w:t>1.   Rozhodnutí uvedená v čl. 2 odst. 3 druhém pododstavci, čl. 16 odst. 3, 6 a 9 a článcích 42 a 43 jsou platná po dobu pěti let počínaje rokem, v němž je rozhodnutí učiněno. Rozhodnutí se automaticky obnovuje, pokud jej podávající členský subjekt na konci pětiletého období nezruší. Zrušení rozhodnutí je platné po dobu pěti let počínaje koncem roku, v němž ke zrušení došlo.</w:t>
            </w:r>
          </w:p>
        </w:tc>
      </w:tr>
      <w:tr w:rsidR="008B606F" w:rsidRPr="007936DA" w14:paraId="1FA15888"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36121F68" w14:textId="77777777" w:rsidR="008B606F" w:rsidRPr="00430543" w:rsidRDefault="008B606F" w:rsidP="008B606F">
            <w:pPr>
              <w:widowControl w:val="0"/>
              <w:suppressAutoHyphens/>
              <w:ind w:left="57" w:right="113"/>
              <w:jc w:val="both"/>
              <w:rPr>
                <w:sz w:val="18"/>
                <w:szCs w:val="18"/>
                <w:lang w:eastAsia="ar-SA"/>
              </w:rPr>
            </w:pPr>
            <w:r w:rsidRPr="00430543">
              <w:rPr>
                <w:sz w:val="18"/>
                <w:szCs w:val="18"/>
                <w:lang w:eastAsia="ar-SA"/>
              </w:rPr>
              <w:t>§ 31</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183C0BEA" w14:textId="77777777" w:rsidR="001C08FC" w:rsidRPr="001C08FC" w:rsidRDefault="001C08FC" w:rsidP="001C08FC">
            <w:pPr>
              <w:pStyle w:val="Textparagrafu"/>
              <w:rPr>
                <w:sz w:val="18"/>
                <w:szCs w:val="18"/>
              </w:rPr>
            </w:pPr>
            <w:r w:rsidRPr="001C08FC">
              <w:rPr>
                <w:sz w:val="18"/>
                <w:szCs w:val="18"/>
              </w:rPr>
              <w:t>(1) Dlouhodobé rozhodnutí činí poplatník dorovnávací daně pro určitý stát, ze kterého jsou členské entity skupiny, jejíž součástí je tento poplatník.</w:t>
            </w:r>
          </w:p>
          <w:p w14:paraId="52A1CCA0" w14:textId="77777777" w:rsidR="001C08FC" w:rsidRPr="001C08FC" w:rsidRDefault="001C08FC" w:rsidP="001C08FC">
            <w:pPr>
              <w:pStyle w:val="Textparagrafu"/>
              <w:rPr>
                <w:sz w:val="18"/>
                <w:szCs w:val="18"/>
              </w:rPr>
            </w:pPr>
            <w:r w:rsidRPr="001C08FC">
              <w:rPr>
                <w:sz w:val="18"/>
                <w:szCs w:val="18"/>
              </w:rPr>
              <w:t>(2) Dlouhodobé rozhodnutí činí poplatník dorovnávací daně pouze jednou, a to společně pro</w:t>
            </w:r>
          </w:p>
          <w:p w14:paraId="2433EDF1" w14:textId="26D6441F" w:rsidR="001C08FC" w:rsidRPr="001C08FC" w:rsidRDefault="001C08FC" w:rsidP="001C08FC">
            <w:pPr>
              <w:pStyle w:val="PZTextpsmene"/>
              <w:rPr>
                <w:sz w:val="18"/>
                <w:szCs w:val="18"/>
              </w:rPr>
            </w:pPr>
            <w:r w:rsidRPr="001C08FC">
              <w:rPr>
                <w:sz w:val="18"/>
                <w:szCs w:val="18"/>
              </w:rPr>
              <w:t>a)</w:t>
            </w:r>
            <w:r w:rsidRPr="001C08FC">
              <w:rPr>
                <w:sz w:val="18"/>
                <w:szCs w:val="18"/>
              </w:rPr>
              <w:tab/>
              <w:t xml:space="preserve">první </w:t>
            </w:r>
            <w:r w:rsidRPr="001C08FC">
              <w:rPr>
                <w:b/>
                <w:sz w:val="18"/>
                <w:szCs w:val="18"/>
                <w:u w:val="single"/>
              </w:rPr>
              <w:t>výkazní</w:t>
            </w:r>
            <w:r w:rsidRPr="001C08FC">
              <w:rPr>
                <w:sz w:val="18"/>
                <w:szCs w:val="18"/>
              </w:rPr>
              <w:t xml:space="preserve"> období, za které je podáván informační přehled k dorovnávací dani nadnárodní skupiny nebo vnitrostátní skupiny, ve kterém jsou zahrnuty členské entity ze státu, pro který se rozhodnutí provádí, a</w:t>
            </w:r>
          </w:p>
          <w:p w14:paraId="773C0BE4" w14:textId="62BB9D1F" w:rsidR="001C08FC" w:rsidRPr="001C08FC" w:rsidRDefault="001C08FC" w:rsidP="001C08FC">
            <w:pPr>
              <w:pStyle w:val="PZTextpsmene"/>
              <w:rPr>
                <w:sz w:val="18"/>
                <w:szCs w:val="18"/>
              </w:rPr>
            </w:pPr>
            <w:r w:rsidRPr="001C08FC">
              <w:rPr>
                <w:sz w:val="18"/>
                <w:szCs w:val="18"/>
              </w:rPr>
              <w:t>b)</w:t>
            </w:r>
            <w:r w:rsidRPr="001C08FC">
              <w:rPr>
                <w:sz w:val="18"/>
                <w:szCs w:val="18"/>
              </w:rPr>
              <w:tab/>
              <w:t xml:space="preserve">pro všechna </w:t>
            </w:r>
            <w:r w:rsidRPr="001C08FC">
              <w:rPr>
                <w:b/>
                <w:sz w:val="18"/>
                <w:szCs w:val="18"/>
                <w:u w:val="single"/>
              </w:rPr>
              <w:t>výkazní</w:t>
            </w:r>
            <w:r w:rsidRPr="001C08FC">
              <w:rPr>
                <w:sz w:val="18"/>
                <w:szCs w:val="18"/>
              </w:rPr>
              <w:t xml:space="preserve"> období následující po </w:t>
            </w:r>
            <w:r w:rsidRPr="001C08FC">
              <w:rPr>
                <w:b/>
                <w:sz w:val="18"/>
                <w:szCs w:val="18"/>
                <w:u w:val="single"/>
              </w:rPr>
              <w:t>výkazním</w:t>
            </w:r>
            <w:r w:rsidRPr="001C08FC">
              <w:rPr>
                <w:sz w:val="18"/>
                <w:szCs w:val="18"/>
              </w:rPr>
              <w:t xml:space="preserve"> období podle písmene a), pro která je toto rozhodnutí možné učinit.</w:t>
            </w:r>
          </w:p>
          <w:p w14:paraId="55A125C2" w14:textId="77777777" w:rsidR="001C08FC" w:rsidRPr="001C08FC" w:rsidRDefault="001C08FC" w:rsidP="001C08FC">
            <w:pPr>
              <w:pStyle w:val="Textparagrafu"/>
              <w:rPr>
                <w:sz w:val="18"/>
                <w:szCs w:val="18"/>
              </w:rPr>
            </w:pPr>
            <w:r w:rsidRPr="001C08FC">
              <w:rPr>
                <w:sz w:val="18"/>
                <w:szCs w:val="18"/>
              </w:rPr>
              <w:t>(3) Poplatník je povinen sdělit správci daně v informačním přehledu, že učinil dlouhodobé rozhodnutí, a to ve lhůtě pro podání prvního informačního přehledu k dorovnávací dani, ve kterém jsou zahrnuty členské entity ze státu, pro který se rozhodnutí činí.</w:t>
            </w:r>
          </w:p>
          <w:p w14:paraId="22326E1A" w14:textId="77777777" w:rsidR="001C08FC" w:rsidRPr="001C08FC" w:rsidRDefault="001C08FC" w:rsidP="001C08FC">
            <w:pPr>
              <w:pStyle w:val="Textparagrafu"/>
              <w:rPr>
                <w:sz w:val="18"/>
                <w:szCs w:val="18"/>
              </w:rPr>
            </w:pPr>
            <w:r w:rsidRPr="001C08FC">
              <w:rPr>
                <w:sz w:val="18"/>
                <w:szCs w:val="18"/>
              </w:rPr>
              <w:t>(4) Neučiní-li poplatník včas sdělení podle odstavce 3, platí, že dlouhodobé rozhodnutí neučinil.</w:t>
            </w:r>
          </w:p>
          <w:p w14:paraId="03B6A122" w14:textId="2B738484" w:rsidR="001C08FC" w:rsidRPr="001C08FC" w:rsidRDefault="001C08FC" w:rsidP="001C08FC">
            <w:pPr>
              <w:pStyle w:val="Textparagrafu"/>
              <w:rPr>
                <w:sz w:val="18"/>
                <w:szCs w:val="18"/>
              </w:rPr>
            </w:pPr>
            <w:r w:rsidRPr="001C08FC">
              <w:rPr>
                <w:sz w:val="18"/>
                <w:szCs w:val="18"/>
              </w:rPr>
              <w:t xml:space="preserve">(5) Nestanoví-li tento zákon jinak, může poplatník dlouhodobé rozhodnutí pro budoucí </w:t>
            </w:r>
            <w:r w:rsidRPr="001C08FC">
              <w:rPr>
                <w:b/>
                <w:sz w:val="18"/>
                <w:szCs w:val="18"/>
                <w:u w:val="single"/>
              </w:rPr>
              <w:t>výkazní</w:t>
            </w:r>
            <w:r w:rsidRPr="001C08FC">
              <w:rPr>
                <w:sz w:val="18"/>
                <w:szCs w:val="18"/>
              </w:rPr>
              <w:t xml:space="preserve"> období zrušit s platností od prvního dne prvního ze </w:t>
            </w:r>
            <w:r w:rsidRPr="001C08FC">
              <w:rPr>
                <w:b/>
                <w:sz w:val="18"/>
                <w:szCs w:val="18"/>
                <w:u w:val="single"/>
              </w:rPr>
              <w:t>výkazních</w:t>
            </w:r>
            <w:r w:rsidRPr="001C08FC">
              <w:rPr>
                <w:sz w:val="18"/>
                <w:szCs w:val="18"/>
              </w:rPr>
              <w:t xml:space="preserve"> období, pro které je rozhodnutí zrušeno.</w:t>
            </w:r>
          </w:p>
          <w:p w14:paraId="105045FC" w14:textId="170CE1F5" w:rsidR="001C08FC" w:rsidRPr="001C08FC" w:rsidRDefault="001C08FC" w:rsidP="001C08FC">
            <w:pPr>
              <w:pStyle w:val="Textparagrafu"/>
              <w:rPr>
                <w:sz w:val="18"/>
                <w:szCs w:val="18"/>
              </w:rPr>
            </w:pPr>
            <w:r w:rsidRPr="001C08FC">
              <w:rPr>
                <w:sz w:val="18"/>
                <w:szCs w:val="18"/>
              </w:rPr>
              <w:t xml:space="preserve">(6) Rozhodnutí o zrušení dlouhodobého rozhodnutí je poplatník dorovnávací daně povinen </w:t>
            </w:r>
            <w:r w:rsidRPr="001C08FC">
              <w:rPr>
                <w:sz w:val="18"/>
                <w:szCs w:val="18"/>
              </w:rPr>
              <w:lastRenderedPageBreak/>
              <w:t xml:space="preserve">sdělit správci daně do dne předcházejícího prvnímu dni prvního ze </w:t>
            </w:r>
            <w:r w:rsidRPr="001C08FC">
              <w:rPr>
                <w:b/>
                <w:sz w:val="18"/>
                <w:szCs w:val="18"/>
                <w:u w:val="single"/>
              </w:rPr>
              <w:t>výkazních</w:t>
            </w:r>
            <w:r w:rsidRPr="001C08FC">
              <w:rPr>
                <w:sz w:val="18"/>
                <w:szCs w:val="18"/>
              </w:rPr>
              <w:t xml:space="preserve"> období, pro které je rozhodnutí zrušeno. Neučiní-li poplatník včas toto sdělení, platí, že rozhodnutí nezrušil.</w:t>
            </w:r>
          </w:p>
          <w:p w14:paraId="704BAF65" w14:textId="1F0EDCDF" w:rsidR="008B606F" w:rsidRPr="00430543" w:rsidRDefault="008B606F" w:rsidP="008B606F">
            <w:pPr>
              <w:widowControl w:val="0"/>
              <w:suppressAutoHyphens/>
              <w:ind w:left="57"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294B4FF" w14:textId="648BFD2F" w:rsidR="008B606F" w:rsidRPr="00430543" w:rsidRDefault="008B606F" w:rsidP="008B606F">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3DF0657E" w14:textId="28F87FA3" w:rsidR="008B606F" w:rsidRPr="00430543" w:rsidRDefault="008B606F" w:rsidP="008B606F">
            <w:pPr>
              <w:widowControl w:val="0"/>
              <w:ind w:left="57" w:right="113"/>
              <w:rPr>
                <w:sz w:val="18"/>
                <w:szCs w:val="18"/>
              </w:rPr>
            </w:pPr>
            <w:r w:rsidRPr="00430543">
              <w:rPr>
                <w:sz w:val="18"/>
                <w:szCs w:val="18"/>
              </w:rPr>
              <w:t>čl. 23 odst. 1, 4 a 5</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30A32309" w14:textId="77777777" w:rsidR="008B606F" w:rsidRDefault="008B606F" w:rsidP="008B606F">
            <w:pPr>
              <w:pStyle w:val="Default"/>
              <w:rPr>
                <w:rFonts w:ascii="Times New Roman" w:hAnsi="Times New Roman" w:cs="Times New Roman"/>
                <w:sz w:val="18"/>
                <w:szCs w:val="18"/>
              </w:rPr>
            </w:pPr>
            <w:r w:rsidRPr="00627814">
              <w:rPr>
                <w:rFonts w:ascii="Times New Roman" w:hAnsi="Times New Roman" w:cs="Times New Roman"/>
                <w:sz w:val="18"/>
                <w:szCs w:val="18"/>
              </w:rPr>
              <w:t>1.   Odchylně od článku 22 může podávající členský subjekt učinit pro určitou jurisdikci rozhodnutí ohledně kvalifikované ztráty, podle něhož se pro každé účetní období, v němž v dané jurisdikci existuje čistá kvalifikovaná ztráta, stanoví odložená daňová pohledávka z kvalifikované ztráty. Za tímto účelem se odložená daňová pohledávka z kvalifikované ztráty rovná čisté kvalifikované ztrátě za účetní období pro danou jurisdikci vynásobené minimální daňovou sazbou.</w:t>
            </w:r>
          </w:p>
          <w:p w14:paraId="5AEF7BC7" w14:textId="77777777" w:rsidR="008B606F" w:rsidRDefault="008B606F" w:rsidP="008B606F">
            <w:pPr>
              <w:pStyle w:val="Default"/>
              <w:rPr>
                <w:rFonts w:ascii="Times New Roman" w:hAnsi="Times New Roman" w:cs="Times New Roman"/>
                <w:sz w:val="18"/>
                <w:szCs w:val="18"/>
              </w:rPr>
            </w:pPr>
          </w:p>
          <w:p w14:paraId="156FA7AB" w14:textId="77777777" w:rsidR="008B606F" w:rsidRPr="00627814" w:rsidRDefault="008B606F" w:rsidP="008B606F">
            <w:pPr>
              <w:pStyle w:val="Default"/>
              <w:rPr>
                <w:rFonts w:ascii="Times New Roman" w:hAnsi="Times New Roman" w:cs="Times New Roman"/>
                <w:sz w:val="18"/>
                <w:szCs w:val="18"/>
              </w:rPr>
            </w:pPr>
            <w:r w:rsidRPr="00627814">
              <w:rPr>
                <w:rFonts w:ascii="Times New Roman" w:hAnsi="Times New Roman" w:cs="Times New Roman"/>
                <w:sz w:val="18"/>
                <w:szCs w:val="18"/>
              </w:rPr>
              <w:t>4.   V případě zrušení rozhodnutí ohledně kvalifikované ztráty se jakákoli zbývající odložená daňová pohledávka z kvalifikované ztráty stanovená podle odstavce 1 sníží na nulu k prvnímu dni prvního účetního období, ve kterém již rozhodnutí ohledně kvalifikované ztráty neplatí.</w:t>
            </w:r>
          </w:p>
          <w:p w14:paraId="777FFD3F" w14:textId="77777777" w:rsidR="008B606F" w:rsidRPr="00627814" w:rsidRDefault="008B606F" w:rsidP="008B606F">
            <w:pPr>
              <w:pStyle w:val="Default"/>
              <w:rPr>
                <w:rFonts w:ascii="Times New Roman" w:hAnsi="Times New Roman" w:cs="Times New Roman"/>
                <w:sz w:val="18"/>
                <w:szCs w:val="18"/>
              </w:rPr>
            </w:pPr>
          </w:p>
          <w:p w14:paraId="4A7257DB" w14:textId="04234796" w:rsidR="008B606F" w:rsidRPr="007936DA" w:rsidRDefault="008B606F" w:rsidP="008B606F">
            <w:pPr>
              <w:pStyle w:val="Default"/>
              <w:rPr>
                <w:rFonts w:ascii="Times New Roman" w:hAnsi="Times New Roman" w:cs="Times New Roman"/>
                <w:sz w:val="18"/>
                <w:szCs w:val="18"/>
              </w:rPr>
            </w:pPr>
            <w:r w:rsidRPr="00627814">
              <w:rPr>
                <w:rFonts w:ascii="Times New Roman" w:hAnsi="Times New Roman" w:cs="Times New Roman"/>
                <w:sz w:val="18"/>
                <w:szCs w:val="18"/>
              </w:rPr>
              <w:t>5.   Rozhodnutí ohledně kvalifikované ztráty se podává spolu s prvním informačním přehledem uvedeným v článku 44 k dorovnávací dani nadnárodní skupiny podniků nebo velké vnitrostátní skupiny, který zahrnuje jurisdikci, pro kterou se rozhodnutí provádí.</w:t>
            </w:r>
          </w:p>
        </w:tc>
      </w:tr>
      <w:tr w:rsidR="008B606F" w:rsidRPr="007936DA" w14:paraId="20DEBD0D"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419C8C04" w14:textId="5973A08F" w:rsidR="008B606F" w:rsidRPr="00430543" w:rsidRDefault="008B606F" w:rsidP="008B606F">
            <w:pPr>
              <w:widowControl w:val="0"/>
              <w:suppressAutoHyphens/>
              <w:ind w:left="57" w:right="113"/>
              <w:jc w:val="both"/>
              <w:rPr>
                <w:sz w:val="18"/>
                <w:szCs w:val="18"/>
                <w:lang w:eastAsia="ar-SA"/>
              </w:rPr>
            </w:pPr>
            <w:r w:rsidRPr="00430543">
              <w:rPr>
                <w:sz w:val="18"/>
                <w:szCs w:val="18"/>
                <w:lang w:eastAsia="ar-SA"/>
              </w:rPr>
              <w:t>§ 42</w:t>
            </w:r>
            <w:r w:rsidR="001C08FC">
              <w:rPr>
                <w:sz w:val="18"/>
                <w:szCs w:val="18"/>
                <w:lang w:eastAsia="ar-SA"/>
              </w:rPr>
              <w:t xml:space="preserve"> odst. 1 a 2</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521CD585" w14:textId="7B5CB289" w:rsidR="001C08FC" w:rsidRPr="001C08FC" w:rsidRDefault="001C08FC" w:rsidP="001C08FC">
            <w:pPr>
              <w:pStyle w:val="Textparagrafu"/>
              <w:rPr>
                <w:sz w:val="18"/>
                <w:szCs w:val="18"/>
              </w:rPr>
            </w:pPr>
            <w:r w:rsidRPr="001C08FC">
              <w:rPr>
                <w:sz w:val="18"/>
                <w:szCs w:val="18"/>
              </w:rPr>
              <w:t xml:space="preserve">(1) Jurisdikční kvalifikovaný zisk skupiny za jednotlivé </w:t>
            </w:r>
            <w:r w:rsidRPr="001C08FC">
              <w:rPr>
                <w:b/>
                <w:sz w:val="18"/>
                <w:szCs w:val="18"/>
                <w:u w:val="single"/>
              </w:rPr>
              <w:t>výkazní</w:t>
            </w:r>
            <w:r w:rsidRPr="001C08FC">
              <w:rPr>
                <w:sz w:val="18"/>
                <w:szCs w:val="18"/>
              </w:rPr>
              <w:t xml:space="preserve"> období a stát činí kladný rozdíl</w:t>
            </w:r>
          </w:p>
          <w:p w14:paraId="37382449" w14:textId="200577F5" w:rsidR="001C08FC" w:rsidRPr="001C08FC" w:rsidRDefault="001C08FC" w:rsidP="001C08FC">
            <w:pPr>
              <w:pStyle w:val="PZTextpsmene"/>
              <w:rPr>
                <w:sz w:val="18"/>
                <w:szCs w:val="18"/>
              </w:rPr>
            </w:pPr>
            <w:r w:rsidRPr="001C08FC">
              <w:rPr>
                <w:sz w:val="18"/>
                <w:szCs w:val="18"/>
              </w:rPr>
              <w:t>a)</w:t>
            </w:r>
            <w:r w:rsidRPr="001C08FC">
              <w:rPr>
                <w:sz w:val="18"/>
                <w:szCs w:val="18"/>
              </w:rPr>
              <w:tab/>
              <w:t xml:space="preserve">kladné hodnoty úhrnu kvalifikovaných zisků členských entit z tohoto státu vzniklých za toto </w:t>
            </w:r>
            <w:r w:rsidRPr="001C08FC">
              <w:rPr>
                <w:b/>
                <w:sz w:val="18"/>
                <w:szCs w:val="18"/>
                <w:u w:val="single"/>
              </w:rPr>
              <w:t>výkazní</w:t>
            </w:r>
            <w:r w:rsidRPr="001C08FC">
              <w:rPr>
                <w:sz w:val="18"/>
                <w:szCs w:val="18"/>
              </w:rPr>
              <w:t xml:space="preserve"> období a</w:t>
            </w:r>
          </w:p>
          <w:p w14:paraId="7FD4DD9B" w14:textId="62F47702" w:rsidR="001C08FC" w:rsidRPr="001C08FC" w:rsidRDefault="001C08FC" w:rsidP="001C08FC">
            <w:pPr>
              <w:pStyle w:val="PZTextpsmene"/>
              <w:rPr>
                <w:sz w:val="18"/>
                <w:szCs w:val="18"/>
              </w:rPr>
            </w:pPr>
            <w:r w:rsidRPr="001C08FC">
              <w:rPr>
                <w:sz w:val="18"/>
                <w:szCs w:val="18"/>
              </w:rPr>
              <w:t>b)</w:t>
            </w:r>
            <w:r w:rsidRPr="001C08FC">
              <w:rPr>
                <w:sz w:val="18"/>
                <w:szCs w:val="18"/>
              </w:rPr>
              <w:tab/>
              <w:t xml:space="preserve">úhrnu kvalifikovaných ztrát členských entit z tohoto státu vzniklých za toto </w:t>
            </w:r>
            <w:r w:rsidRPr="001C08FC">
              <w:rPr>
                <w:b/>
                <w:sz w:val="18"/>
                <w:szCs w:val="18"/>
                <w:u w:val="single"/>
              </w:rPr>
              <w:t>výkazní</w:t>
            </w:r>
            <w:r w:rsidRPr="001C08FC">
              <w:rPr>
                <w:sz w:val="18"/>
                <w:szCs w:val="18"/>
              </w:rPr>
              <w:t xml:space="preserve"> období.</w:t>
            </w:r>
          </w:p>
          <w:p w14:paraId="24468264" w14:textId="5B969CC9" w:rsidR="001C08FC" w:rsidRPr="001C08FC" w:rsidRDefault="001C08FC" w:rsidP="001C08FC">
            <w:pPr>
              <w:pStyle w:val="Textparagrafu"/>
              <w:rPr>
                <w:sz w:val="18"/>
                <w:szCs w:val="18"/>
              </w:rPr>
            </w:pPr>
            <w:r w:rsidRPr="001C08FC">
              <w:rPr>
                <w:sz w:val="18"/>
                <w:szCs w:val="18"/>
              </w:rPr>
              <w:t xml:space="preserve">(2) Jurisdikční kvalifikovaná ztráta skupiny za jednotlivé </w:t>
            </w:r>
            <w:r w:rsidRPr="001C08FC">
              <w:rPr>
                <w:b/>
                <w:sz w:val="18"/>
                <w:szCs w:val="18"/>
                <w:u w:val="single"/>
              </w:rPr>
              <w:t>výkazní</w:t>
            </w:r>
            <w:r w:rsidRPr="001C08FC">
              <w:rPr>
                <w:sz w:val="18"/>
                <w:szCs w:val="18"/>
              </w:rPr>
              <w:t xml:space="preserve"> období a stát činí záporný rozdíl</w:t>
            </w:r>
          </w:p>
          <w:p w14:paraId="4004EC34" w14:textId="0256BCA4" w:rsidR="001C08FC" w:rsidRPr="001C08FC" w:rsidRDefault="001C08FC" w:rsidP="001C08FC">
            <w:pPr>
              <w:pStyle w:val="PZTextpsmene"/>
              <w:rPr>
                <w:sz w:val="18"/>
                <w:szCs w:val="18"/>
              </w:rPr>
            </w:pPr>
            <w:r w:rsidRPr="001C08FC">
              <w:rPr>
                <w:sz w:val="18"/>
                <w:szCs w:val="18"/>
              </w:rPr>
              <w:t>a)</w:t>
            </w:r>
            <w:r w:rsidRPr="001C08FC">
              <w:rPr>
                <w:sz w:val="18"/>
                <w:szCs w:val="18"/>
              </w:rPr>
              <w:tab/>
              <w:t xml:space="preserve">kladné hodnoty úhrnu kvalifikovaných zisků členských entit z tohoto státu vzniklých za toto </w:t>
            </w:r>
            <w:r w:rsidRPr="001C08FC">
              <w:rPr>
                <w:b/>
                <w:sz w:val="18"/>
                <w:szCs w:val="18"/>
                <w:u w:val="single"/>
              </w:rPr>
              <w:t>výkazní</w:t>
            </w:r>
            <w:r w:rsidRPr="001C08FC">
              <w:rPr>
                <w:sz w:val="18"/>
                <w:szCs w:val="18"/>
              </w:rPr>
              <w:t xml:space="preserve"> období a </w:t>
            </w:r>
          </w:p>
          <w:p w14:paraId="17E6515F" w14:textId="31164B9E" w:rsidR="001C08FC" w:rsidRPr="001C08FC" w:rsidRDefault="001C08FC" w:rsidP="001C08FC">
            <w:pPr>
              <w:pStyle w:val="PZTextpsmene"/>
              <w:rPr>
                <w:sz w:val="18"/>
                <w:szCs w:val="18"/>
              </w:rPr>
            </w:pPr>
            <w:r w:rsidRPr="001C08FC">
              <w:rPr>
                <w:sz w:val="18"/>
                <w:szCs w:val="18"/>
              </w:rPr>
              <w:t>b)</w:t>
            </w:r>
            <w:r w:rsidRPr="001C08FC">
              <w:rPr>
                <w:sz w:val="18"/>
                <w:szCs w:val="18"/>
              </w:rPr>
              <w:tab/>
              <w:t>úhrnu kvalifikovaných ztrát členských entit z</w:t>
            </w:r>
            <w:r>
              <w:rPr>
                <w:sz w:val="18"/>
                <w:szCs w:val="18"/>
              </w:rPr>
              <w:t> tohoto státu vzniklých za toto</w:t>
            </w:r>
            <w:r w:rsidRPr="001C08FC">
              <w:rPr>
                <w:sz w:val="18"/>
                <w:szCs w:val="18"/>
              </w:rPr>
              <w:t xml:space="preserve"> </w:t>
            </w:r>
            <w:r w:rsidRPr="001C08FC">
              <w:rPr>
                <w:b/>
                <w:sz w:val="18"/>
                <w:szCs w:val="18"/>
                <w:u w:val="single"/>
              </w:rPr>
              <w:t>výkazní</w:t>
            </w:r>
            <w:r w:rsidRPr="001C08FC">
              <w:rPr>
                <w:sz w:val="18"/>
                <w:szCs w:val="18"/>
              </w:rPr>
              <w:t xml:space="preserve"> období.</w:t>
            </w:r>
          </w:p>
          <w:p w14:paraId="2DB43CA3" w14:textId="27B47C9A" w:rsidR="008B606F" w:rsidRPr="001C08FC" w:rsidRDefault="008B606F" w:rsidP="008B606F">
            <w:pPr>
              <w:widowControl w:val="0"/>
              <w:suppressAutoHyphens/>
              <w:ind w:left="57"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7687021E" w14:textId="21CFE561" w:rsidR="008B606F" w:rsidRPr="00430543" w:rsidRDefault="008B606F" w:rsidP="008B606F">
            <w:pPr>
              <w:widowControl w:val="0"/>
              <w:ind w:left="57" w:right="113"/>
              <w:rPr>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34692EFD" w14:textId="20AC91D2" w:rsidR="008B606F" w:rsidRPr="00430543" w:rsidRDefault="001C08FC" w:rsidP="008B606F">
            <w:pPr>
              <w:widowControl w:val="0"/>
              <w:ind w:left="57" w:right="113"/>
              <w:rPr>
                <w:sz w:val="18"/>
                <w:szCs w:val="18"/>
              </w:rPr>
            </w:pPr>
            <w:r>
              <w:rPr>
                <w:sz w:val="18"/>
                <w:szCs w:val="18"/>
              </w:rPr>
              <w:t>čl. 26 odst. 2</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43734DA8" w14:textId="77777777" w:rsidR="008B606F" w:rsidRPr="00414B84" w:rsidRDefault="008B606F" w:rsidP="008B606F">
            <w:pPr>
              <w:pStyle w:val="Default"/>
              <w:rPr>
                <w:rFonts w:ascii="Times New Roman" w:hAnsi="Times New Roman" w:cs="Times New Roman"/>
                <w:sz w:val="18"/>
                <w:szCs w:val="18"/>
              </w:rPr>
            </w:pPr>
            <w:r w:rsidRPr="00414B84">
              <w:rPr>
                <w:rFonts w:ascii="Times New Roman" w:hAnsi="Times New Roman" w:cs="Times New Roman"/>
                <w:sz w:val="18"/>
                <w:szCs w:val="18"/>
              </w:rPr>
              <w:t>2.   Čistý kvalifikovaný příjem nebo ztráta členských subjektů v dané jurisdikci za účetní období se určí podle tohoto vzorce:</w:t>
            </w:r>
          </w:p>
          <w:p w14:paraId="397711A1" w14:textId="485729B1" w:rsidR="008B606F" w:rsidRDefault="008B606F" w:rsidP="008B606F">
            <w:pPr>
              <w:pStyle w:val="Default"/>
              <w:rPr>
                <w:rFonts w:ascii="Times New Roman" w:hAnsi="Times New Roman" w:cs="Times New Roman"/>
                <w:sz w:val="18"/>
                <w:szCs w:val="18"/>
              </w:rPr>
            </w:pPr>
          </w:p>
          <w:p w14:paraId="52E733E8" w14:textId="240B261E" w:rsidR="008B606F" w:rsidRPr="00D40D52" w:rsidRDefault="008B606F" w:rsidP="008B606F">
            <w:pPr>
              <w:pStyle w:val="Default"/>
              <w:rPr>
                <w:rFonts w:ascii="Times New Roman" w:hAnsi="Times New Roman" w:cs="Times New Roman"/>
                <w:i/>
                <w:sz w:val="18"/>
                <w:szCs w:val="18"/>
              </w:rPr>
            </w:pPr>
            <w:r w:rsidRPr="00D40D52">
              <w:rPr>
                <w:rFonts w:ascii="Times New Roman" w:hAnsi="Times New Roman" w:cs="Times New Roman"/>
                <w:i/>
                <w:sz w:val="18"/>
                <w:szCs w:val="18"/>
              </w:rPr>
              <w:t>Čistý kvalifikovaný příjem nebo ztráta = kvalifikovaný příjem členských subjektů - kvalifikovanými ztrátami členských subjektů</w:t>
            </w:r>
          </w:p>
          <w:p w14:paraId="27EC2109" w14:textId="701E622F" w:rsidR="008B606F" w:rsidRPr="00414B84" w:rsidRDefault="008B606F" w:rsidP="008B606F">
            <w:pPr>
              <w:pStyle w:val="Default"/>
              <w:rPr>
                <w:rFonts w:ascii="Times New Roman" w:hAnsi="Times New Roman" w:cs="Times New Roman"/>
                <w:i/>
                <w:sz w:val="18"/>
                <w:szCs w:val="18"/>
              </w:rPr>
            </w:pPr>
          </w:p>
          <w:p w14:paraId="28BC1E0D" w14:textId="77777777" w:rsidR="008B606F" w:rsidRPr="00414B84" w:rsidRDefault="008B606F" w:rsidP="008B606F">
            <w:pPr>
              <w:pStyle w:val="Default"/>
              <w:rPr>
                <w:rFonts w:ascii="Times New Roman" w:hAnsi="Times New Roman" w:cs="Times New Roman"/>
                <w:sz w:val="18"/>
                <w:szCs w:val="18"/>
              </w:rPr>
            </w:pPr>
            <w:r w:rsidRPr="00414B84">
              <w:rPr>
                <w:rFonts w:ascii="Times New Roman" w:hAnsi="Times New Roman" w:cs="Times New Roman"/>
                <w:sz w:val="18"/>
                <w:szCs w:val="18"/>
              </w:rPr>
              <w:t>kde:</w:t>
            </w:r>
          </w:p>
          <w:p w14:paraId="53D9B303" w14:textId="77777777" w:rsidR="008B606F" w:rsidRPr="00414B84" w:rsidRDefault="008B606F" w:rsidP="008B606F">
            <w:pPr>
              <w:pStyle w:val="Default"/>
              <w:rPr>
                <w:rFonts w:ascii="Times New Roman" w:hAnsi="Times New Roman" w:cs="Times New Roman"/>
                <w:sz w:val="18"/>
                <w:szCs w:val="18"/>
              </w:rPr>
            </w:pPr>
          </w:p>
          <w:p w14:paraId="0D6819A2" w14:textId="53B9C135" w:rsidR="008B606F" w:rsidRPr="00414B84" w:rsidRDefault="008B606F" w:rsidP="008B606F">
            <w:pPr>
              <w:pStyle w:val="Default"/>
              <w:rPr>
                <w:rFonts w:ascii="Times New Roman" w:hAnsi="Times New Roman" w:cs="Times New Roman"/>
                <w:sz w:val="18"/>
                <w:szCs w:val="18"/>
              </w:rPr>
            </w:pPr>
            <w:r w:rsidRPr="00414B84">
              <w:rPr>
                <w:rFonts w:ascii="Times New Roman" w:hAnsi="Times New Roman" w:cs="Times New Roman"/>
                <w:sz w:val="18"/>
                <w:szCs w:val="18"/>
              </w:rPr>
              <w:t>a)</w:t>
            </w:r>
            <w:r>
              <w:rPr>
                <w:rFonts w:ascii="Times New Roman" w:hAnsi="Times New Roman" w:cs="Times New Roman"/>
                <w:sz w:val="18"/>
                <w:szCs w:val="18"/>
              </w:rPr>
              <w:t xml:space="preserve"> </w:t>
            </w:r>
            <w:r w:rsidRPr="00414B84">
              <w:rPr>
                <w:rFonts w:ascii="Times New Roman" w:hAnsi="Times New Roman" w:cs="Times New Roman"/>
                <w:sz w:val="18"/>
                <w:szCs w:val="18"/>
              </w:rPr>
              <w:t>kvalifikovaným příjmem členských subjektů je případná kladná hodnota součtu kvalifikovaných příjmů všech členských subjektů, které se nacházejí v jurisdikci, určených v souladu s kapitolou III;</w:t>
            </w:r>
          </w:p>
          <w:p w14:paraId="6DAC1279" w14:textId="77777777" w:rsidR="008B606F" w:rsidRPr="00414B84" w:rsidRDefault="008B606F" w:rsidP="008B606F">
            <w:pPr>
              <w:pStyle w:val="Default"/>
              <w:rPr>
                <w:rFonts w:ascii="Times New Roman" w:hAnsi="Times New Roman" w:cs="Times New Roman"/>
                <w:sz w:val="18"/>
                <w:szCs w:val="18"/>
              </w:rPr>
            </w:pPr>
          </w:p>
          <w:p w14:paraId="423C5D94" w14:textId="5A01EBF2" w:rsidR="008B606F" w:rsidRPr="007936DA" w:rsidRDefault="008B606F" w:rsidP="008B606F">
            <w:pPr>
              <w:pStyle w:val="Default"/>
              <w:rPr>
                <w:rFonts w:ascii="Times New Roman" w:hAnsi="Times New Roman" w:cs="Times New Roman"/>
                <w:sz w:val="18"/>
                <w:szCs w:val="18"/>
              </w:rPr>
            </w:pPr>
            <w:r w:rsidRPr="00414B84">
              <w:rPr>
                <w:rFonts w:ascii="Times New Roman" w:hAnsi="Times New Roman" w:cs="Times New Roman"/>
                <w:sz w:val="18"/>
                <w:szCs w:val="18"/>
              </w:rPr>
              <w:t>b)</w:t>
            </w:r>
            <w:r>
              <w:rPr>
                <w:rFonts w:ascii="Times New Roman" w:hAnsi="Times New Roman" w:cs="Times New Roman"/>
                <w:sz w:val="18"/>
                <w:szCs w:val="18"/>
              </w:rPr>
              <w:t xml:space="preserve"> </w:t>
            </w:r>
            <w:r w:rsidRPr="00414B84">
              <w:rPr>
                <w:rFonts w:ascii="Times New Roman" w:hAnsi="Times New Roman" w:cs="Times New Roman"/>
                <w:sz w:val="18"/>
                <w:szCs w:val="18"/>
              </w:rPr>
              <w:t>kvalifikovanými ztrátami členských subjektů je součet kvalifikovaných ztrát všech členských subjektů, které se nacházejí v jurisdikci, urče</w:t>
            </w:r>
            <w:r w:rsidR="001C08FC">
              <w:rPr>
                <w:rFonts w:ascii="Times New Roman" w:hAnsi="Times New Roman" w:cs="Times New Roman"/>
                <w:sz w:val="18"/>
                <w:szCs w:val="18"/>
              </w:rPr>
              <w:t>ných v souladu s kapitolou III.</w:t>
            </w:r>
          </w:p>
        </w:tc>
      </w:tr>
      <w:tr w:rsidR="008B606F" w:rsidRPr="007936DA" w14:paraId="336F0546"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4EFB07ED" w14:textId="54E72A70" w:rsidR="008B606F" w:rsidRPr="00430543" w:rsidRDefault="008B606F" w:rsidP="008B606F">
            <w:pPr>
              <w:widowControl w:val="0"/>
              <w:suppressAutoHyphens/>
              <w:ind w:left="57" w:right="113"/>
              <w:jc w:val="both"/>
              <w:rPr>
                <w:sz w:val="18"/>
                <w:szCs w:val="18"/>
                <w:lang w:eastAsia="ar-SA"/>
              </w:rPr>
            </w:pPr>
            <w:r w:rsidRPr="00430543">
              <w:rPr>
                <w:sz w:val="18"/>
                <w:szCs w:val="18"/>
                <w:lang w:eastAsia="ar-SA"/>
              </w:rPr>
              <w:t>§ 56</w:t>
            </w:r>
            <w:r w:rsidR="00102F73">
              <w:rPr>
                <w:sz w:val="18"/>
                <w:szCs w:val="18"/>
                <w:lang w:eastAsia="ar-SA"/>
              </w:rPr>
              <w:t xml:space="preserve"> odst. 3 a 4</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1EB2C942" w14:textId="77777777" w:rsidR="002261D0" w:rsidRPr="002261D0" w:rsidRDefault="002261D0" w:rsidP="002261D0">
            <w:pPr>
              <w:pStyle w:val="Textparagrafu"/>
              <w:rPr>
                <w:b/>
                <w:sz w:val="18"/>
                <w:szCs w:val="18"/>
                <w:u w:val="single"/>
              </w:rPr>
            </w:pPr>
            <w:r w:rsidRPr="002261D0">
              <w:rPr>
                <w:b/>
                <w:sz w:val="18"/>
                <w:szCs w:val="18"/>
                <w:u w:val="single"/>
              </w:rPr>
              <w:t>(3) Účetní zisk nebo ztráta entity s prvkem daňové transparence alespoň z části vykonávající činnost prostřednictvím stálé provozovny, se v rozsahu zbývajícím po uplatnění postupu podle odstavce 1 přiřadí této stálé provozovně postupem podle § 55.</w:t>
            </w:r>
          </w:p>
          <w:p w14:paraId="4BDF9E40" w14:textId="77777777" w:rsidR="002261D0" w:rsidRPr="002261D0" w:rsidRDefault="002261D0" w:rsidP="002261D0">
            <w:pPr>
              <w:pStyle w:val="Textodstavce"/>
              <w:numPr>
                <w:ilvl w:val="2"/>
                <w:numId w:val="37"/>
              </w:numPr>
              <w:tabs>
                <w:tab w:val="clear" w:pos="1634"/>
                <w:tab w:val="num" w:pos="782"/>
              </w:tabs>
              <w:ind w:left="0"/>
              <w:rPr>
                <w:b/>
                <w:sz w:val="18"/>
                <w:szCs w:val="18"/>
                <w:u w:val="single"/>
              </w:rPr>
            </w:pPr>
            <w:r w:rsidRPr="002261D0">
              <w:rPr>
                <w:b/>
                <w:sz w:val="18"/>
                <w:szCs w:val="18"/>
                <w:u w:val="single"/>
              </w:rPr>
              <w:t>Účetní zisk nebo ztráta</w:t>
            </w:r>
          </w:p>
          <w:p w14:paraId="5CC6DCB5" w14:textId="77777777" w:rsidR="002261D0" w:rsidRPr="002261D0" w:rsidRDefault="002261D0" w:rsidP="002261D0">
            <w:pPr>
              <w:pStyle w:val="Textpsmene"/>
              <w:spacing w:before="0"/>
              <w:rPr>
                <w:b/>
                <w:sz w:val="18"/>
                <w:szCs w:val="18"/>
                <w:u w:val="single"/>
              </w:rPr>
            </w:pPr>
            <w:r w:rsidRPr="002261D0">
              <w:rPr>
                <w:b/>
                <w:sz w:val="18"/>
                <w:szCs w:val="18"/>
                <w:u w:val="single"/>
              </w:rPr>
              <w:t>daňově transparentní entity, jež není nejvyšší mateřskou entitou, se v rozsahu zbývajícím po uplatnění postupů podle odstavců 1 a 3 přiřadí jejím vlastnickým členským entitám v poměru podle jejich vlastnických podílů v ní,</w:t>
            </w:r>
          </w:p>
          <w:p w14:paraId="540DF554" w14:textId="77777777" w:rsidR="002261D0" w:rsidRPr="002261D0" w:rsidRDefault="002261D0" w:rsidP="002261D0">
            <w:pPr>
              <w:pStyle w:val="Textpsmene"/>
              <w:spacing w:before="0"/>
              <w:rPr>
                <w:b/>
                <w:sz w:val="18"/>
                <w:szCs w:val="18"/>
                <w:u w:val="single"/>
              </w:rPr>
            </w:pPr>
            <w:r w:rsidRPr="002261D0">
              <w:rPr>
                <w:b/>
                <w:sz w:val="18"/>
                <w:szCs w:val="18"/>
                <w:u w:val="single"/>
              </w:rPr>
              <w:t xml:space="preserve">daňově transparentní entity, jež je nejvyšší mateřskou entitou, se v rozsahu zbývajícím </w:t>
            </w:r>
            <w:r w:rsidRPr="002261D0">
              <w:rPr>
                <w:b/>
                <w:sz w:val="18"/>
                <w:szCs w:val="18"/>
                <w:u w:val="single"/>
              </w:rPr>
              <w:lastRenderedPageBreak/>
              <w:t>po uplatnění postupů podle odstavců 1 a 3 přiřadí této entitě,</w:t>
            </w:r>
          </w:p>
          <w:p w14:paraId="0F6C002C" w14:textId="36896EBC" w:rsidR="008B606F" w:rsidRPr="002261D0" w:rsidRDefault="002261D0" w:rsidP="002261D0">
            <w:pPr>
              <w:widowControl w:val="0"/>
              <w:suppressAutoHyphens/>
              <w:ind w:left="57" w:right="113"/>
              <w:jc w:val="both"/>
              <w:rPr>
                <w:b/>
                <w:sz w:val="18"/>
                <w:szCs w:val="18"/>
                <w:lang w:eastAsia="ar-SA"/>
              </w:rPr>
            </w:pPr>
            <w:r w:rsidRPr="002261D0">
              <w:rPr>
                <w:b/>
                <w:sz w:val="18"/>
                <w:szCs w:val="18"/>
                <w:u w:val="single"/>
              </w:rPr>
              <w:t>reverzní hybridní entity se v rozsahu zbývajícím po uplatnění postupů podle odstavců 1 a 3 přiřadí této entitě.</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3D4F3FC6" w14:textId="0075BA76" w:rsidR="008B606F" w:rsidRPr="00430543" w:rsidRDefault="008B606F" w:rsidP="008B606F">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244E53B7" w14:textId="4F69DC47" w:rsidR="008B606F" w:rsidRPr="00430543" w:rsidRDefault="008B606F" w:rsidP="008B606F">
            <w:pPr>
              <w:widowControl w:val="0"/>
              <w:ind w:left="57" w:right="113"/>
              <w:rPr>
                <w:sz w:val="18"/>
                <w:szCs w:val="18"/>
              </w:rPr>
            </w:pPr>
            <w:r w:rsidRPr="00430543">
              <w:rPr>
                <w:sz w:val="18"/>
                <w:szCs w:val="18"/>
              </w:rPr>
              <w:t>čl. 19</w:t>
            </w:r>
            <w:r w:rsidR="002A72D1">
              <w:rPr>
                <w:sz w:val="18"/>
                <w:szCs w:val="18"/>
              </w:rPr>
              <w:t xml:space="preserve"> odst. 3 až 5</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04ACF5D6" w14:textId="77777777" w:rsidR="008B606F" w:rsidRPr="001573F8" w:rsidRDefault="008B606F" w:rsidP="008B606F">
            <w:pPr>
              <w:pStyle w:val="Default"/>
              <w:rPr>
                <w:rFonts w:ascii="Times New Roman" w:hAnsi="Times New Roman" w:cs="Times New Roman"/>
                <w:sz w:val="18"/>
                <w:szCs w:val="18"/>
              </w:rPr>
            </w:pPr>
            <w:r w:rsidRPr="001573F8">
              <w:rPr>
                <w:rFonts w:ascii="Times New Roman" w:hAnsi="Times New Roman" w:cs="Times New Roman"/>
                <w:sz w:val="18"/>
                <w:szCs w:val="18"/>
              </w:rPr>
              <w:t>3.   Pokud průtokový subjekt zcela nebo částečně vykonává činnost prostřednictvím stálé provozovny, jeho čistý účetní příjem nebo ztráta, které zbydou po uplatnění odstavce 1 tohoto článku, se přidělí této stálé provozovně v souladu s článkem 18.</w:t>
            </w:r>
          </w:p>
          <w:p w14:paraId="7A5FB32F" w14:textId="77777777" w:rsidR="008B606F" w:rsidRPr="001573F8" w:rsidRDefault="008B606F" w:rsidP="008B606F">
            <w:pPr>
              <w:pStyle w:val="Default"/>
              <w:rPr>
                <w:rFonts w:ascii="Times New Roman" w:hAnsi="Times New Roman" w:cs="Times New Roman"/>
                <w:sz w:val="18"/>
                <w:szCs w:val="18"/>
              </w:rPr>
            </w:pPr>
          </w:p>
          <w:p w14:paraId="446A04DD" w14:textId="77777777" w:rsidR="008B606F" w:rsidRPr="001573F8" w:rsidRDefault="008B606F" w:rsidP="008B606F">
            <w:pPr>
              <w:pStyle w:val="Default"/>
              <w:rPr>
                <w:rFonts w:ascii="Times New Roman" w:hAnsi="Times New Roman" w:cs="Times New Roman"/>
                <w:sz w:val="18"/>
                <w:szCs w:val="18"/>
              </w:rPr>
            </w:pPr>
            <w:r w:rsidRPr="001573F8">
              <w:rPr>
                <w:rFonts w:ascii="Times New Roman" w:hAnsi="Times New Roman" w:cs="Times New Roman"/>
                <w:sz w:val="18"/>
                <w:szCs w:val="18"/>
              </w:rPr>
              <w:t>4.   Není-li daňově transparentní subjekt nejvyšším mateřským subjektem, přidělí se čistý účetní příjem nebo ztráta průtokového subjektu, které zbydou po uplatnění odstavců 1 a 3, jeho vlastnickým členským subjektům v poměru podle jejich vlastnických podílů v tomto průtokovém subjektu.</w:t>
            </w:r>
          </w:p>
          <w:p w14:paraId="3249769E" w14:textId="77777777" w:rsidR="008B606F" w:rsidRPr="001573F8" w:rsidRDefault="008B606F" w:rsidP="008B606F">
            <w:pPr>
              <w:pStyle w:val="Default"/>
              <w:rPr>
                <w:rFonts w:ascii="Times New Roman" w:hAnsi="Times New Roman" w:cs="Times New Roman"/>
                <w:sz w:val="18"/>
                <w:szCs w:val="18"/>
              </w:rPr>
            </w:pPr>
          </w:p>
          <w:p w14:paraId="6BEE6394" w14:textId="643C1087" w:rsidR="008B606F" w:rsidRPr="007936DA" w:rsidRDefault="008B606F" w:rsidP="008B606F">
            <w:pPr>
              <w:pStyle w:val="Default"/>
              <w:rPr>
                <w:rFonts w:ascii="Times New Roman" w:hAnsi="Times New Roman" w:cs="Times New Roman"/>
                <w:sz w:val="18"/>
                <w:szCs w:val="18"/>
              </w:rPr>
            </w:pPr>
            <w:r w:rsidRPr="001573F8">
              <w:rPr>
                <w:rFonts w:ascii="Times New Roman" w:hAnsi="Times New Roman" w:cs="Times New Roman"/>
                <w:sz w:val="18"/>
                <w:szCs w:val="18"/>
              </w:rPr>
              <w:t xml:space="preserve">5.   Je-li průtokový subjekt daňově transparentním subjektem, jenž je nejvyšším mateřským subjektem nebo reverzním hybridním subjektem, přidělí se čistý účetní příjem nebo ztráta průtokového subjektu, které zbydou po uplatnění odstavců 1 a 3, danému nejvyššímu mateřskému subjektu nebo </w:t>
            </w:r>
            <w:r w:rsidR="002A72D1">
              <w:rPr>
                <w:rFonts w:ascii="Times New Roman" w:hAnsi="Times New Roman" w:cs="Times New Roman"/>
                <w:sz w:val="18"/>
                <w:szCs w:val="18"/>
              </w:rPr>
              <w:t>reverznímu hybridnímu subjektu.</w:t>
            </w:r>
          </w:p>
        </w:tc>
      </w:tr>
      <w:tr w:rsidR="008B606F" w:rsidRPr="007936DA" w14:paraId="209FFC20"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3DABDC5A" w14:textId="17E317C1" w:rsidR="008B606F" w:rsidRPr="00430543" w:rsidRDefault="008B606F" w:rsidP="00102F73">
            <w:pPr>
              <w:widowControl w:val="0"/>
              <w:suppressAutoHyphens/>
              <w:ind w:left="57" w:right="113"/>
              <w:jc w:val="both"/>
              <w:rPr>
                <w:sz w:val="18"/>
                <w:szCs w:val="18"/>
                <w:lang w:eastAsia="ar-SA"/>
              </w:rPr>
            </w:pPr>
            <w:r w:rsidRPr="00430543">
              <w:rPr>
                <w:sz w:val="18"/>
                <w:szCs w:val="18"/>
                <w:lang w:eastAsia="ar-SA"/>
              </w:rPr>
              <w:t>§ 59</w:t>
            </w:r>
            <w:r w:rsidR="00102F73">
              <w:rPr>
                <w:sz w:val="18"/>
                <w:szCs w:val="18"/>
                <w:lang w:eastAsia="ar-SA"/>
              </w:rPr>
              <w:t xml:space="preserve"> odst. 2</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7C99D519" w14:textId="5BA4CD6F" w:rsidR="00102F73" w:rsidRPr="00102F73" w:rsidRDefault="00102F73" w:rsidP="00102F73">
            <w:pPr>
              <w:pStyle w:val="Textodstavce"/>
              <w:numPr>
                <w:ilvl w:val="0"/>
                <w:numId w:val="0"/>
              </w:numPr>
              <w:tabs>
                <w:tab w:val="num" w:pos="782"/>
              </w:tabs>
              <w:jc w:val="left"/>
              <w:rPr>
                <w:sz w:val="18"/>
                <w:szCs w:val="18"/>
              </w:rPr>
            </w:pPr>
            <w:r>
              <w:rPr>
                <w:sz w:val="18"/>
                <w:szCs w:val="18"/>
              </w:rPr>
              <w:t xml:space="preserve">(2) </w:t>
            </w:r>
            <w:r w:rsidRPr="00102F73">
              <w:rPr>
                <w:sz w:val="18"/>
                <w:szCs w:val="18"/>
              </w:rPr>
              <w:t xml:space="preserve">Položkou připočítávanou k zahrnutým daním členské entity za dané výkazní období je </w:t>
            </w:r>
          </w:p>
          <w:p w14:paraId="34911B31" w14:textId="0D0699C7" w:rsidR="00102F73" w:rsidRPr="00102F73" w:rsidRDefault="00102F73" w:rsidP="00102F73">
            <w:pPr>
              <w:pStyle w:val="Textpsmene"/>
              <w:numPr>
                <w:ilvl w:val="3"/>
                <w:numId w:val="39"/>
              </w:numPr>
              <w:spacing w:before="0"/>
              <w:jc w:val="left"/>
              <w:rPr>
                <w:sz w:val="18"/>
                <w:szCs w:val="18"/>
              </w:rPr>
            </w:pPr>
            <w:r w:rsidRPr="00102F73">
              <w:rPr>
                <w:sz w:val="18"/>
                <w:szCs w:val="18"/>
              </w:rPr>
              <w:t>zahrnutá daň vykázaná ve finančních výkazech jako náklad do </w:t>
            </w:r>
            <w:r w:rsidRPr="00102F73">
              <w:rPr>
                <w:b/>
                <w:sz w:val="18"/>
                <w:szCs w:val="18"/>
                <w:u w:val="single"/>
              </w:rPr>
              <w:t>výsledku hospodaření před zdaněním</w:t>
            </w:r>
            <w:r w:rsidRPr="00102F73">
              <w:rPr>
                <w:sz w:val="18"/>
                <w:szCs w:val="18"/>
              </w:rPr>
              <w:t>,</w:t>
            </w:r>
          </w:p>
          <w:p w14:paraId="3DCCEB10" w14:textId="77777777" w:rsidR="00102F73" w:rsidRPr="00102F73" w:rsidRDefault="00102F73" w:rsidP="00102F73">
            <w:pPr>
              <w:pStyle w:val="Textpsmene"/>
              <w:spacing w:before="0"/>
              <w:jc w:val="left"/>
              <w:rPr>
                <w:sz w:val="18"/>
                <w:szCs w:val="18"/>
              </w:rPr>
            </w:pPr>
            <w:r w:rsidRPr="00102F73">
              <w:rPr>
                <w:sz w:val="18"/>
                <w:szCs w:val="18"/>
              </w:rPr>
              <w:t>odložená daňová pohledávka vzniklá z kvalifikované ztráty, která je použita na základě dlouhodobého rozhodnutí ohledně kvalifikované ztráty podle § 64 odst. 4,</w:t>
            </w:r>
          </w:p>
          <w:p w14:paraId="79628A7E" w14:textId="77777777" w:rsidR="00102F73" w:rsidRPr="00102F73" w:rsidRDefault="00102F73" w:rsidP="00102F73">
            <w:pPr>
              <w:pStyle w:val="Textpsmene"/>
              <w:spacing w:before="0"/>
              <w:jc w:val="left"/>
              <w:rPr>
                <w:sz w:val="18"/>
                <w:szCs w:val="18"/>
              </w:rPr>
            </w:pPr>
            <w:r w:rsidRPr="00102F73">
              <w:rPr>
                <w:sz w:val="18"/>
                <w:szCs w:val="18"/>
              </w:rPr>
              <w:t xml:space="preserve">zahrnutá daň související s nejistou daňovou pozicí dříve vyloučenou podle odstavce 3 písm. d), která je zaplacena v daném výkazním období, </w:t>
            </w:r>
          </w:p>
          <w:p w14:paraId="54680121" w14:textId="77777777" w:rsidR="00102F73" w:rsidRPr="00102F73" w:rsidRDefault="00102F73" w:rsidP="00102F73">
            <w:pPr>
              <w:pStyle w:val="Textpsmene"/>
              <w:spacing w:before="0"/>
              <w:jc w:val="left"/>
              <w:rPr>
                <w:sz w:val="18"/>
                <w:szCs w:val="18"/>
              </w:rPr>
            </w:pPr>
            <w:r w:rsidRPr="00102F73">
              <w:rPr>
                <w:sz w:val="18"/>
                <w:szCs w:val="18"/>
              </w:rPr>
              <w:t>daňové zvýhodnění související s kvalifikovaným daňovým zvýhodněním nebo daňovým zvýhodněním, které je ve vztahu k entitě oprávněné jej uplatnit převoditelným daňovým zvýhodněním a obchodovatelným daňovým zvýhodněním, pokud tato daňová zvýhodnění vznikla jako snížení nákladu na daň za toto výkazní období.</w:t>
            </w:r>
          </w:p>
          <w:p w14:paraId="05313B58" w14:textId="7B1C0286" w:rsidR="008B606F" w:rsidRPr="00102F73" w:rsidRDefault="008B606F" w:rsidP="00102F73">
            <w:pPr>
              <w:widowControl w:val="0"/>
              <w:suppressAutoHyphens/>
              <w:ind w:left="57" w:right="113"/>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CBE5FDB" w14:textId="4B92B078" w:rsidR="008B606F" w:rsidRPr="00430543" w:rsidRDefault="008B606F" w:rsidP="008B606F">
            <w:pPr>
              <w:widowControl w:val="0"/>
              <w:ind w:left="57" w:right="113"/>
              <w:rPr>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3E7039F0" w14:textId="544B5BBE" w:rsidR="008B606F" w:rsidRPr="00430543" w:rsidRDefault="008B606F" w:rsidP="008B606F">
            <w:pPr>
              <w:widowControl w:val="0"/>
              <w:ind w:left="57" w:right="113"/>
              <w:rPr>
                <w:sz w:val="18"/>
                <w:szCs w:val="18"/>
              </w:rPr>
            </w:pPr>
            <w:r w:rsidRPr="00430543">
              <w:rPr>
                <w:sz w:val="18"/>
                <w:szCs w:val="18"/>
              </w:rPr>
              <w:t>čl. 21</w:t>
            </w:r>
            <w:r w:rsidR="00102F73">
              <w:rPr>
                <w:sz w:val="18"/>
                <w:szCs w:val="18"/>
              </w:rPr>
              <w:t xml:space="preserve"> odst. 2</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3EE1FF63" w14:textId="77777777"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2.   Položky připočítávané k zahrnutým daním členského subjektu za dané účetní období zahrnují:</w:t>
            </w:r>
          </w:p>
          <w:p w14:paraId="7F0F4D2E" w14:textId="77777777" w:rsidR="008B606F" w:rsidRPr="00A03EC9" w:rsidRDefault="008B606F" w:rsidP="008B606F">
            <w:pPr>
              <w:pStyle w:val="Default"/>
              <w:rPr>
                <w:rFonts w:ascii="Times New Roman" w:hAnsi="Times New Roman" w:cs="Times New Roman"/>
                <w:sz w:val="18"/>
                <w:szCs w:val="18"/>
              </w:rPr>
            </w:pPr>
          </w:p>
          <w:p w14:paraId="0910E436" w14:textId="77777777"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a) jakoukoli částku zahrnutých daní vykázaných ve finančních výkazech jako náklad do zisku před zdaněním;</w:t>
            </w:r>
          </w:p>
          <w:p w14:paraId="680FA0E4" w14:textId="77777777" w:rsidR="008B606F" w:rsidRPr="00A03EC9" w:rsidRDefault="008B606F" w:rsidP="008B606F">
            <w:pPr>
              <w:pStyle w:val="Default"/>
              <w:rPr>
                <w:rFonts w:ascii="Times New Roman" w:hAnsi="Times New Roman" w:cs="Times New Roman"/>
                <w:sz w:val="18"/>
                <w:szCs w:val="18"/>
              </w:rPr>
            </w:pPr>
          </w:p>
          <w:p w14:paraId="3A9C2A4A" w14:textId="77777777"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b) jakoukoli částku odložené daňové pohledávky vzniklé z kvalifikované ztráty, která byla použita podle čl. 23 odst. 2;</w:t>
            </w:r>
          </w:p>
          <w:p w14:paraId="140F1C19" w14:textId="77777777" w:rsidR="008B606F" w:rsidRPr="00A03EC9" w:rsidRDefault="008B606F" w:rsidP="008B606F">
            <w:pPr>
              <w:pStyle w:val="Default"/>
              <w:rPr>
                <w:rFonts w:ascii="Times New Roman" w:hAnsi="Times New Roman" w:cs="Times New Roman"/>
                <w:sz w:val="18"/>
                <w:szCs w:val="18"/>
              </w:rPr>
            </w:pPr>
          </w:p>
          <w:p w14:paraId="22B59BF0" w14:textId="77777777"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c) jakoukoli částku zahrnutých daní související s nejistou daňovou pozicí dříve vyloučenou podle odst. 3 písm. d), která je v daném účetní období zaplacena, a</w:t>
            </w:r>
          </w:p>
          <w:p w14:paraId="2C2C0A26" w14:textId="77777777" w:rsidR="008B606F" w:rsidRPr="00A03EC9" w:rsidRDefault="008B606F" w:rsidP="008B606F">
            <w:pPr>
              <w:pStyle w:val="Default"/>
              <w:rPr>
                <w:rFonts w:ascii="Times New Roman" w:hAnsi="Times New Roman" w:cs="Times New Roman"/>
                <w:sz w:val="18"/>
                <w:szCs w:val="18"/>
              </w:rPr>
            </w:pPr>
          </w:p>
          <w:p w14:paraId="726B7CCF" w14:textId="13A6CB44" w:rsidR="008B606F" w:rsidRPr="007936DA"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d) jakoukoli částku zápočtu nebo náhrady související s kvalifikovaným vratným daňovým zápočtem, která vznikla jako snížen</w:t>
            </w:r>
            <w:r w:rsidR="00102F73">
              <w:rPr>
                <w:rFonts w:ascii="Times New Roman" w:hAnsi="Times New Roman" w:cs="Times New Roman"/>
                <w:sz w:val="18"/>
                <w:szCs w:val="18"/>
              </w:rPr>
              <w:t>í stávajícího daňového nákladu.</w:t>
            </w:r>
          </w:p>
        </w:tc>
      </w:tr>
      <w:tr w:rsidR="008B606F" w:rsidRPr="007936DA" w14:paraId="457C8258"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349812E5" w14:textId="77777777" w:rsidR="008B606F" w:rsidRPr="00430543" w:rsidRDefault="008B606F" w:rsidP="008B606F">
            <w:pPr>
              <w:widowControl w:val="0"/>
              <w:suppressAutoHyphens/>
              <w:ind w:left="57" w:right="113"/>
              <w:jc w:val="both"/>
              <w:rPr>
                <w:sz w:val="18"/>
                <w:szCs w:val="18"/>
                <w:lang w:eastAsia="ar-SA"/>
              </w:rPr>
            </w:pPr>
            <w:r w:rsidRPr="00430543">
              <w:rPr>
                <w:sz w:val="18"/>
                <w:szCs w:val="18"/>
                <w:lang w:eastAsia="ar-SA"/>
              </w:rPr>
              <w:t>§ 60</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006A3558" w14:textId="3391CACF" w:rsidR="00C670B6" w:rsidRPr="00C670B6" w:rsidRDefault="00C670B6" w:rsidP="00C670B6">
            <w:pPr>
              <w:numPr>
                <w:ilvl w:val="2"/>
                <w:numId w:val="40"/>
              </w:numPr>
              <w:tabs>
                <w:tab w:val="left" w:pos="851"/>
              </w:tabs>
              <w:spacing w:before="120" w:after="120"/>
              <w:jc w:val="both"/>
              <w:outlineLvl w:val="6"/>
              <w:rPr>
                <w:sz w:val="18"/>
                <w:szCs w:val="18"/>
              </w:rPr>
            </w:pPr>
            <w:r w:rsidRPr="00C670B6">
              <w:rPr>
                <w:sz w:val="18"/>
                <w:szCs w:val="18"/>
              </w:rPr>
              <w:t xml:space="preserve">Jurisdikční úhrn upravených výší zahrnutých daní skupiny v jednotlivém </w:t>
            </w:r>
            <w:r w:rsidRPr="00C670B6">
              <w:rPr>
                <w:b/>
                <w:sz w:val="18"/>
                <w:szCs w:val="18"/>
                <w:u w:val="single"/>
              </w:rPr>
              <w:t>výkazním</w:t>
            </w:r>
            <w:r w:rsidRPr="00C670B6">
              <w:rPr>
                <w:sz w:val="18"/>
                <w:szCs w:val="18"/>
              </w:rPr>
              <w:t xml:space="preserve"> období a státě činí úhrn upravených výší zahrnutých daní členských entit skupiny z tohoto státu v tomto </w:t>
            </w:r>
            <w:r w:rsidRPr="00C670B6">
              <w:rPr>
                <w:b/>
                <w:sz w:val="18"/>
                <w:szCs w:val="18"/>
                <w:u w:val="single"/>
              </w:rPr>
              <w:t>výkazním</w:t>
            </w:r>
            <w:r w:rsidRPr="00C670B6">
              <w:rPr>
                <w:sz w:val="18"/>
                <w:szCs w:val="18"/>
              </w:rPr>
              <w:t xml:space="preserve"> období.</w:t>
            </w:r>
          </w:p>
          <w:p w14:paraId="058D348F" w14:textId="4A4CFF0D" w:rsidR="00C670B6" w:rsidRPr="00C670B6" w:rsidRDefault="00C670B6" w:rsidP="00C670B6">
            <w:pPr>
              <w:numPr>
                <w:ilvl w:val="2"/>
                <w:numId w:val="41"/>
              </w:numPr>
              <w:tabs>
                <w:tab w:val="clear" w:pos="1634"/>
                <w:tab w:val="num" w:pos="782"/>
                <w:tab w:val="left" w:pos="851"/>
              </w:tabs>
              <w:spacing w:before="120" w:after="120"/>
              <w:ind w:left="0"/>
              <w:jc w:val="both"/>
              <w:outlineLvl w:val="6"/>
              <w:rPr>
                <w:sz w:val="18"/>
                <w:szCs w:val="18"/>
              </w:rPr>
            </w:pPr>
            <w:r w:rsidRPr="00C670B6">
              <w:rPr>
                <w:sz w:val="18"/>
                <w:szCs w:val="18"/>
              </w:rPr>
              <w:t xml:space="preserve">Jurisdikční úhrn upravených výší zahrnutých daní nezahrnuje nadměrnou zápornou částkou nákladů na odloženou daň, je-li upravená výše zahrnutých daní záporná a má-li skupina v daném státě kvalifikovaný zisk. O částku odpovídající nadměrné záporné částce nákladů na </w:t>
            </w:r>
            <w:r w:rsidRPr="00C670B6">
              <w:rPr>
                <w:sz w:val="18"/>
                <w:szCs w:val="18"/>
              </w:rPr>
              <w:lastRenderedPageBreak/>
              <w:t xml:space="preserve">odloženou daň se v následujících </w:t>
            </w:r>
            <w:r w:rsidRPr="00C670B6">
              <w:rPr>
                <w:b/>
                <w:sz w:val="18"/>
                <w:szCs w:val="18"/>
                <w:u w:val="single"/>
              </w:rPr>
              <w:t>výkazních</w:t>
            </w:r>
            <w:r w:rsidRPr="00C670B6">
              <w:rPr>
                <w:sz w:val="18"/>
                <w:szCs w:val="18"/>
              </w:rPr>
              <w:t xml:space="preserve"> obdobích, ve kterých je upravená výše zahrnutých daní kladná a v nichž má skupina v daném státě kvalifikovaný zisk, postupně až do souhrnné výše této částky sníží jurisdikční úhrn upravených výší zahrnutých daní.</w:t>
            </w:r>
          </w:p>
          <w:p w14:paraId="4919A8AB" w14:textId="2940A9BF" w:rsidR="008B606F" w:rsidRPr="00430543" w:rsidRDefault="00C670B6" w:rsidP="00C670B6">
            <w:pPr>
              <w:numPr>
                <w:ilvl w:val="2"/>
                <w:numId w:val="0"/>
              </w:numPr>
              <w:tabs>
                <w:tab w:val="num" w:pos="782"/>
                <w:tab w:val="left" w:pos="851"/>
              </w:tabs>
              <w:spacing w:before="120" w:after="120"/>
              <w:ind w:firstLine="425"/>
              <w:jc w:val="both"/>
              <w:outlineLvl w:val="6"/>
              <w:rPr>
                <w:sz w:val="18"/>
                <w:szCs w:val="18"/>
              </w:rPr>
            </w:pPr>
            <w:r>
              <w:rPr>
                <w:sz w:val="18"/>
                <w:szCs w:val="18"/>
              </w:rPr>
              <w:t xml:space="preserve">(3) </w:t>
            </w:r>
            <w:r w:rsidRPr="00C670B6">
              <w:rPr>
                <w:sz w:val="18"/>
                <w:szCs w:val="18"/>
              </w:rPr>
              <w:t>Vznikla-li nadměrná záporná částka nákladů na odloženou daň v souvislosti s daňovou ztrátou u daně z příjmů právnických osob uplatněnou zpětně, odstavec 2 se nepoužije.</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78687AEA" w14:textId="5588CF1A" w:rsidR="008B606F" w:rsidRPr="00430543" w:rsidRDefault="008B606F" w:rsidP="008B606F">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5B405832" w14:textId="379638CA" w:rsidR="008B606F" w:rsidRPr="00430543" w:rsidRDefault="008B606F" w:rsidP="008B606F">
            <w:pPr>
              <w:widowControl w:val="0"/>
              <w:ind w:left="57" w:right="113"/>
              <w:rPr>
                <w:sz w:val="18"/>
                <w:szCs w:val="18"/>
              </w:rPr>
            </w:pPr>
            <w:r w:rsidRPr="00430543">
              <w:rPr>
                <w:sz w:val="18"/>
                <w:szCs w:val="18"/>
              </w:rPr>
              <w:t>čl. 21</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0FDC1B82" w14:textId="77777777"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1.   Upravené zahrnuté daně členského subjektu za účetní období se určí tak, že se součet stávajících daňových nákladů vykázaných do jeho čistého účetního příjmu nebo ztráty ve vztahu k zahrnutým daním za dané účetní období upraví:</w:t>
            </w:r>
          </w:p>
          <w:p w14:paraId="0A17F218" w14:textId="77777777" w:rsidR="008B606F" w:rsidRPr="00A03EC9" w:rsidRDefault="008B606F" w:rsidP="008B606F">
            <w:pPr>
              <w:pStyle w:val="Default"/>
              <w:rPr>
                <w:rFonts w:ascii="Times New Roman" w:hAnsi="Times New Roman" w:cs="Times New Roman"/>
                <w:sz w:val="18"/>
                <w:szCs w:val="18"/>
              </w:rPr>
            </w:pPr>
          </w:p>
          <w:p w14:paraId="530140B0" w14:textId="0210311E"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a)</w:t>
            </w:r>
            <w:r>
              <w:rPr>
                <w:rFonts w:ascii="Times New Roman" w:hAnsi="Times New Roman" w:cs="Times New Roman"/>
                <w:sz w:val="18"/>
                <w:szCs w:val="18"/>
              </w:rPr>
              <w:t xml:space="preserve"> </w:t>
            </w:r>
            <w:r w:rsidRPr="00A03EC9">
              <w:rPr>
                <w:rFonts w:ascii="Times New Roman" w:hAnsi="Times New Roman" w:cs="Times New Roman"/>
                <w:sz w:val="18"/>
                <w:szCs w:val="18"/>
              </w:rPr>
              <w:t>o čistou částku položek připočítávaných k zahrnutým daním a odečítaných od zahrnutých daní za dané účetní období podle odstavců 2 a 3;</w:t>
            </w:r>
          </w:p>
          <w:p w14:paraId="721B7474" w14:textId="77777777" w:rsidR="008B606F" w:rsidRPr="00A03EC9" w:rsidRDefault="008B606F" w:rsidP="008B606F">
            <w:pPr>
              <w:pStyle w:val="Default"/>
              <w:rPr>
                <w:rFonts w:ascii="Times New Roman" w:hAnsi="Times New Roman" w:cs="Times New Roman"/>
                <w:sz w:val="18"/>
                <w:szCs w:val="18"/>
              </w:rPr>
            </w:pPr>
          </w:p>
          <w:p w14:paraId="38CA1F5D" w14:textId="730D1431"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b)</w:t>
            </w:r>
            <w:r>
              <w:rPr>
                <w:rFonts w:ascii="Times New Roman" w:hAnsi="Times New Roman" w:cs="Times New Roman"/>
                <w:sz w:val="18"/>
                <w:szCs w:val="18"/>
              </w:rPr>
              <w:t xml:space="preserve"> </w:t>
            </w:r>
            <w:r w:rsidRPr="00A03EC9">
              <w:rPr>
                <w:rFonts w:ascii="Times New Roman" w:hAnsi="Times New Roman" w:cs="Times New Roman"/>
                <w:sz w:val="18"/>
                <w:szCs w:val="18"/>
              </w:rPr>
              <w:t>o celkovou částku úpravy odložené daně podle článku 22 a</w:t>
            </w:r>
          </w:p>
          <w:p w14:paraId="3D21FEFD" w14:textId="77777777" w:rsidR="008B606F" w:rsidRPr="00A03EC9" w:rsidRDefault="008B606F" w:rsidP="008B606F">
            <w:pPr>
              <w:pStyle w:val="Default"/>
              <w:rPr>
                <w:rFonts w:ascii="Times New Roman" w:hAnsi="Times New Roman" w:cs="Times New Roman"/>
                <w:sz w:val="18"/>
                <w:szCs w:val="18"/>
              </w:rPr>
            </w:pPr>
          </w:p>
          <w:p w14:paraId="315375D3" w14:textId="7431FA64"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c)</w:t>
            </w:r>
            <w:r>
              <w:rPr>
                <w:rFonts w:ascii="Times New Roman" w:hAnsi="Times New Roman" w:cs="Times New Roman"/>
                <w:sz w:val="18"/>
                <w:szCs w:val="18"/>
              </w:rPr>
              <w:t xml:space="preserve"> </w:t>
            </w:r>
            <w:r w:rsidRPr="00A03EC9">
              <w:rPr>
                <w:rFonts w:ascii="Times New Roman" w:hAnsi="Times New Roman" w:cs="Times New Roman"/>
                <w:sz w:val="18"/>
                <w:szCs w:val="18"/>
              </w:rPr>
              <w:t xml:space="preserve">jakékoli zvýšení nebo snížení zahrnutých daní vykázané do vlastního kapitálu nebo ostatního úplného výsledku hospodaření v souvislosti s částkami zahrnutými do výpočtu </w:t>
            </w:r>
            <w:r w:rsidRPr="00A03EC9">
              <w:rPr>
                <w:rFonts w:ascii="Times New Roman" w:hAnsi="Times New Roman" w:cs="Times New Roman"/>
                <w:sz w:val="18"/>
                <w:szCs w:val="18"/>
              </w:rPr>
              <w:lastRenderedPageBreak/>
              <w:t>kvalifikovaného příjmu nebo ztráty, které budou předmětem daně podle místních daňových předpisů.</w:t>
            </w:r>
          </w:p>
          <w:p w14:paraId="69DBE02A" w14:textId="77777777" w:rsidR="008B606F" w:rsidRPr="00A03EC9" w:rsidRDefault="008B606F" w:rsidP="008B606F">
            <w:pPr>
              <w:pStyle w:val="Default"/>
              <w:rPr>
                <w:rFonts w:ascii="Times New Roman" w:hAnsi="Times New Roman" w:cs="Times New Roman"/>
                <w:sz w:val="18"/>
                <w:szCs w:val="18"/>
              </w:rPr>
            </w:pPr>
          </w:p>
          <w:p w14:paraId="33339429" w14:textId="77777777"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2.   Položky připočítávané k zahrnutým daním členského subjektu za dané účetní období zahrnují:</w:t>
            </w:r>
          </w:p>
          <w:p w14:paraId="5CC7A7C2" w14:textId="77777777" w:rsidR="008B606F" w:rsidRPr="00A03EC9" w:rsidRDefault="008B606F" w:rsidP="008B606F">
            <w:pPr>
              <w:pStyle w:val="Default"/>
              <w:rPr>
                <w:rFonts w:ascii="Times New Roman" w:hAnsi="Times New Roman" w:cs="Times New Roman"/>
                <w:sz w:val="18"/>
                <w:szCs w:val="18"/>
              </w:rPr>
            </w:pPr>
          </w:p>
          <w:p w14:paraId="63DA2059" w14:textId="75A51BDB"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a)</w:t>
            </w:r>
            <w:r>
              <w:rPr>
                <w:rFonts w:ascii="Times New Roman" w:hAnsi="Times New Roman" w:cs="Times New Roman"/>
                <w:sz w:val="18"/>
                <w:szCs w:val="18"/>
              </w:rPr>
              <w:t xml:space="preserve"> </w:t>
            </w:r>
            <w:r w:rsidRPr="00A03EC9">
              <w:rPr>
                <w:rFonts w:ascii="Times New Roman" w:hAnsi="Times New Roman" w:cs="Times New Roman"/>
                <w:sz w:val="18"/>
                <w:szCs w:val="18"/>
              </w:rPr>
              <w:t>jakoukoli částku zahrnutých daní vykázaných ve finančních výkazech jako náklad do zisku před zdaněním;</w:t>
            </w:r>
          </w:p>
          <w:p w14:paraId="4217F137" w14:textId="77777777" w:rsidR="008B606F" w:rsidRPr="00A03EC9" w:rsidRDefault="008B606F" w:rsidP="008B606F">
            <w:pPr>
              <w:pStyle w:val="Default"/>
              <w:rPr>
                <w:rFonts w:ascii="Times New Roman" w:hAnsi="Times New Roman" w:cs="Times New Roman"/>
                <w:sz w:val="18"/>
                <w:szCs w:val="18"/>
              </w:rPr>
            </w:pPr>
          </w:p>
          <w:p w14:paraId="0E00D5E2" w14:textId="3F5FAF87"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b)</w:t>
            </w:r>
            <w:r>
              <w:rPr>
                <w:rFonts w:ascii="Times New Roman" w:hAnsi="Times New Roman" w:cs="Times New Roman"/>
                <w:sz w:val="18"/>
                <w:szCs w:val="18"/>
              </w:rPr>
              <w:t xml:space="preserve"> </w:t>
            </w:r>
            <w:r w:rsidRPr="00A03EC9">
              <w:rPr>
                <w:rFonts w:ascii="Times New Roman" w:hAnsi="Times New Roman" w:cs="Times New Roman"/>
                <w:sz w:val="18"/>
                <w:szCs w:val="18"/>
              </w:rPr>
              <w:t>jakoukoli částku odložené daňové pohledávky vzniklé z kvalifikované ztráty, která byla použita podle čl. 23 odst. 2;</w:t>
            </w:r>
          </w:p>
          <w:p w14:paraId="5119F86C" w14:textId="77777777" w:rsidR="008B606F" w:rsidRPr="00A03EC9" w:rsidRDefault="008B606F" w:rsidP="008B606F">
            <w:pPr>
              <w:pStyle w:val="Default"/>
              <w:rPr>
                <w:rFonts w:ascii="Times New Roman" w:hAnsi="Times New Roman" w:cs="Times New Roman"/>
                <w:sz w:val="18"/>
                <w:szCs w:val="18"/>
              </w:rPr>
            </w:pPr>
          </w:p>
          <w:p w14:paraId="126F0862" w14:textId="71950FBA"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c)</w:t>
            </w:r>
            <w:r>
              <w:rPr>
                <w:rFonts w:ascii="Times New Roman" w:hAnsi="Times New Roman" w:cs="Times New Roman"/>
                <w:sz w:val="18"/>
                <w:szCs w:val="18"/>
              </w:rPr>
              <w:t xml:space="preserve"> </w:t>
            </w:r>
            <w:r w:rsidRPr="00A03EC9">
              <w:rPr>
                <w:rFonts w:ascii="Times New Roman" w:hAnsi="Times New Roman" w:cs="Times New Roman"/>
                <w:sz w:val="18"/>
                <w:szCs w:val="18"/>
              </w:rPr>
              <w:t>jakoukoli částku zahrnutých daní související s nejistou daňovou pozicí dříve vyloučenou podle odst. 3 písm. d), která je v daném účetní období zaplacena, a</w:t>
            </w:r>
          </w:p>
          <w:p w14:paraId="48A1642E" w14:textId="77777777" w:rsidR="008B606F" w:rsidRPr="00A03EC9" w:rsidRDefault="008B606F" w:rsidP="008B606F">
            <w:pPr>
              <w:pStyle w:val="Default"/>
              <w:rPr>
                <w:rFonts w:ascii="Times New Roman" w:hAnsi="Times New Roman" w:cs="Times New Roman"/>
                <w:sz w:val="18"/>
                <w:szCs w:val="18"/>
              </w:rPr>
            </w:pPr>
          </w:p>
          <w:p w14:paraId="665446EA" w14:textId="2DD3CD22"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d)</w:t>
            </w:r>
            <w:r>
              <w:rPr>
                <w:rFonts w:ascii="Times New Roman" w:hAnsi="Times New Roman" w:cs="Times New Roman"/>
                <w:sz w:val="18"/>
                <w:szCs w:val="18"/>
              </w:rPr>
              <w:t xml:space="preserve"> </w:t>
            </w:r>
            <w:r w:rsidRPr="00A03EC9">
              <w:rPr>
                <w:rFonts w:ascii="Times New Roman" w:hAnsi="Times New Roman" w:cs="Times New Roman"/>
                <w:sz w:val="18"/>
                <w:szCs w:val="18"/>
              </w:rPr>
              <w:t>jakoukoli částku zápočtu nebo náhrady související s kvalifikovaným vratným daňovým zápočtem, která vznikla jako snížení stávajícího daňového nákladu.</w:t>
            </w:r>
          </w:p>
          <w:p w14:paraId="4A317AA4" w14:textId="77777777" w:rsidR="008B606F" w:rsidRPr="00A03EC9" w:rsidRDefault="008B606F" w:rsidP="008B606F">
            <w:pPr>
              <w:pStyle w:val="Default"/>
              <w:rPr>
                <w:rFonts w:ascii="Times New Roman" w:hAnsi="Times New Roman" w:cs="Times New Roman"/>
                <w:sz w:val="18"/>
                <w:szCs w:val="18"/>
              </w:rPr>
            </w:pPr>
          </w:p>
          <w:p w14:paraId="673AB42D" w14:textId="77777777"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3.   Položky odečítané od zahrnutých daní členského subjektu za dané účetní období zahrnují:</w:t>
            </w:r>
          </w:p>
          <w:p w14:paraId="521F10F1" w14:textId="77777777" w:rsidR="008B606F" w:rsidRPr="00A03EC9" w:rsidRDefault="008B606F" w:rsidP="008B606F">
            <w:pPr>
              <w:pStyle w:val="Default"/>
              <w:rPr>
                <w:rFonts w:ascii="Times New Roman" w:hAnsi="Times New Roman" w:cs="Times New Roman"/>
                <w:sz w:val="18"/>
                <w:szCs w:val="18"/>
              </w:rPr>
            </w:pPr>
          </w:p>
          <w:p w14:paraId="52F070B4" w14:textId="3A2E71F3"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a)</w:t>
            </w:r>
            <w:r>
              <w:rPr>
                <w:rFonts w:ascii="Times New Roman" w:hAnsi="Times New Roman" w:cs="Times New Roman"/>
                <w:sz w:val="18"/>
                <w:szCs w:val="18"/>
              </w:rPr>
              <w:t xml:space="preserve"> </w:t>
            </w:r>
            <w:r w:rsidRPr="00A03EC9">
              <w:rPr>
                <w:rFonts w:ascii="Times New Roman" w:hAnsi="Times New Roman" w:cs="Times New Roman"/>
                <w:sz w:val="18"/>
                <w:szCs w:val="18"/>
              </w:rPr>
              <w:t>částku stávajících daňových nákladů v souvislosti s příjmy vyloučenými z výpočtu kvalifikovaného příjmu nebo ztráty podle kapitoly III;</w:t>
            </w:r>
          </w:p>
          <w:p w14:paraId="6D208B18" w14:textId="77777777" w:rsidR="008B606F" w:rsidRPr="00A03EC9" w:rsidRDefault="008B606F" w:rsidP="008B606F">
            <w:pPr>
              <w:pStyle w:val="Default"/>
              <w:rPr>
                <w:rFonts w:ascii="Times New Roman" w:hAnsi="Times New Roman" w:cs="Times New Roman"/>
                <w:sz w:val="18"/>
                <w:szCs w:val="18"/>
              </w:rPr>
            </w:pPr>
          </w:p>
          <w:p w14:paraId="2646A8EA" w14:textId="2729E5CD"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b)</w:t>
            </w:r>
            <w:r>
              <w:rPr>
                <w:rFonts w:ascii="Times New Roman" w:hAnsi="Times New Roman" w:cs="Times New Roman"/>
                <w:sz w:val="18"/>
                <w:szCs w:val="18"/>
              </w:rPr>
              <w:t xml:space="preserve"> </w:t>
            </w:r>
            <w:r w:rsidRPr="00A03EC9">
              <w:rPr>
                <w:rFonts w:ascii="Times New Roman" w:hAnsi="Times New Roman" w:cs="Times New Roman"/>
                <w:sz w:val="18"/>
                <w:szCs w:val="18"/>
              </w:rPr>
              <w:t>jakoukoli částku zápočtu nebo náhrady související s nekvalifikovaným vratným daňovým zápočtem, která nebyla vykázána jako snížení stávajícího daňového nákladu;</w:t>
            </w:r>
          </w:p>
          <w:p w14:paraId="7FCAEE7F" w14:textId="77777777" w:rsidR="008B606F" w:rsidRPr="00A03EC9" w:rsidRDefault="008B606F" w:rsidP="008B606F">
            <w:pPr>
              <w:pStyle w:val="Default"/>
              <w:rPr>
                <w:rFonts w:ascii="Times New Roman" w:hAnsi="Times New Roman" w:cs="Times New Roman"/>
                <w:sz w:val="18"/>
                <w:szCs w:val="18"/>
              </w:rPr>
            </w:pPr>
          </w:p>
          <w:p w14:paraId="786E5613" w14:textId="3E9F2D7F"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c)</w:t>
            </w:r>
            <w:r>
              <w:rPr>
                <w:rFonts w:ascii="Times New Roman" w:hAnsi="Times New Roman" w:cs="Times New Roman"/>
                <w:sz w:val="18"/>
                <w:szCs w:val="18"/>
              </w:rPr>
              <w:t xml:space="preserve"> </w:t>
            </w:r>
            <w:r w:rsidRPr="00A03EC9">
              <w:rPr>
                <w:rFonts w:ascii="Times New Roman" w:hAnsi="Times New Roman" w:cs="Times New Roman"/>
                <w:sz w:val="18"/>
                <w:szCs w:val="18"/>
              </w:rPr>
              <w:t>jakoukoli částku zahrnutých daní vrácenou nebo započtenou členskému subjektu, se kterou se ve finančních výkazech nezacházelo jako s úpravou stávajících daňových nákladů, s výjimkou případů, kdy se vztahuje ke kvalifikovanému vratnému daňovému zápočtu;</w:t>
            </w:r>
          </w:p>
          <w:p w14:paraId="3BE9159B" w14:textId="77777777" w:rsidR="008B606F" w:rsidRPr="00A03EC9" w:rsidRDefault="008B606F" w:rsidP="008B606F">
            <w:pPr>
              <w:pStyle w:val="Default"/>
              <w:rPr>
                <w:rFonts w:ascii="Times New Roman" w:hAnsi="Times New Roman" w:cs="Times New Roman"/>
                <w:sz w:val="18"/>
                <w:szCs w:val="18"/>
              </w:rPr>
            </w:pPr>
          </w:p>
          <w:p w14:paraId="1758ED1E" w14:textId="60491E30"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d)</w:t>
            </w:r>
            <w:r>
              <w:rPr>
                <w:rFonts w:ascii="Times New Roman" w:hAnsi="Times New Roman" w:cs="Times New Roman"/>
                <w:sz w:val="18"/>
                <w:szCs w:val="18"/>
              </w:rPr>
              <w:t xml:space="preserve"> </w:t>
            </w:r>
            <w:r w:rsidRPr="00A03EC9">
              <w:rPr>
                <w:rFonts w:ascii="Times New Roman" w:hAnsi="Times New Roman" w:cs="Times New Roman"/>
                <w:sz w:val="18"/>
                <w:szCs w:val="18"/>
              </w:rPr>
              <w:t>částku stávajících daňových nákladů, která souvisí s nejistou daňovou pozicí, a</w:t>
            </w:r>
          </w:p>
          <w:p w14:paraId="498D454E" w14:textId="77777777" w:rsidR="008B606F" w:rsidRPr="00A03EC9" w:rsidRDefault="008B606F" w:rsidP="008B606F">
            <w:pPr>
              <w:pStyle w:val="Default"/>
              <w:rPr>
                <w:rFonts w:ascii="Times New Roman" w:hAnsi="Times New Roman" w:cs="Times New Roman"/>
                <w:sz w:val="18"/>
                <w:szCs w:val="18"/>
              </w:rPr>
            </w:pPr>
          </w:p>
          <w:p w14:paraId="3DCD540D" w14:textId="7A8819A4"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e)</w:t>
            </w:r>
            <w:r>
              <w:rPr>
                <w:rFonts w:ascii="Times New Roman" w:hAnsi="Times New Roman" w:cs="Times New Roman"/>
                <w:sz w:val="18"/>
                <w:szCs w:val="18"/>
              </w:rPr>
              <w:t xml:space="preserve"> </w:t>
            </w:r>
            <w:r w:rsidRPr="00A03EC9">
              <w:rPr>
                <w:rFonts w:ascii="Times New Roman" w:hAnsi="Times New Roman" w:cs="Times New Roman"/>
                <w:sz w:val="18"/>
                <w:szCs w:val="18"/>
              </w:rPr>
              <w:t>jakoukoli částku stávajících daňových nákladů, u které se neočekává, že bude uhrazena do tří let od konce účetního období.</w:t>
            </w:r>
          </w:p>
          <w:p w14:paraId="091E5330" w14:textId="77777777" w:rsidR="008B606F" w:rsidRPr="00A03EC9" w:rsidRDefault="008B606F" w:rsidP="008B606F">
            <w:pPr>
              <w:pStyle w:val="Default"/>
              <w:rPr>
                <w:rFonts w:ascii="Times New Roman" w:hAnsi="Times New Roman" w:cs="Times New Roman"/>
                <w:sz w:val="18"/>
                <w:szCs w:val="18"/>
              </w:rPr>
            </w:pPr>
          </w:p>
          <w:p w14:paraId="6B6A1175" w14:textId="77777777" w:rsidR="008B606F" w:rsidRPr="00A03EC9"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4.   Je-li částka zahrnuté daně popsána v odstavcích 1 až 3 ve více než jednom písmenu, zohlední se pro účely výpočtu upravených zahrnutých daní pouze jednou.</w:t>
            </w:r>
          </w:p>
          <w:p w14:paraId="5F2C981C" w14:textId="77777777" w:rsidR="008B606F" w:rsidRPr="00A03EC9" w:rsidRDefault="008B606F" w:rsidP="008B606F">
            <w:pPr>
              <w:pStyle w:val="Default"/>
              <w:rPr>
                <w:rFonts w:ascii="Times New Roman" w:hAnsi="Times New Roman" w:cs="Times New Roman"/>
                <w:sz w:val="18"/>
                <w:szCs w:val="18"/>
              </w:rPr>
            </w:pPr>
          </w:p>
          <w:p w14:paraId="4E84534D" w14:textId="4CD44582" w:rsidR="008B606F" w:rsidRPr="007936DA" w:rsidRDefault="008B606F" w:rsidP="008B606F">
            <w:pPr>
              <w:pStyle w:val="Default"/>
              <w:rPr>
                <w:rFonts w:ascii="Times New Roman" w:hAnsi="Times New Roman" w:cs="Times New Roman"/>
                <w:sz w:val="18"/>
                <w:szCs w:val="18"/>
              </w:rPr>
            </w:pPr>
            <w:r w:rsidRPr="00A03EC9">
              <w:rPr>
                <w:rFonts w:ascii="Times New Roman" w:hAnsi="Times New Roman" w:cs="Times New Roman"/>
                <w:sz w:val="18"/>
                <w:szCs w:val="18"/>
              </w:rPr>
              <w:t xml:space="preserve">5.   Pokud v účetním období neexistuje v určité jurisdikci čistý kvalifikovaný příjem a výše upravených zahrnutých daní pro tuto jurisdikci je záporná a nižší než částka rovnající se čisté kvalifikované ztrátě vynásobené minimální daňovou sazbou („očekávané upravené zahrnuté </w:t>
            </w:r>
            <w:r w:rsidRPr="00A03EC9">
              <w:rPr>
                <w:rFonts w:ascii="Times New Roman" w:hAnsi="Times New Roman" w:cs="Times New Roman"/>
                <w:sz w:val="18"/>
                <w:szCs w:val="18"/>
              </w:rPr>
              <w:lastRenderedPageBreak/>
              <w:t>daně“), považuje se částka rovnající se rozdílu mezi částkou upravených zahrnutých daní a částkou očekávaných upravených zahrnutých daní za dodatečnou dorovnávací daň za uvedené účetní období. Částka dodatečné dorovnávací daně se přidělí jednotlivým členským subjektům v dané jurisdikci v souladu s čl. 29 odst. 3.</w:t>
            </w:r>
          </w:p>
        </w:tc>
      </w:tr>
      <w:tr w:rsidR="008B606F" w:rsidRPr="007936DA" w14:paraId="6D13942D"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4AA7C324" w14:textId="79587BED" w:rsidR="008B606F" w:rsidRPr="00430543" w:rsidRDefault="008B606F" w:rsidP="008B606F">
            <w:pPr>
              <w:widowControl w:val="0"/>
              <w:suppressAutoHyphens/>
              <w:ind w:left="57" w:right="113"/>
              <w:jc w:val="both"/>
              <w:rPr>
                <w:sz w:val="18"/>
                <w:szCs w:val="18"/>
                <w:lang w:eastAsia="ar-SA"/>
              </w:rPr>
            </w:pPr>
            <w:r w:rsidRPr="00430543">
              <w:rPr>
                <w:sz w:val="18"/>
                <w:szCs w:val="18"/>
                <w:lang w:eastAsia="ar-SA"/>
              </w:rPr>
              <w:lastRenderedPageBreak/>
              <w:t>§ 64</w:t>
            </w:r>
            <w:r w:rsidR="00E3143C">
              <w:rPr>
                <w:sz w:val="18"/>
                <w:szCs w:val="18"/>
                <w:lang w:eastAsia="ar-SA"/>
              </w:rPr>
              <w:t xml:space="preserve"> odst. 5</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20F61C23" w14:textId="0A6692F1" w:rsidR="008B606F" w:rsidRPr="00430543" w:rsidRDefault="00E3143C" w:rsidP="00E3143C">
            <w:pPr>
              <w:widowControl w:val="0"/>
              <w:suppressAutoHyphens/>
              <w:ind w:left="57" w:right="113"/>
              <w:jc w:val="both"/>
              <w:rPr>
                <w:sz w:val="18"/>
                <w:szCs w:val="18"/>
                <w:lang w:eastAsia="ar-SA"/>
              </w:rPr>
            </w:pPr>
            <w:r w:rsidRPr="00E3143C">
              <w:rPr>
                <w:sz w:val="18"/>
                <w:szCs w:val="18"/>
                <w:lang w:eastAsia="ar-SA"/>
              </w:rPr>
              <w:t>(5)</w:t>
            </w:r>
            <w:r w:rsidRPr="00E3143C">
              <w:rPr>
                <w:sz w:val="18"/>
                <w:szCs w:val="18"/>
                <w:lang w:eastAsia="ar-SA"/>
              </w:rPr>
              <w:tab/>
              <w:t xml:space="preserve">Zruší-li podávající členská entita rozhodnutí podle odstavce 1, zbývající odložená daňová pohledávka z kvalifikované ztráty se sníží </w:t>
            </w:r>
            <w:r w:rsidR="00BB0767">
              <w:rPr>
                <w:sz w:val="18"/>
                <w:szCs w:val="18"/>
                <w:lang w:eastAsia="ar-SA"/>
              </w:rPr>
              <w:t xml:space="preserve">na nulu k prvnímu dni prvního </w:t>
            </w:r>
            <w:r w:rsidR="00BB0767" w:rsidRPr="00BB0767">
              <w:rPr>
                <w:b/>
                <w:sz w:val="18"/>
                <w:szCs w:val="18"/>
                <w:u w:val="single"/>
                <w:lang w:eastAsia="ar-SA"/>
              </w:rPr>
              <w:t>z</w:t>
            </w:r>
            <w:r w:rsidRPr="00BB0767">
              <w:rPr>
                <w:b/>
                <w:sz w:val="18"/>
                <w:szCs w:val="18"/>
                <w:u w:val="single"/>
                <w:lang w:eastAsia="ar-SA"/>
              </w:rPr>
              <w:t xml:space="preserve"> výkazních</w:t>
            </w:r>
            <w:r w:rsidRPr="00E3143C">
              <w:rPr>
                <w:sz w:val="18"/>
                <w:szCs w:val="18"/>
                <w:lang w:eastAsia="ar-SA"/>
              </w:rPr>
              <w:t xml:space="preserve"> období, pro které bylo rozhodnutí zrušeno.</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1CA23F50" w14:textId="1560BC0B" w:rsidR="008B606F" w:rsidRPr="00430543" w:rsidRDefault="008B606F" w:rsidP="008B606F">
            <w:pPr>
              <w:widowControl w:val="0"/>
              <w:ind w:left="57" w:right="113"/>
              <w:rPr>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17639650" w14:textId="63E10471" w:rsidR="008B606F" w:rsidRPr="00430543" w:rsidRDefault="008B606F" w:rsidP="008B606F">
            <w:pPr>
              <w:widowControl w:val="0"/>
              <w:ind w:left="57" w:right="113"/>
              <w:rPr>
                <w:sz w:val="18"/>
                <w:szCs w:val="18"/>
              </w:rPr>
            </w:pPr>
            <w:r w:rsidRPr="00430543">
              <w:rPr>
                <w:sz w:val="18"/>
                <w:szCs w:val="18"/>
              </w:rPr>
              <w:t>čl. 23</w:t>
            </w:r>
            <w:r w:rsidR="008E6C00">
              <w:rPr>
                <w:sz w:val="18"/>
                <w:szCs w:val="18"/>
              </w:rPr>
              <w:t xml:space="preserve"> odst. 4</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628A4205" w14:textId="21BD90C9" w:rsidR="008B606F" w:rsidRPr="007936DA" w:rsidRDefault="008B606F" w:rsidP="008B606F">
            <w:pPr>
              <w:pStyle w:val="Default"/>
              <w:rPr>
                <w:rFonts w:ascii="Times New Roman" w:hAnsi="Times New Roman" w:cs="Times New Roman"/>
                <w:sz w:val="18"/>
                <w:szCs w:val="18"/>
              </w:rPr>
            </w:pPr>
            <w:r w:rsidRPr="007C66C4">
              <w:rPr>
                <w:rFonts w:ascii="Times New Roman" w:hAnsi="Times New Roman" w:cs="Times New Roman"/>
                <w:sz w:val="18"/>
                <w:szCs w:val="18"/>
              </w:rPr>
              <w:t>4.   V případě zrušení rozhodnutí ohledně kvalifikované ztráty se jakákoli zbývající odložená daňová pohledávka z kvalifikované ztráty stanovená podle odstavce 1 sníží na nulu k prvnímu dni prvního účetního období, ve kterém již rozhodnutí ohledn</w:t>
            </w:r>
            <w:r w:rsidR="008E6C00">
              <w:rPr>
                <w:rFonts w:ascii="Times New Roman" w:hAnsi="Times New Roman" w:cs="Times New Roman"/>
                <w:sz w:val="18"/>
                <w:szCs w:val="18"/>
              </w:rPr>
              <w:t>ě kvalifikované ztráty neplatí.</w:t>
            </w:r>
          </w:p>
        </w:tc>
      </w:tr>
      <w:tr w:rsidR="008B606F" w:rsidRPr="007936DA" w14:paraId="7E5340A6"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78055E43" w14:textId="77777777" w:rsidR="008B606F" w:rsidRPr="00430543" w:rsidRDefault="008B606F" w:rsidP="008B606F">
            <w:pPr>
              <w:widowControl w:val="0"/>
              <w:suppressAutoHyphens/>
              <w:ind w:left="57" w:right="113"/>
              <w:jc w:val="both"/>
              <w:rPr>
                <w:sz w:val="18"/>
                <w:szCs w:val="18"/>
                <w:lang w:eastAsia="ar-SA"/>
              </w:rPr>
            </w:pPr>
            <w:r w:rsidRPr="00430543">
              <w:rPr>
                <w:sz w:val="18"/>
                <w:szCs w:val="18"/>
                <w:lang w:eastAsia="ar-SA"/>
              </w:rPr>
              <w:t>§ 75</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3F3210FD" w14:textId="77777777" w:rsidR="004B09E1" w:rsidRPr="004B09E1" w:rsidRDefault="004B09E1" w:rsidP="004B09E1">
            <w:pPr>
              <w:pStyle w:val="Textparagrafu"/>
              <w:rPr>
                <w:b/>
                <w:sz w:val="18"/>
                <w:szCs w:val="18"/>
                <w:u w:val="single"/>
              </w:rPr>
            </w:pPr>
            <w:r w:rsidRPr="004B09E1">
              <w:rPr>
                <w:b/>
                <w:sz w:val="18"/>
                <w:szCs w:val="18"/>
                <w:u w:val="single"/>
              </w:rPr>
              <w:t>(1) Podávající členská entita může ve vztahu k jednotlivé vlastnické členské entitě investiční entity nebo pojišťovací investiční entity učinit střednědobé rozhodnutí ohledně použití metody zdanitelného rozdělení zisku.</w:t>
            </w:r>
          </w:p>
          <w:p w14:paraId="7EC29578" w14:textId="77777777" w:rsidR="004B09E1" w:rsidRPr="004B09E1" w:rsidRDefault="004B09E1" w:rsidP="004B09E1">
            <w:pPr>
              <w:pStyle w:val="Textparagrafu"/>
              <w:rPr>
                <w:b/>
                <w:sz w:val="18"/>
                <w:szCs w:val="18"/>
                <w:u w:val="single"/>
              </w:rPr>
            </w:pPr>
            <w:r w:rsidRPr="004B09E1">
              <w:rPr>
                <w:b/>
                <w:sz w:val="18"/>
                <w:szCs w:val="18"/>
                <w:u w:val="single"/>
              </w:rPr>
              <w:t>(2) Učiní-li podávající členská entita rozhodnutí podle odstavce 1, vlastnická členská entita investiční entity nebo pojišťovací investiční entity použije ve vztahu ke svému vlastnickému podílu v takové entitě metodu zdanitelného rozdělení zisku, pokud tato vlastnická členská entita není investiční entitou a lze rozumně předpokládat, že rozdělený zisk vyplácený investiční entitou nebo pojišťovací investiční entitou bude podléhat zdanění daní, jejíž sazba činí alespoň minimální daňovou sazbu. V rámci metody zdanitelného rozdělení zisku se rozdělený zisk a zisk považovaný za rozdělený z kvalifikovaného zisku takové entity zahrnou do kvalifikovaného zisku vlastnické členské entity, která rozdělení zisku obdržela, nejedná-li se o investiční entitu.</w:t>
            </w:r>
          </w:p>
          <w:p w14:paraId="09ED1B73" w14:textId="77777777" w:rsidR="004B09E1" w:rsidRPr="004B09E1" w:rsidRDefault="004B09E1" w:rsidP="004B09E1">
            <w:pPr>
              <w:pStyle w:val="Textparagrafu"/>
              <w:rPr>
                <w:b/>
                <w:sz w:val="18"/>
                <w:szCs w:val="18"/>
                <w:u w:val="single"/>
              </w:rPr>
            </w:pPr>
            <w:r w:rsidRPr="004B09E1">
              <w:rPr>
                <w:b/>
                <w:sz w:val="18"/>
                <w:szCs w:val="18"/>
                <w:u w:val="single"/>
              </w:rPr>
              <w:t xml:space="preserve">(3) Zahrnutá daň vzniklá investiční entitě nebo pojišťovací investiční entitě, která je započitatelná proti daňovému dluhu vlastnické členské entity vyplývající z rozdělení zisku investiční entity nebo pojišťovací investiční entity, se zahrne do kvalifikovaného zisku a upravených </w:t>
            </w:r>
            <w:r w:rsidRPr="004B09E1">
              <w:rPr>
                <w:b/>
                <w:sz w:val="18"/>
                <w:szCs w:val="18"/>
                <w:u w:val="single"/>
              </w:rPr>
              <w:lastRenderedPageBreak/>
              <w:t>zahrnutých daní vlastnické členské entity, která rozdělený zisk obdržela.</w:t>
            </w:r>
          </w:p>
          <w:p w14:paraId="6842D22F" w14:textId="77777777" w:rsidR="004B09E1" w:rsidRPr="004B09E1" w:rsidRDefault="004B09E1" w:rsidP="004B09E1">
            <w:pPr>
              <w:pStyle w:val="Textparagrafu"/>
              <w:rPr>
                <w:b/>
                <w:sz w:val="18"/>
                <w:szCs w:val="18"/>
                <w:u w:val="single"/>
              </w:rPr>
            </w:pPr>
            <w:r w:rsidRPr="004B09E1">
              <w:rPr>
                <w:b/>
                <w:sz w:val="18"/>
                <w:szCs w:val="18"/>
                <w:u w:val="single"/>
              </w:rPr>
              <w:t>(4) Podíl vlastnické členské entity na nerozděleném kvalifikovaném zisku investiční entity nebo pojišťovací investiční entity, který vznikl ve třetím roce předcházejícím danému výkaznímu období (dále jen „rozhodný rok“), se považuje za kvalifikovaný zisk takové entity za dané výkazní období. Na částku odpovídající součinu tohoto kvalifikovaného zisku a minimální daňové sazby se pro účely hlavy V této části hledí jako na dorovnávací daň nízce zdaněné členské entity vzniklou za toto výkazní období. Kvalifikovaný zisk nebo ztráta takové entity a upravené zahrnuté daně přiřaditelné tomuto zisku za toto výkazní období jsou s výjimkou zahrnuté daně podle odstavce 3 vyloučeny z výpočtu efektivní daňové sazby podle hlavy IV</w:t>
            </w:r>
            <w:r w:rsidRPr="004B09E1" w:rsidDel="00DF1473">
              <w:rPr>
                <w:b/>
                <w:sz w:val="18"/>
                <w:szCs w:val="18"/>
                <w:u w:val="single"/>
              </w:rPr>
              <w:t xml:space="preserve"> </w:t>
            </w:r>
            <w:r w:rsidRPr="004B09E1">
              <w:rPr>
                <w:b/>
                <w:sz w:val="18"/>
                <w:szCs w:val="18"/>
                <w:u w:val="single"/>
              </w:rPr>
              <w:t>této části a § 76.</w:t>
            </w:r>
          </w:p>
          <w:p w14:paraId="668632E2" w14:textId="77777777" w:rsidR="004B09E1" w:rsidRPr="004B09E1" w:rsidRDefault="004B09E1" w:rsidP="004B09E1">
            <w:pPr>
              <w:pStyle w:val="Textparagrafu"/>
              <w:rPr>
                <w:b/>
                <w:sz w:val="18"/>
                <w:szCs w:val="18"/>
                <w:u w:val="single"/>
              </w:rPr>
            </w:pPr>
            <w:r w:rsidRPr="004B09E1">
              <w:rPr>
                <w:b/>
                <w:sz w:val="18"/>
                <w:szCs w:val="18"/>
                <w:u w:val="single"/>
              </w:rPr>
              <w:t>(5) Nerozdělený kvalifikovaný zisk investiční entity nebo pojišťovací investiční entity za rozhodný rok činí kvalifikovaný zisk takové entity za tento rozhodný rok snížený případně až na nulu o</w:t>
            </w:r>
          </w:p>
          <w:p w14:paraId="455AF1D3" w14:textId="77777777" w:rsidR="004B09E1" w:rsidRPr="004B09E1" w:rsidRDefault="004B09E1" w:rsidP="004B09E1">
            <w:pPr>
              <w:pStyle w:val="PZTextpsmene"/>
              <w:rPr>
                <w:b/>
                <w:sz w:val="18"/>
                <w:szCs w:val="18"/>
                <w:u w:val="single"/>
              </w:rPr>
            </w:pPr>
            <w:r w:rsidRPr="004B09E1">
              <w:rPr>
                <w:b/>
                <w:sz w:val="18"/>
                <w:szCs w:val="18"/>
                <w:u w:val="single"/>
              </w:rPr>
              <w:t>a)</w:t>
            </w:r>
            <w:r w:rsidRPr="004B09E1">
              <w:rPr>
                <w:b/>
                <w:sz w:val="18"/>
                <w:szCs w:val="18"/>
                <w:u w:val="single"/>
              </w:rPr>
              <w:tab/>
              <w:t>zahrnutou daň investiční entity nebo pojišťovací investiční entity,</w:t>
            </w:r>
          </w:p>
          <w:p w14:paraId="4CFC10CE" w14:textId="77777777" w:rsidR="004B09E1" w:rsidRPr="004B09E1" w:rsidRDefault="004B09E1" w:rsidP="004B09E1">
            <w:pPr>
              <w:pStyle w:val="PZTextpsmene"/>
              <w:rPr>
                <w:b/>
                <w:sz w:val="18"/>
                <w:szCs w:val="18"/>
                <w:u w:val="single"/>
              </w:rPr>
            </w:pPr>
            <w:r w:rsidRPr="004B09E1">
              <w:rPr>
                <w:b/>
                <w:sz w:val="18"/>
                <w:szCs w:val="18"/>
                <w:u w:val="single"/>
              </w:rPr>
              <w:t>b)</w:t>
            </w:r>
            <w:r w:rsidRPr="004B09E1">
              <w:rPr>
                <w:b/>
                <w:sz w:val="18"/>
                <w:szCs w:val="18"/>
                <w:u w:val="single"/>
              </w:rPr>
              <w:tab/>
              <w:t>zisk rozdělený a zisk považovaný za rozdělený společníkům, kteří nejsou investičními entitami, v období od prvního dne třetího roku předcházejícího výkaznímu období do posledního dne vykazovaného výkazního období, v němž byl vlastnický podíl držen (dále jen „rozhodné čtyřleté období“),</w:t>
            </w:r>
          </w:p>
          <w:p w14:paraId="7D1D90EA" w14:textId="77777777" w:rsidR="004B09E1" w:rsidRPr="004B09E1" w:rsidRDefault="004B09E1" w:rsidP="004B09E1">
            <w:pPr>
              <w:pStyle w:val="PZTextpsmene"/>
              <w:rPr>
                <w:b/>
                <w:sz w:val="18"/>
                <w:szCs w:val="18"/>
                <w:u w:val="single"/>
              </w:rPr>
            </w:pPr>
            <w:r w:rsidRPr="004B09E1">
              <w:rPr>
                <w:b/>
                <w:sz w:val="18"/>
                <w:szCs w:val="18"/>
                <w:u w:val="single"/>
              </w:rPr>
              <w:t>c)</w:t>
            </w:r>
            <w:r w:rsidRPr="004B09E1">
              <w:rPr>
                <w:b/>
                <w:sz w:val="18"/>
                <w:szCs w:val="18"/>
                <w:u w:val="single"/>
              </w:rPr>
              <w:tab/>
              <w:t>kvalifikovanou ztrátu vzniklou v rozhodném čtyřletém období a</w:t>
            </w:r>
          </w:p>
          <w:p w14:paraId="724D584A" w14:textId="77777777" w:rsidR="004B09E1" w:rsidRPr="004B09E1" w:rsidRDefault="004B09E1" w:rsidP="004B09E1">
            <w:pPr>
              <w:pStyle w:val="PZTextpsmene"/>
              <w:rPr>
                <w:b/>
                <w:sz w:val="18"/>
                <w:szCs w:val="18"/>
                <w:u w:val="single"/>
              </w:rPr>
            </w:pPr>
            <w:r w:rsidRPr="004B09E1">
              <w:rPr>
                <w:b/>
                <w:sz w:val="18"/>
                <w:szCs w:val="18"/>
                <w:u w:val="single"/>
              </w:rPr>
              <w:t>d)</w:t>
            </w:r>
            <w:r w:rsidRPr="004B09E1">
              <w:rPr>
                <w:b/>
                <w:sz w:val="18"/>
                <w:szCs w:val="18"/>
                <w:u w:val="single"/>
              </w:rPr>
              <w:tab/>
              <w:t xml:space="preserve">jakoukoli zbytkovou výši kvalifikovaných ztrát, o kterou zatím nebyl snížen nerozdělený kvalifikovaný zisk investiční </w:t>
            </w:r>
            <w:r w:rsidRPr="004B09E1">
              <w:rPr>
                <w:b/>
                <w:sz w:val="18"/>
                <w:szCs w:val="18"/>
                <w:u w:val="single"/>
              </w:rPr>
              <w:lastRenderedPageBreak/>
              <w:t>entity nebo pojišťovací investiční entity za předchozí rozhodný rok, zejména částku vzniklou v důsledku převodu investičních ztrát do následujícího období.</w:t>
            </w:r>
          </w:p>
          <w:p w14:paraId="1C4115AE" w14:textId="77777777" w:rsidR="004B09E1" w:rsidRPr="004B09E1" w:rsidRDefault="004B09E1" w:rsidP="004B09E1">
            <w:pPr>
              <w:pStyle w:val="Textparagrafu"/>
              <w:rPr>
                <w:b/>
                <w:sz w:val="18"/>
                <w:szCs w:val="18"/>
                <w:u w:val="single"/>
              </w:rPr>
            </w:pPr>
            <w:r w:rsidRPr="004B09E1">
              <w:rPr>
                <w:b/>
                <w:sz w:val="18"/>
                <w:szCs w:val="18"/>
                <w:u w:val="single"/>
              </w:rPr>
              <w:t>(6) Nerozdělený kvalifikovaný zisk investiční entity nebo pojišťovací investiční entity za rozhodný rok se nesnižuje o</w:t>
            </w:r>
          </w:p>
          <w:p w14:paraId="07E9855D" w14:textId="77777777" w:rsidR="004B09E1" w:rsidRPr="004B09E1" w:rsidRDefault="004B09E1" w:rsidP="004B09E1">
            <w:pPr>
              <w:pStyle w:val="PZTextpsmene"/>
              <w:rPr>
                <w:b/>
                <w:sz w:val="18"/>
                <w:szCs w:val="18"/>
                <w:u w:val="single"/>
              </w:rPr>
            </w:pPr>
            <w:r w:rsidRPr="004B09E1">
              <w:rPr>
                <w:b/>
                <w:sz w:val="18"/>
                <w:szCs w:val="18"/>
                <w:u w:val="single"/>
              </w:rPr>
              <w:t>a)</w:t>
            </w:r>
            <w:r w:rsidRPr="004B09E1">
              <w:rPr>
                <w:b/>
                <w:sz w:val="18"/>
                <w:szCs w:val="18"/>
                <w:u w:val="single"/>
              </w:rPr>
              <w:tab/>
              <w:t>rozdělený zisk nebo zisk považovaný za rozdělený, o který již byl snížen nerozdělený kvalifikovaný zisk takové entity za předchozí rozhodný rok podle odstavce 5 písm. b),</w:t>
            </w:r>
          </w:p>
          <w:p w14:paraId="24ADE966" w14:textId="77777777" w:rsidR="004B09E1" w:rsidRPr="004B09E1" w:rsidRDefault="004B09E1" w:rsidP="004B09E1">
            <w:pPr>
              <w:pStyle w:val="PZTextpsmene"/>
              <w:rPr>
                <w:b/>
                <w:sz w:val="18"/>
                <w:szCs w:val="18"/>
                <w:u w:val="single"/>
              </w:rPr>
            </w:pPr>
            <w:r w:rsidRPr="004B09E1">
              <w:rPr>
                <w:b/>
                <w:sz w:val="18"/>
                <w:szCs w:val="18"/>
                <w:u w:val="single"/>
              </w:rPr>
              <w:t>b)</w:t>
            </w:r>
            <w:r w:rsidRPr="004B09E1">
              <w:rPr>
                <w:b/>
                <w:sz w:val="18"/>
                <w:szCs w:val="18"/>
                <w:u w:val="single"/>
              </w:rPr>
              <w:tab/>
              <w:t>kvalifikovanou ztrátu, o kterou již byl snížen podle odstavce 5 písm. c).</w:t>
            </w:r>
          </w:p>
          <w:p w14:paraId="3EDFB2C4" w14:textId="77777777" w:rsidR="004B09E1" w:rsidRPr="004B09E1" w:rsidRDefault="004B09E1" w:rsidP="004B09E1">
            <w:pPr>
              <w:pStyle w:val="Textparagrafu"/>
              <w:rPr>
                <w:b/>
                <w:sz w:val="18"/>
                <w:szCs w:val="18"/>
                <w:u w:val="single"/>
              </w:rPr>
            </w:pPr>
            <w:r w:rsidRPr="004B09E1">
              <w:rPr>
                <w:b/>
                <w:sz w:val="18"/>
                <w:szCs w:val="18"/>
                <w:u w:val="single"/>
              </w:rPr>
              <w:t>(7) Pro účely odstavců 2 až 6 a 8 je zisk považován za rozdělený od okamžiku, kdy je přímý nebo nepřímý vlastnický podíl v investiční entitě nebo pojišťovací investiční entitě</w:t>
            </w:r>
          </w:p>
          <w:p w14:paraId="26D9D256" w14:textId="77777777" w:rsidR="004B09E1" w:rsidRPr="004B09E1" w:rsidRDefault="004B09E1" w:rsidP="004B09E1">
            <w:pPr>
              <w:pStyle w:val="PZTextpsmene"/>
              <w:rPr>
                <w:b/>
                <w:bCs/>
                <w:sz w:val="18"/>
                <w:szCs w:val="18"/>
                <w:u w:val="single"/>
              </w:rPr>
            </w:pPr>
            <w:r w:rsidRPr="004B09E1">
              <w:rPr>
                <w:b/>
                <w:sz w:val="18"/>
                <w:szCs w:val="18"/>
                <w:u w:val="single"/>
              </w:rPr>
              <w:t>a)</w:t>
            </w:r>
            <w:r w:rsidRPr="004B09E1">
              <w:rPr>
                <w:b/>
                <w:sz w:val="18"/>
                <w:szCs w:val="18"/>
                <w:u w:val="single"/>
              </w:rPr>
              <w:tab/>
            </w:r>
            <w:r w:rsidRPr="004B09E1">
              <w:rPr>
                <w:b/>
                <w:bCs/>
                <w:sz w:val="18"/>
                <w:szCs w:val="18"/>
                <w:u w:val="single"/>
              </w:rPr>
              <w:t>převeden na entitu, která nepatří do nadnárodní skupiny nebo vnitrostátní skupiny,</w:t>
            </w:r>
          </w:p>
          <w:p w14:paraId="0D66EB83" w14:textId="77777777" w:rsidR="004B09E1" w:rsidRPr="004B09E1" w:rsidRDefault="004B09E1" w:rsidP="004B09E1">
            <w:pPr>
              <w:pStyle w:val="PZTextpsmene"/>
              <w:rPr>
                <w:b/>
                <w:sz w:val="18"/>
                <w:szCs w:val="18"/>
                <w:u w:val="single"/>
              </w:rPr>
            </w:pPr>
            <w:r w:rsidRPr="004B09E1">
              <w:rPr>
                <w:b/>
                <w:sz w:val="18"/>
                <w:szCs w:val="18"/>
                <w:u w:val="single"/>
              </w:rPr>
              <w:t>b)</w:t>
            </w:r>
            <w:r w:rsidRPr="004B09E1">
              <w:rPr>
                <w:b/>
                <w:sz w:val="18"/>
                <w:szCs w:val="18"/>
                <w:u w:val="single"/>
              </w:rPr>
              <w:tab/>
              <w:t>roven podílu na nerozděleném kvalifikovaném zisku, který lze přiřadit tomuto vlastnickému podílu v den převodu, a</w:t>
            </w:r>
          </w:p>
          <w:p w14:paraId="4065B1E5" w14:textId="77777777" w:rsidR="004B09E1" w:rsidRPr="004B09E1" w:rsidRDefault="004B09E1" w:rsidP="004B09E1">
            <w:pPr>
              <w:pStyle w:val="PZTextpsmene"/>
              <w:rPr>
                <w:b/>
                <w:sz w:val="18"/>
                <w:szCs w:val="18"/>
                <w:u w:val="single"/>
              </w:rPr>
            </w:pPr>
            <w:r w:rsidRPr="004B09E1">
              <w:rPr>
                <w:b/>
                <w:sz w:val="18"/>
                <w:szCs w:val="18"/>
                <w:u w:val="single"/>
              </w:rPr>
              <w:t>c)</w:t>
            </w:r>
            <w:r w:rsidRPr="004B09E1">
              <w:rPr>
                <w:b/>
                <w:sz w:val="18"/>
                <w:szCs w:val="18"/>
                <w:u w:val="single"/>
              </w:rPr>
              <w:tab/>
              <w:t>stanoven bez ohledu na to, zda je zisk považován za rozdělený.</w:t>
            </w:r>
          </w:p>
          <w:p w14:paraId="1866659A" w14:textId="0ECF5B19" w:rsidR="004B09E1" w:rsidRPr="004B09E1" w:rsidRDefault="004B09E1" w:rsidP="004B09E1">
            <w:pPr>
              <w:pStyle w:val="Textparagrafu"/>
              <w:rPr>
                <w:b/>
                <w:sz w:val="18"/>
                <w:szCs w:val="18"/>
                <w:u w:val="single"/>
              </w:rPr>
            </w:pPr>
            <w:r w:rsidRPr="004B09E1">
              <w:rPr>
                <w:b/>
                <w:sz w:val="18"/>
                <w:szCs w:val="18"/>
                <w:u w:val="single"/>
              </w:rPr>
              <w:t xml:space="preserve">(8) Rozhodne-li podávající členská entita o neobnovení rozhodnutí podle odstavce 1, považuje se podíl vlastnické členské entity na nerozděleném kvalifikovaném zisku investiční entity nebo pojišťovací investiční entity za rozhodný rok na konci posledního výkazního období, kdy je neobnovené rozhodnutí platné, za kvalifikovaný zisk takové entity za toto poslední výkazní období. Částka odpovídající součinu takového kvalifikovaného zisku a minimální daňové sazby se pro účely hlavy </w:t>
            </w:r>
            <w:r w:rsidRPr="004B09E1">
              <w:rPr>
                <w:b/>
                <w:sz w:val="18"/>
                <w:szCs w:val="18"/>
                <w:u w:val="single"/>
              </w:rPr>
              <w:lastRenderedPageBreak/>
              <w:t>V této části považuje za dorovnávací daň nízce zdaněné členské entity za toto výkazní období.</w:t>
            </w:r>
          </w:p>
          <w:p w14:paraId="00FE2BE7" w14:textId="243FD098" w:rsidR="008B606F" w:rsidRPr="004B09E1" w:rsidRDefault="008B606F" w:rsidP="008B606F">
            <w:pPr>
              <w:widowControl w:val="0"/>
              <w:suppressAutoHyphens/>
              <w:ind w:left="57" w:right="113"/>
              <w:jc w:val="both"/>
              <w:rPr>
                <w:sz w:val="18"/>
                <w:szCs w:val="18"/>
                <w:u w:val="single"/>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31E6DE43" w14:textId="0AE90489" w:rsidR="008B606F" w:rsidRPr="00430543" w:rsidRDefault="008B606F" w:rsidP="008B606F">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00E983AA" w14:textId="5DBB3EA7" w:rsidR="008B606F" w:rsidRPr="00430543" w:rsidRDefault="008B606F" w:rsidP="008B606F">
            <w:pPr>
              <w:widowControl w:val="0"/>
              <w:ind w:left="57" w:right="113"/>
              <w:rPr>
                <w:sz w:val="18"/>
                <w:szCs w:val="18"/>
              </w:rPr>
            </w:pPr>
            <w:r w:rsidRPr="00430543">
              <w:rPr>
                <w:sz w:val="18"/>
                <w:szCs w:val="18"/>
              </w:rPr>
              <w:t>čl. 43</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1690AA30" w14:textId="77777777" w:rsidR="008B606F" w:rsidRPr="00E46543" w:rsidRDefault="008B606F" w:rsidP="008B606F">
            <w:pPr>
              <w:pStyle w:val="Default"/>
              <w:rPr>
                <w:rFonts w:ascii="Times New Roman" w:hAnsi="Times New Roman" w:cs="Times New Roman"/>
                <w:sz w:val="18"/>
                <w:szCs w:val="18"/>
              </w:rPr>
            </w:pPr>
            <w:r w:rsidRPr="00E46543">
              <w:rPr>
                <w:rFonts w:ascii="Times New Roman" w:hAnsi="Times New Roman" w:cs="Times New Roman"/>
                <w:sz w:val="18"/>
                <w:szCs w:val="18"/>
              </w:rPr>
              <w:t>1.   Podávající členský subjekt se může rozhodnout, že vlastnický členský subjekt investičního subjektu použije ve vztahu ke svému vlastnickému podílu v investičním subjektu metodu zdanitelného rozdělení zisku za předpokladu, že vlastnický členský subjekt není investičním subjektem a lze rozumně předpokládat, že bude podléhat dani z rozděleného zisku vypláceného investičním subjektem při daňové sazbě, která se rovná minimální daňové sazbě nebo ji převyšuje.</w:t>
            </w:r>
          </w:p>
          <w:p w14:paraId="46DDB633" w14:textId="77777777" w:rsidR="008B606F" w:rsidRPr="00E46543" w:rsidRDefault="008B606F" w:rsidP="008B606F">
            <w:pPr>
              <w:pStyle w:val="Default"/>
              <w:rPr>
                <w:rFonts w:ascii="Times New Roman" w:hAnsi="Times New Roman" w:cs="Times New Roman"/>
                <w:sz w:val="18"/>
                <w:szCs w:val="18"/>
              </w:rPr>
            </w:pPr>
          </w:p>
          <w:p w14:paraId="42A3964C" w14:textId="77777777" w:rsidR="008B606F" w:rsidRPr="00E46543" w:rsidRDefault="008B606F" w:rsidP="008B606F">
            <w:pPr>
              <w:pStyle w:val="Default"/>
              <w:rPr>
                <w:rFonts w:ascii="Times New Roman" w:hAnsi="Times New Roman" w:cs="Times New Roman"/>
                <w:sz w:val="18"/>
                <w:szCs w:val="18"/>
              </w:rPr>
            </w:pPr>
            <w:r w:rsidRPr="00E46543">
              <w:rPr>
                <w:rFonts w:ascii="Times New Roman" w:hAnsi="Times New Roman" w:cs="Times New Roman"/>
                <w:sz w:val="18"/>
                <w:szCs w:val="18"/>
              </w:rPr>
              <w:t>2.   V rámci metody zdanitelného rozdělení zisku se rozdělený zisk a zisk považovaný za rozdělený z kvalifikovaného příjmu investičního subjektu zahrnou do kvalifikovaného příjmu vlastnického členského subjektu, který rozdělení zisku obdržel, nejedná-li se o investiční subjekt.</w:t>
            </w:r>
          </w:p>
          <w:p w14:paraId="18C9BE4C" w14:textId="77777777" w:rsidR="008B606F" w:rsidRPr="00E46543" w:rsidRDefault="008B606F" w:rsidP="008B606F">
            <w:pPr>
              <w:pStyle w:val="Default"/>
              <w:rPr>
                <w:rFonts w:ascii="Times New Roman" w:hAnsi="Times New Roman" w:cs="Times New Roman"/>
                <w:sz w:val="18"/>
                <w:szCs w:val="18"/>
              </w:rPr>
            </w:pPr>
          </w:p>
          <w:p w14:paraId="0E96378A" w14:textId="77777777" w:rsidR="008B606F" w:rsidRPr="00E46543" w:rsidRDefault="008B606F" w:rsidP="008B606F">
            <w:pPr>
              <w:pStyle w:val="Default"/>
              <w:rPr>
                <w:rFonts w:ascii="Times New Roman" w:hAnsi="Times New Roman" w:cs="Times New Roman"/>
                <w:sz w:val="18"/>
                <w:szCs w:val="18"/>
              </w:rPr>
            </w:pPr>
            <w:r w:rsidRPr="00E46543">
              <w:rPr>
                <w:rFonts w:ascii="Times New Roman" w:hAnsi="Times New Roman" w:cs="Times New Roman"/>
                <w:sz w:val="18"/>
                <w:szCs w:val="18"/>
              </w:rPr>
              <w:t>Částka zahrnutých daní vzniklých investičnímu subjektu, která je započitatelná proti daňovému závazku vlastnického členského subjektu vyplývajícímu z rozdělení zisku ze strany investičního subjektu, se zahrne do kvalifikovaného příjmu a upravených zahrnutých daní vlastnického členského subjektu, který rozdělený zisk obdržel.</w:t>
            </w:r>
          </w:p>
          <w:p w14:paraId="33DD5903" w14:textId="77777777" w:rsidR="008B606F" w:rsidRPr="00E46543" w:rsidRDefault="008B606F" w:rsidP="008B606F">
            <w:pPr>
              <w:pStyle w:val="Default"/>
              <w:rPr>
                <w:rFonts w:ascii="Times New Roman" w:hAnsi="Times New Roman" w:cs="Times New Roman"/>
                <w:sz w:val="18"/>
                <w:szCs w:val="18"/>
              </w:rPr>
            </w:pPr>
          </w:p>
          <w:p w14:paraId="4DACA48D" w14:textId="77777777" w:rsidR="008B606F" w:rsidRPr="00E46543" w:rsidRDefault="008B606F" w:rsidP="008B606F">
            <w:pPr>
              <w:pStyle w:val="Default"/>
              <w:rPr>
                <w:rFonts w:ascii="Times New Roman" w:hAnsi="Times New Roman" w:cs="Times New Roman"/>
                <w:sz w:val="18"/>
                <w:szCs w:val="18"/>
              </w:rPr>
            </w:pPr>
            <w:r w:rsidRPr="00E46543">
              <w:rPr>
                <w:rFonts w:ascii="Times New Roman" w:hAnsi="Times New Roman" w:cs="Times New Roman"/>
                <w:sz w:val="18"/>
                <w:szCs w:val="18"/>
              </w:rPr>
              <w:t>Podíl vlastnického členského subjektu na nerozděleném čistém kvalifikovaném příjmu investičního subjektu uvedeném v odstavci 3, který vznikl ve třetím roce předcházejícím danému účetnímu období („rozhodný rok“), se považuje za kvalifikovaný příjem tohoto investičního subjektu za dané účetní období. Částka rovnající se součinu tohoto kvalifikovaného příjmu a minimální daňové sazby se pro účely kapitoly II považuje za dorovnávací daň nízce zdaněného členského subjektu za dané účetní období.</w:t>
            </w:r>
          </w:p>
          <w:p w14:paraId="7331949B" w14:textId="77777777" w:rsidR="008B606F" w:rsidRPr="00E46543" w:rsidRDefault="008B606F" w:rsidP="008B606F">
            <w:pPr>
              <w:pStyle w:val="Default"/>
              <w:rPr>
                <w:rFonts w:ascii="Times New Roman" w:hAnsi="Times New Roman" w:cs="Times New Roman"/>
                <w:sz w:val="18"/>
                <w:szCs w:val="18"/>
              </w:rPr>
            </w:pPr>
          </w:p>
          <w:p w14:paraId="501EE0EA" w14:textId="77777777" w:rsidR="008B606F" w:rsidRPr="00E46543" w:rsidRDefault="008B606F" w:rsidP="008B606F">
            <w:pPr>
              <w:pStyle w:val="Default"/>
              <w:rPr>
                <w:rFonts w:ascii="Times New Roman" w:hAnsi="Times New Roman" w:cs="Times New Roman"/>
                <w:sz w:val="18"/>
                <w:szCs w:val="18"/>
              </w:rPr>
            </w:pPr>
            <w:r w:rsidRPr="00E46543">
              <w:rPr>
                <w:rFonts w:ascii="Times New Roman" w:hAnsi="Times New Roman" w:cs="Times New Roman"/>
                <w:sz w:val="18"/>
                <w:szCs w:val="18"/>
              </w:rPr>
              <w:t>Kvalifikovaný příjem nebo ztráta investičního subjektu a upravené zahrnuté daně přiřaditelné tomuto příjmu za dané účetní období jsou vyloučeny z výpočtu efektivní daňové sazby v souladu s kapitolou V a s čl. 41 odst. 1 až 4 s výjimkou částky zahrnutých daní podle druhého pododstavce tohoto odstavce.</w:t>
            </w:r>
          </w:p>
          <w:p w14:paraId="4BA74C58" w14:textId="77777777" w:rsidR="008B606F" w:rsidRPr="00E46543" w:rsidRDefault="008B606F" w:rsidP="008B606F">
            <w:pPr>
              <w:pStyle w:val="Default"/>
              <w:rPr>
                <w:rFonts w:ascii="Times New Roman" w:hAnsi="Times New Roman" w:cs="Times New Roman"/>
                <w:sz w:val="18"/>
                <w:szCs w:val="18"/>
              </w:rPr>
            </w:pPr>
          </w:p>
          <w:p w14:paraId="6C28B5EA" w14:textId="77777777" w:rsidR="008B606F" w:rsidRPr="00E46543" w:rsidRDefault="008B606F" w:rsidP="008B606F">
            <w:pPr>
              <w:pStyle w:val="Default"/>
              <w:rPr>
                <w:rFonts w:ascii="Times New Roman" w:hAnsi="Times New Roman" w:cs="Times New Roman"/>
                <w:sz w:val="18"/>
                <w:szCs w:val="18"/>
              </w:rPr>
            </w:pPr>
            <w:r w:rsidRPr="00E46543">
              <w:rPr>
                <w:rFonts w:ascii="Times New Roman" w:hAnsi="Times New Roman" w:cs="Times New Roman"/>
                <w:sz w:val="18"/>
                <w:szCs w:val="18"/>
              </w:rPr>
              <w:t>3.   Nerozděleným čistým kvalifikovaným příjmem investičního subjektu za rozhodný rok je částka kvalifikovaného příjmu tohoto investičního subjektu za rozhodný rok snížená případně až na nulovou výši o:</w:t>
            </w:r>
          </w:p>
          <w:p w14:paraId="70D7CC10" w14:textId="77777777" w:rsidR="008B606F" w:rsidRPr="00E46543" w:rsidRDefault="008B606F" w:rsidP="008B606F">
            <w:pPr>
              <w:pStyle w:val="Default"/>
              <w:rPr>
                <w:rFonts w:ascii="Times New Roman" w:hAnsi="Times New Roman" w:cs="Times New Roman"/>
                <w:sz w:val="18"/>
                <w:szCs w:val="18"/>
              </w:rPr>
            </w:pPr>
          </w:p>
          <w:p w14:paraId="50F81FCA" w14:textId="74495DA6" w:rsidR="008B606F" w:rsidRPr="00E46543" w:rsidRDefault="008B606F" w:rsidP="008B606F">
            <w:pPr>
              <w:pStyle w:val="Default"/>
              <w:numPr>
                <w:ilvl w:val="0"/>
                <w:numId w:val="13"/>
              </w:numPr>
              <w:rPr>
                <w:rFonts w:ascii="Times New Roman" w:hAnsi="Times New Roman" w:cs="Times New Roman"/>
                <w:sz w:val="18"/>
                <w:szCs w:val="18"/>
              </w:rPr>
            </w:pPr>
            <w:r w:rsidRPr="00E46543">
              <w:rPr>
                <w:rFonts w:ascii="Times New Roman" w:hAnsi="Times New Roman" w:cs="Times New Roman"/>
                <w:sz w:val="18"/>
                <w:szCs w:val="18"/>
              </w:rPr>
              <w:t>zahrnuté daně investičního subjektu;</w:t>
            </w:r>
          </w:p>
          <w:p w14:paraId="59E8649E" w14:textId="77777777" w:rsidR="008B606F" w:rsidRPr="00E46543" w:rsidRDefault="008B606F" w:rsidP="008B606F">
            <w:pPr>
              <w:pStyle w:val="Default"/>
              <w:rPr>
                <w:rFonts w:ascii="Times New Roman" w:hAnsi="Times New Roman" w:cs="Times New Roman"/>
                <w:sz w:val="18"/>
                <w:szCs w:val="18"/>
              </w:rPr>
            </w:pPr>
          </w:p>
          <w:p w14:paraId="2EF8B534" w14:textId="143726BB" w:rsidR="008B606F" w:rsidRPr="00E46543" w:rsidRDefault="008B606F" w:rsidP="008B606F">
            <w:pPr>
              <w:pStyle w:val="Default"/>
              <w:numPr>
                <w:ilvl w:val="0"/>
                <w:numId w:val="13"/>
              </w:numPr>
              <w:rPr>
                <w:rFonts w:ascii="Times New Roman" w:hAnsi="Times New Roman" w:cs="Times New Roman"/>
                <w:sz w:val="18"/>
                <w:szCs w:val="18"/>
              </w:rPr>
            </w:pPr>
            <w:r w:rsidRPr="00E46543">
              <w:rPr>
                <w:rFonts w:ascii="Times New Roman" w:hAnsi="Times New Roman" w:cs="Times New Roman"/>
                <w:sz w:val="18"/>
                <w:szCs w:val="18"/>
              </w:rPr>
              <w:t>zisk rozdělený a zisk považovaný za rozdělený společníkům, kteří nejsou investičními subjekty, v období začínajícím prvním dnem třetího roku předcházejícího účetnímu období a končícím posledním dnem vykazovaného účetního období, v němž byl vlastnický podíl držen („rozhodné období“);</w:t>
            </w:r>
          </w:p>
          <w:p w14:paraId="164C5A0B" w14:textId="77777777" w:rsidR="008B606F" w:rsidRPr="00E46543" w:rsidRDefault="008B606F" w:rsidP="008B606F">
            <w:pPr>
              <w:pStyle w:val="Default"/>
              <w:rPr>
                <w:rFonts w:ascii="Times New Roman" w:hAnsi="Times New Roman" w:cs="Times New Roman"/>
                <w:sz w:val="18"/>
                <w:szCs w:val="18"/>
              </w:rPr>
            </w:pPr>
          </w:p>
          <w:p w14:paraId="0FC570A0" w14:textId="15E9F122" w:rsidR="008B606F" w:rsidRPr="00E46543" w:rsidRDefault="008B606F" w:rsidP="008B606F">
            <w:pPr>
              <w:pStyle w:val="Default"/>
              <w:numPr>
                <w:ilvl w:val="0"/>
                <w:numId w:val="13"/>
              </w:numPr>
              <w:rPr>
                <w:rFonts w:ascii="Times New Roman" w:hAnsi="Times New Roman" w:cs="Times New Roman"/>
                <w:sz w:val="18"/>
                <w:szCs w:val="18"/>
              </w:rPr>
            </w:pPr>
            <w:r w:rsidRPr="00E46543">
              <w:rPr>
                <w:rFonts w:ascii="Times New Roman" w:hAnsi="Times New Roman" w:cs="Times New Roman"/>
                <w:sz w:val="18"/>
                <w:szCs w:val="18"/>
              </w:rPr>
              <w:t>kvalifikované ztráty vzniklé v rozhodném období a</w:t>
            </w:r>
          </w:p>
          <w:p w14:paraId="247E5BCE" w14:textId="77777777" w:rsidR="008B606F" w:rsidRPr="00E46543" w:rsidRDefault="008B606F" w:rsidP="008B606F">
            <w:pPr>
              <w:pStyle w:val="Default"/>
              <w:rPr>
                <w:rFonts w:ascii="Times New Roman" w:hAnsi="Times New Roman" w:cs="Times New Roman"/>
                <w:sz w:val="18"/>
                <w:szCs w:val="18"/>
              </w:rPr>
            </w:pPr>
          </w:p>
          <w:p w14:paraId="548BDABE" w14:textId="21CB3D41" w:rsidR="008B606F" w:rsidRPr="00E46543" w:rsidRDefault="008B606F" w:rsidP="008B606F">
            <w:pPr>
              <w:pStyle w:val="Default"/>
              <w:numPr>
                <w:ilvl w:val="0"/>
                <w:numId w:val="13"/>
              </w:numPr>
              <w:rPr>
                <w:rFonts w:ascii="Times New Roman" w:hAnsi="Times New Roman" w:cs="Times New Roman"/>
                <w:sz w:val="18"/>
                <w:szCs w:val="18"/>
              </w:rPr>
            </w:pPr>
            <w:r w:rsidRPr="00E46543">
              <w:rPr>
                <w:rFonts w:ascii="Times New Roman" w:hAnsi="Times New Roman" w:cs="Times New Roman"/>
                <w:sz w:val="18"/>
                <w:szCs w:val="18"/>
              </w:rPr>
              <w:t>jakoukoli zbytkovou částku kvalifikovaných ztrát, o kterou zatím nebyl snížen nerozdělený čistý kvalifikovaný příjem investičního subjektu za předchozí rozhodný rok, tak zvaný převod investičních ztrát do následujícího období.</w:t>
            </w:r>
          </w:p>
          <w:p w14:paraId="14537E92" w14:textId="77777777" w:rsidR="008B606F" w:rsidRPr="00E46543" w:rsidRDefault="008B606F" w:rsidP="008B606F">
            <w:pPr>
              <w:pStyle w:val="Default"/>
              <w:rPr>
                <w:rFonts w:ascii="Times New Roman" w:hAnsi="Times New Roman" w:cs="Times New Roman"/>
                <w:sz w:val="18"/>
                <w:szCs w:val="18"/>
              </w:rPr>
            </w:pPr>
          </w:p>
          <w:p w14:paraId="622B6ED2" w14:textId="77777777" w:rsidR="008B606F" w:rsidRPr="00E46543" w:rsidRDefault="008B606F" w:rsidP="008B606F">
            <w:pPr>
              <w:pStyle w:val="Default"/>
              <w:rPr>
                <w:rFonts w:ascii="Times New Roman" w:hAnsi="Times New Roman" w:cs="Times New Roman"/>
                <w:sz w:val="18"/>
                <w:szCs w:val="18"/>
              </w:rPr>
            </w:pPr>
            <w:r w:rsidRPr="00E46543">
              <w:rPr>
                <w:rFonts w:ascii="Times New Roman" w:hAnsi="Times New Roman" w:cs="Times New Roman"/>
                <w:sz w:val="18"/>
                <w:szCs w:val="18"/>
              </w:rPr>
              <w:t>Nerozdělený čistý kvalifikovaný příjem investičního subjektu se nesnižuje o rozdělený zisk nebo zisk považovaný za rozdělený, o který již byl snížen nerozdělený čistý kvalifikovaný příjem tohoto investičního subjektu za předchozí rozhodný rok při použití prvního pododstavce písm. b).</w:t>
            </w:r>
          </w:p>
          <w:p w14:paraId="37474894" w14:textId="77777777" w:rsidR="008B606F" w:rsidRPr="00E46543" w:rsidRDefault="008B606F" w:rsidP="008B606F">
            <w:pPr>
              <w:pStyle w:val="Default"/>
              <w:rPr>
                <w:rFonts w:ascii="Times New Roman" w:hAnsi="Times New Roman" w:cs="Times New Roman"/>
                <w:sz w:val="18"/>
                <w:szCs w:val="18"/>
              </w:rPr>
            </w:pPr>
          </w:p>
          <w:p w14:paraId="44B82AE2" w14:textId="77777777" w:rsidR="008B606F" w:rsidRPr="00E46543" w:rsidRDefault="008B606F" w:rsidP="008B606F">
            <w:pPr>
              <w:pStyle w:val="Default"/>
              <w:rPr>
                <w:rFonts w:ascii="Times New Roman" w:hAnsi="Times New Roman" w:cs="Times New Roman"/>
                <w:sz w:val="18"/>
                <w:szCs w:val="18"/>
              </w:rPr>
            </w:pPr>
            <w:r w:rsidRPr="00E46543">
              <w:rPr>
                <w:rFonts w:ascii="Times New Roman" w:hAnsi="Times New Roman" w:cs="Times New Roman"/>
                <w:sz w:val="18"/>
                <w:szCs w:val="18"/>
              </w:rPr>
              <w:t>Nerozdělený čistý kvalifikovaný příjem investičního subjektu se nesnižuje o částku kvalifikovaných ztrát, o kterou již byl snížen nerozdělený čistý kvalifikovaný příjem tohoto investičního subjektu za předchozí rozhodný rok při použití prvního pododstavce písm. c).</w:t>
            </w:r>
          </w:p>
          <w:p w14:paraId="68520720" w14:textId="77777777" w:rsidR="008B606F" w:rsidRPr="00E46543" w:rsidRDefault="008B606F" w:rsidP="008B606F">
            <w:pPr>
              <w:pStyle w:val="Default"/>
              <w:rPr>
                <w:rFonts w:ascii="Times New Roman" w:hAnsi="Times New Roman" w:cs="Times New Roman"/>
                <w:sz w:val="18"/>
                <w:szCs w:val="18"/>
              </w:rPr>
            </w:pPr>
          </w:p>
          <w:p w14:paraId="2DE84D76" w14:textId="77777777" w:rsidR="008B606F" w:rsidRPr="00E46543" w:rsidRDefault="008B606F" w:rsidP="008B606F">
            <w:pPr>
              <w:pStyle w:val="Default"/>
              <w:rPr>
                <w:rFonts w:ascii="Times New Roman" w:hAnsi="Times New Roman" w:cs="Times New Roman"/>
                <w:sz w:val="18"/>
                <w:szCs w:val="18"/>
              </w:rPr>
            </w:pPr>
            <w:r w:rsidRPr="00E46543">
              <w:rPr>
                <w:rFonts w:ascii="Times New Roman" w:hAnsi="Times New Roman" w:cs="Times New Roman"/>
                <w:sz w:val="18"/>
                <w:szCs w:val="18"/>
              </w:rPr>
              <w:t>4.   Pro účely tohoto článku dochází k tomu, že je zisk považován za rozdělený, v okamžiku, kdy je přímý nebo nepřímý vlastnický podíl v investičním subjektu převeden na subjekt, který nepatří do nadnárodní skupiny podniků nebo velké vnitrostátní skupiny, a rovná se podílu na nerozděleném čistém kvalifikovaném příjmu, který lze přiřadit tomuto vlastnickému podílu v den převodu a je stanoven bez ohledu na to, že je zisk považován za rozdělený.</w:t>
            </w:r>
          </w:p>
          <w:p w14:paraId="43F084DA" w14:textId="77777777" w:rsidR="008B606F" w:rsidRPr="00E46543" w:rsidRDefault="008B606F" w:rsidP="008B606F">
            <w:pPr>
              <w:pStyle w:val="Default"/>
              <w:rPr>
                <w:rFonts w:ascii="Times New Roman" w:hAnsi="Times New Roman" w:cs="Times New Roman"/>
                <w:sz w:val="18"/>
                <w:szCs w:val="18"/>
              </w:rPr>
            </w:pPr>
          </w:p>
          <w:p w14:paraId="7D2588FE" w14:textId="77777777" w:rsidR="008B606F" w:rsidRPr="00E46543" w:rsidRDefault="008B606F" w:rsidP="008B606F">
            <w:pPr>
              <w:pStyle w:val="Default"/>
              <w:rPr>
                <w:rFonts w:ascii="Times New Roman" w:hAnsi="Times New Roman" w:cs="Times New Roman"/>
                <w:sz w:val="18"/>
                <w:szCs w:val="18"/>
              </w:rPr>
            </w:pPr>
            <w:r w:rsidRPr="00E46543">
              <w:rPr>
                <w:rFonts w:ascii="Times New Roman" w:hAnsi="Times New Roman" w:cs="Times New Roman"/>
                <w:sz w:val="18"/>
                <w:szCs w:val="18"/>
              </w:rPr>
              <w:t>5.   Rozhodnutí podle odstavce 1 tohoto článku se činí v souladu s čl. 45 odst. 1.</w:t>
            </w:r>
          </w:p>
          <w:p w14:paraId="24056466" w14:textId="77777777" w:rsidR="008B606F" w:rsidRPr="00E46543" w:rsidRDefault="008B606F" w:rsidP="008B606F">
            <w:pPr>
              <w:pStyle w:val="Default"/>
              <w:rPr>
                <w:rFonts w:ascii="Times New Roman" w:hAnsi="Times New Roman" w:cs="Times New Roman"/>
                <w:sz w:val="18"/>
                <w:szCs w:val="18"/>
              </w:rPr>
            </w:pPr>
          </w:p>
          <w:p w14:paraId="196CCF23" w14:textId="7DE954B9" w:rsidR="008B606F" w:rsidRPr="007936DA" w:rsidRDefault="008B606F" w:rsidP="008B606F">
            <w:pPr>
              <w:pStyle w:val="Default"/>
              <w:rPr>
                <w:rFonts w:ascii="Times New Roman" w:hAnsi="Times New Roman" w:cs="Times New Roman"/>
                <w:sz w:val="18"/>
                <w:szCs w:val="18"/>
              </w:rPr>
            </w:pPr>
            <w:r w:rsidRPr="00E46543">
              <w:rPr>
                <w:rFonts w:ascii="Times New Roman" w:hAnsi="Times New Roman" w:cs="Times New Roman"/>
                <w:sz w:val="18"/>
                <w:szCs w:val="18"/>
              </w:rPr>
              <w:t>V případě zrušení rozhodnutí se podíl vlastnického členského subjektu na nerozděleném čistém kvalifikovaném příjmu investičního subjektu za rozhodný rok na konci účetního období předcházejícího účetnímu období, kdy je zrušení provedeno, považuje za kvalifikovaný příjem investičního subjektu za dané účetní období. Částka rovnající se součinu takového kvalifikovaného příjmu a minimální daňové sazby se pro účely kapitoly II považuje za dorovnávací daň nízce zdaněného členského subjektu za dané účetní období.</w:t>
            </w:r>
          </w:p>
        </w:tc>
      </w:tr>
      <w:tr w:rsidR="008B606F" w:rsidRPr="007936DA" w14:paraId="480DD26F"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5A3741DB" w14:textId="76C516D0" w:rsidR="008B606F" w:rsidRPr="00430543" w:rsidRDefault="008B606F" w:rsidP="008B606F">
            <w:pPr>
              <w:widowControl w:val="0"/>
              <w:suppressAutoHyphens/>
              <w:ind w:left="57" w:right="113"/>
              <w:jc w:val="both"/>
              <w:rPr>
                <w:sz w:val="18"/>
                <w:szCs w:val="18"/>
                <w:lang w:eastAsia="ar-SA"/>
              </w:rPr>
            </w:pPr>
            <w:r w:rsidRPr="00430543">
              <w:rPr>
                <w:sz w:val="18"/>
                <w:szCs w:val="18"/>
                <w:lang w:eastAsia="ar-SA"/>
              </w:rPr>
              <w:lastRenderedPageBreak/>
              <w:t>§ 77</w:t>
            </w:r>
            <w:r w:rsidR="00F80FA6">
              <w:rPr>
                <w:sz w:val="18"/>
                <w:szCs w:val="18"/>
                <w:lang w:eastAsia="ar-SA"/>
              </w:rPr>
              <w:t xml:space="preserve"> odst. 1 a 2</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0517A7A8" w14:textId="7C1D6B39" w:rsidR="00F80FA6" w:rsidRPr="00F80FA6" w:rsidRDefault="00F80FA6" w:rsidP="00F80FA6">
            <w:pPr>
              <w:pStyle w:val="Textparagrafu"/>
              <w:rPr>
                <w:sz w:val="18"/>
                <w:szCs w:val="18"/>
              </w:rPr>
            </w:pPr>
            <w:r w:rsidRPr="00F80FA6">
              <w:rPr>
                <w:sz w:val="18"/>
                <w:szCs w:val="18"/>
              </w:rPr>
              <w:t xml:space="preserve">(1) Efektivní daňová sazba skupiny pro jednotlivé </w:t>
            </w:r>
            <w:r w:rsidRPr="00F80FA6">
              <w:rPr>
                <w:b/>
                <w:sz w:val="18"/>
                <w:szCs w:val="18"/>
                <w:u w:val="single"/>
              </w:rPr>
              <w:t>výkazní</w:t>
            </w:r>
            <w:r w:rsidRPr="00F80FA6">
              <w:rPr>
                <w:sz w:val="18"/>
                <w:szCs w:val="18"/>
              </w:rPr>
              <w:t xml:space="preserve"> období a jednotlivý stát se určí, pokud</w:t>
            </w:r>
          </w:p>
          <w:p w14:paraId="77879864" w14:textId="77777777" w:rsidR="00F80FA6" w:rsidRPr="00F80FA6" w:rsidRDefault="00F80FA6" w:rsidP="00F80FA6">
            <w:pPr>
              <w:pStyle w:val="PZTextpsmene"/>
              <w:rPr>
                <w:sz w:val="18"/>
                <w:szCs w:val="18"/>
              </w:rPr>
            </w:pPr>
            <w:r w:rsidRPr="00F80FA6">
              <w:rPr>
                <w:sz w:val="18"/>
                <w:szCs w:val="18"/>
              </w:rPr>
              <w:t>a)</w:t>
            </w:r>
            <w:r w:rsidRPr="00F80FA6">
              <w:rPr>
                <w:sz w:val="18"/>
                <w:szCs w:val="18"/>
              </w:rPr>
              <w:tab/>
              <w:t>je tato skupina velkou nadnárodní skupinou nebo velkou vnitrostátní skupinou,</w:t>
            </w:r>
          </w:p>
          <w:p w14:paraId="27EE35A8" w14:textId="77777777" w:rsidR="00F80FA6" w:rsidRPr="00F80FA6" w:rsidRDefault="00F80FA6" w:rsidP="00F80FA6">
            <w:pPr>
              <w:pStyle w:val="PZTextpsmene"/>
              <w:rPr>
                <w:sz w:val="18"/>
                <w:szCs w:val="18"/>
              </w:rPr>
            </w:pPr>
            <w:r w:rsidRPr="00F80FA6">
              <w:rPr>
                <w:sz w:val="18"/>
                <w:szCs w:val="18"/>
              </w:rPr>
              <w:t>b)</w:t>
            </w:r>
            <w:r w:rsidRPr="00F80FA6">
              <w:rPr>
                <w:sz w:val="18"/>
                <w:szCs w:val="18"/>
              </w:rPr>
              <w:tab/>
              <w:t>je alespoň jedna členská entita této skupiny v tomto zdaňovacím období z tohoto státu a</w:t>
            </w:r>
          </w:p>
          <w:p w14:paraId="788D3549" w14:textId="2C9E228A" w:rsidR="00F80FA6" w:rsidRPr="00F80FA6" w:rsidRDefault="00F80FA6" w:rsidP="00F80FA6">
            <w:pPr>
              <w:pStyle w:val="PZTextpsmene"/>
              <w:rPr>
                <w:sz w:val="18"/>
                <w:szCs w:val="18"/>
              </w:rPr>
            </w:pPr>
            <w:r w:rsidRPr="00F80FA6">
              <w:rPr>
                <w:sz w:val="18"/>
                <w:szCs w:val="18"/>
              </w:rPr>
              <w:t>c)</w:t>
            </w:r>
            <w:r w:rsidRPr="00F80FA6">
              <w:rPr>
                <w:sz w:val="18"/>
                <w:szCs w:val="18"/>
              </w:rPr>
              <w:tab/>
              <w:t xml:space="preserve">vzniká v tomto </w:t>
            </w:r>
            <w:r w:rsidRPr="00F80FA6">
              <w:rPr>
                <w:b/>
                <w:sz w:val="18"/>
                <w:szCs w:val="18"/>
                <w:u w:val="single"/>
              </w:rPr>
              <w:t>výkazním</w:t>
            </w:r>
            <w:r w:rsidRPr="00F80FA6">
              <w:rPr>
                <w:b/>
                <w:sz w:val="18"/>
                <w:szCs w:val="18"/>
              </w:rPr>
              <w:t xml:space="preserve"> </w:t>
            </w:r>
            <w:r w:rsidRPr="00F80FA6">
              <w:rPr>
                <w:sz w:val="18"/>
                <w:szCs w:val="18"/>
              </w:rPr>
              <w:t>období jurisdikční kvalifikovaný zisk této skupiny.</w:t>
            </w:r>
          </w:p>
          <w:p w14:paraId="5C4227C1" w14:textId="1F6ED155" w:rsidR="00F80FA6" w:rsidRPr="00F80FA6" w:rsidRDefault="00F80FA6" w:rsidP="00F80FA6">
            <w:pPr>
              <w:pStyle w:val="Textparagrafu"/>
              <w:rPr>
                <w:sz w:val="18"/>
                <w:szCs w:val="18"/>
              </w:rPr>
            </w:pPr>
            <w:r w:rsidRPr="00F80FA6">
              <w:rPr>
                <w:sz w:val="18"/>
                <w:szCs w:val="18"/>
              </w:rPr>
              <w:t xml:space="preserve">(2) Efektivní daňová sazba skupiny pro dané </w:t>
            </w:r>
            <w:r w:rsidRPr="00F80FA6">
              <w:rPr>
                <w:b/>
                <w:sz w:val="18"/>
                <w:szCs w:val="18"/>
                <w:u w:val="single"/>
              </w:rPr>
              <w:t>výkazní</w:t>
            </w:r>
            <w:r w:rsidRPr="00F80FA6">
              <w:rPr>
                <w:sz w:val="18"/>
                <w:szCs w:val="18"/>
              </w:rPr>
              <w:t xml:space="preserve"> období a stát činí podíl</w:t>
            </w:r>
          </w:p>
          <w:p w14:paraId="70FC093A" w14:textId="60730025" w:rsidR="00F80FA6" w:rsidRPr="00F80FA6" w:rsidRDefault="00F80FA6" w:rsidP="00F80FA6">
            <w:pPr>
              <w:pStyle w:val="PZTextpsmene"/>
              <w:rPr>
                <w:sz w:val="18"/>
                <w:szCs w:val="18"/>
              </w:rPr>
            </w:pPr>
            <w:r w:rsidRPr="00F80FA6">
              <w:rPr>
                <w:sz w:val="18"/>
                <w:szCs w:val="18"/>
              </w:rPr>
              <w:t>a)</w:t>
            </w:r>
            <w:r w:rsidRPr="00F80FA6">
              <w:rPr>
                <w:sz w:val="18"/>
                <w:szCs w:val="18"/>
              </w:rPr>
              <w:tab/>
              <w:t xml:space="preserve">jurisdikčního úhrnu upravených výší zahrnutých daní této skupiny v daném </w:t>
            </w:r>
            <w:r w:rsidRPr="00F80FA6">
              <w:rPr>
                <w:b/>
                <w:sz w:val="18"/>
                <w:szCs w:val="18"/>
              </w:rPr>
              <w:t xml:space="preserve"> </w:t>
            </w:r>
            <w:r w:rsidRPr="00F80FA6">
              <w:rPr>
                <w:b/>
                <w:sz w:val="18"/>
                <w:szCs w:val="18"/>
                <w:u w:val="single"/>
              </w:rPr>
              <w:t>výkazním</w:t>
            </w:r>
            <w:r w:rsidRPr="00F80FA6">
              <w:rPr>
                <w:sz w:val="18"/>
                <w:szCs w:val="18"/>
              </w:rPr>
              <w:t xml:space="preserve"> období a státě a</w:t>
            </w:r>
          </w:p>
          <w:p w14:paraId="0FFAE86A" w14:textId="6F5AF1FE" w:rsidR="00F80FA6" w:rsidRPr="00F80FA6" w:rsidRDefault="00F80FA6" w:rsidP="00F80FA6">
            <w:pPr>
              <w:pStyle w:val="PZTextpsmene"/>
              <w:rPr>
                <w:sz w:val="18"/>
                <w:szCs w:val="18"/>
              </w:rPr>
            </w:pPr>
            <w:r w:rsidRPr="00F80FA6">
              <w:rPr>
                <w:sz w:val="18"/>
                <w:szCs w:val="18"/>
              </w:rPr>
              <w:t>b)</w:t>
            </w:r>
            <w:r w:rsidRPr="00F80FA6">
              <w:rPr>
                <w:sz w:val="18"/>
                <w:szCs w:val="18"/>
              </w:rPr>
              <w:tab/>
              <w:t xml:space="preserve">jurisdikčního kvalifikovaného zisku této skupiny v daném </w:t>
            </w:r>
            <w:r w:rsidRPr="00F80FA6">
              <w:rPr>
                <w:b/>
                <w:sz w:val="18"/>
                <w:szCs w:val="18"/>
                <w:u w:val="single"/>
              </w:rPr>
              <w:t>výkazním</w:t>
            </w:r>
            <w:r w:rsidRPr="00F80FA6">
              <w:rPr>
                <w:sz w:val="18"/>
                <w:szCs w:val="18"/>
              </w:rPr>
              <w:t xml:space="preserve"> období a státě.</w:t>
            </w:r>
          </w:p>
          <w:p w14:paraId="14E65B95" w14:textId="76891C82" w:rsidR="008B606F" w:rsidRPr="00430543" w:rsidRDefault="008B606F" w:rsidP="008B606F">
            <w:pPr>
              <w:widowControl w:val="0"/>
              <w:suppressAutoHyphens/>
              <w:ind w:left="57"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6454219E" w14:textId="7BE3BDC2" w:rsidR="008B606F" w:rsidRPr="00430543" w:rsidRDefault="008B606F" w:rsidP="008B606F">
            <w:pPr>
              <w:widowControl w:val="0"/>
              <w:ind w:left="57" w:right="113"/>
              <w:rPr>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4EBFF812" w14:textId="2553F0A4" w:rsidR="00F80FA6" w:rsidRPr="00430543" w:rsidRDefault="00F80FA6" w:rsidP="00F80FA6">
            <w:pPr>
              <w:widowControl w:val="0"/>
              <w:ind w:left="57" w:right="113"/>
              <w:rPr>
                <w:sz w:val="18"/>
                <w:szCs w:val="18"/>
              </w:rPr>
            </w:pPr>
            <w:r>
              <w:rPr>
                <w:sz w:val="18"/>
                <w:szCs w:val="18"/>
              </w:rPr>
              <w:t>čl. 26 odst. 1</w:t>
            </w:r>
          </w:p>
          <w:p w14:paraId="0A9A96F9" w14:textId="5B4396D5" w:rsidR="008B606F" w:rsidRPr="00430543" w:rsidRDefault="008B606F" w:rsidP="008B606F">
            <w:pPr>
              <w:widowControl w:val="0"/>
              <w:ind w:left="57" w:right="113"/>
              <w:rPr>
                <w:sz w:val="18"/>
                <w:szCs w:val="18"/>
              </w:rPr>
            </w:pP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48EC97C6" w14:textId="7CE39720" w:rsidR="008B606F" w:rsidRPr="00855B2C" w:rsidRDefault="008B606F" w:rsidP="008B606F">
            <w:pPr>
              <w:pStyle w:val="Default"/>
              <w:rPr>
                <w:rFonts w:ascii="Times New Roman" w:hAnsi="Times New Roman" w:cs="Times New Roman"/>
                <w:sz w:val="18"/>
                <w:szCs w:val="18"/>
              </w:rPr>
            </w:pPr>
            <w:r>
              <w:rPr>
                <w:rFonts w:ascii="Times New Roman" w:hAnsi="Times New Roman" w:cs="Times New Roman"/>
                <w:sz w:val="18"/>
                <w:szCs w:val="18"/>
              </w:rPr>
              <w:t>1</w:t>
            </w:r>
            <w:r w:rsidRPr="00855B2C">
              <w:rPr>
                <w:rFonts w:ascii="Times New Roman" w:hAnsi="Times New Roman" w:cs="Times New Roman"/>
                <w:sz w:val="18"/>
                <w:szCs w:val="18"/>
              </w:rPr>
              <w:t>.   Efektivní daňová sazba nadnárodní skupiny podniků nebo velké vnitrostátní skupiny se vypočítá pro každé účetní období a pro každou jurisdikci za předpokladu, že existuje čistý kvalifikovaný příjem v dané jurisdikci, podle tohoto vzorce:</w:t>
            </w:r>
          </w:p>
          <w:p w14:paraId="378769D6" w14:textId="7039B8F5" w:rsidR="008B606F" w:rsidRPr="00855B2C" w:rsidRDefault="008B606F" w:rsidP="008B606F">
            <w:pPr>
              <w:pStyle w:val="Default"/>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0684F692" wp14:editId="6C6B83C7">
                  <wp:extent cx="3168319" cy="238539"/>
                  <wp:effectExtent l="0" t="0" r="0"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7190" cy="251253"/>
                          </a:xfrm>
                          <a:prstGeom prst="rect">
                            <a:avLst/>
                          </a:prstGeom>
                          <a:noFill/>
                        </pic:spPr>
                      </pic:pic>
                    </a:graphicData>
                  </a:graphic>
                </wp:inline>
              </w:drawing>
            </w:r>
          </w:p>
          <w:p w14:paraId="7E3589F5" w14:textId="289627CA" w:rsidR="008B606F" w:rsidRDefault="008B606F" w:rsidP="008B606F">
            <w:pPr>
              <w:pStyle w:val="Default"/>
              <w:rPr>
                <w:rFonts w:ascii="Times New Roman" w:hAnsi="Times New Roman" w:cs="Times New Roman"/>
                <w:sz w:val="18"/>
                <w:szCs w:val="18"/>
              </w:rPr>
            </w:pPr>
            <w:r w:rsidRPr="00855B2C">
              <w:rPr>
                <w:rFonts w:ascii="Times New Roman" w:hAnsi="Times New Roman" w:cs="Times New Roman"/>
                <w:sz w:val="18"/>
                <w:szCs w:val="18"/>
              </w:rPr>
              <w:t>kde upravenými zahrnutými daněmi členských subjektů je součet upravených zahrnutých daní všech členských subjektů, které se nacházejí v jurisdikci, určených v souladu s kapitolou IV.</w:t>
            </w:r>
          </w:p>
          <w:p w14:paraId="23812C7A" w14:textId="77777777" w:rsidR="008B606F" w:rsidRDefault="008B606F" w:rsidP="008B606F">
            <w:pPr>
              <w:pStyle w:val="Default"/>
              <w:rPr>
                <w:rFonts w:ascii="Times New Roman" w:hAnsi="Times New Roman" w:cs="Times New Roman"/>
                <w:sz w:val="18"/>
                <w:szCs w:val="18"/>
              </w:rPr>
            </w:pPr>
          </w:p>
          <w:p w14:paraId="679E8980" w14:textId="403C7894" w:rsidR="008B606F" w:rsidRPr="007936DA" w:rsidRDefault="008B606F" w:rsidP="008B606F">
            <w:pPr>
              <w:pStyle w:val="Default"/>
              <w:rPr>
                <w:rFonts w:ascii="Times New Roman" w:hAnsi="Times New Roman" w:cs="Times New Roman"/>
                <w:sz w:val="18"/>
                <w:szCs w:val="18"/>
              </w:rPr>
            </w:pPr>
          </w:p>
        </w:tc>
      </w:tr>
      <w:tr w:rsidR="008B606F" w:rsidRPr="007936DA" w14:paraId="06D742F3"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1019CD51" w14:textId="6AB34AF7" w:rsidR="008B606F" w:rsidRPr="00430543" w:rsidRDefault="008B606F" w:rsidP="008B606F">
            <w:pPr>
              <w:widowControl w:val="0"/>
              <w:suppressAutoHyphens/>
              <w:ind w:left="57" w:right="113"/>
              <w:jc w:val="both"/>
              <w:rPr>
                <w:sz w:val="18"/>
                <w:szCs w:val="18"/>
                <w:lang w:eastAsia="ar-SA"/>
              </w:rPr>
            </w:pPr>
            <w:r w:rsidRPr="00430543">
              <w:rPr>
                <w:sz w:val="18"/>
                <w:szCs w:val="18"/>
                <w:lang w:eastAsia="ar-SA"/>
              </w:rPr>
              <w:t>§ 79</w:t>
            </w:r>
            <w:r w:rsidR="00DE4BEC">
              <w:rPr>
                <w:sz w:val="18"/>
                <w:szCs w:val="18"/>
                <w:lang w:eastAsia="ar-SA"/>
              </w:rPr>
              <w:t xml:space="preserve"> odst. 1 až 3 a 5</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42AEED6F" w14:textId="5DFD2E31" w:rsidR="00DE4BEC" w:rsidRPr="00DE4BEC" w:rsidRDefault="00DE4BEC" w:rsidP="00DE4BEC">
            <w:pPr>
              <w:pStyle w:val="Textparagrafu"/>
              <w:rPr>
                <w:sz w:val="18"/>
                <w:szCs w:val="18"/>
              </w:rPr>
            </w:pPr>
            <w:r w:rsidRPr="00DE4BEC">
              <w:rPr>
                <w:sz w:val="18"/>
                <w:szCs w:val="18"/>
              </w:rPr>
              <w:t>(1) Jurisdikční dorovnávací daň skupiny pro </w:t>
            </w:r>
            <w:r>
              <w:rPr>
                <w:sz w:val="18"/>
                <w:szCs w:val="18"/>
              </w:rPr>
              <w:t xml:space="preserve">jednotlivé </w:t>
            </w:r>
            <w:r w:rsidRPr="00DE4BEC">
              <w:rPr>
                <w:b/>
                <w:sz w:val="18"/>
                <w:szCs w:val="18"/>
                <w:u w:val="single"/>
              </w:rPr>
              <w:t>výkazní</w:t>
            </w:r>
            <w:r w:rsidRPr="00DE4BEC">
              <w:rPr>
                <w:sz w:val="18"/>
                <w:szCs w:val="18"/>
              </w:rPr>
              <w:t xml:space="preserve"> období a jednotlivý stát se určí, pokud je</w:t>
            </w:r>
          </w:p>
          <w:p w14:paraId="4BD78667" w14:textId="77777777" w:rsidR="00DE4BEC" w:rsidRPr="00DE4BEC" w:rsidRDefault="00DE4BEC" w:rsidP="00DE4BEC">
            <w:pPr>
              <w:pStyle w:val="PZTextpsmene"/>
              <w:rPr>
                <w:sz w:val="18"/>
                <w:szCs w:val="18"/>
              </w:rPr>
            </w:pPr>
            <w:r w:rsidRPr="00DE4BEC">
              <w:rPr>
                <w:sz w:val="18"/>
                <w:szCs w:val="18"/>
              </w:rPr>
              <w:t>a)</w:t>
            </w:r>
            <w:r w:rsidRPr="00DE4BEC">
              <w:rPr>
                <w:sz w:val="18"/>
                <w:szCs w:val="18"/>
              </w:rPr>
              <w:tab/>
              <w:t>tato skupina velkou nadnárodní skupinou nebo velkou vnitrostátní skupinou,</w:t>
            </w:r>
          </w:p>
          <w:p w14:paraId="264BF769" w14:textId="70E7FAA0" w:rsidR="00DE4BEC" w:rsidRPr="00DE4BEC" w:rsidRDefault="00DE4BEC" w:rsidP="00DE4BEC">
            <w:pPr>
              <w:pStyle w:val="PZTextpsmene"/>
              <w:rPr>
                <w:sz w:val="18"/>
                <w:szCs w:val="18"/>
              </w:rPr>
            </w:pPr>
            <w:r w:rsidRPr="00DE4BEC">
              <w:rPr>
                <w:sz w:val="18"/>
                <w:szCs w:val="18"/>
              </w:rPr>
              <w:t>b)</w:t>
            </w:r>
            <w:r w:rsidRPr="00DE4BEC">
              <w:rPr>
                <w:sz w:val="18"/>
                <w:szCs w:val="18"/>
              </w:rPr>
              <w:tab/>
              <w:t xml:space="preserve">alespoň jedna členská entita této skupiny v tomto </w:t>
            </w:r>
            <w:r w:rsidRPr="00DE4BEC">
              <w:rPr>
                <w:b/>
                <w:sz w:val="18"/>
                <w:szCs w:val="18"/>
                <w:u w:val="single"/>
              </w:rPr>
              <w:t>výkazním</w:t>
            </w:r>
            <w:r w:rsidRPr="00DE4BEC">
              <w:rPr>
                <w:sz w:val="18"/>
                <w:szCs w:val="18"/>
              </w:rPr>
              <w:t xml:space="preserve"> období z tohoto státu a</w:t>
            </w:r>
          </w:p>
          <w:p w14:paraId="4B5F3064" w14:textId="6BC34CA8" w:rsidR="00DE4BEC" w:rsidRPr="00DE4BEC" w:rsidRDefault="00DE4BEC" w:rsidP="00DE4BEC">
            <w:pPr>
              <w:pStyle w:val="PZTextpsmene"/>
              <w:rPr>
                <w:sz w:val="18"/>
                <w:szCs w:val="18"/>
              </w:rPr>
            </w:pPr>
            <w:r w:rsidRPr="00DE4BEC">
              <w:rPr>
                <w:sz w:val="18"/>
                <w:szCs w:val="18"/>
              </w:rPr>
              <w:t>c)</w:t>
            </w:r>
            <w:r w:rsidRPr="00DE4BEC">
              <w:rPr>
                <w:sz w:val="18"/>
                <w:szCs w:val="18"/>
              </w:rPr>
              <w:tab/>
              <w:t xml:space="preserve">efektivní daňová sazba této skupiny v tomto </w:t>
            </w:r>
            <w:r w:rsidRPr="00DE4BEC">
              <w:rPr>
                <w:b/>
                <w:sz w:val="18"/>
                <w:szCs w:val="18"/>
                <w:u w:val="single"/>
              </w:rPr>
              <w:t>výkazním</w:t>
            </w:r>
            <w:r w:rsidRPr="00DE4BEC">
              <w:rPr>
                <w:sz w:val="18"/>
                <w:szCs w:val="18"/>
              </w:rPr>
              <w:t xml:space="preserve"> období nižší než minimální daňová sazba.</w:t>
            </w:r>
          </w:p>
          <w:p w14:paraId="1DD03D7A" w14:textId="1E13154F" w:rsidR="00DE4BEC" w:rsidRPr="00DE4BEC" w:rsidRDefault="00DE4BEC" w:rsidP="00DE4BEC">
            <w:pPr>
              <w:pStyle w:val="Textparagrafu"/>
              <w:rPr>
                <w:sz w:val="18"/>
                <w:szCs w:val="18"/>
              </w:rPr>
            </w:pPr>
            <w:r w:rsidRPr="00DE4BEC">
              <w:rPr>
                <w:sz w:val="18"/>
                <w:szCs w:val="18"/>
              </w:rPr>
              <w:t>(2) Jurisdik</w:t>
            </w:r>
            <w:r w:rsidRPr="00DE4BEC">
              <w:rPr>
                <w:rFonts w:hint="eastAsia"/>
                <w:sz w:val="18"/>
                <w:szCs w:val="18"/>
              </w:rPr>
              <w:t>č</w:t>
            </w:r>
            <w:r w:rsidRPr="00DE4BEC">
              <w:rPr>
                <w:sz w:val="18"/>
                <w:szCs w:val="18"/>
              </w:rPr>
              <w:t>n</w:t>
            </w:r>
            <w:r w:rsidRPr="00DE4BEC">
              <w:rPr>
                <w:rFonts w:hint="eastAsia"/>
                <w:sz w:val="18"/>
                <w:szCs w:val="18"/>
              </w:rPr>
              <w:t>í</w:t>
            </w:r>
            <w:r w:rsidRPr="00DE4BEC">
              <w:rPr>
                <w:sz w:val="18"/>
                <w:szCs w:val="18"/>
              </w:rPr>
              <w:t xml:space="preserve"> dorovnávací daň skupiny pro jednotlivé </w:t>
            </w:r>
            <w:r w:rsidRPr="00DE4BEC">
              <w:rPr>
                <w:b/>
                <w:sz w:val="18"/>
                <w:szCs w:val="18"/>
                <w:u w:val="single"/>
              </w:rPr>
              <w:t>výkazní</w:t>
            </w:r>
            <w:r w:rsidRPr="00DE4BEC">
              <w:rPr>
                <w:sz w:val="18"/>
                <w:szCs w:val="18"/>
              </w:rPr>
              <w:t xml:space="preserve"> období a stát činí kladnou hodnotu součtu</w:t>
            </w:r>
          </w:p>
          <w:p w14:paraId="58D3404B" w14:textId="77777777" w:rsidR="00DE4BEC" w:rsidRPr="00DE4BEC" w:rsidRDefault="00DE4BEC" w:rsidP="00DE4BEC">
            <w:pPr>
              <w:pStyle w:val="PZTextpsmene"/>
              <w:rPr>
                <w:sz w:val="18"/>
                <w:szCs w:val="18"/>
              </w:rPr>
            </w:pPr>
            <w:r w:rsidRPr="00DE4BEC">
              <w:rPr>
                <w:sz w:val="18"/>
                <w:szCs w:val="18"/>
              </w:rPr>
              <w:t>a)</w:t>
            </w:r>
            <w:r w:rsidRPr="00DE4BEC">
              <w:rPr>
                <w:sz w:val="18"/>
                <w:szCs w:val="18"/>
              </w:rPr>
              <w:tab/>
              <w:t>součinu</w:t>
            </w:r>
          </w:p>
          <w:p w14:paraId="3B566852" w14:textId="4F2D1488" w:rsidR="00DE4BEC" w:rsidRPr="00DE4BEC" w:rsidRDefault="00DE4BEC" w:rsidP="00DE4BEC">
            <w:pPr>
              <w:pStyle w:val="PZTextbodu"/>
              <w:rPr>
                <w:sz w:val="18"/>
                <w:szCs w:val="18"/>
              </w:rPr>
            </w:pPr>
            <w:r w:rsidRPr="00DE4BEC">
              <w:rPr>
                <w:sz w:val="18"/>
                <w:szCs w:val="18"/>
              </w:rPr>
              <w:t>1.</w:t>
            </w:r>
            <w:r w:rsidRPr="00DE4BEC">
              <w:rPr>
                <w:sz w:val="18"/>
                <w:szCs w:val="18"/>
              </w:rPr>
              <w:tab/>
              <w:t xml:space="preserve">jurisdikční sazby dorovnávací daně této skupiny pro toto </w:t>
            </w:r>
            <w:r w:rsidRPr="00DE4BEC">
              <w:rPr>
                <w:b/>
                <w:sz w:val="18"/>
                <w:szCs w:val="18"/>
                <w:u w:val="single"/>
              </w:rPr>
              <w:t>výkazní</w:t>
            </w:r>
            <w:r w:rsidRPr="00DE4BEC">
              <w:rPr>
                <w:sz w:val="18"/>
                <w:szCs w:val="18"/>
              </w:rPr>
              <w:t xml:space="preserve"> období a stát a</w:t>
            </w:r>
          </w:p>
          <w:p w14:paraId="7CECDAEA" w14:textId="054AEBFA" w:rsidR="00DE4BEC" w:rsidRPr="00DE4BEC" w:rsidRDefault="00DE4BEC" w:rsidP="00DE4BEC">
            <w:pPr>
              <w:pStyle w:val="PZTextbodu"/>
              <w:rPr>
                <w:sz w:val="18"/>
                <w:szCs w:val="18"/>
              </w:rPr>
            </w:pPr>
            <w:r w:rsidRPr="00DE4BEC">
              <w:rPr>
                <w:sz w:val="18"/>
                <w:szCs w:val="18"/>
              </w:rPr>
              <w:lastRenderedPageBreak/>
              <w:t>2.</w:t>
            </w:r>
            <w:r w:rsidRPr="00DE4BEC">
              <w:rPr>
                <w:sz w:val="18"/>
                <w:szCs w:val="18"/>
              </w:rPr>
              <w:tab/>
              <w:t xml:space="preserve">jurisdikčního nadměrného zisku této skupiny vzniklého v tomto </w:t>
            </w:r>
            <w:r w:rsidRPr="00DE4BEC">
              <w:rPr>
                <w:b/>
                <w:sz w:val="18"/>
                <w:szCs w:val="18"/>
                <w:u w:val="single"/>
              </w:rPr>
              <w:t>výkazním</w:t>
            </w:r>
            <w:r w:rsidRPr="00DE4BEC">
              <w:rPr>
                <w:sz w:val="18"/>
                <w:szCs w:val="18"/>
              </w:rPr>
              <w:t xml:space="preserve"> období v tomto státě a</w:t>
            </w:r>
          </w:p>
          <w:p w14:paraId="25974E00" w14:textId="77777777" w:rsidR="00DE4BEC" w:rsidRPr="00DE4BEC" w:rsidRDefault="00DE4BEC" w:rsidP="00DE4BEC">
            <w:pPr>
              <w:pStyle w:val="PZTextpsmene"/>
              <w:rPr>
                <w:sz w:val="18"/>
                <w:szCs w:val="18"/>
              </w:rPr>
            </w:pPr>
            <w:r w:rsidRPr="00DE4BEC">
              <w:rPr>
                <w:sz w:val="18"/>
                <w:szCs w:val="18"/>
              </w:rPr>
              <w:t>b)</w:t>
            </w:r>
            <w:r w:rsidRPr="00DE4BEC">
              <w:rPr>
                <w:sz w:val="18"/>
                <w:szCs w:val="18"/>
              </w:rPr>
              <w:tab/>
              <w:t>rozdílu</w:t>
            </w:r>
          </w:p>
          <w:p w14:paraId="38982DBE" w14:textId="23622003" w:rsidR="00DE4BEC" w:rsidRPr="00DE4BEC" w:rsidRDefault="00DE4BEC" w:rsidP="00DE4BEC">
            <w:pPr>
              <w:pStyle w:val="PZTextbodu"/>
              <w:rPr>
                <w:sz w:val="18"/>
                <w:szCs w:val="18"/>
              </w:rPr>
            </w:pPr>
            <w:r w:rsidRPr="00DE4BEC">
              <w:rPr>
                <w:sz w:val="18"/>
                <w:szCs w:val="18"/>
              </w:rPr>
              <w:t>1.</w:t>
            </w:r>
            <w:r w:rsidRPr="00DE4BEC">
              <w:rPr>
                <w:sz w:val="18"/>
                <w:szCs w:val="18"/>
              </w:rPr>
              <w:tab/>
              <w:t xml:space="preserve">dodatečné dorovnávací daně pro toto </w:t>
            </w:r>
            <w:r w:rsidRPr="00DE4BEC">
              <w:rPr>
                <w:b/>
                <w:sz w:val="18"/>
                <w:szCs w:val="18"/>
                <w:u w:val="single"/>
              </w:rPr>
              <w:t>výkazní</w:t>
            </w:r>
            <w:r w:rsidRPr="00DE4BEC">
              <w:rPr>
                <w:sz w:val="18"/>
                <w:szCs w:val="18"/>
              </w:rPr>
              <w:t xml:space="preserve"> období v tomto státě a</w:t>
            </w:r>
          </w:p>
          <w:p w14:paraId="411FA066" w14:textId="21D3F5AD" w:rsidR="00DE4BEC" w:rsidRPr="00DE4BEC" w:rsidRDefault="00DE4BEC" w:rsidP="00DE4BEC">
            <w:pPr>
              <w:pStyle w:val="PZTextbodu"/>
              <w:rPr>
                <w:sz w:val="18"/>
                <w:szCs w:val="18"/>
              </w:rPr>
            </w:pPr>
            <w:r w:rsidRPr="00DE4BEC">
              <w:rPr>
                <w:sz w:val="18"/>
                <w:szCs w:val="18"/>
              </w:rPr>
              <w:t>2.</w:t>
            </w:r>
            <w:r w:rsidRPr="00DE4BEC">
              <w:rPr>
                <w:sz w:val="18"/>
                <w:szCs w:val="18"/>
              </w:rPr>
              <w:tab/>
              <w:t xml:space="preserve">úhrnu kvalifikovaných vnitrostátních dorovnávacích daní stanovených členským entitám této skupiny za toto </w:t>
            </w:r>
            <w:r w:rsidRPr="00DE4BEC">
              <w:rPr>
                <w:b/>
                <w:sz w:val="18"/>
                <w:szCs w:val="18"/>
                <w:u w:val="single"/>
              </w:rPr>
              <w:t>výkazní</w:t>
            </w:r>
            <w:r w:rsidRPr="00DE4BEC">
              <w:rPr>
                <w:sz w:val="18"/>
                <w:szCs w:val="18"/>
              </w:rPr>
              <w:t xml:space="preserve"> období v tomto státě.</w:t>
            </w:r>
          </w:p>
          <w:p w14:paraId="755942BE" w14:textId="77777777" w:rsidR="00DE4BEC" w:rsidRPr="00DE4BEC" w:rsidRDefault="00DE4BEC" w:rsidP="00DE4BEC">
            <w:pPr>
              <w:pStyle w:val="Textparagrafu"/>
              <w:rPr>
                <w:sz w:val="18"/>
                <w:szCs w:val="18"/>
              </w:rPr>
            </w:pPr>
            <w:r w:rsidRPr="00DE4BEC">
              <w:rPr>
                <w:sz w:val="18"/>
                <w:szCs w:val="18"/>
              </w:rPr>
              <w:t>(3) Jurisdikční sazba dorovnávací daně skupiny pro jednotlivé zdaňovací období a stát činí kladný rozdíl</w:t>
            </w:r>
          </w:p>
          <w:p w14:paraId="7C625D1E" w14:textId="1CE846B3" w:rsidR="00DE4BEC" w:rsidRPr="00DE4BEC" w:rsidRDefault="00DE4BEC" w:rsidP="00DE4BEC">
            <w:pPr>
              <w:pStyle w:val="PZTextpsmene"/>
              <w:rPr>
                <w:sz w:val="18"/>
                <w:szCs w:val="18"/>
              </w:rPr>
            </w:pPr>
            <w:r w:rsidRPr="00DE4BEC">
              <w:rPr>
                <w:sz w:val="18"/>
                <w:szCs w:val="18"/>
              </w:rPr>
              <w:t>a)</w:t>
            </w:r>
            <w:r w:rsidRPr="00DE4BEC">
              <w:rPr>
                <w:sz w:val="18"/>
                <w:szCs w:val="18"/>
              </w:rPr>
              <w:tab/>
              <w:t>minimální daňové sazby a </w:t>
            </w:r>
          </w:p>
          <w:p w14:paraId="649B4FE4" w14:textId="6662424F" w:rsidR="00DE4BEC" w:rsidRPr="00DE4BEC" w:rsidRDefault="00DE4BEC" w:rsidP="00DE4BEC">
            <w:pPr>
              <w:pStyle w:val="PZTextpsmene"/>
              <w:rPr>
                <w:sz w:val="18"/>
                <w:szCs w:val="18"/>
              </w:rPr>
            </w:pPr>
            <w:r w:rsidRPr="00DE4BEC">
              <w:rPr>
                <w:sz w:val="18"/>
                <w:szCs w:val="18"/>
              </w:rPr>
              <w:t>b)</w:t>
            </w:r>
            <w:r w:rsidRPr="00DE4BEC">
              <w:rPr>
                <w:sz w:val="18"/>
                <w:szCs w:val="18"/>
              </w:rPr>
              <w:tab/>
              <w:t xml:space="preserve">efektivní daňové sazby skupiny v tomto </w:t>
            </w:r>
            <w:r w:rsidRPr="00DE4BEC">
              <w:rPr>
                <w:b/>
                <w:sz w:val="18"/>
                <w:szCs w:val="18"/>
                <w:u w:val="single"/>
              </w:rPr>
              <w:t>výkazním</w:t>
            </w:r>
            <w:r w:rsidRPr="00DE4BEC">
              <w:rPr>
                <w:sz w:val="18"/>
                <w:szCs w:val="18"/>
              </w:rPr>
              <w:t xml:space="preserve"> období a.</w:t>
            </w:r>
          </w:p>
          <w:p w14:paraId="3554D1BE" w14:textId="49C69856" w:rsidR="00DE4BEC" w:rsidRPr="00DE4BEC" w:rsidRDefault="00DE4BEC" w:rsidP="00DE4BEC">
            <w:pPr>
              <w:pStyle w:val="Textparagrafu"/>
              <w:jc w:val="center"/>
              <w:rPr>
                <w:sz w:val="18"/>
                <w:szCs w:val="18"/>
              </w:rPr>
            </w:pPr>
            <w:r w:rsidRPr="00DE4BEC">
              <w:rPr>
                <w:sz w:val="18"/>
                <w:szCs w:val="18"/>
              </w:rPr>
              <w:t>…</w:t>
            </w:r>
          </w:p>
          <w:p w14:paraId="11FF3FCA" w14:textId="1D40E495" w:rsidR="00DE4BEC" w:rsidRPr="00DE4BEC" w:rsidRDefault="00DE4BEC" w:rsidP="00DE4BEC">
            <w:pPr>
              <w:pStyle w:val="Textparagrafu"/>
              <w:rPr>
                <w:sz w:val="18"/>
                <w:szCs w:val="18"/>
              </w:rPr>
            </w:pPr>
            <w:r w:rsidRPr="00DE4BEC">
              <w:rPr>
                <w:sz w:val="18"/>
                <w:szCs w:val="18"/>
              </w:rPr>
              <w:t xml:space="preserve"> (5) Jurisdikční nadměrný zisk skupiny pro dané </w:t>
            </w:r>
            <w:r w:rsidRPr="00DE4BEC">
              <w:rPr>
                <w:b/>
                <w:sz w:val="18"/>
                <w:szCs w:val="18"/>
                <w:u w:val="single"/>
              </w:rPr>
              <w:t>výkazní</w:t>
            </w:r>
            <w:r w:rsidRPr="00DE4BEC">
              <w:rPr>
                <w:sz w:val="18"/>
                <w:szCs w:val="18"/>
              </w:rPr>
              <w:t xml:space="preserve"> období a stát činí kladný rozdíl</w:t>
            </w:r>
          </w:p>
          <w:p w14:paraId="083EF317" w14:textId="21528657" w:rsidR="00DE4BEC" w:rsidRPr="00DE4BEC" w:rsidRDefault="00DE4BEC" w:rsidP="00DE4BEC">
            <w:pPr>
              <w:pStyle w:val="PZTextpsmene"/>
              <w:rPr>
                <w:sz w:val="18"/>
                <w:szCs w:val="18"/>
              </w:rPr>
            </w:pPr>
            <w:r w:rsidRPr="00DE4BEC">
              <w:rPr>
                <w:sz w:val="18"/>
                <w:szCs w:val="18"/>
              </w:rPr>
              <w:t>a)</w:t>
            </w:r>
            <w:r w:rsidRPr="00DE4BEC">
              <w:rPr>
                <w:sz w:val="18"/>
                <w:szCs w:val="18"/>
              </w:rPr>
              <w:tab/>
              <w:t xml:space="preserve">jurisdikčního kvalifikovaného zisku skupiny vzniklého v tomto </w:t>
            </w:r>
            <w:r w:rsidRPr="00DE4BEC">
              <w:rPr>
                <w:b/>
                <w:bCs/>
                <w:sz w:val="18"/>
                <w:szCs w:val="18"/>
                <w:u w:val="single"/>
              </w:rPr>
              <w:t>výkazním</w:t>
            </w:r>
            <w:r w:rsidRPr="00DE4BEC">
              <w:rPr>
                <w:sz w:val="18"/>
                <w:szCs w:val="18"/>
              </w:rPr>
              <w:t xml:space="preserve"> období a státě a</w:t>
            </w:r>
          </w:p>
          <w:p w14:paraId="72007080" w14:textId="56B619F2" w:rsidR="00DE4BEC" w:rsidRPr="00DE4BEC" w:rsidRDefault="00DE4BEC" w:rsidP="00DE4BEC">
            <w:pPr>
              <w:pStyle w:val="PZTextpsmene"/>
              <w:rPr>
                <w:sz w:val="18"/>
                <w:szCs w:val="18"/>
              </w:rPr>
            </w:pPr>
            <w:r w:rsidRPr="00DE4BEC">
              <w:rPr>
                <w:sz w:val="18"/>
                <w:szCs w:val="18"/>
              </w:rPr>
              <w:t>b)</w:t>
            </w:r>
            <w:r w:rsidRPr="00DE4BEC">
              <w:rPr>
                <w:sz w:val="18"/>
                <w:szCs w:val="18"/>
              </w:rPr>
              <w:tab/>
              <w:t xml:space="preserve">úhrnu zisků vyloučených na základě ekonomické podstaty této skupiny za toto </w:t>
            </w:r>
            <w:r w:rsidRPr="00DE4BEC">
              <w:rPr>
                <w:b/>
                <w:bCs/>
                <w:sz w:val="18"/>
                <w:szCs w:val="18"/>
                <w:u w:val="single"/>
              </w:rPr>
              <w:t>výkazní</w:t>
            </w:r>
            <w:r w:rsidRPr="00DE4BEC">
              <w:rPr>
                <w:sz w:val="18"/>
                <w:szCs w:val="18"/>
              </w:rPr>
              <w:t xml:space="preserve"> období a stát.</w:t>
            </w:r>
          </w:p>
          <w:p w14:paraId="48E65A64" w14:textId="43342652" w:rsidR="008B606F" w:rsidRPr="00DE4BEC" w:rsidRDefault="008B606F" w:rsidP="008B606F">
            <w:pPr>
              <w:widowControl w:val="0"/>
              <w:suppressAutoHyphens/>
              <w:ind w:left="57"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826907C" w14:textId="24BB8537" w:rsidR="008B606F" w:rsidRPr="00430543" w:rsidRDefault="008B606F" w:rsidP="008B606F">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646750A2" w14:textId="77777777" w:rsidR="008B606F" w:rsidRPr="00430543" w:rsidRDefault="008B606F" w:rsidP="008B606F">
            <w:pPr>
              <w:widowControl w:val="0"/>
              <w:ind w:left="57" w:right="113"/>
              <w:rPr>
                <w:sz w:val="18"/>
                <w:szCs w:val="18"/>
              </w:rPr>
            </w:pPr>
            <w:r w:rsidRPr="00430543">
              <w:rPr>
                <w:sz w:val="18"/>
                <w:szCs w:val="18"/>
              </w:rPr>
              <w:t xml:space="preserve">čl. 11 odst. 2 pododstavec první </w:t>
            </w:r>
          </w:p>
          <w:p w14:paraId="000C99A9" w14:textId="77777777" w:rsidR="008B606F" w:rsidRPr="00430543" w:rsidRDefault="008B606F" w:rsidP="008B606F">
            <w:pPr>
              <w:widowControl w:val="0"/>
              <w:ind w:left="57" w:right="113"/>
              <w:rPr>
                <w:sz w:val="18"/>
                <w:szCs w:val="18"/>
              </w:rPr>
            </w:pPr>
          </w:p>
          <w:p w14:paraId="46638555" w14:textId="77777777" w:rsidR="008B606F" w:rsidRPr="00430543" w:rsidRDefault="008B606F" w:rsidP="008B606F">
            <w:pPr>
              <w:widowControl w:val="0"/>
              <w:ind w:left="57" w:right="113"/>
              <w:rPr>
                <w:sz w:val="18"/>
                <w:szCs w:val="18"/>
              </w:rPr>
            </w:pPr>
          </w:p>
          <w:p w14:paraId="7F6F4452" w14:textId="6C8F0B36" w:rsidR="008B606F" w:rsidRPr="00430543" w:rsidRDefault="008B606F" w:rsidP="008B606F">
            <w:pPr>
              <w:widowControl w:val="0"/>
              <w:ind w:right="113"/>
              <w:rPr>
                <w:sz w:val="18"/>
                <w:szCs w:val="18"/>
              </w:rPr>
            </w:pPr>
          </w:p>
          <w:p w14:paraId="00934369" w14:textId="77777777" w:rsidR="008B606F" w:rsidRPr="00430543" w:rsidRDefault="008B606F" w:rsidP="008B606F">
            <w:pPr>
              <w:widowControl w:val="0"/>
              <w:ind w:left="57" w:right="113"/>
              <w:rPr>
                <w:sz w:val="18"/>
                <w:szCs w:val="18"/>
              </w:rPr>
            </w:pPr>
          </w:p>
          <w:p w14:paraId="403CD44C" w14:textId="77777777" w:rsidR="008B606F" w:rsidRPr="00430543" w:rsidRDefault="008B606F" w:rsidP="008B606F">
            <w:pPr>
              <w:widowControl w:val="0"/>
              <w:ind w:left="57" w:right="113"/>
              <w:rPr>
                <w:sz w:val="18"/>
                <w:szCs w:val="18"/>
              </w:rPr>
            </w:pPr>
          </w:p>
          <w:p w14:paraId="0A81BCF1" w14:textId="337F9325" w:rsidR="008B606F" w:rsidRPr="00430543" w:rsidRDefault="008B606F" w:rsidP="008B606F">
            <w:pPr>
              <w:widowControl w:val="0"/>
              <w:ind w:left="57" w:right="113"/>
              <w:rPr>
                <w:sz w:val="18"/>
                <w:szCs w:val="18"/>
              </w:rPr>
            </w:pPr>
            <w:r w:rsidRPr="00430543">
              <w:rPr>
                <w:sz w:val="18"/>
                <w:szCs w:val="18"/>
              </w:rPr>
              <w:t>a čl. 27 odst. 1 až 4</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0D963214" w14:textId="77777777" w:rsidR="008B606F" w:rsidRDefault="008B606F" w:rsidP="008B606F">
            <w:pPr>
              <w:pStyle w:val="Default"/>
              <w:rPr>
                <w:rFonts w:ascii="Times New Roman" w:hAnsi="Times New Roman" w:cs="Times New Roman"/>
                <w:sz w:val="18"/>
                <w:szCs w:val="18"/>
              </w:rPr>
            </w:pPr>
            <w:r w:rsidRPr="006F42FF">
              <w:rPr>
                <w:rFonts w:ascii="Times New Roman" w:hAnsi="Times New Roman" w:cs="Times New Roman"/>
                <w:sz w:val="18"/>
                <w:szCs w:val="18"/>
              </w:rPr>
              <w:t>Pokud se mateřský subjekt nadnárodní skupiny podniků nebo velké vnitrostátní skupiny nachází v členském státě a jeho přímo či nepřímo držené členské subjekty nacházející se buď v tomto členském státě, nebo v jiné jurisdikci podléhají v uvedených jurisdikcích za dané účetní období kvalifikované vnitrostátní dorovnávací dani, sníží se částka jakékoli dorovnávací daně vypočítané podle článku 27 a splatné tímto mateřským subjektem v souladu s články 5 až 8 případně až na nulovou výši o částku kvalifikované vnitrostátní dorovnávací daně splatné buď uvedeným mateřským subjektem, nebo uvedenými členskými subjekty.</w:t>
            </w:r>
          </w:p>
          <w:p w14:paraId="1195101F" w14:textId="77777777" w:rsidR="008B606F" w:rsidRDefault="008B606F" w:rsidP="008B606F">
            <w:pPr>
              <w:pStyle w:val="Default"/>
              <w:rPr>
                <w:rFonts w:ascii="Times New Roman" w:hAnsi="Times New Roman" w:cs="Times New Roman"/>
                <w:sz w:val="18"/>
                <w:szCs w:val="18"/>
              </w:rPr>
            </w:pPr>
          </w:p>
          <w:p w14:paraId="700E2D24" w14:textId="77777777" w:rsidR="008B606F" w:rsidRPr="006F42FF" w:rsidRDefault="008B606F" w:rsidP="008B606F">
            <w:pPr>
              <w:pStyle w:val="Default"/>
              <w:rPr>
                <w:rFonts w:ascii="Times New Roman" w:hAnsi="Times New Roman" w:cs="Times New Roman"/>
                <w:sz w:val="18"/>
                <w:szCs w:val="18"/>
              </w:rPr>
            </w:pPr>
            <w:r w:rsidRPr="006F42FF">
              <w:rPr>
                <w:rFonts w:ascii="Times New Roman" w:hAnsi="Times New Roman" w:cs="Times New Roman"/>
                <w:sz w:val="18"/>
                <w:szCs w:val="18"/>
              </w:rPr>
              <w:t>1.   Pokud je efektivní daňová sazba jurisdikce, v níž se nacházejí členské subjekty, nižší než minimální daňová sazba pro dané účetní období, vypočítá nadnárodní skupina podniků nebo velká vnitrostátní skupina dorovnávací daň zvlášť pro každý ze svých členských subjektů, jehož kvalifikovaný příjem je zahrnut do výpočtu čistého kvalifikovaného příjmu dané jurisdikce. Dorovnávací daň se vypočítá na úrovni příslušné jurisdikce.</w:t>
            </w:r>
          </w:p>
          <w:p w14:paraId="6AE6B61D" w14:textId="77777777" w:rsidR="008B606F" w:rsidRPr="006F42FF" w:rsidRDefault="008B606F" w:rsidP="008B606F">
            <w:pPr>
              <w:pStyle w:val="Default"/>
              <w:rPr>
                <w:rFonts w:ascii="Times New Roman" w:hAnsi="Times New Roman" w:cs="Times New Roman"/>
                <w:sz w:val="18"/>
                <w:szCs w:val="18"/>
              </w:rPr>
            </w:pPr>
          </w:p>
          <w:p w14:paraId="2FE55B77" w14:textId="77777777" w:rsidR="008B606F" w:rsidRPr="006F42FF" w:rsidRDefault="008B606F" w:rsidP="008B606F">
            <w:pPr>
              <w:pStyle w:val="Default"/>
              <w:rPr>
                <w:rFonts w:ascii="Times New Roman" w:hAnsi="Times New Roman" w:cs="Times New Roman"/>
                <w:sz w:val="18"/>
                <w:szCs w:val="18"/>
              </w:rPr>
            </w:pPr>
            <w:r w:rsidRPr="006F42FF">
              <w:rPr>
                <w:rFonts w:ascii="Times New Roman" w:hAnsi="Times New Roman" w:cs="Times New Roman"/>
                <w:sz w:val="18"/>
                <w:szCs w:val="18"/>
              </w:rPr>
              <w:t>2.   Procentní sazbou dorovnávací daně pro určitou jurisdikci za dané účetní období je případná kladná hodnota rozdílu v procentních bodech vypočtená podle tohoto vzorce:</w:t>
            </w:r>
          </w:p>
          <w:p w14:paraId="0CF2B17C" w14:textId="6F01523E" w:rsidR="008B606F" w:rsidRPr="006F42FF" w:rsidRDefault="008B606F" w:rsidP="008B606F">
            <w:pPr>
              <w:pStyle w:val="Default"/>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3EF15B5E" wp14:editId="5AB7F270">
                  <wp:extent cx="3204375" cy="108631"/>
                  <wp:effectExtent l="0" t="0" r="0" b="571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29233" cy="112864"/>
                          </a:xfrm>
                          <a:prstGeom prst="rect">
                            <a:avLst/>
                          </a:prstGeom>
                          <a:noFill/>
                        </pic:spPr>
                      </pic:pic>
                    </a:graphicData>
                  </a:graphic>
                </wp:inline>
              </w:drawing>
            </w:r>
          </w:p>
          <w:p w14:paraId="01F79561" w14:textId="77777777" w:rsidR="008B606F" w:rsidRPr="006F42FF" w:rsidRDefault="008B606F" w:rsidP="008B606F">
            <w:pPr>
              <w:pStyle w:val="Default"/>
              <w:rPr>
                <w:rFonts w:ascii="Times New Roman" w:hAnsi="Times New Roman" w:cs="Times New Roman"/>
                <w:sz w:val="18"/>
                <w:szCs w:val="18"/>
              </w:rPr>
            </w:pPr>
            <w:r w:rsidRPr="006F42FF">
              <w:rPr>
                <w:rFonts w:ascii="Times New Roman" w:hAnsi="Times New Roman" w:cs="Times New Roman"/>
                <w:sz w:val="18"/>
                <w:szCs w:val="18"/>
              </w:rPr>
              <w:t>kde efektivní daňovou sazbou je sazba vypočtená v souladu s článkem 26.</w:t>
            </w:r>
          </w:p>
          <w:p w14:paraId="122A5FE4" w14:textId="77777777" w:rsidR="008B606F" w:rsidRPr="006F42FF" w:rsidRDefault="008B606F" w:rsidP="008B606F">
            <w:pPr>
              <w:pStyle w:val="Default"/>
              <w:rPr>
                <w:rFonts w:ascii="Times New Roman" w:hAnsi="Times New Roman" w:cs="Times New Roman"/>
                <w:sz w:val="18"/>
                <w:szCs w:val="18"/>
              </w:rPr>
            </w:pPr>
          </w:p>
          <w:p w14:paraId="7EAD6367" w14:textId="77777777" w:rsidR="008B606F" w:rsidRPr="006F42FF" w:rsidRDefault="008B606F" w:rsidP="008B606F">
            <w:pPr>
              <w:pStyle w:val="Default"/>
              <w:rPr>
                <w:rFonts w:ascii="Times New Roman" w:hAnsi="Times New Roman" w:cs="Times New Roman"/>
                <w:sz w:val="18"/>
                <w:szCs w:val="18"/>
              </w:rPr>
            </w:pPr>
            <w:r w:rsidRPr="006F42FF">
              <w:rPr>
                <w:rFonts w:ascii="Times New Roman" w:hAnsi="Times New Roman" w:cs="Times New Roman"/>
                <w:sz w:val="18"/>
                <w:szCs w:val="18"/>
              </w:rPr>
              <w:lastRenderedPageBreak/>
              <w:t>3.   Dorovnávací daní pro danou jurisdikci za dané účetní období je případná kladná hodnota vypočtená podle tohoto vzorce:</w:t>
            </w:r>
          </w:p>
          <w:p w14:paraId="7F24966C" w14:textId="147153E9" w:rsidR="008B606F" w:rsidRPr="006F42FF" w:rsidRDefault="008B606F" w:rsidP="008B606F">
            <w:pPr>
              <w:pStyle w:val="Default"/>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7A55EE95" wp14:editId="0D6AE941">
                  <wp:extent cx="3753015" cy="89718"/>
                  <wp:effectExtent l="0" t="0" r="0" b="5715"/>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65394" cy="92404"/>
                          </a:xfrm>
                          <a:prstGeom prst="rect">
                            <a:avLst/>
                          </a:prstGeom>
                          <a:noFill/>
                        </pic:spPr>
                      </pic:pic>
                    </a:graphicData>
                  </a:graphic>
                </wp:inline>
              </w:drawing>
            </w:r>
          </w:p>
          <w:p w14:paraId="39ABB41B" w14:textId="77777777" w:rsidR="008B606F" w:rsidRPr="006F42FF" w:rsidRDefault="008B606F" w:rsidP="008B606F">
            <w:pPr>
              <w:pStyle w:val="Default"/>
              <w:rPr>
                <w:rFonts w:ascii="Times New Roman" w:hAnsi="Times New Roman" w:cs="Times New Roman"/>
                <w:sz w:val="18"/>
                <w:szCs w:val="18"/>
              </w:rPr>
            </w:pPr>
            <w:r w:rsidRPr="006F42FF">
              <w:rPr>
                <w:rFonts w:ascii="Times New Roman" w:hAnsi="Times New Roman" w:cs="Times New Roman"/>
                <w:sz w:val="18"/>
                <w:szCs w:val="18"/>
              </w:rPr>
              <w:t>kde:</w:t>
            </w:r>
          </w:p>
          <w:p w14:paraId="7C2FD6F9" w14:textId="3B0A74B2" w:rsidR="008B606F" w:rsidRPr="006F42FF" w:rsidRDefault="008B606F" w:rsidP="008B606F">
            <w:pPr>
              <w:pStyle w:val="Default"/>
              <w:numPr>
                <w:ilvl w:val="0"/>
                <w:numId w:val="14"/>
              </w:numPr>
              <w:rPr>
                <w:rFonts w:ascii="Times New Roman" w:hAnsi="Times New Roman" w:cs="Times New Roman"/>
                <w:sz w:val="18"/>
                <w:szCs w:val="18"/>
              </w:rPr>
            </w:pPr>
            <w:r w:rsidRPr="006F42FF">
              <w:rPr>
                <w:rFonts w:ascii="Times New Roman" w:hAnsi="Times New Roman" w:cs="Times New Roman"/>
                <w:sz w:val="18"/>
                <w:szCs w:val="18"/>
              </w:rPr>
              <w:t>dodatečnou dorovnávací daní je částka daně stanovená v souladu s článkem 29 za dané účetní období;</w:t>
            </w:r>
          </w:p>
          <w:p w14:paraId="5257085D" w14:textId="77777777" w:rsidR="008B606F" w:rsidRPr="006F42FF" w:rsidRDefault="008B606F" w:rsidP="008B606F">
            <w:pPr>
              <w:pStyle w:val="Default"/>
              <w:rPr>
                <w:rFonts w:ascii="Times New Roman" w:hAnsi="Times New Roman" w:cs="Times New Roman"/>
                <w:sz w:val="18"/>
                <w:szCs w:val="18"/>
              </w:rPr>
            </w:pPr>
          </w:p>
          <w:p w14:paraId="4FDBA5E9" w14:textId="364A4B8A" w:rsidR="008B606F" w:rsidRPr="006F42FF" w:rsidRDefault="008B606F" w:rsidP="008B606F">
            <w:pPr>
              <w:pStyle w:val="Default"/>
              <w:numPr>
                <w:ilvl w:val="0"/>
                <w:numId w:val="14"/>
              </w:numPr>
              <w:rPr>
                <w:rFonts w:ascii="Times New Roman" w:hAnsi="Times New Roman" w:cs="Times New Roman"/>
                <w:sz w:val="18"/>
                <w:szCs w:val="18"/>
              </w:rPr>
            </w:pPr>
            <w:r w:rsidRPr="006F42FF">
              <w:rPr>
                <w:rFonts w:ascii="Times New Roman" w:hAnsi="Times New Roman" w:cs="Times New Roman"/>
                <w:sz w:val="18"/>
                <w:szCs w:val="18"/>
              </w:rPr>
              <w:t>vnitrostátní dorovnávací daní je částka daně za dané účetní období stanovená v souladu s článkem 11 nebo podle kvalifikované vnitrostátní dorovnávací daně jurisdikce třetí země.</w:t>
            </w:r>
          </w:p>
          <w:p w14:paraId="3878AA9F" w14:textId="77777777" w:rsidR="008B606F" w:rsidRPr="006F42FF" w:rsidRDefault="008B606F" w:rsidP="008B606F">
            <w:pPr>
              <w:pStyle w:val="Default"/>
              <w:rPr>
                <w:rFonts w:ascii="Times New Roman" w:hAnsi="Times New Roman" w:cs="Times New Roman"/>
                <w:sz w:val="18"/>
                <w:szCs w:val="18"/>
              </w:rPr>
            </w:pPr>
          </w:p>
          <w:p w14:paraId="08365A7A" w14:textId="77777777" w:rsidR="008B606F" w:rsidRPr="006F42FF" w:rsidRDefault="008B606F" w:rsidP="008B606F">
            <w:pPr>
              <w:pStyle w:val="Default"/>
              <w:rPr>
                <w:rFonts w:ascii="Times New Roman" w:hAnsi="Times New Roman" w:cs="Times New Roman"/>
                <w:sz w:val="18"/>
                <w:szCs w:val="18"/>
              </w:rPr>
            </w:pPr>
            <w:r w:rsidRPr="006F42FF">
              <w:rPr>
                <w:rFonts w:ascii="Times New Roman" w:hAnsi="Times New Roman" w:cs="Times New Roman"/>
                <w:sz w:val="18"/>
                <w:szCs w:val="18"/>
              </w:rPr>
              <w:t>4.   Nadměrným ziskem pro danou jurisdikci za dané účetní období uvedeným v odstavci 3 je případná kladná hodnota vypočtená podle tohoto vzorce:</w:t>
            </w:r>
          </w:p>
          <w:p w14:paraId="28399D17" w14:textId="7030A2B4" w:rsidR="008B606F" w:rsidRPr="006F42FF" w:rsidRDefault="008B606F" w:rsidP="008B606F">
            <w:pPr>
              <w:pStyle w:val="Default"/>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0AFB734C" wp14:editId="1DD3EE26">
                  <wp:extent cx="3695479" cy="123532"/>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4140" cy="128836"/>
                          </a:xfrm>
                          <a:prstGeom prst="rect">
                            <a:avLst/>
                          </a:prstGeom>
                          <a:noFill/>
                        </pic:spPr>
                      </pic:pic>
                    </a:graphicData>
                  </a:graphic>
                </wp:inline>
              </w:drawing>
            </w:r>
          </w:p>
          <w:p w14:paraId="184B606E" w14:textId="77777777" w:rsidR="008B606F" w:rsidRPr="006F42FF" w:rsidRDefault="008B606F" w:rsidP="008B606F">
            <w:pPr>
              <w:pStyle w:val="Default"/>
              <w:rPr>
                <w:rFonts w:ascii="Times New Roman" w:hAnsi="Times New Roman" w:cs="Times New Roman"/>
                <w:sz w:val="18"/>
                <w:szCs w:val="18"/>
              </w:rPr>
            </w:pPr>
            <w:r w:rsidRPr="006F42FF">
              <w:rPr>
                <w:rFonts w:ascii="Times New Roman" w:hAnsi="Times New Roman" w:cs="Times New Roman"/>
                <w:sz w:val="18"/>
                <w:szCs w:val="18"/>
              </w:rPr>
              <w:t>kde:</w:t>
            </w:r>
          </w:p>
          <w:p w14:paraId="1A935EBA" w14:textId="45D34354" w:rsidR="008B606F" w:rsidRPr="006F42FF" w:rsidRDefault="008B606F" w:rsidP="008B606F">
            <w:pPr>
              <w:pStyle w:val="Default"/>
              <w:numPr>
                <w:ilvl w:val="0"/>
                <w:numId w:val="15"/>
              </w:numPr>
              <w:rPr>
                <w:rFonts w:ascii="Times New Roman" w:hAnsi="Times New Roman" w:cs="Times New Roman"/>
                <w:sz w:val="18"/>
                <w:szCs w:val="18"/>
              </w:rPr>
            </w:pPr>
            <w:r w:rsidRPr="006F42FF">
              <w:rPr>
                <w:rFonts w:ascii="Times New Roman" w:hAnsi="Times New Roman" w:cs="Times New Roman"/>
                <w:sz w:val="18"/>
                <w:szCs w:val="18"/>
              </w:rPr>
              <w:t>čistým kvalifikovaným příjmem je příjem určený v souladu s čl. 26 odst. 2 pro danou jurisdikci;</w:t>
            </w:r>
          </w:p>
          <w:p w14:paraId="22A5C14A" w14:textId="77777777" w:rsidR="008B606F" w:rsidRPr="006F42FF" w:rsidRDefault="008B606F" w:rsidP="008B606F">
            <w:pPr>
              <w:pStyle w:val="Default"/>
              <w:rPr>
                <w:rFonts w:ascii="Times New Roman" w:hAnsi="Times New Roman" w:cs="Times New Roman"/>
                <w:sz w:val="18"/>
                <w:szCs w:val="18"/>
              </w:rPr>
            </w:pPr>
          </w:p>
          <w:p w14:paraId="2E3A1F80" w14:textId="65DCB532" w:rsidR="008B606F" w:rsidRPr="007936DA" w:rsidRDefault="008B606F" w:rsidP="008B606F">
            <w:pPr>
              <w:pStyle w:val="Default"/>
              <w:numPr>
                <w:ilvl w:val="0"/>
                <w:numId w:val="15"/>
              </w:numPr>
              <w:rPr>
                <w:rFonts w:ascii="Times New Roman" w:hAnsi="Times New Roman" w:cs="Times New Roman"/>
                <w:sz w:val="18"/>
                <w:szCs w:val="18"/>
              </w:rPr>
            </w:pPr>
            <w:r w:rsidRPr="006F42FF">
              <w:rPr>
                <w:rFonts w:ascii="Times New Roman" w:hAnsi="Times New Roman" w:cs="Times New Roman"/>
                <w:sz w:val="18"/>
                <w:szCs w:val="18"/>
              </w:rPr>
              <w:t>vyloučením příjmu na základě ekonomické podstaty je částka určená v souladu s článkem 28 pro danou jurisdikci.</w:t>
            </w:r>
          </w:p>
        </w:tc>
      </w:tr>
      <w:tr w:rsidR="008B606F" w:rsidRPr="007936DA" w14:paraId="632F0271"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0B3028C4" w14:textId="77777777" w:rsidR="008B606F" w:rsidRPr="00430543" w:rsidRDefault="008B606F" w:rsidP="008B606F">
            <w:pPr>
              <w:widowControl w:val="0"/>
              <w:suppressAutoHyphens/>
              <w:ind w:left="57" w:right="113"/>
              <w:jc w:val="both"/>
              <w:rPr>
                <w:sz w:val="18"/>
                <w:szCs w:val="18"/>
                <w:lang w:eastAsia="ar-SA"/>
              </w:rPr>
            </w:pPr>
            <w:r w:rsidRPr="00430543">
              <w:rPr>
                <w:sz w:val="18"/>
                <w:szCs w:val="18"/>
                <w:lang w:eastAsia="ar-SA"/>
              </w:rPr>
              <w:lastRenderedPageBreak/>
              <w:t>§ 80</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03803C76" w14:textId="77777777" w:rsidR="00E07F61" w:rsidRPr="00E07F61" w:rsidRDefault="00E07F61" w:rsidP="00E07F61">
            <w:pPr>
              <w:pStyle w:val="Textparagrafu"/>
              <w:rPr>
                <w:sz w:val="18"/>
                <w:szCs w:val="18"/>
              </w:rPr>
            </w:pPr>
            <w:r w:rsidRPr="00E07F61">
              <w:rPr>
                <w:sz w:val="18"/>
                <w:szCs w:val="18"/>
              </w:rPr>
              <w:t>(1) D</w:t>
            </w:r>
            <w:r w:rsidRPr="00E07F61">
              <w:rPr>
                <w:rFonts w:hint="eastAsia"/>
                <w:sz w:val="18"/>
                <w:szCs w:val="18"/>
              </w:rPr>
              <w:t>í</w:t>
            </w:r>
            <w:r w:rsidRPr="00E07F61">
              <w:rPr>
                <w:sz w:val="18"/>
                <w:szCs w:val="18"/>
              </w:rPr>
              <w:t>l</w:t>
            </w:r>
            <w:r w:rsidRPr="00E07F61">
              <w:rPr>
                <w:rFonts w:hint="eastAsia"/>
                <w:sz w:val="18"/>
                <w:szCs w:val="18"/>
              </w:rPr>
              <w:t>čí</w:t>
            </w:r>
            <w:r w:rsidRPr="00E07F61">
              <w:rPr>
                <w:sz w:val="18"/>
                <w:szCs w:val="18"/>
              </w:rPr>
              <w:t xml:space="preserve"> dorovn</w:t>
            </w:r>
            <w:r w:rsidRPr="00E07F61">
              <w:rPr>
                <w:rFonts w:hint="eastAsia"/>
                <w:sz w:val="18"/>
                <w:szCs w:val="18"/>
              </w:rPr>
              <w:t>á</w:t>
            </w:r>
            <w:r w:rsidRPr="00E07F61">
              <w:rPr>
                <w:sz w:val="18"/>
                <w:szCs w:val="18"/>
              </w:rPr>
              <w:t>vac</w:t>
            </w:r>
            <w:r w:rsidRPr="00E07F61">
              <w:rPr>
                <w:rFonts w:hint="eastAsia"/>
                <w:sz w:val="18"/>
                <w:szCs w:val="18"/>
              </w:rPr>
              <w:t>í</w:t>
            </w:r>
            <w:r w:rsidRPr="00E07F61">
              <w:rPr>
                <w:sz w:val="18"/>
                <w:szCs w:val="18"/>
              </w:rPr>
              <w:t xml:space="preserve"> daň se určí pro členskou entitu skupiny, jejíž kvalifikovaný zisk je zahrnut do výpočtu jurisdikčního kvalifikovaného zisku této skupiny.</w:t>
            </w:r>
          </w:p>
          <w:p w14:paraId="699C1AC9" w14:textId="40E754AD" w:rsidR="00E07F61" w:rsidRPr="00E07F61" w:rsidRDefault="00E07F61" w:rsidP="00E07F61">
            <w:pPr>
              <w:pStyle w:val="Textparagrafu"/>
              <w:rPr>
                <w:sz w:val="18"/>
                <w:szCs w:val="18"/>
              </w:rPr>
            </w:pPr>
            <w:r w:rsidRPr="00E07F61">
              <w:rPr>
                <w:sz w:val="18"/>
                <w:szCs w:val="18"/>
              </w:rPr>
              <w:t xml:space="preserve">(2) Dílčí dorovnávací daň pro jednotlivé </w:t>
            </w:r>
            <w:r w:rsidRPr="00E07F61">
              <w:rPr>
                <w:b/>
                <w:sz w:val="18"/>
                <w:szCs w:val="18"/>
                <w:u w:val="single"/>
              </w:rPr>
              <w:t>výkazní</w:t>
            </w:r>
            <w:r w:rsidRPr="00E07F61">
              <w:rPr>
                <w:sz w:val="18"/>
                <w:szCs w:val="18"/>
              </w:rPr>
              <w:t xml:space="preserve"> období a stát činí součin</w:t>
            </w:r>
          </w:p>
          <w:p w14:paraId="24BC7966" w14:textId="491BF69C" w:rsidR="00E07F61" w:rsidRPr="00E07F61" w:rsidRDefault="00E07F61" w:rsidP="00E07F61">
            <w:pPr>
              <w:pStyle w:val="PZTextpsmene"/>
              <w:rPr>
                <w:sz w:val="18"/>
                <w:szCs w:val="18"/>
              </w:rPr>
            </w:pPr>
            <w:r w:rsidRPr="00E07F61">
              <w:rPr>
                <w:sz w:val="18"/>
                <w:szCs w:val="18"/>
              </w:rPr>
              <w:t>a)</w:t>
            </w:r>
            <w:r w:rsidRPr="00E07F61">
              <w:rPr>
                <w:sz w:val="18"/>
                <w:szCs w:val="18"/>
              </w:rPr>
              <w:tab/>
              <w:t xml:space="preserve">jurisdikční dorovnávací daně skupiny pro toto </w:t>
            </w:r>
            <w:r w:rsidRPr="00E07F61">
              <w:rPr>
                <w:b/>
                <w:sz w:val="18"/>
                <w:szCs w:val="18"/>
                <w:u w:val="single"/>
              </w:rPr>
              <w:t>výkazní</w:t>
            </w:r>
            <w:r w:rsidRPr="00E07F61">
              <w:rPr>
                <w:sz w:val="18"/>
                <w:szCs w:val="18"/>
              </w:rPr>
              <w:t xml:space="preserve"> období a stát a</w:t>
            </w:r>
          </w:p>
          <w:p w14:paraId="6D89F281" w14:textId="77777777" w:rsidR="00E07F61" w:rsidRPr="00E07F61" w:rsidRDefault="00E07F61" w:rsidP="00E07F61">
            <w:pPr>
              <w:pStyle w:val="PZTextpsmene"/>
              <w:rPr>
                <w:sz w:val="18"/>
                <w:szCs w:val="18"/>
              </w:rPr>
            </w:pPr>
            <w:r w:rsidRPr="00E07F61">
              <w:rPr>
                <w:sz w:val="18"/>
                <w:szCs w:val="18"/>
              </w:rPr>
              <w:t>b)</w:t>
            </w:r>
            <w:r w:rsidRPr="00E07F61">
              <w:rPr>
                <w:sz w:val="18"/>
                <w:szCs w:val="18"/>
              </w:rPr>
              <w:tab/>
              <w:t>podílu</w:t>
            </w:r>
          </w:p>
          <w:p w14:paraId="60291E65" w14:textId="10852808" w:rsidR="00E07F61" w:rsidRPr="00E07F61" w:rsidRDefault="00E07F61" w:rsidP="00E07F61">
            <w:pPr>
              <w:pStyle w:val="PZTextbodu"/>
              <w:rPr>
                <w:sz w:val="18"/>
                <w:szCs w:val="18"/>
              </w:rPr>
            </w:pPr>
            <w:r w:rsidRPr="00E07F61">
              <w:rPr>
                <w:sz w:val="18"/>
                <w:szCs w:val="18"/>
              </w:rPr>
              <w:lastRenderedPageBreak/>
              <w:t>1.</w:t>
            </w:r>
            <w:r w:rsidRPr="00E07F61">
              <w:rPr>
                <w:sz w:val="18"/>
                <w:szCs w:val="18"/>
              </w:rPr>
              <w:tab/>
              <w:t xml:space="preserve">kvalifikovaného zisku vzniklého v tomto </w:t>
            </w:r>
            <w:r w:rsidRPr="00E07F61">
              <w:rPr>
                <w:b/>
                <w:sz w:val="18"/>
                <w:szCs w:val="18"/>
                <w:u w:val="single"/>
              </w:rPr>
              <w:t>výkazním</w:t>
            </w:r>
            <w:r w:rsidRPr="00E07F61">
              <w:rPr>
                <w:sz w:val="18"/>
                <w:szCs w:val="18"/>
              </w:rPr>
              <w:t xml:space="preserve"> období členské entitě, která je z tohoto státu, a</w:t>
            </w:r>
          </w:p>
          <w:p w14:paraId="247FF950" w14:textId="03736DCC" w:rsidR="00E07F61" w:rsidRPr="00E07F61" w:rsidRDefault="00E07F61" w:rsidP="00E07F61">
            <w:pPr>
              <w:pStyle w:val="PZTextbodu"/>
              <w:rPr>
                <w:sz w:val="18"/>
                <w:szCs w:val="18"/>
              </w:rPr>
            </w:pPr>
            <w:r w:rsidRPr="00E07F61">
              <w:rPr>
                <w:sz w:val="18"/>
                <w:szCs w:val="18"/>
              </w:rPr>
              <w:t>2.</w:t>
            </w:r>
            <w:r w:rsidRPr="00E07F61">
              <w:rPr>
                <w:sz w:val="18"/>
                <w:szCs w:val="18"/>
              </w:rPr>
              <w:tab/>
              <w:t xml:space="preserve">úhrnu kvalifikovaných zisků vzniklých v tomto </w:t>
            </w:r>
            <w:r w:rsidRPr="00E07F61">
              <w:rPr>
                <w:b/>
                <w:sz w:val="18"/>
                <w:szCs w:val="18"/>
                <w:u w:val="single"/>
              </w:rPr>
              <w:t>výkazním</w:t>
            </w:r>
            <w:r w:rsidRPr="00E07F61">
              <w:rPr>
                <w:sz w:val="18"/>
                <w:szCs w:val="18"/>
              </w:rPr>
              <w:t xml:space="preserve"> období všem členským entitám z tohoto státu, které jsou součástí téže skupiny.</w:t>
            </w:r>
          </w:p>
          <w:p w14:paraId="51989B6D" w14:textId="74F20B4C" w:rsidR="008B606F" w:rsidRPr="00430543" w:rsidRDefault="00E07F61" w:rsidP="00E07F61">
            <w:pPr>
              <w:pStyle w:val="Textparagrafu"/>
              <w:rPr>
                <w:sz w:val="18"/>
                <w:szCs w:val="18"/>
              </w:rPr>
            </w:pPr>
            <w:r w:rsidRPr="00E07F61">
              <w:rPr>
                <w:sz w:val="18"/>
                <w:szCs w:val="18"/>
              </w:rPr>
              <w:t xml:space="preserve">(3) Je-li jurisdikční dorovnávací daň skupiny pro dané </w:t>
            </w:r>
            <w:r w:rsidRPr="00E07F61">
              <w:rPr>
                <w:b/>
                <w:sz w:val="18"/>
                <w:szCs w:val="18"/>
                <w:u w:val="single"/>
              </w:rPr>
              <w:t>výkazní</w:t>
            </w:r>
            <w:r w:rsidRPr="00E07F61">
              <w:rPr>
                <w:sz w:val="18"/>
                <w:szCs w:val="18"/>
              </w:rPr>
              <w:t xml:space="preserve"> období a stát výsledkem přepočtu prováděného za účelem určení výše dodatečné dorovnávací daně podle § 87 odst. 1 až 3 a v tomto státě není za toto období vykázán jurisdikční kvalifikovaný zisk, použije se pro účely výpočtu podle odstavce 2 kvalifikovaný zisk vzniklý členským entitám této skupiny ve </w:t>
            </w:r>
            <w:r w:rsidRPr="00E07F61">
              <w:rPr>
                <w:b/>
                <w:sz w:val="18"/>
                <w:szCs w:val="18"/>
                <w:u w:val="single"/>
              </w:rPr>
              <w:t>výkazním</w:t>
            </w:r>
            <w:r w:rsidRPr="00E07F61">
              <w:rPr>
                <w:sz w:val="18"/>
                <w:szCs w:val="18"/>
              </w:rPr>
              <w:t xml:space="preserve"> období, pro které je přepočet jurisdikční dorovnávací daně proveden.</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668F9596" w14:textId="48F265F9" w:rsidR="008B606F" w:rsidRPr="00430543" w:rsidRDefault="008B606F" w:rsidP="008B606F">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2D6A9866" w14:textId="30EF0B42" w:rsidR="008B606F" w:rsidRPr="00430543" w:rsidRDefault="00E07F61" w:rsidP="00E07F61">
            <w:pPr>
              <w:widowControl w:val="0"/>
              <w:ind w:left="57" w:right="113"/>
              <w:rPr>
                <w:sz w:val="18"/>
                <w:szCs w:val="18"/>
              </w:rPr>
            </w:pPr>
            <w:r>
              <w:rPr>
                <w:sz w:val="18"/>
                <w:szCs w:val="18"/>
              </w:rPr>
              <w:t>čl. 27 odst. 5 a 6</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09C2AC68" w14:textId="77777777" w:rsidR="008B606F" w:rsidRPr="00164148" w:rsidRDefault="008B606F" w:rsidP="008B606F">
            <w:pPr>
              <w:pStyle w:val="Default"/>
              <w:rPr>
                <w:rFonts w:ascii="Times New Roman" w:hAnsi="Times New Roman" w:cs="Times New Roman"/>
                <w:sz w:val="18"/>
                <w:szCs w:val="18"/>
              </w:rPr>
            </w:pPr>
            <w:r w:rsidRPr="00164148">
              <w:rPr>
                <w:rFonts w:ascii="Times New Roman" w:hAnsi="Times New Roman" w:cs="Times New Roman"/>
                <w:sz w:val="18"/>
                <w:szCs w:val="18"/>
              </w:rPr>
              <w:t>5.   Dorovnávací daň členského subjektu za stávající účetní období se vypočítá podle tohoto vzorce:</w:t>
            </w:r>
          </w:p>
          <w:p w14:paraId="0C5CD0B9" w14:textId="10340FC0" w:rsidR="008B606F" w:rsidRDefault="008B606F" w:rsidP="008B606F">
            <w:pPr>
              <w:pStyle w:val="Default"/>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20F42E4B" wp14:editId="57828578">
                  <wp:extent cx="2749550" cy="128270"/>
                  <wp:effectExtent l="0" t="0" r="0" b="508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9550" cy="128270"/>
                          </a:xfrm>
                          <a:prstGeom prst="rect">
                            <a:avLst/>
                          </a:prstGeom>
                          <a:noFill/>
                        </pic:spPr>
                      </pic:pic>
                    </a:graphicData>
                  </a:graphic>
                </wp:inline>
              </w:drawing>
            </w:r>
          </w:p>
          <w:p w14:paraId="384CE0FD" w14:textId="56410B66" w:rsidR="008B606F" w:rsidRPr="00164148" w:rsidRDefault="008B606F" w:rsidP="008B606F">
            <w:pPr>
              <w:pStyle w:val="Default"/>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7C597D0D" wp14:editId="66F16874">
                  <wp:extent cx="2042160" cy="237490"/>
                  <wp:effectExtent l="0" t="0" r="0"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42160" cy="237490"/>
                          </a:xfrm>
                          <a:prstGeom prst="rect">
                            <a:avLst/>
                          </a:prstGeom>
                          <a:noFill/>
                        </pic:spPr>
                      </pic:pic>
                    </a:graphicData>
                  </a:graphic>
                </wp:inline>
              </w:drawing>
            </w:r>
          </w:p>
          <w:p w14:paraId="341A94EA" w14:textId="77777777" w:rsidR="008B606F" w:rsidRPr="00164148" w:rsidRDefault="008B606F" w:rsidP="008B606F">
            <w:pPr>
              <w:pStyle w:val="Default"/>
              <w:rPr>
                <w:rFonts w:ascii="Times New Roman" w:hAnsi="Times New Roman" w:cs="Times New Roman"/>
                <w:sz w:val="18"/>
                <w:szCs w:val="18"/>
              </w:rPr>
            </w:pPr>
            <w:r w:rsidRPr="00164148">
              <w:rPr>
                <w:rFonts w:ascii="Times New Roman" w:hAnsi="Times New Roman" w:cs="Times New Roman"/>
                <w:sz w:val="18"/>
                <w:szCs w:val="18"/>
              </w:rPr>
              <w:t>kde:</w:t>
            </w:r>
          </w:p>
          <w:p w14:paraId="0DCCF2EE" w14:textId="1B125461" w:rsidR="008B606F" w:rsidRPr="00164148" w:rsidRDefault="008B606F" w:rsidP="008B606F">
            <w:pPr>
              <w:pStyle w:val="Default"/>
              <w:numPr>
                <w:ilvl w:val="0"/>
                <w:numId w:val="16"/>
              </w:numPr>
              <w:rPr>
                <w:rFonts w:ascii="Times New Roman" w:hAnsi="Times New Roman" w:cs="Times New Roman"/>
                <w:sz w:val="18"/>
                <w:szCs w:val="18"/>
              </w:rPr>
            </w:pPr>
            <w:r w:rsidRPr="00164148">
              <w:rPr>
                <w:rFonts w:ascii="Times New Roman" w:hAnsi="Times New Roman" w:cs="Times New Roman"/>
                <w:sz w:val="18"/>
                <w:szCs w:val="18"/>
              </w:rPr>
              <w:t>kvalifikovaným příjmem členského subjektu pro jurisdikci za účetní období je příjem určený v souladu s kapitolou III;</w:t>
            </w:r>
          </w:p>
          <w:p w14:paraId="0A9043E5" w14:textId="77777777" w:rsidR="008B606F" w:rsidRPr="00164148" w:rsidRDefault="008B606F" w:rsidP="008B606F">
            <w:pPr>
              <w:pStyle w:val="Default"/>
              <w:rPr>
                <w:rFonts w:ascii="Times New Roman" w:hAnsi="Times New Roman" w:cs="Times New Roman"/>
                <w:sz w:val="18"/>
                <w:szCs w:val="18"/>
              </w:rPr>
            </w:pPr>
          </w:p>
          <w:p w14:paraId="1BE93857" w14:textId="59C88508" w:rsidR="008B606F" w:rsidRPr="00164148" w:rsidRDefault="008B606F" w:rsidP="008B606F">
            <w:pPr>
              <w:pStyle w:val="Default"/>
              <w:numPr>
                <w:ilvl w:val="0"/>
                <w:numId w:val="16"/>
              </w:numPr>
              <w:rPr>
                <w:rFonts w:ascii="Times New Roman" w:hAnsi="Times New Roman" w:cs="Times New Roman"/>
                <w:sz w:val="18"/>
                <w:szCs w:val="18"/>
              </w:rPr>
            </w:pPr>
            <w:r w:rsidRPr="00164148">
              <w:rPr>
                <w:rFonts w:ascii="Times New Roman" w:hAnsi="Times New Roman" w:cs="Times New Roman"/>
                <w:sz w:val="18"/>
                <w:szCs w:val="18"/>
              </w:rPr>
              <w:t>celkovým kvalifikovaným příjmem všech členských subjektů pro jurisdikci za účetní období je součet kvalifikovaných příjmů všech členských subjektů nacházejících se v dané jurisdikci za účetní období.</w:t>
            </w:r>
          </w:p>
          <w:p w14:paraId="5D232BB5" w14:textId="77777777" w:rsidR="008B606F" w:rsidRPr="00164148" w:rsidRDefault="008B606F" w:rsidP="008B606F">
            <w:pPr>
              <w:pStyle w:val="Default"/>
              <w:rPr>
                <w:rFonts w:ascii="Times New Roman" w:hAnsi="Times New Roman" w:cs="Times New Roman"/>
                <w:sz w:val="18"/>
                <w:szCs w:val="18"/>
              </w:rPr>
            </w:pPr>
          </w:p>
          <w:p w14:paraId="6D655306" w14:textId="6E4A7DA8" w:rsidR="008B606F" w:rsidRPr="007936DA" w:rsidRDefault="008B606F" w:rsidP="008B606F">
            <w:pPr>
              <w:pStyle w:val="Default"/>
              <w:rPr>
                <w:rFonts w:ascii="Times New Roman" w:hAnsi="Times New Roman" w:cs="Times New Roman"/>
                <w:sz w:val="18"/>
                <w:szCs w:val="18"/>
              </w:rPr>
            </w:pPr>
            <w:r w:rsidRPr="00164148">
              <w:rPr>
                <w:rFonts w:ascii="Times New Roman" w:hAnsi="Times New Roman" w:cs="Times New Roman"/>
                <w:sz w:val="18"/>
                <w:szCs w:val="18"/>
              </w:rPr>
              <w:lastRenderedPageBreak/>
              <w:t>6.   Je-li dorovnávací daň pro danou jurisdikci výsledkem přepočtu podle čl. 29 odst. 1 a v dané jurisdikci není za účetní období vykázán čistý kvalifikovaný příjem, přidělí se dorovnávací daň každému členskému subjektu na základě vzorce uvedeného v odstavci 5 tohoto článku, a to podle kvalifikovaných příjmů členských subjektů v účetních obdobích, pro která jsou provedeny</w:t>
            </w:r>
            <w:r w:rsidR="00E07F61">
              <w:rPr>
                <w:rFonts w:ascii="Times New Roman" w:hAnsi="Times New Roman" w:cs="Times New Roman"/>
                <w:sz w:val="18"/>
                <w:szCs w:val="18"/>
              </w:rPr>
              <w:t xml:space="preserve"> přepočty podle čl. 29 odst. 1.</w:t>
            </w:r>
          </w:p>
        </w:tc>
      </w:tr>
      <w:tr w:rsidR="008B606F" w:rsidRPr="007936DA" w14:paraId="51D9B6D3"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4C0B18B6" w14:textId="7A952132" w:rsidR="008B606F" w:rsidRPr="00430543" w:rsidRDefault="008B606F" w:rsidP="008B606F">
            <w:pPr>
              <w:widowControl w:val="0"/>
              <w:suppressAutoHyphens/>
              <w:ind w:left="57" w:right="113"/>
              <w:jc w:val="both"/>
              <w:rPr>
                <w:sz w:val="18"/>
                <w:szCs w:val="18"/>
                <w:lang w:eastAsia="ar-SA"/>
              </w:rPr>
            </w:pPr>
            <w:r w:rsidRPr="00430543">
              <w:rPr>
                <w:sz w:val="18"/>
                <w:szCs w:val="18"/>
                <w:lang w:eastAsia="ar-SA"/>
              </w:rPr>
              <w:lastRenderedPageBreak/>
              <w:t>§ 87</w:t>
            </w:r>
            <w:r w:rsidR="004262D7">
              <w:rPr>
                <w:sz w:val="18"/>
                <w:szCs w:val="18"/>
                <w:lang w:eastAsia="ar-SA"/>
              </w:rPr>
              <w:t xml:space="preserve"> odst. 1 až 4</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52FC6748" w14:textId="4FEC6734" w:rsidR="004262D7" w:rsidRPr="004262D7" w:rsidRDefault="004262D7" w:rsidP="004262D7">
            <w:pPr>
              <w:pStyle w:val="Textparagrafu"/>
              <w:rPr>
                <w:sz w:val="18"/>
                <w:szCs w:val="18"/>
              </w:rPr>
            </w:pPr>
            <w:r w:rsidRPr="004262D7">
              <w:rPr>
                <w:sz w:val="18"/>
                <w:szCs w:val="18"/>
              </w:rPr>
              <w:t xml:space="preserve">(1) Pokud </w:t>
            </w:r>
            <w:r w:rsidRPr="004262D7">
              <w:rPr>
                <w:b/>
                <w:sz w:val="18"/>
                <w:szCs w:val="18"/>
                <w:u w:val="single"/>
              </w:rPr>
              <w:t>tento zákon stanoví povinnost použít toto ustanovení pro přepočet</w:t>
            </w:r>
            <w:r w:rsidRPr="004262D7">
              <w:rPr>
                <w:sz w:val="18"/>
                <w:szCs w:val="18"/>
              </w:rPr>
              <w:t xml:space="preserve"> efektivní daňové sazby skupiny a jurisdikční dorovnávací daně skupiny za  </w:t>
            </w:r>
            <w:r w:rsidRPr="004262D7">
              <w:rPr>
                <w:b/>
                <w:sz w:val="18"/>
                <w:szCs w:val="18"/>
                <w:u w:val="single"/>
              </w:rPr>
              <w:t>výkazní</w:t>
            </w:r>
            <w:r w:rsidRPr="004262D7">
              <w:rPr>
                <w:sz w:val="18"/>
                <w:szCs w:val="18"/>
              </w:rPr>
              <w:t xml:space="preserve"> období předcházející </w:t>
            </w:r>
            <w:r w:rsidRPr="004262D7">
              <w:rPr>
                <w:b/>
                <w:sz w:val="18"/>
                <w:szCs w:val="18"/>
                <w:u w:val="single"/>
              </w:rPr>
              <w:t>výkaznímu</w:t>
            </w:r>
            <w:r w:rsidRPr="004262D7">
              <w:rPr>
                <w:sz w:val="18"/>
                <w:szCs w:val="18"/>
              </w:rPr>
              <w:t xml:space="preserve"> období, za které se určuje jurisdikční dorovnávací daň skupiny, přepočítá se efektivní daňová sazba skupiny a jurisdikční dorovnávací daň skupiny za toto předcházející období podle ustanovení upravujících efektivní daňovou sazbu skupiny, jurisdikční dorovnávací daň skupiny, dílčí dorovnávací daň a zisk vyloučený na základě ekonomické podstaty skupiny. Při tomto přepočtu se zohlední úpravy zahrnutých daní nebo kvalifikovaného zisku nebo ztráty, v jejichž důsledku je nutné provést přepočet.</w:t>
            </w:r>
          </w:p>
          <w:p w14:paraId="381328B2" w14:textId="77777777" w:rsidR="004262D7" w:rsidRPr="004262D7" w:rsidRDefault="004262D7" w:rsidP="004262D7">
            <w:pPr>
              <w:pStyle w:val="Textparagrafu"/>
              <w:rPr>
                <w:sz w:val="18"/>
                <w:szCs w:val="18"/>
              </w:rPr>
            </w:pPr>
            <w:r w:rsidRPr="004262D7">
              <w:rPr>
                <w:sz w:val="18"/>
                <w:szCs w:val="18"/>
              </w:rPr>
              <w:t>(2) Dodatečná dorovnávací daň skupiny pro jednotlivý stát činí součet</w:t>
            </w:r>
          </w:p>
          <w:p w14:paraId="520D11F3" w14:textId="77777777" w:rsidR="004262D7" w:rsidRPr="004262D7" w:rsidRDefault="004262D7" w:rsidP="004262D7">
            <w:pPr>
              <w:pStyle w:val="PZTextpsmene"/>
              <w:rPr>
                <w:sz w:val="18"/>
                <w:szCs w:val="18"/>
              </w:rPr>
            </w:pPr>
            <w:r w:rsidRPr="004262D7">
              <w:rPr>
                <w:sz w:val="18"/>
                <w:szCs w:val="18"/>
              </w:rPr>
              <w:t>a)</w:t>
            </w:r>
            <w:r w:rsidRPr="004262D7">
              <w:rPr>
                <w:sz w:val="18"/>
                <w:szCs w:val="18"/>
              </w:rPr>
              <w:tab/>
              <w:t xml:space="preserve">částky, o kterou převyšuje jurisdikční dorovnávací daň skupiny pro tento stát přepočtená podle odstavce 1 původní výši </w:t>
            </w:r>
            <w:r w:rsidRPr="004262D7">
              <w:rPr>
                <w:sz w:val="18"/>
                <w:szCs w:val="18"/>
              </w:rPr>
              <w:lastRenderedPageBreak/>
              <w:t>přepočítávané jurisdikční dorovnávací daně skupiny pro tento stát, a</w:t>
            </w:r>
          </w:p>
          <w:p w14:paraId="5A767696" w14:textId="3CB6A758" w:rsidR="004262D7" w:rsidRPr="004262D7" w:rsidRDefault="004262D7" w:rsidP="004262D7">
            <w:pPr>
              <w:pStyle w:val="PZTextpsmene"/>
              <w:rPr>
                <w:sz w:val="18"/>
                <w:szCs w:val="18"/>
              </w:rPr>
            </w:pPr>
            <w:r w:rsidRPr="004262D7">
              <w:rPr>
                <w:sz w:val="18"/>
                <w:szCs w:val="18"/>
              </w:rPr>
              <w:t>b)</w:t>
            </w:r>
            <w:r w:rsidRPr="004262D7">
              <w:rPr>
                <w:sz w:val="18"/>
                <w:szCs w:val="18"/>
              </w:rPr>
              <w:tab/>
              <w:t xml:space="preserve">kvalifikované vnitrostátní dorovnávací daně stanovené členským státem, u které uplynula ve </w:t>
            </w:r>
            <w:r w:rsidRPr="004262D7">
              <w:rPr>
                <w:b/>
                <w:sz w:val="18"/>
                <w:szCs w:val="18"/>
                <w:u w:val="single"/>
              </w:rPr>
              <w:t>výkazním</w:t>
            </w:r>
            <w:r w:rsidRPr="004262D7">
              <w:rPr>
                <w:sz w:val="18"/>
                <w:szCs w:val="18"/>
              </w:rPr>
              <w:t xml:space="preserve"> období lhůta 4 výkazních období následujících po výkazním období, ve kterém se vnitrostátní daň stala splatnou a nebyla v této lhůtě vybrána.</w:t>
            </w:r>
          </w:p>
          <w:p w14:paraId="0DB03422" w14:textId="43774E4E" w:rsidR="004262D7" w:rsidRPr="004262D7" w:rsidRDefault="004262D7" w:rsidP="004262D7">
            <w:pPr>
              <w:pStyle w:val="Textparagrafu"/>
              <w:rPr>
                <w:sz w:val="18"/>
                <w:szCs w:val="18"/>
              </w:rPr>
            </w:pPr>
            <w:r w:rsidRPr="004262D7">
              <w:rPr>
                <w:sz w:val="18"/>
                <w:szCs w:val="18"/>
              </w:rPr>
              <w:t>(3) Na dodatečnou dorovnávací daň se hledí jako na daň vzniklou za </w:t>
            </w:r>
            <w:r w:rsidRPr="004262D7">
              <w:rPr>
                <w:b/>
                <w:sz w:val="18"/>
                <w:szCs w:val="18"/>
                <w:u w:val="single"/>
              </w:rPr>
              <w:t>výkazní</w:t>
            </w:r>
            <w:r w:rsidRPr="004262D7">
              <w:rPr>
                <w:sz w:val="18"/>
                <w:szCs w:val="18"/>
              </w:rPr>
              <w:t xml:space="preserve"> období, za které se určuje jurisdikční dorovnávací daň skupiny.</w:t>
            </w:r>
          </w:p>
          <w:p w14:paraId="3BCCB573" w14:textId="3C77E362" w:rsidR="004262D7" w:rsidRPr="004262D7" w:rsidRDefault="004262D7" w:rsidP="004262D7">
            <w:pPr>
              <w:pStyle w:val="Textparagrafu"/>
              <w:rPr>
                <w:sz w:val="18"/>
                <w:szCs w:val="18"/>
              </w:rPr>
            </w:pPr>
            <w:r w:rsidRPr="004262D7">
              <w:rPr>
                <w:sz w:val="18"/>
                <w:szCs w:val="18"/>
              </w:rPr>
              <w:t xml:space="preserve">(4) Pokud za dané </w:t>
            </w:r>
            <w:r w:rsidRPr="004262D7">
              <w:rPr>
                <w:b/>
                <w:sz w:val="18"/>
                <w:szCs w:val="18"/>
                <w:u w:val="single"/>
              </w:rPr>
              <w:t>výkazní</w:t>
            </w:r>
            <w:r w:rsidRPr="004262D7">
              <w:rPr>
                <w:sz w:val="18"/>
                <w:szCs w:val="18"/>
              </w:rPr>
              <w:t xml:space="preserve"> období v daném státě vzniká dodatečná dorovnávací daň skupině, které nevzniká jurisdikční kvalifikovaný zisk, pro účely hlavy V této části platí, že kvalifikovaný zisk členské entity z tohoto státu vzniklý v tomto </w:t>
            </w:r>
            <w:r w:rsidRPr="004262D7">
              <w:rPr>
                <w:b/>
                <w:sz w:val="18"/>
                <w:szCs w:val="18"/>
                <w:u w:val="single"/>
              </w:rPr>
              <w:t>výkazním</w:t>
            </w:r>
            <w:r w:rsidRPr="004262D7">
              <w:rPr>
                <w:sz w:val="18"/>
                <w:szCs w:val="18"/>
              </w:rPr>
              <w:t xml:space="preserve"> období činí v případě, že dodatečná dorovnávací daň vzniká</w:t>
            </w:r>
          </w:p>
          <w:p w14:paraId="3759BFFD" w14:textId="77777777" w:rsidR="004262D7" w:rsidRPr="004262D7" w:rsidRDefault="004262D7" w:rsidP="004262D7">
            <w:pPr>
              <w:pStyle w:val="PZTextpsmene"/>
              <w:rPr>
                <w:sz w:val="18"/>
                <w:szCs w:val="18"/>
              </w:rPr>
            </w:pPr>
            <w:r w:rsidRPr="004262D7">
              <w:rPr>
                <w:sz w:val="18"/>
                <w:szCs w:val="18"/>
              </w:rPr>
              <w:t>a)</w:t>
            </w:r>
            <w:r w:rsidRPr="004262D7">
              <w:rPr>
                <w:sz w:val="18"/>
                <w:szCs w:val="18"/>
              </w:rPr>
              <w:tab/>
              <w:t>podle § </w:t>
            </w:r>
            <w:r w:rsidRPr="004262D7">
              <w:rPr>
                <w:noProof/>
                <w:sz w:val="18"/>
                <w:szCs w:val="18"/>
              </w:rPr>
              <w:t>88</w:t>
            </w:r>
            <w:r w:rsidRPr="004262D7">
              <w:rPr>
                <w:sz w:val="18"/>
                <w:szCs w:val="18"/>
              </w:rPr>
              <w:t xml:space="preserve"> odst. 1, podíl</w:t>
            </w:r>
          </w:p>
          <w:p w14:paraId="09272421" w14:textId="77777777" w:rsidR="004262D7" w:rsidRPr="004262D7" w:rsidRDefault="004262D7" w:rsidP="004262D7">
            <w:pPr>
              <w:pStyle w:val="PZTextbodu"/>
              <w:rPr>
                <w:sz w:val="18"/>
                <w:szCs w:val="18"/>
              </w:rPr>
            </w:pPr>
            <w:r w:rsidRPr="004262D7">
              <w:rPr>
                <w:sz w:val="18"/>
                <w:szCs w:val="18"/>
              </w:rPr>
              <w:t>1.</w:t>
            </w:r>
            <w:r w:rsidRPr="004262D7">
              <w:rPr>
                <w:sz w:val="18"/>
                <w:szCs w:val="18"/>
              </w:rPr>
              <w:tab/>
              <w:t>této dodatečné dorovnávací daně přiřazené této členské entitě a </w:t>
            </w:r>
          </w:p>
          <w:p w14:paraId="3DA1C9F3" w14:textId="77777777" w:rsidR="004262D7" w:rsidRPr="004262D7" w:rsidRDefault="004262D7" w:rsidP="004262D7">
            <w:pPr>
              <w:pStyle w:val="PZTextbodu"/>
              <w:rPr>
                <w:sz w:val="18"/>
                <w:szCs w:val="18"/>
              </w:rPr>
            </w:pPr>
            <w:r w:rsidRPr="004262D7">
              <w:rPr>
                <w:sz w:val="18"/>
                <w:szCs w:val="18"/>
              </w:rPr>
              <w:t>2.</w:t>
            </w:r>
            <w:r w:rsidRPr="004262D7">
              <w:rPr>
                <w:sz w:val="18"/>
                <w:szCs w:val="18"/>
              </w:rPr>
              <w:tab/>
              <w:t>minimální daňové sazby,</w:t>
            </w:r>
          </w:p>
          <w:p w14:paraId="02CD3F74" w14:textId="77777777" w:rsidR="004262D7" w:rsidRPr="004262D7" w:rsidRDefault="004262D7" w:rsidP="004262D7">
            <w:pPr>
              <w:pStyle w:val="PZTextpsmene"/>
              <w:rPr>
                <w:sz w:val="18"/>
                <w:szCs w:val="18"/>
              </w:rPr>
            </w:pPr>
            <w:r w:rsidRPr="004262D7">
              <w:rPr>
                <w:sz w:val="18"/>
                <w:szCs w:val="18"/>
              </w:rPr>
              <w:t>b)</w:t>
            </w:r>
            <w:r w:rsidRPr="004262D7">
              <w:rPr>
                <w:sz w:val="18"/>
                <w:szCs w:val="18"/>
              </w:rPr>
              <w:tab/>
              <w:t>jinak než podle § </w:t>
            </w:r>
            <w:r w:rsidRPr="004262D7">
              <w:rPr>
                <w:noProof/>
                <w:sz w:val="18"/>
                <w:szCs w:val="18"/>
              </w:rPr>
              <w:t>88</w:t>
            </w:r>
            <w:r w:rsidRPr="004262D7">
              <w:rPr>
                <w:sz w:val="18"/>
                <w:szCs w:val="18"/>
              </w:rPr>
              <w:t xml:space="preserve"> odst. 1, podíl</w:t>
            </w:r>
          </w:p>
          <w:p w14:paraId="17080642" w14:textId="3D32028E" w:rsidR="004262D7" w:rsidRPr="004262D7" w:rsidRDefault="004262D7" w:rsidP="004262D7">
            <w:pPr>
              <w:pStyle w:val="PZTextbodu"/>
              <w:rPr>
                <w:sz w:val="18"/>
                <w:szCs w:val="18"/>
              </w:rPr>
            </w:pPr>
            <w:r w:rsidRPr="004262D7">
              <w:rPr>
                <w:sz w:val="18"/>
                <w:szCs w:val="18"/>
              </w:rPr>
              <w:t>1.</w:t>
            </w:r>
            <w:r w:rsidRPr="004262D7">
              <w:rPr>
                <w:sz w:val="18"/>
                <w:szCs w:val="18"/>
              </w:rPr>
              <w:tab/>
              <w:t xml:space="preserve">dílčí dorovnávací daně této členské entity v tomto státě za toto </w:t>
            </w:r>
            <w:r w:rsidRPr="004262D7">
              <w:rPr>
                <w:b/>
                <w:sz w:val="18"/>
                <w:szCs w:val="18"/>
                <w:u w:val="single"/>
              </w:rPr>
              <w:t>výkazní</w:t>
            </w:r>
            <w:r w:rsidRPr="004262D7">
              <w:rPr>
                <w:sz w:val="18"/>
                <w:szCs w:val="18"/>
              </w:rPr>
              <w:t xml:space="preserve"> období a</w:t>
            </w:r>
          </w:p>
          <w:p w14:paraId="29E4BF89" w14:textId="77777777" w:rsidR="004262D7" w:rsidRPr="004262D7" w:rsidRDefault="004262D7" w:rsidP="004262D7">
            <w:pPr>
              <w:pStyle w:val="PZTextbodu"/>
              <w:rPr>
                <w:sz w:val="18"/>
                <w:szCs w:val="18"/>
              </w:rPr>
            </w:pPr>
            <w:r w:rsidRPr="004262D7">
              <w:rPr>
                <w:sz w:val="18"/>
                <w:szCs w:val="18"/>
              </w:rPr>
              <w:t>2.</w:t>
            </w:r>
            <w:r w:rsidRPr="004262D7">
              <w:rPr>
                <w:sz w:val="18"/>
                <w:szCs w:val="18"/>
              </w:rPr>
              <w:tab/>
              <w:t>minimální daňové sazby.</w:t>
            </w:r>
          </w:p>
          <w:p w14:paraId="60BFD82E" w14:textId="2C3613D0" w:rsidR="008B606F" w:rsidRPr="004262D7" w:rsidRDefault="008B606F" w:rsidP="008B606F">
            <w:pPr>
              <w:widowControl w:val="0"/>
              <w:suppressAutoHyphens/>
              <w:ind w:left="57"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3AD5434A" w14:textId="0AD7E98F" w:rsidR="008B606F" w:rsidRPr="00430543" w:rsidRDefault="008B606F" w:rsidP="008B606F">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1582466F" w14:textId="77777777" w:rsidR="008B606F" w:rsidRPr="00430543" w:rsidRDefault="008B606F" w:rsidP="008B606F">
            <w:pPr>
              <w:widowControl w:val="0"/>
              <w:ind w:left="57" w:right="113"/>
              <w:rPr>
                <w:sz w:val="18"/>
                <w:szCs w:val="18"/>
              </w:rPr>
            </w:pPr>
            <w:r w:rsidRPr="00430543">
              <w:rPr>
                <w:sz w:val="18"/>
                <w:szCs w:val="18"/>
              </w:rPr>
              <w:t xml:space="preserve">čl. 11 odst. 3 </w:t>
            </w:r>
          </w:p>
          <w:p w14:paraId="3B6DB9EA" w14:textId="77777777" w:rsidR="008B606F" w:rsidRPr="00430543" w:rsidRDefault="008B606F" w:rsidP="008B606F">
            <w:pPr>
              <w:widowControl w:val="0"/>
              <w:ind w:left="57" w:right="113"/>
              <w:rPr>
                <w:sz w:val="18"/>
                <w:szCs w:val="18"/>
              </w:rPr>
            </w:pPr>
          </w:p>
          <w:p w14:paraId="0F633301" w14:textId="77777777" w:rsidR="008B606F" w:rsidRPr="00430543" w:rsidRDefault="008B606F" w:rsidP="008B606F">
            <w:pPr>
              <w:widowControl w:val="0"/>
              <w:ind w:left="57" w:right="113"/>
              <w:rPr>
                <w:sz w:val="18"/>
                <w:szCs w:val="18"/>
              </w:rPr>
            </w:pPr>
          </w:p>
          <w:p w14:paraId="43757040" w14:textId="77777777" w:rsidR="008B606F" w:rsidRPr="00430543" w:rsidRDefault="008B606F" w:rsidP="008B606F">
            <w:pPr>
              <w:widowControl w:val="0"/>
              <w:ind w:left="57" w:right="113"/>
              <w:rPr>
                <w:sz w:val="18"/>
                <w:szCs w:val="18"/>
              </w:rPr>
            </w:pPr>
          </w:p>
          <w:p w14:paraId="737B34EA" w14:textId="77777777" w:rsidR="008B606F" w:rsidRPr="00430543" w:rsidRDefault="008B606F" w:rsidP="008B606F">
            <w:pPr>
              <w:widowControl w:val="0"/>
              <w:ind w:left="57" w:right="113"/>
              <w:rPr>
                <w:sz w:val="18"/>
                <w:szCs w:val="18"/>
              </w:rPr>
            </w:pPr>
          </w:p>
          <w:p w14:paraId="68D0BA94" w14:textId="77777777" w:rsidR="008B606F" w:rsidRPr="00430543" w:rsidRDefault="008B606F" w:rsidP="008B606F">
            <w:pPr>
              <w:widowControl w:val="0"/>
              <w:ind w:left="57" w:right="113"/>
              <w:rPr>
                <w:sz w:val="18"/>
                <w:szCs w:val="18"/>
              </w:rPr>
            </w:pPr>
          </w:p>
          <w:p w14:paraId="22833AE9" w14:textId="43A999C5" w:rsidR="008B606F" w:rsidRPr="00430543" w:rsidRDefault="008B606F" w:rsidP="008B606F">
            <w:pPr>
              <w:widowControl w:val="0"/>
              <w:ind w:left="57" w:right="113"/>
              <w:rPr>
                <w:sz w:val="18"/>
                <w:szCs w:val="18"/>
              </w:rPr>
            </w:pPr>
            <w:r w:rsidRPr="00430543">
              <w:rPr>
                <w:sz w:val="18"/>
                <w:szCs w:val="18"/>
              </w:rPr>
              <w:t>a čl. 29</w:t>
            </w:r>
            <w:r w:rsidR="004262D7">
              <w:rPr>
                <w:sz w:val="18"/>
                <w:szCs w:val="18"/>
              </w:rPr>
              <w:t xml:space="preserve"> odst. 1 až 3</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42236D15" w14:textId="63A972A1" w:rsidR="008B606F" w:rsidRDefault="008B606F" w:rsidP="008B606F">
            <w:pPr>
              <w:pStyle w:val="Default"/>
              <w:rPr>
                <w:rFonts w:ascii="Times New Roman" w:hAnsi="Times New Roman" w:cs="Times New Roman"/>
                <w:sz w:val="18"/>
                <w:szCs w:val="18"/>
              </w:rPr>
            </w:pPr>
            <w:r w:rsidRPr="003A01A2">
              <w:rPr>
                <w:rFonts w:ascii="Times New Roman" w:hAnsi="Times New Roman" w:cs="Times New Roman"/>
                <w:sz w:val="18"/>
                <w:szCs w:val="18"/>
              </w:rPr>
              <w:t>3.   Pokud není částka kvalifikované vnitrostátní dorovnávací daně za určité účetní období zaplacena během čtyř účetních období následujících po účetním období, v němž byla splatná, přičte se částka nezaplacené kvalifikované vnitrostátní dorovnávací daně k dorovnávací dani pro jurisdikci vypočtené podle čl. 27 odst. 3 a nemůže ji již vybrat členský stát, který učinil rozhodnutí podle odstavce 1 tohoto článku.</w:t>
            </w:r>
          </w:p>
          <w:p w14:paraId="3C09DB7F" w14:textId="77777777" w:rsidR="008B606F" w:rsidRDefault="008B606F" w:rsidP="008B606F">
            <w:pPr>
              <w:pStyle w:val="Default"/>
              <w:rPr>
                <w:rFonts w:ascii="Times New Roman" w:hAnsi="Times New Roman" w:cs="Times New Roman"/>
                <w:sz w:val="18"/>
                <w:szCs w:val="18"/>
              </w:rPr>
            </w:pPr>
          </w:p>
          <w:p w14:paraId="43534A88" w14:textId="09667E59" w:rsidR="008B606F" w:rsidRPr="003A01A2" w:rsidRDefault="008B606F" w:rsidP="008B606F">
            <w:pPr>
              <w:pStyle w:val="Default"/>
              <w:rPr>
                <w:rFonts w:ascii="Times New Roman" w:hAnsi="Times New Roman" w:cs="Times New Roman"/>
                <w:sz w:val="18"/>
                <w:szCs w:val="18"/>
              </w:rPr>
            </w:pPr>
            <w:r w:rsidRPr="003A01A2">
              <w:rPr>
                <w:rFonts w:ascii="Times New Roman" w:hAnsi="Times New Roman" w:cs="Times New Roman"/>
                <w:sz w:val="18"/>
                <w:szCs w:val="18"/>
              </w:rPr>
              <w:t>1.   Pokud podle čl. 11 odst. 3, čl. 16 odst. 7, čl. 22 odst. 6, čl. 25 odst. 1 a 4 a čl. 40 odst. 5 úprava zahrnutých daní nebo kvalifikovaného příjmu nebo ztráty vede k přepočtu efektivní daňové sazby a dorovnávací daně nadnárodní skupiny podniků nebo velké vnitrostátní skupiny za předchozí účetní období, přepočítá se efektivní daňová sazba a dorovnávací daň v souladu s pravidly stanovenými v článcích 26, 27 a 28. Každá částka přírůstkové dorovnávací daně vyplývající z takového přepočtu se považuje za dodatečnou dorovnávací daň pro účely čl. 27 odst. 3 za účetní období, v němž se provádí přepočet.</w:t>
            </w:r>
          </w:p>
          <w:p w14:paraId="6D5F14B3" w14:textId="77777777" w:rsidR="008B606F" w:rsidRPr="003A01A2" w:rsidRDefault="008B606F" w:rsidP="008B606F">
            <w:pPr>
              <w:pStyle w:val="Default"/>
              <w:rPr>
                <w:rFonts w:ascii="Times New Roman" w:hAnsi="Times New Roman" w:cs="Times New Roman"/>
                <w:sz w:val="18"/>
                <w:szCs w:val="18"/>
              </w:rPr>
            </w:pPr>
          </w:p>
          <w:p w14:paraId="73AA1A4D" w14:textId="77777777" w:rsidR="008B606F" w:rsidRPr="003A01A2" w:rsidRDefault="008B606F" w:rsidP="008B606F">
            <w:pPr>
              <w:pStyle w:val="Default"/>
              <w:rPr>
                <w:rFonts w:ascii="Times New Roman" w:hAnsi="Times New Roman" w:cs="Times New Roman"/>
                <w:sz w:val="18"/>
                <w:szCs w:val="18"/>
              </w:rPr>
            </w:pPr>
            <w:r w:rsidRPr="003A01A2">
              <w:rPr>
                <w:rFonts w:ascii="Times New Roman" w:hAnsi="Times New Roman" w:cs="Times New Roman"/>
                <w:sz w:val="18"/>
                <w:szCs w:val="18"/>
              </w:rPr>
              <w:t>2.   Pokud pro danou jurisdikci za účetní období existuje dodatečná dorovnávací daň, avšak neexistuje čistý kvalifikovaný příjem, kvalifikovaným příjmem každého z členských subjektů, které se nacházejí v dané jurisdikci, je částka rovnající se dorovnávací dani přidělené těmto členským subjektům podle čl. 27 odst. 5 a 6 a vydělené minimální daňovou sazbou.</w:t>
            </w:r>
          </w:p>
          <w:p w14:paraId="5FBFDECD" w14:textId="77777777" w:rsidR="008B606F" w:rsidRPr="003A01A2" w:rsidRDefault="008B606F" w:rsidP="008B606F">
            <w:pPr>
              <w:pStyle w:val="Default"/>
              <w:rPr>
                <w:rFonts w:ascii="Times New Roman" w:hAnsi="Times New Roman" w:cs="Times New Roman"/>
                <w:sz w:val="18"/>
                <w:szCs w:val="18"/>
              </w:rPr>
            </w:pPr>
          </w:p>
          <w:p w14:paraId="5ED34ECA" w14:textId="77777777" w:rsidR="008B606F" w:rsidRPr="003A01A2" w:rsidRDefault="008B606F" w:rsidP="008B606F">
            <w:pPr>
              <w:pStyle w:val="Default"/>
              <w:rPr>
                <w:rFonts w:ascii="Times New Roman" w:hAnsi="Times New Roman" w:cs="Times New Roman"/>
                <w:sz w:val="18"/>
                <w:szCs w:val="18"/>
              </w:rPr>
            </w:pPr>
            <w:r w:rsidRPr="003A01A2">
              <w:rPr>
                <w:rFonts w:ascii="Times New Roman" w:hAnsi="Times New Roman" w:cs="Times New Roman"/>
                <w:sz w:val="18"/>
                <w:szCs w:val="18"/>
              </w:rPr>
              <w:t xml:space="preserve">3.   Existuje-li splatná dodatečná dorovnávací daň podle čl. 21 odst. 5, kvalifikovaným příjmem každého členského subjektu, který se nachází v dané jurisdikci, je částka rovnající se dorovnávací dani přidělené tomuto členskému subjektu a vydělené minimální daňovou </w:t>
            </w:r>
            <w:r w:rsidRPr="003A01A2">
              <w:rPr>
                <w:rFonts w:ascii="Times New Roman" w:hAnsi="Times New Roman" w:cs="Times New Roman"/>
                <w:sz w:val="18"/>
                <w:szCs w:val="18"/>
              </w:rPr>
              <w:lastRenderedPageBreak/>
              <w:t>sazbou. Přidělení se provede poměrným dílem pro každý členský subjekt na základě tohoto vzorce:</w:t>
            </w:r>
          </w:p>
          <w:p w14:paraId="6B827FEF" w14:textId="5EC5F604" w:rsidR="008B606F" w:rsidRPr="003A01A2" w:rsidRDefault="008B606F" w:rsidP="008B606F">
            <w:pPr>
              <w:pStyle w:val="Default"/>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06CB1AD8" wp14:editId="51F46EED">
                  <wp:extent cx="2926080" cy="117508"/>
                  <wp:effectExtent l="0" t="0" r="7620" b="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2273" cy="119765"/>
                          </a:xfrm>
                          <a:prstGeom prst="rect">
                            <a:avLst/>
                          </a:prstGeom>
                          <a:noFill/>
                        </pic:spPr>
                      </pic:pic>
                    </a:graphicData>
                  </a:graphic>
                </wp:inline>
              </w:drawing>
            </w:r>
          </w:p>
          <w:p w14:paraId="0872EAE4" w14:textId="57D01058" w:rsidR="008B606F" w:rsidRPr="003A01A2" w:rsidRDefault="008B606F" w:rsidP="008B606F">
            <w:pPr>
              <w:pStyle w:val="Default"/>
              <w:rPr>
                <w:rFonts w:ascii="Times New Roman" w:hAnsi="Times New Roman" w:cs="Times New Roman"/>
                <w:sz w:val="18"/>
                <w:szCs w:val="18"/>
              </w:rPr>
            </w:pPr>
          </w:p>
          <w:p w14:paraId="1F77CBFF" w14:textId="3ABA0D2C" w:rsidR="008B606F" w:rsidRPr="007936DA" w:rsidRDefault="008B606F" w:rsidP="008B606F">
            <w:pPr>
              <w:pStyle w:val="Default"/>
              <w:rPr>
                <w:rFonts w:ascii="Times New Roman" w:hAnsi="Times New Roman" w:cs="Times New Roman"/>
                <w:sz w:val="18"/>
                <w:szCs w:val="18"/>
              </w:rPr>
            </w:pPr>
            <w:r w:rsidRPr="003A01A2">
              <w:rPr>
                <w:rFonts w:ascii="Times New Roman" w:hAnsi="Times New Roman" w:cs="Times New Roman"/>
                <w:sz w:val="18"/>
                <w:szCs w:val="18"/>
              </w:rPr>
              <w:t>Dodatečná dorovnávací daň se přidělí pouze členským subjektům, které vykážou částku upravené zahrnuté daně, která je nižší než nula a nižší než kvalifikovaný příjem nebo ztráta těchto členských subjektů po jejich vynás</w:t>
            </w:r>
            <w:r w:rsidR="0002496E">
              <w:rPr>
                <w:rFonts w:ascii="Times New Roman" w:hAnsi="Times New Roman" w:cs="Times New Roman"/>
                <w:sz w:val="18"/>
                <w:szCs w:val="18"/>
              </w:rPr>
              <w:t>obení minimální daňovou sazbou.</w:t>
            </w:r>
          </w:p>
        </w:tc>
      </w:tr>
      <w:tr w:rsidR="008B606F" w:rsidRPr="007936DA" w14:paraId="63167CCE"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45312AFD" w14:textId="71978E97" w:rsidR="008B606F" w:rsidRPr="00430543" w:rsidRDefault="008B606F" w:rsidP="008B606F">
            <w:pPr>
              <w:widowControl w:val="0"/>
              <w:suppressAutoHyphens/>
              <w:ind w:left="57" w:right="113"/>
              <w:jc w:val="both"/>
              <w:rPr>
                <w:sz w:val="18"/>
                <w:szCs w:val="18"/>
                <w:lang w:eastAsia="ar-SA"/>
              </w:rPr>
            </w:pPr>
            <w:r w:rsidRPr="00430543">
              <w:rPr>
                <w:sz w:val="18"/>
                <w:szCs w:val="18"/>
                <w:lang w:eastAsia="ar-SA"/>
              </w:rPr>
              <w:lastRenderedPageBreak/>
              <w:t>§ 91</w:t>
            </w:r>
            <w:r w:rsidR="0002496E">
              <w:rPr>
                <w:sz w:val="18"/>
                <w:szCs w:val="18"/>
                <w:lang w:eastAsia="ar-SA"/>
              </w:rPr>
              <w:t xml:space="preserve"> odst. 2</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2EF14C09" w14:textId="735224E1" w:rsidR="0002496E" w:rsidRPr="0002496E" w:rsidRDefault="008B606F" w:rsidP="0002496E">
            <w:pPr>
              <w:pStyle w:val="Textparagrafu"/>
              <w:rPr>
                <w:sz w:val="18"/>
                <w:szCs w:val="18"/>
              </w:rPr>
            </w:pPr>
            <w:r w:rsidRPr="0002496E">
              <w:rPr>
                <w:sz w:val="18"/>
                <w:szCs w:val="18"/>
                <w:lang w:eastAsia="ar-SA"/>
              </w:rPr>
              <w:t>(</w:t>
            </w:r>
            <w:r w:rsidR="0002496E">
              <w:rPr>
                <w:sz w:val="18"/>
                <w:szCs w:val="18"/>
                <w:lang w:eastAsia="ar-SA"/>
              </w:rPr>
              <w:t>2</w:t>
            </w:r>
            <w:r w:rsidRPr="0002496E">
              <w:rPr>
                <w:sz w:val="18"/>
                <w:szCs w:val="18"/>
                <w:lang w:eastAsia="ar-SA"/>
              </w:rPr>
              <w:t>)</w:t>
            </w:r>
            <w:r w:rsidRPr="0002496E">
              <w:rPr>
                <w:sz w:val="18"/>
                <w:szCs w:val="18"/>
                <w:lang w:eastAsia="ar-SA"/>
              </w:rPr>
              <w:tab/>
            </w:r>
            <w:r w:rsidR="0002496E">
              <w:rPr>
                <w:sz w:val="18"/>
                <w:szCs w:val="18"/>
                <w:lang w:eastAsia="ar-SA"/>
              </w:rPr>
              <w:t>U</w:t>
            </w:r>
            <w:r w:rsidR="0002496E" w:rsidRPr="0002496E">
              <w:rPr>
                <w:sz w:val="18"/>
                <w:szCs w:val="18"/>
              </w:rPr>
              <w:t xml:space="preserve">činí-li podávající členská entita rozhodnutí podle odstavce 1, platí, že jurisdikční dorovnávací daň skupiny ve </w:t>
            </w:r>
            <w:r w:rsidR="0002496E" w:rsidRPr="0002496E">
              <w:rPr>
                <w:b/>
                <w:sz w:val="18"/>
                <w:szCs w:val="18"/>
                <w:u w:val="single"/>
              </w:rPr>
              <w:t>výkazním</w:t>
            </w:r>
            <w:r w:rsidR="0002496E" w:rsidRPr="0002496E">
              <w:rPr>
                <w:sz w:val="18"/>
                <w:szCs w:val="18"/>
              </w:rPr>
              <w:t xml:space="preserve"> období a státě, pro které je toto rozhodnutí učiněno, je nulová, pokud průměr</w:t>
            </w:r>
          </w:p>
          <w:p w14:paraId="79FEAEBC" w14:textId="0F3D6FDF" w:rsidR="0002496E" w:rsidRPr="0002496E" w:rsidRDefault="0002496E" w:rsidP="0002496E">
            <w:pPr>
              <w:pStyle w:val="PZTextpsmene"/>
              <w:rPr>
                <w:sz w:val="18"/>
                <w:szCs w:val="18"/>
              </w:rPr>
            </w:pPr>
            <w:r w:rsidRPr="0002496E">
              <w:rPr>
                <w:sz w:val="18"/>
                <w:szCs w:val="18"/>
              </w:rPr>
              <w:t>a)</w:t>
            </w:r>
            <w:r w:rsidRPr="0002496E">
              <w:rPr>
                <w:sz w:val="18"/>
                <w:szCs w:val="18"/>
              </w:rPr>
              <w:tab/>
              <w:t>kvalifikovaných</w:t>
            </w:r>
            <w:r w:rsidRPr="0002496E" w:rsidDel="00937918">
              <w:rPr>
                <w:sz w:val="18"/>
                <w:szCs w:val="18"/>
              </w:rPr>
              <w:t xml:space="preserve"> </w:t>
            </w:r>
            <w:r w:rsidRPr="0002496E">
              <w:rPr>
                <w:sz w:val="18"/>
                <w:szCs w:val="18"/>
              </w:rPr>
              <w:t xml:space="preserve">výnosů všech členských entit z tohoto státu za toto </w:t>
            </w:r>
            <w:r w:rsidRPr="0002496E">
              <w:rPr>
                <w:b/>
                <w:sz w:val="18"/>
                <w:szCs w:val="18"/>
                <w:u w:val="single"/>
              </w:rPr>
              <w:t>výkazní</w:t>
            </w:r>
            <w:r w:rsidRPr="0002496E">
              <w:rPr>
                <w:sz w:val="18"/>
                <w:szCs w:val="18"/>
              </w:rPr>
              <w:t xml:space="preserve"> období a 2 bezprostředně předcházející výkazní období nepřesahuje částku odpovídající 10 000 000 EUR a</w:t>
            </w:r>
          </w:p>
          <w:p w14:paraId="3A826EB7" w14:textId="6E36D14C" w:rsidR="0002496E" w:rsidRPr="0002496E" w:rsidRDefault="0002496E" w:rsidP="0002496E">
            <w:pPr>
              <w:pStyle w:val="PZTextpsmene"/>
              <w:rPr>
                <w:sz w:val="18"/>
                <w:szCs w:val="18"/>
              </w:rPr>
            </w:pPr>
            <w:r w:rsidRPr="0002496E">
              <w:rPr>
                <w:sz w:val="18"/>
                <w:szCs w:val="18"/>
              </w:rPr>
              <w:lastRenderedPageBreak/>
              <w:t>b)</w:t>
            </w:r>
            <w:r w:rsidRPr="0002496E">
              <w:rPr>
                <w:sz w:val="18"/>
                <w:szCs w:val="18"/>
              </w:rPr>
              <w:tab/>
              <w:t xml:space="preserve">jurisdikčních kvalifikovaných zisků nebo ztrát skupiny v tomto státě za </w:t>
            </w:r>
            <w:r w:rsidRPr="0002496E">
              <w:rPr>
                <w:b/>
                <w:sz w:val="18"/>
                <w:szCs w:val="18"/>
                <w:u w:val="single"/>
              </w:rPr>
              <w:t>výkazní</w:t>
            </w:r>
            <w:r w:rsidRPr="0002496E">
              <w:rPr>
                <w:sz w:val="18"/>
                <w:szCs w:val="18"/>
              </w:rPr>
              <w:t xml:space="preserve"> období a 2 bezprostředně předcházející výkazní období představuje ztrátu nebo je nižší než částka odpovídající 1 000 000 EUR.</w:t>
            </w:r>
          </w:p>
          <w:p w14:paraId="0A4AF32C" w14:textId="763D7653" w:rsidR="008B606F" w:rsidRPr="00430543" w:rsidRDefault="008B606F" w:rsidP="008B606F">
            <w:pPr>
              <w:widowControl w:val="0"/>
              <w:suppressAutoHyphens/>
              <w:ind w:left="57"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785F887E" w14:textId="26DEDDA6" w:rsidR="008B606F" w:rsidRPr="00430543" w:rsidRDefault="008B606F" w:rsidP="008B606F">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04043BBE" w14:textId="76159053" w:rsidR="008B606F" w:rsidRPr="00430543" w:rsidRDefault="008B606F" w:rsidP="008B606F">
            <w:pPr>
              <w:widowControl w:val="0"/>
              <w:ind w:left="57" w:right="113"/>
              <w:rPr>
                <w:sz w:val="18"/>
                <w:szCs w:val="18"/>
              </w:rPr>
            </w:pPr>
            <w:r w:rsidRPr="00430543">
              <w:rPr>
                <w:sz w:val="18"/>
                <w:szCs w:val="18"/>
              </w:rPr>
              <w:t>čl. 30</w:t>
            </w:r>
            <w:r w:rsidR="0002496E">
              <w:rPr>
                <w:sz w:val="18"/>
                <w:szCs w:val="18"/>
              </w:rPr>
              <w:t xml:space="preserve"> odst. 1</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08742B6A" w14:textId="77777777" w:rsidR="008B606F" w:rsidRDefault="008B606F" w:rsidP="008B606F">
            <w:pPr>
              <w:pStyle w:val="Default"/>
              <w:rPr>
                <w:rFonts w:ascii="Times New Roman" w:hAnsi="Times New Roman" w:cs="Times New Roman"/>
                <w:sz w:val="18"/>
                <w:szCs w:val="18"/>
              </w:rPr>
            </w:pPr>
            <w:r w:rsidRPr="00CB03CD">
              <w:rPr>
                <w:rFonts w:ascii="Times New Roman" w:hAnsi="Times New Roman" w:cs="Times New Roman"/>
                <w:sz w:val="18"/>
                <w:szCs w:val="18"/>
              </w:rPr>
              <w:t>1.</w:t>
            </w:r>
            <w:r>
              <w:rPr>
                <w:rFonts w:ascii="Times New Roman" w:hAnsi="Times New Roman" w:cs="Times New Roman"/>
                <w:sz w:val="18"/>
                <w:szCs w:val="18"/>
              </w:rPr>
              <w:t xml:space="preserve"> </w:t>
            </w:r>
            <w:r w:rsidRPr="00CB03CD">
              <w:rPr>
                <w:rFonts w:ascii="Times New Roman" w:hAnsi="Times New Roman" w:cs="Times New Roman"/>
                <w:sz w:val="18"/>
                <w:szCs w:val="18"/>
              </w:rPr>
              <w:t>Odchylně od článků 26 až 29 a článku 31 se podávající členský subjekt může rozhodnout, že se splatná dorovnávací daň za členské subjekty nacházející se v určité jurisdikci za účetní období rovná nule, pokud v tomto účetním období:</w:t>
            </w:r>
            <w:r>
              <w:rPr>
                <w:rFonts w:ascii="Times New Roman" w:hAnsi="Times New Roman" w:cs="Times New Roman"/>
                <w:sz w:val="18"/>
                <w:szCs w:val="18"/>
              </w:rPr>
              <w:t xml:space="preserve"> </w:t>
            </w:r>
          </w:p>
          <w:p w14:paraId="29105499" w14:textId="6D719659" w:rsidR="008B606F" w:rsidRDefault="008B606F" w:rsidP="008B606F">
            <w:pPr>
              <w:pStyle w:val="Default"/>
              <w:rPr>
                <w:rFonts w:ascii="Times New Roman" w:hAnsi="Times New Roman" w:cs="Times New Roman"/>
                <w:sz w:val="18"/>
                <w:szCs w:val="18"/>
              </w:rPr>
            </w:pPr>
            <w:r w:rsidRPr="00CB03CD">
              <w:rPr>
                <w:rFonts w:ascii="Times New Roman" w:hAnsi="Times New Roman" w:cs="Times New Roman"/>
                <w:sz w:val="18"/>
                <w:szCs w:val="18"/>
              </w:rPr>
              <w:t>a)</w:t>
            </w:r>
            <w:r>
              <w:rPr>
                <w:rFonts w:ascii="Times New Roman" w:hAnsi="Times New Roman" w:cs="Times New Roman"/>
                <w:sz w:val="18"/>
                <w:szCs w:val="18"/>
              </w:rPr>
              <w:t xml:space="preserve"> </w:t>
            </w:r>
            <w:r w:rsidRPr="00CB03CD">
              <w:rPr>
                <w:rFonts w:ascii="Times New Roman" w:hAnsi="Times New Roman" w:cs="Times New Roman"/>
                <w:sz w:val="18"/>
                <w:szCs w:val="18"/>
              </w:rPr>
              <w:t>průměrný kvalifikovaný výnos všech členských subjektů, které se nacházejí v této jurisdikci, je nižší než 10 000 000 EUR a</w:t>
            </w:r>
            <w:r>
              <w:rPr>
                <w:rFonts w:ascii="Times New Roman" w:hAnsi="Times New Roman" w:cs="Times New Roman"/>
                <w:sz w:val="18"/>
                <w:szCs w:val="18"/>
              </w:rPr>
              <w:t xml:space="preserve"> </w:t>
            </w:r>
          </w:p>
          <w:p w14:paraId="1B5E39E9" w14:textId="4444869A" w:rsidR="008B606F" w:rsidRDefault="008B606F" w:rsidP="008B606F">
            <w:pPr>
              <w:pStyle w:val="Default"/>
              <w:rPr>
                <w:rFonts w:ascii="Times New Roman" w:hAnsi="Times New Roman" w:cs="Times New Roman"/>
                <w:sz w:val="18"/>
                <w:szCs w:val="18"/>
              </w:rPr>
            </w:pPr>
            <w:r w:rsidRPr="00CB03CD">
              <w:rPr>
                <w:rFonts w:ascii="Times New Roman" w:hAnsi="Times New Roman" w:cs="Times New Roman"/>
                <w:sz w:val="18"/>
                <w:szCs w:val="18"/>
              </w:rPr>
              <w:t>b)</w:t>
            </w:r>
            <w:r>
              <w:rPr>
                <w:rFonts w:ascii="Times New Roman" w:hAnsi="Times New Roman" w:cs="Times New Roman"/>
                <w:sz w:val="18"/>
                <w:szCs w:val="18"/>
              </w:rPr>
              <w:t xml:space="preserve"> </w:t>
            </w:r>
            <w:r w:rsidRPr="00CB03CD">
              <w:rPr>
                <w:rFonts w:ascii="Times New Roman" w:hAnsi="Times New Roman" w:cs="Times New Roman"/>
                <w:sz w:val="18"/>
                <w:szCs w:val="18"/>
              </w:rPr>
              <w:t>průměrný kvalifikovaný příjem nebo ztráta všech členských subjektů v dané jurisdikci představují ztrátu nebo jsou nižší než 1 000 000 EUR.</w:t>
            </w:r>
            <w:r>
              <w:rPr>
                <w:rFonts w:ascii="Times New Roman" w:hAnsi="Times New Roman" w:cs="Times New Roman"/>
                <w:sz w:val="18"/>
                <w:szCs w:val="18"/>
              </w:rPr>
              <w:t xml:space="preserve"> </w:t>
            </w:r>
          </w:p>
          <w:p w14:paraId="3174A624" w14:textId="4C0A46D5" w:rsidR="008B606F" w:rsidRPr="007936DA" w:rsidRDefault="008B606F" w:rsidP="008B606F">
            <w:pPr>
              <w:pStyle w:val="Default"/>
              <w:rPr>
                <w:rFonts w:ascii="Times New Roman" w:hAnsi="Times New Roman" w:cs="Times New Roman"/>
                <w:sz w:val="18"/>
                <w:szCs w:val="18"/>
              </w:rPr>
            </w:pPr>
            <w:r w:rsidRPr="00CB03CD">
              <w:rPr>
                <w:rFonts w:ascii="Times New Roman" w:hAnsi="Times New Roman" w:cs="Times New Roman"/>
                <w:sz w:val="18"/>
                <w:szCs w:val="18"/>
              </w:rPr>
              <w:t>Toto rozhodnutí se činí každoročně v souladu s čl. 45 odst. 2.</w:t>
            </w:r>
            <w:r w:rsidR="0002496E">
              <w:rPr>
                <w:rFonts w:ascii="Times New Roman" w:hAnsi="Times New Roman" w:cs="Times New Roman"/>
                <w:sz w:val="18"/>
                <w:szCs w:val="18"/>
              </w:rPr>
              <w:t xml:space="preserve">  </w:t>
            </w:r>
          </w:p>
        </w:tc>
      </w:tr>
      <w:tr w:rsidR="008B606F" w:rsidRPr="007936DA" w14:paraId="4DC7FA64"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70BEE0D8" w14:textId="77777777" w:rsidR="008B606F" w:rsidRPr="00430543" w:rsidRDefault="008B606F" w:rsidP="008B606F">
            <w:pPr>
              <w:widowControl w:val="0"/>
              <w:suppressAutoHyphens/>
              <w:ind w:left="57" w:right="113"/>
              <w:jc w:val="both"/>
              <w:rPr>
                <w:sz w:val="18"/>
                <w:szCs w:val="18"/>
                <w:lang w:eastAsia="ar-SA"/>
              </w:rPr>
            </w:pPr>
            <w:r w:rsidRPr="00430543">
              <w:rPr>
                <w:sz w:val="18"/>
                <w:szCs w:val="18"/>
                <w:lang w:eastAsia="ar-SA"/>
              </w:rPr>
              <w:t>§ 92</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689C2AF1" w14:textId="4EAF0BE5" w:rsidR="0002496E" w:rsidRPr="0002496E" w:rsidRDefault="0002496E" w:rsidP="0002496E">
            <w:pPr>
              <w:pStyle w:val="Textparagrafu"/>
              <w:rPr>
                <w:sz w:val="18"/>
                <w:szCs w:val="18"/>
              </w:rPr>
            </w:pPr>
            <w:r w:rsidRPr="0002496E">
              <w:rPr>
                <w:sz w:val="18"/>
                <w:szCs w:val="18"/>
              </w:rPr>
              <w:t xml:space="preserve">(1) Platí, že jurisdikční dorovnávací daň skupiny pro členský stát, který zavedl kvalifikovanou vnitrostátní dorovnávací daň, je pro dané </w:t>
            </w:r>
            <w:r w:rsidRPr="0002496E">
              <w:rPr>
                <w:b/>
                <w:sz w:val="18"/>
                <w:szCs w:val="18"/>
                <w:u w:val="single"/>
              </w:rPr>
              <w:t>výkazní</w:t>
            </w:r>
            <w:r w:rsidRPr="0002496E">
              <w:rPr>
                <w:sz w:val="18"/>
                <w:szCs w:val="18"/>
              </w:rPr>
              <w:t xml:space="preserve"> období nulová, pokud je členským entitám z tohoto členského státu v tomto </w:t>
            </w:r>
            <w:r w:rsidRPr="0002496E">
              <w:rPr>
                <w:b/>
                <w:sz w:val="18"/>
                <w:szCs w:val="18"/>
                <w:u w:val="single"/>
              </w:rPr>
              <w:t>výkazním</w:t>
            </w:r>
            <w:r w:rsidRPr="0002496E">
              <w:rPr>
                <w:sz w:val="18"/>
                <w:szCs w:val="18"/>
              </w:rPr>
              <w:t xml:space="preserve"> období stanovena kvalifikovaná vnitrostátní dorovnávací daň vypočítaná na základě údajů podle</w:t>
            </w:r>
          </w:p>
          <w:p w14:paraId="4A283EC9" w14:textId="77777777" w:rsidR="0002496E" w:rsidRPr="0002496E" w:rsidRDefault="0002496E" w:rsidP="0002496E">
            <w:pPr>
              <w:pStyle w:val="PZTextpsmene"/>
              <w:rPr>
                <w:sz w:val="18"/>
                <w:szCs w:val="18"/>
              </w:rPr>
            </w:pPr>
            <w:r w:rsidRPr="0002496E">
              <w:rPr>
                <w:sz w:val="18"/>
                <w:szCs w:val="18"/>
              </w:rPr>
              <w:t>a)</w:t>
            </w:r>
            <w:r w:rsidRPr="0002496E">
              <w:rPr>
                <w:sz w:val="18"/>
                <w:szCs w:val="18"/>
              </w:rPr>
              <w:tab/>
              <w:t>rámce účetního výkaznictví, podle kterého sestavuje finanční výkazy nejvyšší mateřská entita a který je přijatelným účetním standardem, nebo</w:t>
            </w:r>
          </w:p>
          <w:p w14:paraId="04FD79B1" w14:textId="77777777" w:rsidR="0002496E" w:rsidRPr="0002496E" w:rsidRDefault="0002496E" w:rsidP="0002496E">
            <w:pPr>
              <w:pStyle w:val="PZTextpsmene"/>
              <w:rPr>
                <w:sz w:val="18"/>
                <w:szCs w:val="18"/>
              </w:rPr>
            </w:pPr>
            <w:r w:rsidRPr="0002496E">
              <w:rPr>
                <w:sz w:val="18"/>
                <w:szCs w:val="18"/>
              </w:rPr>
              <w:t>b)</w:t>
            </w:r>
            <w:r w:rsidRPr="0002496E">
              <w:rPr>
                <w:sz w:val="18"/>
                <w:szCs w:val="18"/>
              </w:rPr>
              <w:tab/>
              <w:t>mezinárodních účetních standardů.</w:t>
            </w:r>
          </w:p>
          <w:p w14:paraId="0B323885" w14:textId="781E92B7" w:rsidR="0002496E" w:rsidRPr="0002496E" w:rsidRDefault="0002496E" w:rsidP="0002496E">
            <w:pPr>
              <w:pStyle w:val="Textparagrafu"/>
              <w:rPr>
                <w:sz w:val="18"/>
                <w:szCs w:val="18"/>
              </w:rPr>
            </w:pPr>
            <w:r w:rsidRPr="0002496E">
              <w:rPr>
                <w:sz w:val="18"/>
                <w:szCs w:val="18"/>
              </w:rPr>
              <w:t xml:space="preserve">(2) Platí, že jurisdikční dorovnávací daň skupiny podle odstavce 1 pro členský stát, který zavedl kvalifikovanou vnitrostátní dorovnávací daň, pro dané </w:t>
            </w:r>
            <w:r w:rsidRPr="0002496E">
              <w:rPr>
                <w:b/>
                <w:sz w:val="18"/>
                <w:szCs w:val="18"/>
                <w:u w:val="single"/>
              </w:rPr>
              <w:t>výkazní</w:t>
            </w:r>
            <w:r w:rsidRPr="0002496E">
              <w:rPr>
                <w:sz w:val="18"/>
                <w:szCs w:val="18"/>
              </w:rPr>
              <w:t xml:space="preserve"> období činí částku odpovídající dodatečné dorovnávací dani pro toto </w:t>
            </w:r>
            <w:r w:rsidRPr="0002496E">
              <w:rPr>
                <w:b/>
                <w:sz w:val="18"/>
                <w:szCs w:val="18"/>
                <w:u w:val="single"/>
              </w:rPr>
              <w:t>výkazní</w:t>
            </w:r>
            <w:r w:rsidRPr="0002496E">
              <w:rPr>
                <w:sz w:val="18"/>
                <w:szCs w:val="18"/>
              </w:rPr>
              <w:t xml:space="preserve"> období v tomto státě, pokud</w:t>
            </w:r>
          </w:p>
          <w:p w14:paraId="20AF0928" w14:textId="54846AC5" w:rsidR="0002496E" w:rsidRPr="0002496E" w:rsidRDefault="0002496E" w:rsidP="0002496E">
            <w:pPr>
              <w:pStyle w:val="PZTextpsmene"/>
              <w:rPr>
                <w:sz w:val="18"/>
                <w:szCs w:val="18"/>
              </w:rPr>
            </w:pPr>
            <w:r w:rsidRPr="0002496E">
              <w:rPr>
                <w:sz w:val="18"/>
                <w:szCs w:val="18"/>
              </w:rPr>
              <w:t>a)</w:t>
            </w:r>
            <w:r w:rsidRPr="0002496E">
              <w:rPr>
                <w:sz w:val="18"/>
                <w:szCs w:val="18"/>
              </w:rPr>
              <w:tab/>
              <w:t xml:space="preserve">skupině pro toto </w:t>
            </w:r>
            <w:r w:rsidRPr="0002496E">
              <w:rPr>
                <w:b/>
                <w:sz w:val="18"/>
                <w:szCs w:val="18"/>
                <w:u w:val="single"/>
              </w:rPr>
              <w:t>výkazní</w:t>
            </w:r>
            <w:r w:rsidRPr="0002496E">
              <w:rPr>
                <w:sz w:val="18"/>
                <w:szCs w:val="18"/>
              </w:rPr>
              <w:t xml:space="preserve"> období a stát vzniká tato dodatečná dorovnávací daň a</w:t>
            </w:r>
          </w:p>
          <w:p w14:paraId="65C4C1E4" w14:textId="78246BD9" w:rsidR="008B606F" w:rsidRPr="00430543" w:rsidRDefault="0002496E" w:rsidP="00FC52EA">
            <w:pPr>
              <w:pStyle w:val="PZTextpsmene"/>
              <w:rPr>
                <w:sz w:val="18"/>
                <w:szCs w:val="18"/>
              </w:rPr>
            </w:pPr>
            <w:r w:rsidRPr="0002496E">
              <w:rPr>
                <w:sz w:val="18"/>
                <w:szCs w:val="18"/>
              </w:rPr>
              <w:t>b)</w:t>
            </w:r>
            <w:r w:rsidRPr="0002496E">
              <w:rPr>
                <w:sz w:val="18"/>
                <w:szCs w:val="18"/>
              </w:rPr>
              <w:tab/>
              <w:t>tato dodatečná dorovnávací daň není zahrnuta v této kvalifikované</w:t>
            </w:r>
            <w:r w:rsidR="00FC52EA">
              <w:rPr>
                <w:sz w:val="18"/>
                <w:szCs w:val="18"/>
              </w:rPr>
              <w:t xml:space="preserve"> vnitrostátní dorovnávací dani.</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84F38BF" w14:textId="4EE9EB9E" w:rsidR="008B606F" w:rsidRPr="00430543" w:rsidRDefault="008B606F" w:rsidP="008B606F">
            <w:pPr>
              <w:widowControl w:val="0"/>
              <w:ind w:left="57" w:right="113"/>
              <w:rPr>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2240C6F6" w14:textId="6B6B3AAA" w:rsidR="008B606F" w:rsidRPr="00430543" w:rsidRDefault="008B606F" w:rsidP="00FC52EA">
            <w:pPr>
              <w:widowControl w:val="0"/>
              <w:ind w:left="57" w:right="113"/>
              <w:rPr>
                <w:sz w:val="18"/>
                <w:szCs w:val="18"/>
              </w:rPr>
            </w:pPr>
            <w:r w:rsidRPr="00430543">
              <w:rPr>
                <w:sz w:val="18"/>
                <w:szCs w:val="18"/>
              </w:rPr>
              <w:t>č</w:t>
            </w:r>
            <w:r w:rsidR="00FC52EA">
              <w:rPr>
                <w:sz w:val="18"/>
                <w:szCs w:val="18"/>
              </w:rPr>
              <w:t>l. 11 odst. 2 pododstavec druhý</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2A1DA176" w14:textId="40221C7E" w:rsidR="008B606F" w:rsidRPr="007936DA" w:rsidRDefault="008B606F" w:rsidP="008B606F">
            <w:pPr>
              <w:pStyle w:val="Default"/>
              <w:rPr>
                <w:rFonts w:ascii="Times New Roman" w:hAnsi="Times New Roman" w:cs="Times New Roman"/>
                <w:sz w:val="18"/>
                <w:szCs w:val="18"/>
              </w:rPr>
            </w:pPr>
            <w:r>
              <w:rPr>
                <w:rFonts w:ascii="Times New Roman" w:hAnsi="Times New Roman" w:cs="Times New Roman"/>
                <w:sz w:val="18"/>
                <w:szCs w:val="18"/>
              </w:rPr>
              <w:t>…</w:t>
            </w:r>
            <w:r w:rsidRPr="009C08CC">
              <w:rPr>
                <w:rFonts w:ascii="Times New Roman" w:hAnsi="Times New Roman" w:cs="Times New Roman"/>
                <w:sz w:val="18"/>
                <w:szCs w:val="18"/>
              </w:rPr>
              <w:t>Bez ohledu na první pododstavec platí, že pokud byla kvalifikovaná vnitrostátní dorovnávací daň za určité účetní období vypočítána v souladu s přijatelným účetním standardem nejvyššího mateřského subjektu nebo s mezinárodními standardy účetního výkaznictví (IFRS nebo IFRS ve znění přijatém Unií podle nařízení (ES) č. 1606/2002), nevypočítá se ve vztahu k členským subjektům uvedené nadnárodní skupiny podniků nebo velké vnitrostátní skupiny nacházejícím se v uvedeném členském státě za dané účetní období žádná dorovnávací daň v souladu s článkem 27. Tímto pododstavcem není dotčen výpočet jakékoli dodatečné dorovnávací daně podle článku 29 v případě, že členský stát neuplatní kvalifikovanou vnitrostátní dorovnávací daň k výběru jakékoli dodatečné dorovnávací daně vyplývající z článku 29.</w:t>
            </w:r>
          </w:p>
        </w:tc>
      </w:tr>
      <w:tr w:rsidR="0002496E" w:rsidRPr="007936DA" w14:paraId="75BA9833"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4B47FAB0" w14:textId="142E4F93"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 92</w:t>
            </w:r>
            <w:r>
              <w:rPr>
                <w:sz w:val="18"/>
                <w:szCs w:val="18"/>
                <w:lang w:eastAsia="ar-SA"/>
              </w:rPr>
              <w:t>a</w:t>
            </w:r>
            <w:r w:rsidR="00757DD7">
              <w:rPr>
                <w:sz w:val="18"/>
                <w:szCs w:val="18"/>
                <w:lang w:eastAsia="ar-SA"/>
              </w:rPr>
              <w:t xml:space="preserve"> odst. 1 věta první a odst. 2</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16D6D5F2" w14:textId="7E09CD4C" w:rsidR="00757DD7" w:rsidRPr="00757DD7" w:rsidRDefault="001835E3" w:rsidP="00757DD7">
            <w:pPr>
              <w:pStyle w:val="Textparagrafu"/>
              <w:rPr>
                <w:sz w:val="18"/>
                <w:szCs w:val="18"/>
              </w:rPr>
            </w:pPr>
            <w:r w:rsidRPr="001835E3">
              <w:rPr>
                <w:b/>
                <w:sz w:val="18"/>
                <w:szCs w:val="18"/>
                <w:u w:val="single"/>
              </w:rPr>
              <w:t xml:space="preserve">(1) </w:t>
            </w:r>
            <w:r w:rsidR="00757DD7" w:rsidRPr="001835E3">
              <w:rPr>
                <w:b/>
                <w:sz w:val="18"/>
                <w:szCs w:val="18"/>
                <w:u w:val="single"/>
              </w:rPr>
              <w:t>Podávající členská entita může ve vztahu k jednotlivému výkaznímu období a státu učinit krátkodobé rozhodnutí ohledně použití pravidla bezpečného přístavu.</w:t>
            </w:r>
            <w:r w:rsidR="00757DD7" w:rsidRPr="00757DD7">
              <w:rPr>
                <w:sz w:val="18"/>
                <w:szCs w:val="18"/>
              </w:rPr>
              <w:t xml:space="preserve"> </w:t>
            </w:r>
            <w:r w:rsidR="00757DD7">
              <w:rPr>
                <w:sz w:val="18"/>
                <w:szCs w:val="18"/>
              </w:rPr>
              <w:t>[</w:t>
            </w:r>
            <w:r w:rsidR="00890579">
              <w:rPr>
                <w:sz w:val="18"/>
                <w:szCs w:val="18"/>
              </w:rPr>
              <w:t>…</w:t>
            </w:r>
            <w:r w:rsidR="00757DD7">
              <w:rPr>
                <w:sz w:val="18"/>
                <w:szCs w:val="18"/>
              </w:rPr>
              <w:t>]</w:t>
            </w:r>
          </w:p>
          <w:p w14:paraId="4ADA7397" w14:textId="77777777" w:rsidR="00757DD7" w:rsidRPr="001835E3" w:rsidRDefault="00757DD7" w:rsidP="00757DD7">
            <w:pPr>
              <w:pStyle w:val="Textparagrafu"/>
              <w:rPr>
                <w:b/>
                <w:sz w:val="18"/>
                <w:szCs w:val="18"/>
                <w:u w:val="single"/>
              </w:rPr>
            </w:pPr>
            <w:r w:rsidRPr="001835E3">
              <w:rPr>
                <w:b/>
                <w:sz w:val="18"/>
                <w:szCs w:val="18"/>
                <w:u w:val="single"/>
              </w:rPr>
              <w:t xml:space="preserve">(2) Učiní-li podávající členská entita rozhodnutí podle odstavce 1 a postupuje-li se v daném výkazním období a státě podle tohoto pravidla, platí, že jurisdikční dorovnávací daň </w:t>
            </w:r>
            <w:r w:rsidRPr="001835E3">
              <w:rPr>
                <w:b/>
                <w:sz w:val="18"/>
                <w:szCs w:val="18"/>
                <w:u w:val="single"/>
              </w:rPr>
              <w:lastRenderedPageBreak/>
              <w:t>skupiny pro tento stát a dané výkazní období je nulová.</w:t>
            </w:r>
          </w:p>
          <w:p w14:paraId="236917C4" w14:textId="3A657CD9"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11C18E47" w14:textId="62736008" w:rsidR="0002496E" w:rsidRPr="00430543" w:rsidRDefault="0002496E" w:rsidP="0002496E">
            <w:pPr>
              <w:widowControl w:val="0"/>
              <w:ind w:left="57" w:right="113"/>
              <w:rPr>
                <w:color w:val="000000"/>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497BE5A0" w14:textId="22EF9D70" w:rsidR="0002496E" w:rsidRPr="00430543" w:rsidRDefault="0002496E" w:rsidP="0002496E">
            <w:pPr>
              <w:widowControl w:val="0"/>
              <w:ind w:left="57" w:right="113"/>
              <w:rPr>
                <w:sz w:val="18"/>
                <w:szCs w:val="18"/>
              </w:rPr>
            </w:pPr>
            <w:r w:rsidRPr="00430543">
              <w:rPr>
                <w:sz w:val="18"/>
                <w:szCs w:val="18"/>
              </w:rPr>
              <w:t>čl. 32</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6EED217A" w14:textId="77777777" w:rsidR="0002496E" w:rsidRPr="009C08CC" w:rsidRDefault="0002496E" w:rsidP="0002496E">
            <w:pPr>
              <w:pStyle w:val="Default"/>
              <w:rPr>
                <w:rFonts w:ascii="Times New Roman" w:hAnsi="Times New Roman" w:cs="Times New Roman"/>
                <w:sz w:val="18"/>
                <w:szCs w:val="18"/>
              </w:rPr>
            </w:pPr>
            <w:r w:rsidRPr="009C08CC">
              <w:rPr>
                <w:rFonts w:ascii="Times New Roman" w:hAnsi="Times New Roman" w:cs="Times New Roman"/>
                <w:sz w:val="18"/>
                <w:szCs w:val="18"/>
              </w:rPr>
              <w:t>Odchylně od článků 26 až 31 členské státy zajistí, aby se v případě, že se tak podávající členský subjekt rozhodne, dorovnávací daň splatná skupinou v určité jurisdikci považovala v daném účetním období za nulovou, jestliže efektivní úroveň zdanění členských subjektů, které se nacházejí v této jurisdikci, splňuje podmínky kvalifikované mezinárodní dohody o bezpečných přístavech.</w:t>
            </w:r>
          </w:p>
          <w:p w14:paraId="31250EEE" w14:textId="1A2A3A83" w:rsidR="0002496E" w:rsidRDefault="0002496E" w:rsidP="0002496E">
            <w:pPr>
              <w:pStyle w:val="Default"/>
              <w:rPr>
                <w:rFonts w:ascii="Times New Roman" w:hAnsi="Times New Roman" w:cs="Times New Roman"/>
                <w:sz w:val="18"/>
                <w:szCs w:val="18"/>
              </w:rPr>
            </w:pPr>
            <w:r w:rsidRPr="009C08CC">
              <w:rPr>
                <w:rFonts w:ascii="Times New Roman" w:hAnsi="Times New Roman" w:cs="Times New Roman"/>
                <w:sz w:val="18"/>
                <w:szCs w:val="18"/>
              </w:rPr>
              <w:t>Pro účely prvního pododstavce se „kvalifikovanou mezinárodní dohodou o bezpečných přístavech rozumí mezinárodní soubor pravidel a podmínek, s nímž všechny členské státy souhlasily a který skupinám spadajícím do působnosti této směrnice poskytuje možnost zvolit si pro určitou jurisdikci jeden nebo více bezpečných přístavů.</w:t>
            </w:r>
          </w:p>
        </w:tc>
      </w:tr>
      <w:tr w:rsidR="0002496E" w:rsidRPr="007936DA" w14:paraId="62CA4F99"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0BDDB5F5"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 93</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539A337F" w14:textId="6B56714A" w:rsidR="0002496E" w:rsidRPr="00430543" w:rsidRDefault="0002496E" w:rsidP="008F1DEF">
            <w:pPr>
              <w:widowControl w:val="0"/>
              <w:suppressAutoHyphens/>
              <w:ind w:left="57" w:right="113"/>
              <w:jc w:val="both"/>
              <w:rPr>
                <w:sz w:val="18"/>
                <w:szCs w:val="18"/>
                <w:lang w:eastAsia="ar-SA"/>
              </w:rPr>
            </w:pPr>
            <w:r w:rsidRPr="00430543">
              <w:rPr>
                <w:sz w:val="18"/>
                <w:szCs w:val="18"/>
                <w:lang w:eastAsia="ar-SA"/>
              </w:rPr>
              <w:t xml:space="preserve">Nejvyšší mateřská entita, která je členskou entitou, podléhá pravidlu pro zahrnutí zisku, pokud alespoň po část </w:t>
            </w:r>
            <w:r w:rsidR="008F1DEF">
              <w:rPr>
                <w:b/>
                <w:sz w:val="18"/>
                <w:szCs w:val="18"/>
                <w:u w:val="single"/>
                <w:lang w:eastAsia="ar-SA"/>
              </w:rPr>
              <w:t>výkazního</w:t>
            </w:r>
            <w:r w:rsidRPr="00430543">
              <w:rPr>
                <w:sz w:val="18"/>
                <w:szCs w:val="18"/>
                <w:lang w:eastAsia="ar-SA"/>
              </w:rPr>
              <w:t xml:space="preserve"> období přímo nebo nepřímo drží vlastnický podíl v alespoň jedné nízce zdaněné členské entitě.</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5DB67184" w14:textId="7F00DCB8" w:rsidR="0002496E" w:rsidRPr="00430543" w:rsidRDefault="0002496E" w:rsidP="0002496E">
            <w:pPr>
              <w:widowControl w:val="0"/>
              <w:ind w:left="57" w:right="113"/>
              <w:rPr>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3B2DC1C0" w14:textId="594B24F0" w:rsidR="0002496E" w:rsidRPr="00430543" w:rsidRDefault="0002496E" w:rsidP="0002496E">
            <w:pPr>
              <w:widowControl w:val="0"/>
              <w:ind w:left="57" w:right="113"/>
              <w:rPr>
                <w:sz w:val="18"/>
                <w:szCs w:val="18"/>
              </w:rPr>
            </w:pPr>
            <w:r w:rsidRPr="00430543">
              <w:rPr>
                <w:sz w:val="18"/>
                <w:szCs w:val="18"/>
              </w:rPr>
              <w:t>čl. 5</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0791B7F7" w14:textId="1AC281BA" w:rsidR="0002496E" w:rsidRPr="009C08CC" w:rsidRDefault="0002496E" w:rsidP="0002496E">
            <w:pPr>
              <w:pStyle w:val="Default"/>
              <w:rPr>
                <w:rFonts w:ascii="Times New Roman" w:hAnsi="Times New Roman" w:cs="Times New Roman"/>
                <w:sz w:val="18"/>
                <w:szCs w:val="18"/>
              </w:rPr>
            </w:pPr>
            <w:r w:rsidRPr="009C08CC">
              <w:rPr>
                <w:rFonts w:ascii="Times New Roman" w:hAnsi="Times New Roman" w:cs="Times New Roman"/>
                <w:sz w:val="18"/>
                <w:szCs w:val="18"/>
              </w:rPr>
              <w:t>1.</w:t>
            </w:r>
            <w:r>
              <w:rPr>
                <w:rFonts w:ascii="Times New Roman" w:hAnsi="Times New Roman" w:cs="Times New Roman"/>
                <w:sz w:val="18"/>
                <w:szCs w:val="18"/>
              </w:rPr>
              <w:t xml:space="preserve"> </w:t>
            </w:r>
            <w:r w:rsidRPr="009C08CC">
              <w:rPr>
                <w:rFonts w:ascii="Times New Roman" w:hAnsi="Times New Roman" w:cs="Times New Roman"/>
                <w:sz w:val="18"/>
                <w:szCs w:val="18"/>
              </w:rPr>
              <w:t>Členské státy zajistí, aby nejvyšší mateřský subjekt, jenž je členským subjektem nacházejícím se v členském státě, podléhal za dané účetní období ve vztahu ke svým nízce zdaněným členským subjektům, které se nacházejí v jiné jurisdikci nebo které jsou bez státní příslušnosti, dorovnávací dani („dorovnávací daň podle pravidla pro zahrnutí příjmů“).</w:t>
            </w:r>
          </w:p>
          <w:p w14:paraId="656EB2B2" w14:textId="69175E86" w:rsidR="0002496E" w:rsidRPr="007936DA" w:rsidRDefault="0002496E" w:rsidP="0002496E">
            <w:pPr>
              <w:pStyle w:val="Default"/>
              <w:rPr>
                <w:rFonts w:ascii="Times New Roman" w:hAnsi="Times New Roman" w:cs="Times New Roman"/>
                <w:sz w:val="18"/>
                <w:szCs w:val="18"/>
              </w:rPr>
            </w:pPr>
            <w:r w:rsidRPr="009C08CC">
              <w:rPr>
                <w:rFonts w:ascii="Times New Roman" w:hAnsi="Times New Roman" w:cs="Times New Roman"/>
                <w:sz w:val="18"/>
                <w:szCs w:val="18"/>
              </w:rPr>
              <w:t>2.</w:t>
            </w:r>
            <w:r>
              <w:rPr>
                <w:rFonts w:ascii="Times New Roman" w:hAnsi="Times New Roman" w:cs="Times New Roman"/>
                <w:sz w:val="18"/>
                <w:szCs w:val="18"/>
              </w:rPr>
              <w:t xml:space="preserve"> </w:t>
            </w:r>
            <w:r w:rsidRPr="009C08CC">
              <w:rPr>
                <w:rFonts w:ascii="Times New Roman" w:hAnsi="Times New Roman" w:cs="Times New Roman"/>
                <w:sz w:val="18"/>
                <w:szCs w:val="18"/>
              </w:rPr>
              <w:t>Pokud se členský subjekt, jenž je nejvyšším mateřským subjektem nadnárodní skupiny podniků nebo velké vnitrostátní skupiny, nachází v členském státě, který je jurisdikcí s nízkým zdaněním, zajistí členské státy, aby uvedený subjekt podléhal za dané účetní období dorovnávací dani podle pravidla pro zahrnutí příjmů ve vztahu k sobě a všem nízce zdaněným členským subjektům dané skupiny nacházejícím se v tomtéž členském státě.</w:t>
            </w:r>
          </w:p>
        </w:tc>
      </w:tr>
      <w:tr w:rsidR="0002496E" w:rsidRPr="00430543" w14:paraId="72586DFF"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41D778A3" w14:textId="59B6C576"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 94</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402FC9BB" w14:textId="10534540"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(1)</w:t>
            </w:r>
            <w:r w:rsidRPr="00430543">
              <w:rPr>
                <w:sz w:val="18"/>
                <w:szCs w:val="18"/>
                <w:lang w:eastAsia="ar-SA"/>
              </w:rPr>
              <w:tab/>
              <w:t xml:space="preserve">Střední mateřská entita podléhá pravidlu pro zahrnutí zisku, pokud alespoň po část </w:t>
            </w:r>
            <w:r w:rsidR="008F1DEF">
              <w:rPr>
                <w:b/>
                <w:sz w:val="18"/>
                <w:szCs w:val="18"/>
                <w:u w:val="single"/>
                <w:lang w:eastAsia="ar-SA"/>
              </w:rPr>
              <w:t>výkazního</w:t>
            </w:r>
            <w:r w:rsidRPr="00430543">
              <w:rPr>
                <w:sz w:val="18"/>
                <w:szCs w:val="18"/>
                <w:lang w:eastAsia="ar-SA"/>
              </w:rPr>
              <w:t xml:space="preserve"> období přímo nebo nepřímo drží vlastnický podíl v alespoň jedné nízce zdaněné členské entitě.</w:t>
            </w:r>
          </w:p>
          <w:p w14:paraId="045AE693"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(2)</w:t>
            </w:r>
            <w:r w:rsidRPr="00430543">
              <w:rPr>
                <w:sz w:val="18"/>
                <w:szCs w:val="18"/>
                <w:lang w:eastAsia="ar-SA"/>
              </w:rPr>
              <w:tab/>
              <w:t>Odstavec 1 se nepoužije, pokud</w:t>
            </w:r>
          </w:p>
          <w:p w14:paraId="2E4C4E80" w14:textId="5F5FFC29"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a)</w:t>
            </w:r>
            <w:r w:rsidRPr="00430543">
              <w:rPr>
                <w:sz w:val="18"/>
                <w:szCs w:val="18"/>
                <w:lang w:eastAsia="ar-SA"/>
              </w:rPr>
              <w:tab/>
              <w:t xml:space="preserve">nejvyšší mateřská entita podléhá za dané </w:t>
            </w:r>
            <w:r w:rsidR="008F1DEF">
              <w:rPr>
                <w:b/>
                <w:sz w:val="18"/>
                <w:szCs w:val="18"/>
                <w:u w:val="single"/>
                <w:lang w:eastAsia="ar-SA"/>
              </w:rPr>
              <w:t>výkazní</w:t>
            </w:r>
            <w:r w:rsidRPr="00430543">
              <w:rPr>
                <w:sz w:val="18"/>
                <w:szCs w:val="18"/>
                <w:lang w:eastAsia="ar-SA"/>
              </w:rPr>
              <w:t xml:space="preserve"> období kvalifikovanému pravidlu pro zahrnutí zisku, nebo</w:t>
            </w:r>
          </w:p>
          <w:p w14:paraId="406C47B6"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b)</w:t>
            </w:r>
            <w:r w:rsidRPr="00430543">
              <w:rPr>
                <w:sz w:val="18"/>
                <w:szCs w:val="18"/>
                <w:lang w:eastAsia="ar-SA"/>
              </w:rPr>
              <w:tab/>
              <w:t xml:space="preserve">střední mateřská entita jiná než střední mateřská entita podle odstavce 1 </w:t>
            </w:r>
          </w:p>
          <w:p w14:paraId="1507E856"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1.</w:t>
            </w:r>
            <w:r w:rsidRPr="00430543">
              <w:rPr>
                <w:sz w:val="18"/>
                <w:szCs w:val="18"/>
                <w:lang w:eastAsia="ar-SA"/>
              </w:rPr>
              <w:tab/>
              <w:t xml:space="preserve">drží kontrolní podíl ve střední mateřské entitě podle odstavce 1 a </w:t>
            </w:r>
          </w:p>
          <w:p w14:paraId="023BC9DA" w14:textId="4B0DDA5F"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2.</w:t>
            </w:r>
            <w:r w:rsidRPr="00430543">
              <w:rPr>
                <w:sz w:val="18"/>
                <w:szCs w:val="18"/>
                <w:lang w:eastAsia="ar-SA"/>
              </w:rPr>
              <w:tab/>
              <w:t xml:space="preserve">je ze státu, ve kterém podléhá za dané </w:t>
            </w:r>
            <w:r w:rsidR="008F1DEF">
              <w:rPr>
                <w:b/>
                <w:sz w:val="18"/>
                <w:szCs w:val="18"/>
                <w:u w:val="single"/>
                <w:lang w:eastAsia="ar-SA"/>
              </w:rPr>
              <w:t>výkazní</w:t>
            </w:r>
            <w:r w:rsidRPr="00430543">
              <w:rPr>
                <w:sz w:val="18"/>
                <w:szCs w:val="18"/>
                <w:lang w:eastAsia="ar-SA"/>
              </w:rPr>
              <w:t xml:space="preserve"> období kvalifikovanému pravidlu pro zahrnutí zisku.</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ABB725B" w14:textId="33AD6E11" w:rsidR="0002496E" w:rsidRPr="00430543" w:rsidRDefault="0002496E" w:rsidP="0002496E">
            <w:pPr>
              <w:widowControl w:val="0"/>
              <w:ind w:left="57" w:right="113"/>
              <w:rPr>
                <w:color w:val="000000"/>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1F644371" w14:textId="77777777" w:rsidR="0002496E" w:rsidRPr="00430543" w:rsidRDefault="0002496E" w:rsidP="0002496E">
            <w:pPr>
              <w:widowControl w:val="0"/>
              <w:ind w:left="57" w:right="113"/>
              <w:rPr>
                <w:sz w:val="18"/>
                <w:szCs w:val="18"/>
              </w:rPr>
            </w:pPr>
            <w:r w:rsidRPr="00430543">
              <w:rPr>
                <w:sz w:val="18"/>
                <w:szCs w:val="18"/>
              </w:rPr>
              <w:t>čl. 6</w:t>
            </w:r>
          </w:p>
          <w:p w14:paraId="647C018B" w14:textId="77777777" w:rsidR="0002496E" w:rsidRPr="00430543" w:rsidRDefault="0002496E" w:rsidP="0002496E">
            <w:pPr>
              <w:widowControl w:val="0"/>
              <w:ind w:left="57" w:right="113"/>
              <w:rPr>
                <w:sz w:val="18"/>
                <w:szCs w:val="18"/>
              </w:rPr>
            </w:pPr>
          </w:p>
          <w:p w14:paraId="045413E2" w14:textId="77777777" w:rsidR="0002496E" w:rsidRPr="00430543" w:rsidRDefault="0002496E" w:rsidP="0002496E">
            <w:pPr>
              <w:widowControl w:val="0"/>
              <w:ind w:left="57" w:right="113"/>
              <w:rPr>
                <w:sz w:val="18"/>
                <w:szCs w:val="18"/>
              </w:rPr>
            </w:pPr>
          </w:p>
          <w:p w14:paraId="288B652C" w14:textId="77777777" w:rsidR="0002496E" w:rsidRPr="00430543" w:rsidRDefault="0002496E" w:rsidP="0002496E">
            <w:pPr>
              <w:widowControl w:val="0"/>
              <w:ind w:left="57" w:right="113"/>
              <w:rPr>
                <w:sz w:val="18"/>
                <w:szCs w:val="18"/>
              </w:rPr>
            </w:pPr>
          </w:p>
          <w:p w14:paraId="06B518F0" w14:textId="77777777" w:rsidR="0002496E" w:rsidRPr="00430543" w:rsidRDefault="0002496E" w:rsidP="0002496E">
            <w:pPr>
              <w:widowControl w:val="0"/>
              <w:ind w:left="57" w:right="113"/>
              <w:rPr>
                <w:sz w:val="18"/>
                <w:szCs w:val="18"/>
              </w:rPr>
            </w:pPr>
          </w:p>
          <w:p w14:paraId="6C8A5B65" w14:textId="77777777" w:rsidR="0002496E" w:rsidRPr="00430543" w:rsidRDefault="0002496E" w:rsidP="0002496E">
            <w:pPr>
              <w:widowControl w:val="0"/>
              <w:ind w:left="57" w:right="113"/>
              <w:rPr>
                <w:sz w:val="18"/>
                <w:szCs w:val="18"/>
              </w:rPr>
            </w:pPr>
          </w:p>
          <w:p w14:paraId="12E111FA" w14:textId="77777777" w:rsidR="0002496E" w:rsidRPr="00430543" w:rsidRDefault="0002496E" w:rsidP="0002496E">
            <w:pPr>
              <w:widowControl w:val="0"/>
              <w:ind w:left="57" w:right="113"/>
              <w:rPr>
                <w:sz w:val="18"/>
                <w:szCs w:val="18"/>
              </w:rPr>
            </w:pPr>
          </w:p>
          <w:p w14:paraId="5F7B6708" w14:textId="77777777" w:rsidR="0002496E" w:rsidRPr="00430543" w:rsidRDefault="0002496E" w:rsidP="0002496E">
            <w:pPr>
              <w:widowControl w:val="0"/>
              <w:ind w:left="57" w:right="113"/>
              <w:rPr>
                <w:sz w:val="18"/>
                <w:szCs w:val="18"/>
              </w:rPr>
            </w:pPr>
          </w:p>
          <w:p w14:paraId="1C2C7520" w14:textId="77777777" w:rsidR="0002496E" w:rsidRPr="00430543" w:rsidRDefault="0002496E" w:rsidP="0002496E">
            <w:pPr>
              <w:widowControl w:val="0"/>
              <w:ind w:left="57" w:right="113"/>
              <w:rPr>
                <w:sz w:val="18"/>
                <w:szCs w:val="18"/>
              </w:rPr>
            </w:pPr>
          </w:p>
          <w:p w14:paraId="70961095" w14:textId="77777777" w:rsidR="0002496E" w:rsidRPr="00430543" w:rsidRDefault="0002496E" w:rsidP="0002496E">
            <w:pPr>
              <w:widowControl w:val="0"/>
              <w:ind w:left="57" w:right="113"/>
              <w:rPr>
                <w:sz w:val="18"/>
                <w:szCs w:val="18"/>
              </w:rPr>
            </w:pPr>
          </w:p>
          <w:p w14:paraId="48071AAA" w14:textId="77777777" w:rsidR="0002496E" w:rsidRPr="00430543" w:rsidRDefault="0002496E" w:rsidP="0002496E">
            <w:pPr>
              <w:widowControl w:val="0"/>
              <w:ind w:left="57" w:right="113"/>
              <w:rPr>
                <w:sz w:val="18"/>
                <w:szCs w:val="18"/>
              </w:rPr>
            </w:pPr>
          </w:p>
          <w:p w14:paraId="5396D362" w14:textId="77777777" w:rsidR="0002496E" w:rsidRPr="00430543" w:rsidRDefault="0002496E" w:rsidP="0002496E">
            <w:pPr>
              <w:widowControl w:val="0"/>
              <w:ind w:left="57" w:right="113"/>
              <w:rPr>
                <w:sz w:val="18"/>
                <w:szCs w:val="18"/>
              </w:rPr>
            </w:pPr>
          </w:p>
          <w:p w14:paraId="5C383875" w14:textId="77777777" w:rsidR="0002496E" w:rsidRPr="00430543" w:rsidRDefault="0002496E" w:rsidP="0002496E">
            <w:pPr>
              <w:widowControl w:val="0"/>
              <w:ind w:left="57" w:right="113"/>
              <w:rPr>
                <w:sz w:val="18"/>
                <w:szCs w:val="18"/>
              </w:rPr>
            </w:pPr>
          </w:p>
          <w:p w14:paraId="73DAC2E2" w14:textId="77777777" w:rsidR="0002496E" w:rsidRPr="00430543" w:rsidRDefault="0002496E" w:rsidP="0002496E">
            <w:pPr>
              <w:widowControl w:val="0"/>
              <w:ind w:left="57" w:right="113"/>
              <w:rPr>
                <w:sz w:val="18"/>
                <w:szCs w:val="18"/>
              </w:rPr>
            </w:pPr>
          </w:p>
          <w:p w14:paraId="2A7344E6" w14:textId="77777777" w:rsidR="0002496E" w:rsidRPr="00430543" w:rsidRDefault="0002496E" w:rsidP="0002496E">
            <w:pPr>
              <w:widowControl w:val="0"/>
              <w:ind w:left="57" w:right="113"/>
              <w:rPr>
                <w:sz w:val="18"/>
                <w:szCs w:val="18"/>
              </w:rPr>
            </w:pPr>
          </w:p>
          <w:p w14:paraId="2326FB81" w14:textId="0289FB4F" w:rsidR="0002496E" w:rsidRDefault="0002496E" w:rsidP="0002496E">
            <w:pPr>
              <w:widowControl w:val="0"/>
              <w:ind w:left="57" w:right="113"/>
              <w:rPr>
                <w:sz w:val="18"/>
                <w:szCs w:val="18"/>
              </w:rPr>
            </w:pPr>
          </w:p>
          <w:p w14:paraId="027AAED7" w14:textId="03505B39" w:rsidR="0002496E" w:rsidRDefault="0002496E" w:rsidP="0002496E">
            <w:pPr>
              <w:widowControl w:val="0"/>
              <w:ind w:left="57" w:right="113"/>
              <w:rPr>
                <w:sz w:val="18"/>
                <w:szCs w:val="18"/>
              </w:rPr>
            </w:pPr>
          </w:p>
          <w:p w14:paraId="3CC841CB" w14:textId="77777777" w:rsidR="0002496E" w:rsidRPr="00430543" w:rsidRDefault="0002496E" w:rsidP="0002496E">
            <w:pPr>
              <w:widowControl w:val="0"/>
              <w:ind w:left="57" w:right="113"/>
              <w:rPr>
                <w:sz w:val="18"/>
                <w:szCs w:val="18"/>
              </w:rPr>
            </w:pPr>
          </w:p>
          <w:p w14:paraId="298B5670" w14:textId="77777777" w:rsidR="0002496E" w:rsidRPr="00430543" w:rsidRDefault="0002496E" w:rsidP="0002496E">
            <w:pPr>
              <w:widowControl w:val="0"/>
              <w:ind w:left="57" w:right="113"/>
              <w:rPr>
                <w:sz w:val="18"/>
                <w:szCs w:val="18"/>
              </w:rPr>
            </w:pPr>
            <w:r w:rsidRPr="00430543">
              <w:rPr>
                <w:sz w:val="18"/>
                <w:szCs w:val="18"/>
              </w:rPr>
              <w:t>čl. 7</w:t>
            </w:r>
          </w:p>
          <w:p w14:paraId="141EF5D0" w14:textId="77777777" w:rsidR="0002496E" w:rsidRPr="00430543" w:rsidRDefault="0002496E" w:rsidP="0002496E">
            <w:pPr>
              <w:widowControl w:val="0"/>
              <w:ind w:left="57" w:right="113"/>
              <w:rPr>
                <w:sz w:val="18"/>
                <w:szCs w:val="18"/>
              </w:rPr>
            </w:pP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7D0CE3CE" w14:textId="77777777" w:rsidR="0002496E" w:rsidRPr="00430543" w:rsidRDefault="0002496E" w:rsidP="0002496E">
            <w:pPr>
              <w:pStyle w:val="Default"/>
              <w:rPr>
                <w:rFonts w:ascii="Times New Roman" w:hAnsi="Times New Roman" w:cs="Times New Roman"/>
                <w:sz w:val="18"/>
                <w:szCs w:val="18"/>
              </w:rPr>
            </w:pPr>
            <w:r w:rsidRPr="00430543">
              <w:rPr>
                <w:rFonts w:ascii="Times New Roman" w:hAnsi="Times New Roman" w:cs="Times New Roman"/>
                <w:sz w:val="18"/>
                <w:szCs w:val="18"/>
              </w:rPr>
              <w:t xml:space="preserve">1. Členské státy zajistí, aby střední mateřský subjekt nacházející se v členském státě a držený nejvyšším mateřským subjektem, který se nachází v jurisdikci třetí země, podléhal za dané účetní období ve vztahu ke svým nízce zdaněným členským subjektům, které se nacházejí v jiné jurisdikci nebo které jsou bez státní příslušnosti, dorovnávací dani podle pravidla pro zahrnutí příjmů. </w:t>
            </w:r>
          </w:p>
          <w:p w14:paraId="728C4C72" w14:textId="77777777" w:rsidR="0002496E" w:rsidRPr="00430543" w:rsidRDefault="0002496E" w:rsidP="0002496E">
            <w:pPr>
              <w:pStyle w:val="Default"/>
              <w:rPr>
                <w:rFonts w:ascii="Times New Roman" w:hAnsi="Times New Roman" w:cs="Times New Roman"/>
                <w:sz w:val="18"/>
                <w:szCs w:val="18"/>
              </w:rPr>
            </w:pPr>
            <w:r w:rsidRPr="00430543">
              <w:rPr>
                <w:rFonts w:ascii="Times New Roman" w:hAnsi="Times New Roman" w:cs="Times New Roman"/>
                <w:sz w:val="18"/>
                <w:szCs w:val="18"/>
              </w:rPr>
              <w:t xml:space="preserve">2. Pokud se střední mateřský subjekt nachází v členském státě, který je jurisdikcí s nízkým zdaněním, a je držen nejvyšším mateřským subjektem, který se nachází v jurisdikci třetí země, zajistí členské státy, aby uvedený střední mateřský subjekt podléhal za dané účetní období dorovnávací dani podle pravidla pro zahrnutí příjmů ve vztahu k sobě a svým nízce zdaněným členským subjektům nacházejícím se v tomtéž členském státě. </w:t>
            </w:r>
          </w:p>
          <w:p w14:paraId="0B5D9FF0" w14:textId="77777777" w:rsidR="0002496E" w:rsidRPr="00430543" w:rsidRDefault="0002496E" w:rsidP="0002496E">
            <w:pPr>
              <w:pStyle w:val="Default"/>
              <w:rPr>
                <w:rFonts w:ascii="Times New Roman" w:hAnsi="Times New Roman" w:cs="Times New Roman"/>
                <w:sz w:val="18"/>
                <w:szCs w:val="18"/>
              </w:rPr>
            </w:pPr>
            <w:r w:rsidRPr="00430543">
              <w:rPr>
                <w:rFonts w:ascii="Times New Roman" w:hAnsi="Times New Roman" w:cs="Times New Roman"/>
                <w:sz w:val="18"/>
                <w:szCs w:val="18"/>
              </w:rPr>
              <w:t xml:space="preserve">3. Odstavce 1 a 2 se nepoužijí v případě, že: </w:t>
            </w:r>
          </w:p>
          <w:p w14:paraId="21CD6AAB" w14:textId="77777777" w:rsidR="0002496E" w:rsidRPr="00430543" w:rsidRDefault="0002496E" w:rsidP="0002496E">
            <w:pPr>
              <w:pStyle w:val="Default"/>
              <w:rPr>
                <w:rFonts w:ascii="Times New Roman" w:hAnsi="Times New Roman" w:cs="Times New Roman"/>
                <w:sz w:val="18"/>
                <w:szCs w:val="18"/>
              </w:rPr>
            </w:pPr>
            <w:r w:rsidRPr="00430543">
              <w:rPr>
                <w:rFonts w:ascii="Times New Roman" w:hAnsi="Times New Roman" w:cs="Times New Roman"/>
                <w:sz w:val="18"/>
                <w:szCs w:val="18"/>
              </w:rPr>
              <w:t xml:space="preserve">a) nejvyšší mateřský subjekt podléhá za dané účetní období kvalifikovanému pravidlu pro zahrnutí příjmů, nebo </w:t>
            </w:r>
          </w:p>
          <w:p w14:paraId="6081E99A" w14:textId="77777777" w:rsidR="0002496E" w:rsidRPr="00430543" w:rsidRDefault="0002496E" w:rsidP="0002496E">
            <w:pPr>
              <w:pStyle w:val="Default"/>
              <w:rPr>
                <w:rFonts w:ascii="Times New Roman" w:hAnsi="Times New Roman" w:cs="Times New Roman"/>
                <w:sz w:val="18"/>
                <w:szCs w:val="18"/>
              </w:rPr>
            </w:pPr>
            <w:r w:rsidRPr="00430543">
              <w:rPr>
                <w:rFonts w:ascii="Times New Roman" w:hAnsi="Times New Roman" w:cs="Times New Roman"/>
                <w:sz w:val="18"/>
                <w:szCs w:val="18"/>
              </w:rPr>
              <w:t>b) jiný střední mateřský subjekt se nachází v jurisdikci, v níž podléhá za dané účetní období kvalifikovanému pravidlu pro zahrnutí příjmů, a přímo či nepřímo vlastní kontrolní podíl ve středním mateřském subjektu.</w:t>
            </w:r>
          </w:p>
          <w:p w14:paraId="72EB9DB9" w14:textId="77777777" w:rsidR="0002496E" w:rsidRPr="00430543" w:rsidRDefault="0002496E" w:rsidP="0002496E">
            <w:pPr>
              <w:pStyle w:val="Default"/>
              <w:rPr>
                <w:rFonts w:ascii="Times New Roman" w:hAnsi="Times New Roman" w:cs="Times New Roman"/>
                <w:sz w:val="18"/>
                <w:szCs w:val="18"/>
              </w:rPr>
            </w:pPr>
          </w:p>
          <w:p w14:paraId="540EA7CF" w14:textId="77777777" w:rsidR="0002496E" w:rsidRPr="00430543" w:rsidRDefault="0002496E" w:rsidP="0002496E">
            <w:pPr>
              <w:pStyle w:val="Default"/>
              <w:rPr>
                <w:rFonts w:ascii="Times New Roman" w:hAnsi="Times New Roman" w:cs="Times New Roman"/>
                <w:sz w:val="18"/>
                <w:szCs w:val="18"/>
              </w:rPr>
            </w:pPr>
            <w:r w:rsidRPr="00430543">
              <w:rPr>
                <w:rFonts w:ascii="Times New Roman" w:hAnsi="Times New Roman" w:cs="Times New Roman"/>
                <w:sz w:val="18"/>
                <w:szCs w:val="18"/>
              </w:rPr>
              <w:t xml:space="preserve">1. Členské státy zajistí, aby střední mateřský subjekt nacházející se v členském státě a držený nejvyšším mateřským subjektem, jenž je vyloučeným subjektem, podléhal za dané účetní období ve vztahu ke svým nízce zdaněným členským subjektům, které se nacházejí v jiné jurisdikci nebo které jsou bez státní příslušnosti, dorovnávací dani podle pravidla pro zahrnutí příjmů. </w:t>
            </w:r>
          </w:p>
          <w:p w14:paraId="514895BA" w14:textId="77777777" w:rsidR="0002496E" w:rsidRPr="00430543" w:rsidRDefault="0002496E" w:rsidP="0002496E">
            <w:pPr>
              <w:pStyle w:val="Default"/>
              <w:rPr>
                <w:rFonts w:ascii="Times New Roman" w:hAnsi="Times New Roman" w:cs="Times New Roman"/>
                <w:sz w:val="18"/>
                <w:szCs w:val="18"/>
              </w:rPr>
            </w:pPr>
            <w:r w:rsidRPr="00430543">
              <w:rPr>
                <w:rFonts w:ascii="Times New Roman" w:hAnsi="Times New Roman" w:cs="Times New Roman"/>
                <w:sz w:val="18"/>
                <w:szCs w:val="18"/>
              </w:rPr>
              <w:t xml:space="preserve">2. Pokud se střední mateřský subjekt nachází v členském státě, který je jurisdikcí s nízkým zdaněním, a je držen nejvyšším mateřským subjektem, jenž je vyloučeným subjektem, zajistí členské státy, aby uvedený střední mateřský subjekt a všechny nízce zdaněné členské subjekty dané skupiny nacházející se v tomtéž členském státě za dané účetní období podléhaly dorovnávací dani podle pravidla pro zahrnutí příjmů. </w:t>
            </w:r>
          </w:p>
          <w:p w14:paraId="02C8F47F" w14:textId="118FEE54" w:rsidR="0002496E" w:rsidRPr="00430543" w:rsidRDefault="0002496E" w:rsidP="0002496E">
            <w:pPr>
              <w:pStyle w:val="Default"/>
              <w:rPr>
                <w:rFonts w:ascii="Times New Roman" w:hAnsi="Times New Roman" w:cs="Times New Roman"/>
                <w:sz w:val="18"/>
                <w:szCs w:val="18"/>
              </w:rPr>
            </w:pPr>
            <w:r w:rsidRPr="00430543">
              <w:rPr>
                <w:rFonts w:ascii="Times New Roman" w:hAnsi="Times New Roman" w:cs="Times New Roman"/>
                <w:sz w:val="18"/>
                <w:szCs w:val="18"/>
              </w:rPr>
              <w:lastRenderedPageBreak/>
              <w:t>3. Odstavce 1 a 2 se nepoužijí, pokud se jiný střední mateřský subjekt nachází v jurisdikci, v níž za dané účetní období podléhá kvalifikovanému pravidlu pro zahrnutí příjmů, a přímo či nepřímo vlastní kontrolní podíl ve středním mateřském subjektu uvedeném v odstavcích 1 a 2.</w:t>
            </w:r>
          </w:p>
        </w:tc>
      </w:tr>
      <w:tr w:rsidR="0002496E" w:rsidRPr="007936DA" w14:paraId="60673AA6"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71674A13"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lastRenderedPageBreak/>
              <w:t>§ 95</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45BEC90C"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Částečně vlastněná mateřská entita podléhá pravidlu pro zahrnutí zisku, pokud</w:t>
            </w:r>
          </w:p>
          <w:p w14:paraId="433398EB" w14:textId="73AF3916"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a)</w:t>
            </w:r>
            <w:r w:rsidRPr="00430543">
              <w:rPr>
                <w:sz w:val="18"/>
                <w:szCs w:val="18"/>
                <w:lang w:eastAsia="ar-SA"/>
              </w:rPr>
              <w:tab/>
              <w:t xml:space="preserve">alespoň po část </w:t>
            </w:r>
            <w:r w:rsidR="00295CA1">
              <w:rPr>
                <w:b/>
                <w:sz w:val="18"/>
                <w:szCs w:val="18"/>
                <w:u w:val="single"/>
                <w:lang w:eastAsia="ar-SA"/>
              </w:rPr>
              <w:t>výkazního</w:t>
            </w:r>
            <w:r w:rsidRPr="00430543">
              <w:rPr>
                <w:sz w:val="18"/>
                <w:szCs w:val="18"/>
                <w:lang w:eastAsia="ar-SA"/>
              </w:rPr>
              <w:t xml:space="preserve"> období přímo nebo nepřímo drží vlastnický podíl v alespoň jedné nízce zdaněné členské </w:t>
            </w:r>
            <w:proofErr w:type="spellStart"/>
            <w:r w:rsidRPr="00430543">
              <w:rPr>
                <w:sz w:val="18"/>
                <w:szCs w:val="18"/>
                <w:lang w:eastAsia="ar-SA"/>
              </w:rPr>
              <w:t>entitěa</w:t>
            </w:r>
            <w:proofErr w:type="spellEnd"/>
          </w:p>
          <w:p w14:paraId="2291A3A7" w14:textId="3DE2DF03"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b)</w:t>
            </w:r>
            <w:r w:rsidRPr="00430543">
              <w:rPr>
                <w:sz w:val="18"/>
                <w:szCs w:val="18"/>
                <w:lang w:eastAsia="ar-SA"/>
              </w:rPr>
              <w:tab/>
              <w:t xml:space="preserve">všechny vlastnické podíly této mateřské entity nejsou přímo nebo nepřímo drženy jinou částečně vlastněnou mateřskou entitou, která za dané </w:t>
            </w:r>
            <w:r w:rsidR="00DE47AF">
              <w:rPr>
                <w:b/>
                <w:sz w:val="18"/>
                <w:szCs w:val="18"/>
                <w:u w:val="single"/>
                <w:lang w:eastAsia="ar-SA"/>
              </w:rPr>
              <w:t>výkazní</w:t>
            </w:r>
            <w:r w:rsidRPr="00430543">
              <w:rPr>
                <w:sz w:val="18"/>
                <w:szCs w:val="18"/>
                <w:lang w:eastAsia="ar-SA"/>
              </w:rPr>
              <w:t xml:space="preserve"> období podléhá kvalifikovanému pravidlu pro zahrnutí zisku.</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840151C" w14:textId="7B18D3BA" w:rsidR="0002496E" w:rsidRPr="00430543" w:rsidRDefault="0002496E" w:rsidP="0002496E">
            <w:pPr>
              <w:widowControl w:val="0"/>
              <w:ind w:left="57" w:right="113"/>
              <w:rPr>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5D76AC09" w14:textId="4EB11B64" w:rsidR="0002496E" w:rsidRPr="00430543" w:rsidRDefault="0002496E" w:rsidP="0002496E">
            <w:pPr>
              <w:widowControl w:val="0"/>
              <w:ind w:left="57" w:right="113"/>
              <w:rPr>
                <w:sz w:val="18"/>
                <w:szCs w:val="18"/>
              </w:rPr>
            </w:pPr>
            <w:r w:rsidRPr="00430543">
              <w:rPr>
                <w:sz w:val="18"/>
                <w:szCs w:val="18"/>
              </w:rPr>
              <w:t>čl. 8</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35498F47" w14:textId="39B6E451" w:rsidR="0002496E" w:rsidRPr="00C372DB" w:rsidRDefault="0002496E" w:rsidP="0002496E">
            <w:pPr>
              <w:pStyle w:val="Default"/>
              <w:rPr>
                <w:rFonts w:ascii="Times New Roman" w:hAnsi="Times New Roman" w:cs="Times New Roman"/>
                <w:sz w:val="18"/>
                <w:szCs w:val="18"/>
              </w:rPr>
            </w:pPr>
            <w:r w:rsidRPr="00C372DB">
              <w:rPr>
                <w:rFonts w:ascii="Times New Roman" w:hAnsi="Times New Roman" w:cs="Times New Roman"/>
                <w:sz w:val="18"/>
                <w:szCs w:val="18"/>
              </w:rPr>
              <w:t>1.</w:t>
            </w:r>
            <w:r>
              <w:rPr>
                <w:rFonts w:ascii="Times New Roman" w:hAnsi="Times New Roman" w:cs="Times New Roman"/>
                <w:sz w:val="18"/>
                <w:szCs w:val="18"/>
              </w:rPr>
              <w:t xml:space="preserve"> </w:t>
            </w:r>
            <w:r w:rsidRPr="00C372DB">
              <w:rPr>
                <w:rFonts w:ascii="Times New Roman" w:hAnsi="Times New Roman" w:cs="Times New Roman"/>
                <w:sz w:val="18"/>
                <w:szCs w:val="18"/>
              </w:rPr>
              <w:t>Členské státy zajistí, aby částečně vlastněný mateřský subjekt, který se nachází v členském státě, podléhal za dané účetní období ve vztahu ke svým nízce zdaněným členským subjektům, které se nacházejí v jiné jurisdikci nebo které jsou bez státní příslušnosti, dorovnávací dani podle pravidla pro zahrnutí příjmů.</w:t>
            </w:r>
          </w:p>
          <w:p w14:paraId="620A5F8C" w14:textId="0729508A" w:rsidR="0002496E" w:rsidRPr="00C372DB" w:rsidRDefault="0002496E" w:rsidP="0002496E">
            <w:pPr>
              <w:pStyle w:val="Default"/>
              <w:rPr>
                <w:rFonts w:ascii="Times New Roman" w:hAnsi="Times New Roman" w:cs="Times New Roman"/>
                <w:sz w:val="18"/>
                <w:szCs w:val="18"/>
              </w:rPr>
            </w:pPr>
            <w:r w:rsidRPr="00C372DB">
              <w:rPr>
                <w:rFonts w:ascii="Times New Roman" w:hAnsi="Times New Roman" w:cs="Times New Roman"/>
                <w:sz w:val="18"/>
                <w:szCs w:val="18"/>
              </w:rPr>
              <w:t>2.</w:t>
            </w:r>
            <w:r>
              <w:rPr>
                <w:rFonts w:ascii="Times New Roman" w:hAnsi="Times New Roman" w:cs="Times New Roman"/>
                <w:sz w:val="18"/>
                <w:szCs w:val="18"/>
              </w:rPr>
              <w:t xml:space="preserve"> </w:t>
            </w:r>
            <w:r w:rsidRPr="00C372DB">
              <w:rPr>
                <w:rFonts w:ascii="Times New Roman" w:hAnsi="Times New Roman" w:cs="Times New Roman"/>
                <w:sz w:val="18"/>
                <w:szCs w:val="18"/>
              </w:rPr>
              <w:t>Pokud se částečně vlastněný mateřský subjekt nachází v členském státě, který je jurisdikcí s nízkým zdaněním, zajistí členské státy, aby uvedený částečně vlastněný subjekt podléhal za dané účetní období dorovnávací dani podle pravidla pro zahrnutí příjmů ve vztahu k sobě a svým nízce zdaněným členským subjektům nacházejícím se v tomtéž členském státě.</w:t>
            </w:r>
          </w:p>
          <w:p w14:paraId="2CB2BF72" w14:textId="3C6C055A" w:rsidR="0002496E" w:rsidRPr="007936DA" w:rsidRDefault="0002496E" w:rsidP="0002496E">
            <w:pPr>
              <w:pStyle w:val="Default"/>
              <w:rPr>
                <w:rFonts w:ascii="Times New Roman" w:hAnsi="Times New Roman" w:cs="Times New Roman"/>
                <w:sz w:val="18"/>
                <w:szCs w:val="18"/>
              </w:rPr>
            </w:pPr>
            <w:r w:rsidRPr="00C372DB">
              <w:rPr>
                <w:rFonts w:ascii="Times New Roman" w:hAnsi="Times New Roman" w:cs="Times New Roman"/>
                <w:sz w:val="18"/>
                <w:szCs w:val="18"/>
              </w:rPr>
              <w:t>3.</w:t>
            </w:r>
            <w:r>
              <w:rPr>
                <w:rFonts w:ascii="Times New Roman" w:hAnsi="Times New Roman" w:cs="Times New Roman"/>
                <w:sz w:val="18"/>
                <w:szCs w:val="18"/>
              </w:rPr>
              <w:t xml:space="preserve"> </w:t>
            </w:r>
            <w:r w:rsidRPr="00C372DB">
              <w:rPr>
                <w:rFonts w:ascii="Times New Roman" w:hAnsi="Times New Roman" w:cs="Times New Roman"/>
                <w:sz w:val="18"/>
                <w:szCs w:val="18"/>
              </w:rPr>
              <w:t>Odstavce 1 a 2 se nepoužijí, pokud jsou všechny vlastnické podíly částečně vlastněného mateřského subjektu přímo či nepřímo drženy jiným částečně vlastněným mateřským subjektem, který podléhá za dané účetní období kvalifikovanému pravidlu pro zahrnutí příjmů.</w:t>
            </w:r>
          </w:p>
        </w:tc>
      </w:tr>
      <w:tr w:rsidR="0002496E" w:rsidRPr="007936DA" w14:paraId="24941059"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7341E205" w14:textId="37905C84"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 96</w:t>
            </w:r>
            <w:r w:rsidR="0063509F">
              <w:rPr>
                <w:sz w:val="18"/>
                <w:szCs w:val="18"/>
                <w:lang w:eastAsia="ar-SA"/>
              </w:rPr>
              <w:t xml:space="preserve"> odst. 1 a 3</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6E1B4275"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(1)</w:t>
            </w:r>
            <w:r w:rsidRPr="00430543">
              <w:rPr>
                <w:sz w:val="18"/>
                <w:szCs w:val="18"/>
                <w:lang w:eastAsia="ar-SA"/>
              </w:rPr>
              <w:tab/>
              <w:t>Část přiřazované dorovnávací daně přiřazená poplatníkovi podle pravidla pro zahrnutí zisku činí součet</w:t>
            </w:r>
          </w:p>
          <w:p w14:paraId="26D16184" w14:textId="62E625CA"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a)</w:t>
            </w:r>
            <w:r w:rsidRPr="00430543">
              <w:rPr>
                <w:sz w:val="18"/>
                <w:szCs w:val="18"/>
                <w:lang w:eastAsia="ar-SA"/>
              </w:rPr>
              <w:tab/>
              <w:t xml:space="preserve">úhrnu částí dílčích přiřazovaných dorovnávacích daní za jednotlivé nízce zdaněné členské entity, v nichž poplatník přímo nebo nepřímo drží ve </w:t>
            </w:r>
            <w:r w:rsidR="00DE47AF">
              <w:rPr>
                <w:b/>
                <w:sz w:val="18"/>
                <w:szCs w:val="18"/>
                <w:u w:val="single"/>
                <w:lang w:eastAsia="ar-SA"/>
              </w:rPr>
              <w:t>výkazním</w:t>
            </w:r>
            <w:r w:rsidRPr="00430543">
              <w:rPr>
                <w:sz w:val="18"/>
                <w:szCs w:val="18"/>
                <w:lang w:eastAsia="ar-SA"/>
              </w:rPr>
              <w:t xml:space="preserve"> období vlastnický podíl, přiřaditelných tomuto poplatníkovi na základě pravidla pro zahrnutí zisku a</w:t>
            </w:r>
          </w:p>
          <w:p w14:paraId="4996C4B8"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b)</w:t>
            </w:r>
            <w:r w:rsidRPr="00430543">
              <w:rPr>
                <w:sz w:val="18"/>
                <w:szCs w:val="18"/>
                <w:lang w:eastAsia="ar-SA"/>
              </w:rPr>
              <w:tab/>
              <w:t>části dílčí dorovnávací daně za tohoto poplatníka přiřaditelné tomuto poplatníkovi na základě pravidla pro zahrnutí zisku, pokud je Česká republika pro účely dorovnávací daně tohoto poplatníka považována za stát s nízkým zdaněním.</w:t>
            </w:r>
          </w:p>
          <w:p w14:paraId="4DC22700" w14:textId="17336809" w:rsidR="0002496E" w:rsidRPr="00430543" w:rsidRDefault="0063509F" w:rsidP="0063509F">
            <w:pPr>
              <w:widowControl w:val="0"/>
              <w:suppressAutoHyphens/>
              <w:ind w:left="57" w:right="113"/>
              <w:jc w:val="both"/>
              <w:rPr>
                <w:sz w:val="18"/>
                <w:szCs w:val="18"/>
                <w:lang w:eastAsia="ar-SA"/>
              </w:rPr>
            </w:pPr>
            <w:r>
              <w:rPr>
                <w:sz w:val="18"/>
                <w:szCs w:val="18"/>
                <w:lang w:eastAsia="ar-SA"/>
              </w:rPr>
              <w:t>…</w:t>
            </w:r>
          </w:p>
          <w:p w14:paraId="2C5F1B05"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(3)</w:t>
            </w:r>
            <w:r w:rsidRPr="00430543">
              <w:rPr>
                <w:sz w:val="18"/>
                <w:szCs w:val="18"/>
                <w:lang w:eastAsia="ar-SA"/>
              </w:rPr>
              <w:tab/>
              <w:t>Přiřaditelný podíl poplatníka na dílčí dorovnávací dani za jednotlivou členskou entitu činí podíl</w:t>
            </w:r>
          </w:p>
          <w:p w14:paraId="579C577F" w14:textId="2C07E585"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a)</w:t>
            </w:r>
            <w:r w:rsidRPr="00430543">
              <w:rPr>
                <w:sz w:val="18"/>
                <w:szCs w:val="18"/>
                <w:lang w:eastAsia="ar-SA"/>
              </w:rPr>
              <w:tab/>
              <w:t xml:space="preserve">kvalifikovaného zisku této členské entity za </w:t>
            </w:r>
            <w:r w:rsidR="00DE47AF">
              <w:rPr>
                <w:b/>
                <w:sz w:val="18"/>
                <w:szCs w:val="18"/>
                <w:u w:val="single"/>
                <w:lang w:eastAsia="ar-SA"/>
              </w:rPr>
              <w:t>výkazní</w:t>
            </w:r>
            <w:r w:rsidRPr="00430543">
              <w:rPr>
                <w:sz w:val="18"/>
                <w:szCs w:val="18"/>
                <w:lang w:eastAsia="ar-SA"/>
              </w:rPr>
              <w:t xml:space="preserve"> období sníženého o kvalifikovaný zisk přiřaditelný vlastnickým podílům entit jiných, než je poplatník, a</w:t>
            </w:r>
          </w:p>
          <w:p w14:paraId="4E0F5C3F" w14:textId="70E2CB63"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b)</w:t>
            </w:r>
            <w:r w:rsidRPr="00430543">
              <w:rPr>
                <w:sz w:val="18"/>
                <w:szCs w:val="18"/>
                <w:lang w:eastAsia="ar-SA"/>
              </w:rPr>
              <w:tab/>
              <w:t xml:space="preserve">kvalifikovaného zisku této členské entity za </w:t>
            </w:r>
            <w:r w:rsidR="00DE47AF" w:rsidRPr="00DE47AF">
              <w:rPr>
                <w:b/>
                <w:sz w:val="18"/>
                <w:szCs w:val="18"/>
                <w:u w:val="single"/>
                <w:lang w:eastAsia="ar-SA"/>
              </w:rPr>
              <w:t>výkazní</w:t>
            </w:r>
            <w:r w:rsidR="00DE47AF">
              <w:rPr>
                <w:sz w:val="18"/>
                <w:szCs w:val="18"/>
                <w:lang w:eastAsia="ar-SA"/>
              </w:rPr>
              <w:t xml:space="preserve"> </w:t>
            </w:r>
            <w:r w:rsidRPr="00DE47AF">
              <w:rPr>
                <w:sz w:val="18"/>
                <w:szCs w:val="18"/>
                <w:lang w:eastAsia="ar-SA"/>
              </w:rPr>
              <w:t>období</w:t>
            </w:r>
            <w:r w:rsidRPr="00430543">
              <w:rPr>
                <w:sz w:val="18"/>
                <w:szCs w:val="18"/>
                <w:lang w:eastAsia="ar-SA"/>
              </w:rPr>
              <w:t xml:space="preserve"> podle písmene a).</w:t>
            </w:r>
          </w:p>
          <w:p w14:paraId="4188D35A" w14:textId="2B7AE3FE" w:rsidR="0002496E" w:rsidRPr="00430543" w:rsidRDefault="0002496E" w:rsidP="0063509F">
            <w:pPr>
              <w:widowControl w:val="0"/>
              <w:suppressAutoHyphens/>
              <w:ind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3920EF26" w14:textId="027F78EA" w:rsidR="0002496E" w:rsidRPr="00430543" w:rsidRDefault="0002496E" w:rsidP="0002496E">
            <w:pPr>
              <w:widowControl w:val="0"/>
              <w:ind w:left="57" w:right="113"/>
              <w:rPr>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25085DB9" w14:textId="77777777" w:rsidR="0002496E" w:rsidRPr="00430543" w:rsidRDefault="0002496E" w:rsidP="0002496E">
            <w:pPr>
              <w:widowControl w:val="0"/>
              <w:ind w:left="57" w:right="113"/>
              <w:rPr>
                <w:sz w:val="18"/>
                <w:szCs w:val="18"/>
              </w:rPr>
            </w:pPr>
            <w:r w:rsidRPr="00430543">
              <w:rPr>
                <w:sz w:val="18"/>
                <w:szCs w:val="18"/>
              </w:rPr>
              <w:t>čl. 5,</w:t>
            </w:r>
          </w:p>
          <w:p w14:paraId="29AC3FFE" w14:textId="77777777" w:rsidR="0002496E" w:rsidRPr="00430543" w:rsidRDefault="0002496E" w:rsidP="0002496E">
            <w:pPr>
              <w:widowControl w:val="0"/>
              <w:ind w:left="57" w:right="113"/>
              <w:rPr>
                <w:sz w:val="18"/>
                <w:szCs w:val="18"/>
              </w:rPr>
            </w:pPr>
          </w:p>
          <w:p w14:paraId="7BF9256D" w14:textId="77777777" w:rsidR="0002496E" w:rsidRPr="00430543" w:rsidRDefault="0002496E" w:rsidP="0002496E">
            <w:pPr>
              <w:widowControl w:val="0"/>
              <w:ind w:left="57" w:right="113"/>
              <w:rPr>
                <w:sz w:val="18"/>
                <w:szCs w:val="18"/>
              </w:rPr>
            </w:pPr>
          </w:p>
          <w:p w14:paraId="2676C5B8" w14:textId="77777777" w:rsidR="0002496E" w:rsidRPr="00430543" w:rsidRDefault="0002496E" w:rsidP="0002496E">
            <w:pPr>
              <w:widowControl w:val="0"/>
              <w:ind w:left="57" w:right="113"/>
              <w:rPr>
                <w:sz w:val="18"/>
                <w:szCs w:val="18"/>
              </w:rPr>
            </w:pPr>
          </w:p>
          <w:p w14:paraId="55C709BA" w14:textId="77777777" w:rsidR="0002496E" w:rsidRPr="00430543" w:rsidRDefault="0002496E" w:rsidP="0002496E">
            <w:pPr>
              <w:widowControl w:val="0"/>
              <w:ind w:left="57" w:right="113"/>
              <w:rPr>
                <w:sz w:val="18"/>
                <w:szCs w:val="18"/>
              </w:rPr>
            </w:pPr>
          </w:p>
          <w:p w14:paraId="454161A0" w14:textId="77777777" w:rsidR="0002496E" w:rsidRPr="00430543" w:rsidRDefault="0002496E" w:rsidP="0002496E">
            <w:pPr>
              <w:widowControl w:val="0"/>
              <w:ind w:left="57" w:right="113"/>
              <w:rPr>
                <w:sz w:val="18"/>
                <w:szCs w:val="18"/>
              </w:rPr>
            </w:pPr>
          </w:p>
          <w:p w14:paraId="2C71C80F" w14:textId="77777777" w:rsidR="0002496E" w:rsidRPr="00430543" w:rsidRDefault="0002496E" w:rsidP="0002496E">
            <w:pPr>
              <w:widowControl w:val="0"/>
              <w:ind w:left="57" w:right="113"/>
              <w:rPr>
                <w:sz w:val="18"/>
                <w:szCs w:val="18"/>
              </w:rPr>
            </w:pPr>
          </w:p>
          <w:p w14:paraId="772CA4EB" w14:textId="77777777" w:rsidR="0002496E" w:rsidRPr="00430543" w:rsidRDefault="0002496E" w:rsidP="0002496E">
            <w:pPr>
              <w:widowControl w:val="0"/>
              <w:ind w:left="57" w:right="113"/>
              <w:rPr>
                <w:sz w:val="18"/>
                <w:szCs w:val="18"/>
              </w:rPr>
            </w:pPr>
          </w:p>
          <w:p w14:paraId="171B2CC3" w14:textId="77777777" w:rsidR="0002496E" w:rsidRPr="00430543" w:rsidRDefault="0002496E" w:rsidP="0002496E">
            <w:pPr>
              <w:widowControl w:val="0"/>
              <w:ind w:left="57" w:right="113"/>
              <w:rPr>
                <w:sz w:val="18"/>
                <w:szCs w:val="18"/>
              </w:rPr>
            </w:pPr>
          </w:p>
          <w:p w14:paraId="710A2F94" w14:textId="77777777" w:rsidR="0002496E" w:rsidRPr="00430543" w:rsidRDefault="0002496E" w:rsidP="0002496E">
            <w:pPr>
              <w:widowControl w:val="0"/>
              <w:ind w:left="57" w:right="113"/>
              <w:rPr>
                <w:sz w:val="18"/>
                <w:szCs w:val="18"/>
              </w:rPr>
            </w:pPr>
          </w:p>
          <w:p w14:paraId="5B895DF5" w14:textId="77777777" w:rsidR="0002496E" w:rsidRPr="00430543" w:rsidRDefault="0002496E" w:rsidP="0002496E">
            <w:pPr>
              <w:widowControl w:val="0"/>
              <w:ind w:left="57" w:right="113"/>
              <w:rPr>
                <w:sz w:val="18"/>
                <w:szCs w:val="18"/>
              </w:rPr>
            </w:pPr>
          </w:p>
          <w:p w14:paraId="5A8C7E5C" w14:textId="77777777" w:rsidR="0002496E" w:rsidRPr="00430543" w:rsidRDefault="0002496E" w:rsidP="0002496E">
            <w:pPr>
              <w:widowControl w:val="0"/>
              <w:ind w:left="57" w:right="113"/>
              <w:rPr>
                <w:sz w:val="18"/>
                <w:szCs w:val="18"/>
              </w:rPr>
            </w:pPr>
            <w:r w:rsidRPr="00430543">
              <w:rPr>
                <w:sz w:val="18"/>
                <w:szCs w:val="18"/>
              </w:rPr>
              <w:t>čl. 6,</w:t>
            </w:r>
          </w:p>
          <w:p w14:paraId="2ACCA0FA" w14:textId="77777777" w:rsidR="0002496E" w:rsidRPr="00430543" w:rsidRDefault="0002496E" w:rsidP="0002496E">
            <w:pPr>
              <w:widowControl w:val="0"/>
              <w:ind w:left="57" w:right="113"/>
              <w:rPr>
                <w:sz w:val="18"/>
                <w:szCs w:val="18"/>
              </w:rPr>
            </w:pPr>
          </w:p>
          <w:p w14:paraId="43A410D9" w14:textId="77777777" w:rsidR="0002496E" w:rsidRPr="00430543" w:rsidRDefault="0002496E" w:rsidP="0002496E">
            <w:pPr>
              <w:widowControl w:val="0"/>
              <w:ind w:left="57" w:right="113"/>
              <w:rPr>
                <w:sz w:val="18"/>
                <w:szCs w:val="18"/>
              </w:rPr>
            </w:pPr>
          </w:p>
          <w:p w14:paraId="3EA94F8B" w14:textId="77777777" w:rsidR="0002496E" w:rsidRPr="00430543" w:rsidRDefault="0002496E" w:rsidP="0002496E">
            <w:pPr>
              <w:widowControl w:val="0"/>
              <w:ind w:left="57" w:right="113"/>
              <w:rPr>
                <w:sz w:val="18"/>
                <w:szCs w:val="18"/>
              </w:rPr>
            </w:pPr>
          </w:p>
          <w:p w14:paraId="6A1FB36D" w14:textId="77777777" w:rsidR="0002496E" w:rsidRPr="00430543" w:rsidRDefault="0002496E" w:rsidP="0002496E">
            <w:pPr>
              <w:widowControl w:val="0"/>
              <w:ind w:left="57" w:right="113"/>
              <w:rPr>
                <w:sz w:val="18"/>
                <w:szCs w:val="18"/>
              </w:rPr>
            </w:pPr>
          </w:p>
          <w:p w14:paraId="793ACC17" w14:textId="77777777" w:rsidR="0002496E" w:rsidRPr="00430543" w:rsidRDefault="0002496E" w:rsidP="0002496E">
            <w:pPr>
              <w:widowControl w:val="0"/>
              <w:ind w:left="57" w:right="113"/>
              <w:rPr>
                <w:sz w:val="18"/>
                <w:szCs w:val="18"/>
              </w:rPr>
            </w:pPr>
          </w:p>
          <w:p w14:paraId="7BB4DC18" w14:textId="77777777" w:rsidR="0002496E" w:rsidRPr="00430543" w:rsidRDefault="0002496E" w:rsidP="0002496E">
            <w:pPr>
              <w:widowControl w:val="0"/>
              <w:ind w:left="57" w:right="113"/>
              <w:rPr>
                <w:sz w:val="18"/>
                <w:szCs w:val="18"/>
              </w:rPr>
            </w:pPr>
          </w:p>
          <w:p w14:paraId="70FC4E2F" w14:textId="77777777" w:rsidR="0002496E" w:rsidRPr="00430543" w:rsidRDefault="0002496E" w:rsidP="0002496E">
            <w:pPr>
              <w:widowControl w:val="0"/>
              <w:ind w:left="57" w:right="113"/>
              <w:rPr>
                <w:sz w:val="18"/>
                <w:szCs w:val="18"/>
              </w:rPr>
            </w:pPr>
          </w:p>
          <w:p w14:paraId="7BEA9909" w14:textId="77777777" w:rsidR="0002496E" w:rsidRPr="00430543" w:rsidRDefault="0002496E" w:rsidP="0002496E">
            <w:pPr>
              <w:widowControl w:val="0"/>
              <w:ind w:left="57" w:right="113"/>
              <w:rPr>
                <w:sz w:val="18"/>
                <w:szCs w:val="18"/>
              </w:rPr>
            </w:pPr>
          </w:p>
          <w:p w14:paraId="00D05DFC" w14:textId="77777777" w:rsidR="0002496E" w:rsidRPr="00430543" w:rsidRDefault="0002496E" w:rsidP="0002496E">
            <w:pPr>
              <w:widowControl w:val="0"/>
              <w:ind w:left="57" w:right="113"/>
              <w:rPr>
                <w:sz w:val="18"/>
                <w:szCs w:val="18"/>
              </w:rPr>
            </w:pPr>
          </w:p>
          <w:p w14:paraId="19C4A684" w14:textId="77777777" w:rsidR="0002496E" w:rsidRPr="00430543" w:rsidRDefault="0002496E" w:rsidP="0002496E">
            <w:pPr>
              <w:widowControl w:val="0"/>
              <w:ind w:left="57" w:right="113"/>
              <w:rPr>
                <w:sz w:val="18"/>
                <w:szCs w:val="18"/>
              </w:rPr>
            </w:pPr>
          </w:p>
          <w:p w14:paraId="346FDA30" w14:textId="77777777" w:rsidR="0002496E" w:rsidRPr="00430543" w:rsidRDefault="0002496E" w:rsidP="0002496E">
            <w:pPr>
              <w:widowControl w:val="0"/>
              <w:ind w:left="57" w:right="113"/>
              <w:rPr>
                <w:sz w:val="18"/>
                <w:szCs w:val="18"/>
              </w:rPr>
            </w:pPr>
          </w:p>
          <w:p w14:paraId="41754762" w14:textId="77777777" w:rsidR="0002496E" w:rsidRPr="00430543" w:rsidRDefault="0002496E" w:rsidP="0002496E">
            <w:pPr>
              <w:widowControl w:val="0"/>
              <w:ind w:left="57" w:right="113"/>
              <w:rPr>
                <w:sz w:val="18"/>
                <w:szCs w:val="18"/>
              </w:rPr>
            </w:pPr>
          </w:p>
          <w:p w14:paraId="52945074" w14:textId="18ED0BDF" w:rsidR="0002496E" w:rsidRDefault="0002496E" w:rsidP="0002496E">
            <w:pPr>
              <w:widowControl w:val="0"/>
              <w:ind w:left="57" w:right="113"/>
              <w:rPr>
                <w:sz w:val="18"/>
                <w:szCs w:val="18"/>
              </w:rPr>
            </w:pPr>
          </w:p>
          <w:p w14:paraId="58ED1BEA" w14:textId="77777777" w:rsidR="0002496E" w:rsidRPr="00430543" w:rsidRDefault="0002496E" w:rsidP="0002496E">
            <w:pPr>
              <w:widowControl w:val="0"/>
              <w:ind w:left="57" w:right="113"/>
              <w:rPr>
                <w:sz w:val="18"/>
                <w:szCs w:val="18"/>
              </w:rPr>
            </w:pPr>
          </w:p>
          <w:p w14:paraId="4AF81DD9" w14:textId="77777777" w:rsidR="0002496E" w:rsidRPr="00430543" w:rsidRDefault="0002496E" w:rsidP="0002496E">
            <w:pPr>
              <w:widowControl w:val="0"/>
              <w:ind w:left="57" w:right="113"/>
              <w:rPr>
                <w:sz w:val="18"/>
                <w:szCs w:val="18"/>
              </w:rPr>
            </w:pPr>
          </w:p>
          <w:p w14:paraId="20F4FAEA" w14:textId="77777777" w:rsidR="0002496E" w:rsidRPr="00430543" w:rsidRDefault="0002496E" w:rsidP="0002496E">
            <w:pPr>
              <w:widowControl w:val="0"/>
              <w:ind w:left="57" w:right="113"/>
              <w:rPr>
                <w:sz w:val="18"/>
                <w:szCs w:val="18"/>
              </w:rPr>
            </w:pPr>
          </w:p>
          <w:p w14:paraId="77BE9532" w14:textId="77777777" w:rsidR="0002496E" w:rsidRPr="00430543" w:rsidRDefault="0002496E" w:rsidP="0002496E">
            <w:pPr>
              <w:widowControl w:val="0"/>
              <w:ind w:left="57" w:right="113"/>
              <w:rPr>
                <w:sz w:val="18"/>
                <w:szCs w:val="18"/>
              </w:rPr>
            </w:pPr>
            <w:r w:rsidRPr="00430543">
              <w:rPr>
                <w:sz w:val="18"/>
                <w:szCs w:val="18"/>
              </w:rPr>
              <w:t>čl. 7,</w:t>
            </w:r>
          </w:p>
          <w:p w14:paraId="2BE3DBEE" w14:textId="77777777" w:rsidR="0002496E" w:rsidRPr="00430543" w:rsidRDefault="0002496E" w:rsidP="0002496E">
            <w:pPr>
              <w:widowControl w:val="0"/>
              <w:ind w:left="57" w:right="113"/>
              <w:rPr>
                <w:sz w:val="18"/>
                <w:szCs w:val="18"/>
              </w:rPr>
            </w:pPr>
          </w:p>
          <w:p w14:paraId="44D15627" w14:textId="77777777" w:rsidR="0002496E" w:rsidRPr="00430543" w:rsidRDefault="0002496E" w:rsidP="0002496E">
            <w:pPr>
              <w:widowControl w:val="0"/>
              <w:ind w:left="57" w:right="113"/>
              <w:rPr>
                <w:sz w:val="18"/>
                <w:szCs w:val="18"/>
              </w:rPr>
            </w:pPr>
          </w:p>
          <w:p w14:paraId="689B1C4F" w14:textId="77777777" w:rsidR="0002496E" w:rsidRPr="00430543" w:rsidRDefault="0002496E" w:rsidP="0002496E">
            <w:pPr>
              <w:widowControl w:val="0"/>
              <w:ind w:left="57" w:right="113"/>
              <w:rPr>
                <w:sz w:val="18"/>
                <w:szCs w:val="18"/>
              </w:rPr>
            </w:pPr>
          </w:p>
          <w:p w14:paraId="29375788" w14:textId="77777777" w:rsidR="0002496E" w:rsidRPr="00430543" w:rsidRDefault="0002496E" w:rsidP="0002496E">
            <w:pPr>
              <w:widowControl w:val="0"/>
              <w:ind w:left="57" w:right="113"/>
              <w:rPr>
                <w:sz w:val="18"/>
                <w:szCs w:val="18"/>
              </w:rPr>
            </w:pPr>
          </w:p>
          <w:p w14:paraId="3EBBCCDA" w14:textId="77777777" w:rsidR="0002496E" w:rsidRPr="00430543" w:rsidRDefault="0002496E" w:rsidP="0002496E">
            <w:pPr>
              <w:widowControl w:val="0"/>
              <w:ind w:left="57" w:right="113"/>
              <w:rPr>
                <w:sz w:val="18"/>
                <w:szCs w:val="18"/>
              </w:rPr>
            </w:pPr>
          </w:p>
          <w:p w14:paraId="5A9E0B64" w14:textId="77777777" w:rsidR="0002496E" w:rsidRPr="00430543" w:rsidRDefault="0002496E" w:rsidP="0002496E">
            <w:pPr>
              <w:widowControl w:val="0"/>
              <w:ind w:left="57" w:right="113"/>
              <w:rPr>
                <w:sz w:val="18"/>
                <w:szCs w:val="18"/>
              </w:rPr>
            </w:pPr>
          </w:p>
          <w:p w14:paraId="19AC144C" w14:textId="77777777" w:rsidR="0002496E" w:rsidRPr="00430543" w:rsidRDefault="0002496E" w:rsidP="0002496E">
            <w:pPr>
              <w:widowControl w:val="0"/>
              <w:ind w:left="57" w:right="113"/>
              <w:rPr>
                <w:sz w:val="18"/>
                <w:szCs w:val="18"/>
              </w:rPr>
            </w:pPr>
          </w:p>
          <w:p w14:paraId="2B51E21E" w14:textId="77777777" w:rsidR="0002496E" w:rsidRPr="00430543" w:rsidRDefault="0002496E" w:rsidP="0002496E">
            <w:pPr>
              <w:widowControl w:val="0"/>
              <w:ind w:left="57" w:right="113"/>
              <w:rPr>
                <w:sz w:val="18"/>
                <w:szCs w:val="18"/>
              </w:rPr>
            </w:pPr>
          </w:p>
          <w:p w14:paraId="4011AF43" w14:textId="77777777" w:rsidR="0002496E" w:rsidRPr="00430543" w:rsidRDefault="0002496E" w:rsidP="0002496E">
            <w:pPr>
              <w:widowControl w:val="0"/>
              <w:ind w:left="57" w:right="113"/>
              <w:rPr>
                <w:sz w:val="18"/>
                <w:szCs w:val="18"/>
              </w:rPr>
            </w:pPr>
          </w:p>
          <w:p w14:paraId="02127921" w14:textId="77777777" w:rsidR="0002496E" w:rsidRPr="00430543" w:rsidRDefault="0002496E" w:rsidP="0002496E">
            <w:pPr>
              <w:widowControl w:val="0"/>
              <w:ind w:left="57" w:right="113"/>
              <w:rPr>
                <w:sz w:val="18"/>
                <w:szCs w:val="18"/>
              </w:rPr>
            </w:pPr>
          </w:p>
          <w:p w14:paraId="05185EE1" w14:textId="77777777" w:rsidR="0002496E" w:rsidRPr="00430543" w:rsidRDefault="0002496E" w:rsidP="0002496E">
            <w:pPr>
              <w:widowControl w:val="0"/>
              <w:ind w:left="57" w:right="113"/>
              <w:rPr>
                <w:sz w:val="18"/>
                <w:szCs w:val="18"/>
              </w:rPr>
            </w:pPr>
          </w:p>
          <w:p w14:paraId="609E9B36" w14:textId="77777777" w:rsidR="0002496E" w:rsidRPr="00430543" w:rsidRDefault="0002496E" w:rsidP="0002496E">
            <w:pPr>
              <w:widowControl w:val="0"/>
              <w:ind w:left="57" w:right="113"/>
              <w:rPr>
                <w:sz w:val="18"/>
                <w:szCs w:val="18"/>
              </w:rPr>
            </w:pPr>
          </w:p>
          <w:p w14:paraId="48823A26" w14:textId="77777777" w:rsidR="0002496E" w:rsidRPr="00430543" w:rsidRDefault="0002496E" w:rsidP="0002496E">
            <w:pPr>
              <w:widowControl w:val="0"/>
              <w:ind w:left="57" w:right="113"/>
              <w:rPr>
                <w:sz w:val="18"/>
                <w:szCs w:val="18"/>
              </w:rPr>
            </w:pPr>
          </w:p>
          <w:p w14:paraId="3203C2AF" w14:textId="77777777" w:rsidR="0002496E" w:rsidRPr="00430543" w:rsidRDefault="0002496E" w:rsidP="0002496E">
            <w:pPr>
              <w:widowControl w:val="0"/>
              <w:ind w:left="57" w:right="113"/>
              <w:rPr>
                <w:sz w:val="18"/>
                <w:szCs w:val="18"/>
              </w:rPr>
            </w:pPr>
          </w:p>
          <w:p w14:paraId="7A05C1A2" w14:textId="77777777" w:rsidR="0002496E" w:rsidRPr="00430543" w:rsidRDefault="0002496E" w:rsidP="0002496E">
            <w:pPr>
              <w:widowControl w:val="0"/>
              <w:ind w:left="57" w:right="113"/>
              <w:rPr>
                <w:sz w:val="18"/>
                <w:szCs w:val="18"/>
              </w:rPr>
            </w:pPr>
            <w:r w:rsidRPr="00430543">
              <w:rPr>
                <w:sz w:val="18"/>
                <w:szCs w:val="18"/>
              </w:rPr>
              <w:t>čl. 8,</w:t>
            </w:r>
          </w:p>
          <w:p w14:paraId="3C10CD08" w14:textId="77777777" w:rsidR="0002496E" w:rsidRPr="00430543" w:rsidRDefault="0002496E" w:rsidP="0002496E">
            <w:pPr>
              <w:widowControl w:val="0"/>
              <w:ind w:left="57" w:right="113"/>
              <w:rPr>
                <w:sz w:val="18"/>
                <w:szCs w:val="18"/>
              </w:rPr>
            </w:pPr>
          </w:p>
          <w:p w14:paraId="222CE265" w14:textId="77777777" w:rsidR="0002496E" w:rsidRPr="00430543" w:rsidRDefault="0002496E" w:rsidP="0002496E">
            <w:pPr>
              <w:widowControl w:val="0"/>
              <w:ind w:left="57" w:right="113"/>
              <w:rPr>
                <w:sz w:val="18"/>
                <w:szCs w:val="18"/>
              </w:rPr>
            </w:pPr>
          </w:p>
          <w:p w14:paraId="77026C9F" w14:textId="77777777" w:rsidR="0002496E" w:rsidRPr="00430543" w:rsidRDefault="0002496E" w:rsidP="0002496E">
            <w:pPr>
              <w:widowControl w:val="0"/>
              <w:ind w:left="57" w:right="113"/>
              <w:rPr>
                <w:sz w:val="18"/>
                <w:szCs w:val="18"/>
              </w:rPr>
            </w:pPr>
          </w:p>
          <w:p w14:paraId="7FA93915" w14:textId="77777777" w:rsidR="0002496E" w:rsidRPr="00430543" w:rsidRDefault="0002496E" w:rsidP="0002496E">
            <w:pPr>
              <w:widowControl w:val="0"/>
              <w:ind w:left="57" w:right="113"/>
              <w:rPr>
                <w:sz w:val="18"/>
                <w:szCs w:val="18"/>
              </w:rPr>
            </w:pPr>
          </w:p>
          <w:p w14:paraId="1652F0E2" w14:textId="77777777" w:rsidR="0002496E" w:rsidRPr="00430543" w:rsidRDefault="0002496E" w:rsidP="0002496E">
            <w:pPr>
              <w:widowControl w:val="0"/>
              <w:ind w:left="57" w:right="113"/>
              <w:rPr>
                <w:sz w:val="18"/>
                <w:szCs w:val="18"/>
              </w:rPr>
            </w:pPr>
          </w:p>
          <w:p w14:paraId="4C472F27" w14:textId="77777777" w:rsidR="0002496E" w:rsidRPr="00430543" w:rsidRDefault="0002496E" w:rsidP="0002496E">
            <w:pPr>
              <w:widowControl w:val="0"/>
              <w:ind w:left="57" w:right="113"/>
              <w:rPr>
                <w:sz w:val="18"/>
                <w:szCs w:val="18"/>
              </w:rPr>
            </w:pPr>
          </w:p>
          <w:p w14:paraId="7D3CB4D4" w14:textId="77777777" w:rsidR="0002496E" w:rsidRPr="00430543" w:rsidRDefault="0002496E" w:rsidP="0002496E">
            <w:pPr>
              <w:widowControl w:val="0"/>
              <w:ind w:left="57" w:right="113"/>
              <w:rPr>
                <w:sz w:val="18"/>
                <w:szCs w:val="18"/>
              </w:rPr>
            </w:pPr>
          </w:p>
          <w:p w14:paraId="59E40E54" w14:textId="77777777" w:rsidR="0002496E" w:rsidRPr="00430543" w:rsidRDefault="0002496E" w:rsidP="0002496E">
            <w:pPr>
              <w:widowControl w:val="0"/>
              <w:ind w:left="57" w:right="113"/>
              <w:rPr>
                <w:sz w:val="18"/>
                <w:szCs w:val="18"/>
              </w:rPr>
            </w:pPr>
          </w:p>
          <w:p w14:paraId="45B07A7B" w14:textId="77777777" w:rsidR="0002496E" w:rsidRPr="00430543" w:rsidRDefault="0002496E" w:rsidP="0002496E">
            <w:pPr>
              <w:widowControl w:val="0"/>
              <w:ind w:left="57" w:right="113"/>
              <w:rPr>
                <w:sz w:val="18"/>
                <w:szCs w:val="18"/>
              </w:rPr>
            </w:pPr>
          </w:p>
          <w:p w14:paraId="5553A57C" w14:textId="77777777" w:rsidR="0002496E" w:rsidRPr="00430543" w:rsidRDefault="0002496E" w:rsidP="0002496E">
            <w:pPr>
              <w:widowControl w:val="0"/>
              <w:ind w:left="57" w:right="113"/>
              <w:rPr>
                <w:sz w:val="18"/>
                <w:szCs w:val="18"/>
              </w:rPr>
            </w:pPr>
          </w:p>
          <w:p w14:paraId="331FA885" w14:textId="77777777" w:rsidR="0002496E" w:rsidRPr="00430543" w:rsidRDefault="0002496E" w:rsidP="0002496E">
            <w:pPr>
              <w:widowControl w:val="0"/>
              <w:ind w:left="57" w:right="113"/>
              <w:rPr>
                <w:sz w:val="18"/>
                <w:szCs w:val="18"/>
              </w:rPr>
            </w:pPr>
          </w:p>
          <w:p w14:paraId="69F3F411" w14:textId="77777777" w:rsidR="0002496E" w:rsidRPr="00430543" w:rsidRDefault="0002496E" w:rsidP="0002496E">
            <w:pPr>
              <w:widowControl w:val="0"/>
              <w:ind w:left="57" w:right="113"/>
              <w:rPr>
                <w:sz w:val="18"/>
                <w:szCs w:val="18"/>
              </w:rPr>
            </w:pPr>
          </w:p>
          <w:p w14:paraId="3F835B46" w14:textId="0B37794E" w:rsidR="0002496E" w:rsidRPr="00430543" w:rsidRDefault="0002496E" w:rsidP="0002496E">
            <w:pPr>
              <w:widowControl w:val="0"/>
              <w:ind w:left="57" w:right="113"/>
              <w:rPr>
                <w:sz w:val="18"/>
                <w:szCs w:val="18"/>
              </w:rPr>
            </w:pPr>
            <w:r w:rsidRPr="00430543">
              <w:rPr>
                <w:sz w:val="18"/>
                <w:szCs w:val="18"/>
              </w:rPr>
              <w:t>čl. 9</w:t>
            </w:r>
            <w:r w:rsidR="0063509F">
              <w:rPr>
                <w:sz w:val="18"/>
                <w:szCs w:val="18"/>
              </w:rPr>
              <w:t xml:space="preserve"> odst. 1 a odst. 2 pododstavec druhý</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15F605FC" w14:textId="7A0028F0" w:rsidR="0002496E" w:rsidRPr="008811C8" w:rsidRDefault="0002496E" w:rsidP="0002496E">
            <w:pPr>
              <w:pStyle w:val="Default"/>
              <w:rPr>
                <w:rFonts w:ascii="Times New Roman" w:hAnsi="Times New Roman" w:cs="Times New Roman"/>
                <w:sz w:val="18"/>
                <w:szCs w:val="18"/>
              </w:rPr>
            </w:pPr>
            <w:r w:rsidRPr="008811C8">
              <w:rPr>
                <w:rFonts w:ascii="Times New Roman" w:hAnsi="Times New Roman" w:cs="Times New Roman"/>
                <w:sz w:val="18"/>
                <w:szCs w:val="18"/>
              </w:rPr>
              <w:lastRenderedPageBreak/>
              <w:t>1.</w:t>
            </w:r>
            <w:r>
              <w:rPr>
                <w:rFonts w:ascii="Times New Roman" w:hAnsi="Times New Roman" w:cs="Times New Roman"/>
                <w:sz w:val="18"/>
                <w:szCs w:val="18"/>
              </w:rPr>
              <w:t xml:space="preserve"> </w:t>
            </w:r>
            <w:r w:rsidRPr="008811C8">
              <w:rPr>
                <w:rFonts w:ascii="Times New Roman" w:hAnsi="Times New Roman" w:cs="Times New Roman"/>
                <w:sz w:val="18"/>
                <w:szCs w:val="18"/>
              </w:rPr>
              <w:t>Členské státy zajistí, aby nejvyšší mateřský subjekt, jenž je členským subjektem nacházejícím se v členském státě, podléhal za dané účetní období ve vztahu ke svým nízce zdaněným členským subjektům, které se nacházejí v jiné jurisdikci nebo které jsou bez státní příslušnosti, dorovnávací dani („dorovnávací daň podle pravidla pro zahrnutí příjmů“).</w:t>
            </w:r>
          </w:p>
          <w:p w14:paraId="57F882A7" w14:textId="7F7C198D" w:rsidR="0002496E" w:rsidRDefault="0002496E" w:rsidP="0002496E">
            <w:pPr>
              <w:pStyle w:val="Default"/>
              <w:rPr>
                <w:rFonts w:ascii="Times New Roman" w:hAnsi="Times New Roman" w:cs="Times New Roman"/>
                <w:sz w:val="18"/>
                <w:szCs w:val="18"/>
              </w:rPr>
            </w:pPr>
            <w:r w:rsidRPr="008811C8">
              <w:rPr>
                <w:rFonts w:ascii="Times New Roman" w:hAnsi="Times New Roman" w:cs="Times New Roman"/>
                <w:sz w:val="18"/>
                <w:szCs w:val="18"/>
              </w:rPr>
              <w:t>2.</w:t>
            </w:r>
            <w:r>
              <w:rPr>
                <w:rFonts w:ascii="Times New Roman" w:hAnsi="Times New Roman" w:cs="Times New Roman"/>
                <w:sz w:val="18"/>
                <w:szCs w:val="18"/>
              </w:rPr>
              <w:t xml:space="preserve"> </w:t>
            </w:r>
            <w:r w:rsidRPr="008811C8">
              <w:rPr>
                <w:rFonts w:ascii="Times New Roman" w:hAnsi="Times New Roman" w:cs="Times New Roman"/>
                <w:sz w:val="18"/>
                <w:szCs w:val="18"/>
              </w:rPr>
              <w:t>Pokud se členský subjekt, jenž je nejvyšším mateřským subjektem nadnárodní skupiny podniků nebo velké vnitrostátní skupiny, nachází v členském státě, který je jurisdikcí s nízkým zdaněním, zajistí členské státy, aby uvedený subjekt podléhal za dané účetní období dorovnávací dani podle pravidla pro zahrnutí příjmů ve vztahu k sobě a všem nízce zdaněným členským subjektům dané skupiny nacházejícím se v tomtéž členském státě.</w:t>
            </w:r>
          </w:p>
          <w:p w14:paraId="3A98DED0" w14:textId="77777777" w:rsidR="0002496E" w:rsidRDefault="0002496E" w:rsidP="0002496E">
            <w:pPr>
              <w:pStyle w:val="Default"/>
              <w:rPr>
                <w:rFonts w:ascii="Times New Roman" w:hAnsi="Times New Roman" w:cs="Times New Roman"/>
                <w:sz w:val="18"/>
                <w:szCs w:val="18"/>
              </w:rPr>
            </w:pPr>
          </w:p>
          <w:p w14:paraId="36C1B4C7" w14:textId="673C2F19" w:rsidR="0002496E" w:rsidRPr="008811C8" w:rsidRDefault="0002496E" w:rsidP="0002496E">
            <w:pPr>
              <w:pStyle w:val="Default"/>
              <w:rPr>
                <w:rFonts w:ascii="Times New Roman" w:hAnsi="Times New Roman" w:cs="Times New Roman"/>
                <w:sz w:val="18"/>
                <w:szCs w:val="18"/>
              </w:rPr>
            </w:pPr>
            <w:r w:rsidRPr="008811C8">
              <w:rPr>
                <w:rFonts w:ascii="Times New Roman" w:hAnsi="Times New Roman" w:cs="Times New Roman"/>
                <w:sz w:val="18"/>
                <w:szCs w:val="18"/>
              </w:rPr>
              <w:t>1.</w:t>
            </w:r>
            <w:r>
              <w:rPr>
                <w:rFonts w:ascii="Times New Roman" w:hAnsi="Times New Roman" w:cs="Times New Roman"/>
                <w:sz w:val="18"/>
                <w:szCs w:val="18"/>
              </w:rPr>
              <w:t xml:space="preserve"> </w:t>
            </w:r>
            <w:r w:rsidRPr="008811C8">
              <w:rPr>
                <w:rFonts w:ascii="Times New Roman" w:hAnsi="Times New Roman" w:cs="Times New Roman"/>
                <w:sz w:val="18"/>
                <w:szCs w:val="18"/>
              </w:rPr>
              <w:t>Členské státy zajistí, aby střední mateřský subjekt nacházející se v členském státě a držený nejvyšším mateřským subjektem, který se nachází v jurisdikci třetí země, podléhal za dané účetní období ve vztahu ke svým nízce zdaněným členským subjektům, které se nacházejí v jiné jurisdikci nebo které jsou bez státní příslušnosti, dorovnávací dani podle pravidla pro zahrnutí příjmů.</w:t>
            </w:r>
          </w:p>
          <w:p w14:paraId="1A3A43DB" w14:textId="78B7C07E" w:rsidR="0002496E" w:rsidRPr="008811C8" w:rsidRDefault="0002496E" w:rsidP="0002496E">
            <w:pPr>
              <w:pStyle w:val="Default"/>
              <w:rPr>
                <w:rFonts w:ascii="Times New Roman" w:hAnsi="Times New Roman" w:cs="Times New Roman"/>
                <w:sz w:val="18"/>
                <w:szCs w:val="18"/>
              </w:rPr>
            </w:pPr>
            <w:r w:rsidRPr="008811C8">
              <w:rPr>
                <w:rFonts w:ascii="Times New Roman" w:hAnsi="Times New Roman" w:cs="Times New Roman"/>
                <w:sz w:val="18"/>
                <w:szCs w:val="18"/>
              </w:rPr>
              <w:t>2.</w:t>
            </w:r>
            <w:r>
              <w:rPr>
                <w:rFonts w:ascii="Times New Roman" w:hAnsi="Times New Roman" w:cs="Times New Roman"/>
                <w:sz w:val="18"/>
                <w:szCs w:val="18"/>
              </w:rPr>
              <w:t xml:space="preserve"> </w:t>
            </w:r>
            <w:r w:rsidRPr="008811C8">
              <w:rPr>
                <w:rFonts w:ascii="Times New Roman" w:hAnsi="Times New Roman" w:cs="Times New Roman"/>
                <w:sz w:val="18"/>
                <w:szCs w:val="18"/>
              </w:rPr>
              <w:t>Pokud se střední mateřský subjekt nachází v členském státě, který je jurisdikcí s nízkým zdaněním, a je držen nejvyšším mateřským subjektem, který se nachází v jurisdikci třetí země, zajistí členské státy, aby uvedený střední mateřský subjekt podléhal za dané účetní období dorovnávací dani podle pravidla pro zahrnutí příjmů ve vztahu k sobě a svým nízce zdaněným členským subjektům nacházejícím se v tomtéž členském státě.</w:t>
            </w:r>
          </w:p>
          <w:p w14:paraId="556B4CDA" w14:textId="615B2F31" w:rsidR="0002496E" w:rsidRPr="008811C8" w:rsidRDefault="0002496E" w:rsidP="0002496E">
            <w:pPr>
              <w:pStyle w:val="Default"/>
              <w:rPr>
                <w:rFonts w:ascii="Times New Roman" w:hAnsi="Times New Roman" w:cs="Times New Roman"/>
                <w:sz w:val="18"/>
                <w:szCs w:val="18"/>
              </w:rPr>
            </w:pPr>
            <w:r w:rsidRPr="008811C8">
              <w:rPr>
                <w:rFonts w:ascii="Times New Roman" w:hAnsi="Times New Roman" w:cs="Times New Roman"/>
                <w:sz w:val="18"/>
                <w:szCs w:val="18"/>
              </w:rPr>
              <w:t>3.</w:t>
            </w:r>
            <w:r>
              <w:rPr>
                <w:rFonts w:ascii="Times New Roman" w:hAnsi="Times New Roman" w:cs="Times New Roman"/>
                <w:sz w:val="18"/>
                <w:szCs w:val="18"/>
              </w:rPr>
              <w:t xml:space="preserve"> </w:t>
            </w:r>
            <w:r w:rsidRPr="008811C8">
              <w:rPr>
                <w:rFonts w:ascii="Times New Roman" w:hAnsi="Times New Roman" w:cs="Times New Roman"/>
                <w:sz w:val="18"/>
                <w:szCs w:val="18"/>
              </w:rPr>
              <w:t>Odstavce 1 a 2 se nepoužijí v případě, že:</w:t>
            </w:r>
          </w:p>
          <w:p w14:paraId="32645016" w14:textId="77777777" w:rsidR="0002496E" w:rsidRDefault="0002496E" w:rsidP="0002496E">
            <w:pPr>
              <w:pStyle w:val="Default"/>
              <w:rPr>
                <w:rFonts w:ascii="Times New Roman" w:hAnsi="Times New Roman" w:cs="Times New Roman"/>
                <w:sz w:val="18"/>
                <w:szCs w:val="18"/>
              </w:rPr>
            </w:pPr>
            <w:r w:rsidRPr="008811C8">
              <w:rPr>
                <w:rFonts w:ascii="Times New Roman" w:hAnsi="Times New Roman" w:cs="Times New Roman"/>
                <w:sz w:val="18"/>
                <w:szCs w:val="18"/>
              </w:rPr>
              <w:t>a)</w:t>
            </w:r>
            <w:r>
              <w:rPr>
                <w:rFonts w:ascii="Times New Roman" w:hAnsi="Times New Roman" w:cs="Times New Roman"/>
                <w:sz w:val="18"/>
                <w:szCs w:val="18"/>
              </w:rPr>
              <w:t xml:space="preserve"> </w:t>
            </w:r>
            <w:r w:rsidRPr="008811C8">
              <w:rPr>
                <w:rFonts w:ascii="Times New Roman" w:hAnsi="Times New Roman" w:cs="Times New Roman"/>
                <w:sz w:val="18"/>
                <w:szCs w:val="18"/>
              </w:rPr>
              <w:t>nejvyšší mateřský subjekt podléhá za dané účetní období kvalifikovanému pravidlu pro zahrnutí příjmů, nebo</w:t>
            </w:r>
            <w:r>
              <w:rPr>
                <w:rFonts w:ascii="Times New Roman" w:hAnsi="Times New Roman" w:cs="Times New Roman"/>
                <w:sz w:val="18"/>
                <w:szCs w:val="18"/>
              </w:rPr>
              <w:t xml:space="preserve"> </w:t>
            </w:r>
          </w:p>
          <w:p w14:paraId="10392232" w14:textId="77777777" w:rsidR="0002496E" w:rsidRDefault="0002496E" w:rsidP="0002496E">
            <w:pPr>
              <w:pStyle w:val="Default"/>
              <w:rPr>
                <w:rFonts w:ascii="Times New Roman" w:hAnsi="Times New Roman" w:cs="Times New Roman"/>
                <w:sz w:val="18"/>
                <w:szCs w:val="18"/>
              </w:rPr>
            </w:pPr>
            <w:r w:rsidRPr="008811C8">
              <w:rPr>
                <w:rFonts w:ascii="Times New Roman" w:hAnsi="Times New Roman" w:cs="Times New Roman"/>
                <w:sz w:val="18"/>
                <w:szCs w:val="18"/>
              </w:rPr>
              <w:t>b)</w:t>
            </w:r>
            <w:r>
              <w:rPr>
                <w:rFonts w:ascii="Times New Roman" w:hAnsi="Times New Roman" w:cs="Times New Roman"/>
                <w:sz w:val="18"/>
                <w:szCs w:val="18"/>
              </w:rPr>
              <w:t xml:space="preserve"> </w:t>
            </w:r>
            <w:r w:rsidRPr="008811C8">
              <w:rPr>
                <w:rFonts w:ascii="Times New Roman" w:hAnsi="Times New Roman" w:cs="Times New Roman"/>
                <w:sz w:val="18"/>
                <w:szCs w:val="18"/>
              </w:rPr>
              <w:t>jiný střední mateřský subjekt se nachází v jurisdikci, v níž podléhá za dané účetní období kvalifikovanému pravidlu pro zahrnutí příjmů, a přímo či nepřímo vlastní kontrolní podíl ve středním mateřském subjektu.</w:t>
            </w:r>
          </w:p>
          <w:p w14:paraId="6511D6FD" w14:textId="77777777" w:rsidR="0002496E" w:rsidRDefault="0002496E" w:rsidP="0002496E">
            <w:pPr>
              <w:pStyle w:val="Default"/>
              <w:rPr>
                <w:rFonts w:ascii="Times New Roman" w:hAnsi="Times New Roman" w:cs="Times New Roman"/>
                <w:sz w:val="18"/>
                <w:szCs w:val="18"/>
              </w:rPr>
            </w:pPr>
          </w:p>
          <w:p w14:paraId="3655D11C" w14:textId="444E3647" w:rsidR="0002496E" w:rsidRPr="008811C8" w:rsidRDefault="0002496E" w:rsidP="0002496E">
            <w:pPr>
              <w:pStyle w:val="Default"/>
              <w:rPr>
                <w:rFonts w:ascii="Times New Roman" w:hAnsi="Times New Roman" w:cs="Times New Roman"/>
                <w:sz w:val="18"/>
                <w:szCs w:val="18"/>
              </w:rPr>
            </w:pPr>
            <w:r w:rsidRPr="008811C8">
              <w:rPr>
                <w:rFonts w:ascii="Times New Roman" w:hAnsi="Times New Roman" w:cs="Times New Roman"/>
                <w:sz w:val="18"/>
                <w:szCs w:val="18"/>
              </w:rPr>
              <w:lastRenderedPageBreak/>
              <w:t>1.</w:t>
            </w:r>
            <w:r>
              <w:rPr>
                <w:rFonts w:ascii="Times New Roman" w:hAnsi="Times New Roman" w:cs="Times New Roman"/>
                <w:sz w:val="18"/>
                <w:szCs w:val="18"/>
              </w:rPr>
              <w:t xml:space="preserve"> </w:t>
            </w:r>
            <w:r w:rsidRPr="008811C8">
              <w:rPr>
                <w:rFonts w:ascii="Times New Roman" w:hAnsi="Times New Roman" w:cs="Times New Roman"/>
                <w:sz w:val="18"/>
                <w:szCs w:val="18"/>
              </w:rPr>
              <w:t>Členské státy zajistí, aby střední mateřský subjekt nacházející se v členském státě a držený nejvyšším mateřským subjektem, jenž je vyloučeným subjektem, podléhal za dané účetní období ve vztahu ke svým nízce zdaněným členským subjektům, které se nacházejí v jiné jurisdikci nebo které jsou bez státní příslušnosti, dorovnávací dani podle pravidla pro zahrnutí příjmů.</w:t>
            </w:r>
          </w:p>
          <w:p w14:paraId="6925573F" w14:textId="15BBFE79" w:rsidR="0002496E" w:rsidRPr="008811C8" w:rsidRDefault="0002496E" w:rsidP="0002496E">
            <w:pPr>
              <w:pStyle w:val="Default"/>
              <w:rPr>
                <w:rFonts w:ascii="Times New Roman" w:hAnsi="Times New Roman" w:cs="Times New Roman"/>
                <w:sz w:val="18"/>
                <w:szCs w:val="18"/>
              </w:rPr>
            </w:pPr>
            <w:r w:rsidRPr="008811C8">
              <w:rPr>
                <w:rFonts w:ascii="Times New Roman" w:hAnsi="Times New Roman" w:cs="Times New Roman"/>
                <w:sz w:val="18"/>
                <w:szCs w:val="18"/>
              </w:rPr>
              <w:t>2.</w:t>
            </w:r>
            <w:r>
              <w:rPr>
                <w:rFonts w:ascii="Times New Roman" w:hAnsi="Times New Roman" w:cs="Times New Roman"/>
                <w:sz w:val="18"/>
                <w:szCs w:val="18"/>
              </w:rPr>
              <w:t xml:space="preserve"> </w:t>
            </w:r>
            <w:r w:rsidRPr="008811C8">
              <w:rPr>
                <w:rFonts w:ascii="Times New Roman" w:hAnsi="Times New Roman" w:cs="Times New Roman"/>
                <w:sz w:val="18"/>
                <w:szCs w:val="18"/>
              </w:rPr>
              <w:t>Pokud se střední mateřský subjekt nachází v členském státě, který je jurisdikcí s nízkým zdaněním, a je držen nejvyšším mateřským subjektem, jenž je vyloučeným subjektem, zajistí členské státy, aby uvedený střední mateřský subjekt a všechny nízce zdaněné členské subjekty dané skupiny nacházející se v tomtéž členském státě za dané účetní období podléhaly dorovnávací dani podle pravidla pro zahrnutí příjmů.</w:t>
            </w:r>
          </w:p>
          <w:p w14:paraId="1C20F562" w14:textId="67B2F01D" w:rsidR="0002496E" w:rsidRDefault="0002496E" w:rsidP="0002496E">
            <w:pPr>
              <w:pStyle w:val="Default"/>
              <w:rPr>
                <w:rFonts w:ascii="Times New Roman" w:hAnsi="Times New Roman" w:cs="Times New Roman"/>
                <w:sz w:val="18"/>
                <w:szCs w:val="18"/>
              </w:rPr>
            </w:pPr>
            <w:r w:rsidRPr="008811C8">
              <w:rPr>
                <w:rFonts w:ascii="Times New Roman" w:hAnsi="Times New Roman" w:cs="Times New Roman"/>
                <w:sz w:val="18"/>
                <w:szCs w:val="18"/>
              </w:rPr>
              <w:t>3.</w:t>
            </w:r>
            <w:r>
              <w:rPr>
                <w:rFonts w:ascii="Times New Roman" w:hAnsi="Times New Roman" w:cs="Times New Roman"/>
                <w:sz w:val="18"/>
                <w:szCs w:val="18"/>
              </w:rPr>
              <w:t xml:space="preserve"> </w:t>
            </w:r>
            <w:r w:rsidRPr="008811C8">
              <w:rPr>
                <w:rFonts w:ascii="Times New Roman" w:hAnsi="Times New Roman" w:cs="Times New Roman"/>
                <w:sz w:val="18"/>
                <w:szCs w:val="18"/>
              </w:rPr>
              <w:t>Odstavce 1 a 2 se nepoužijí, pokud se jiný střední mateřský subjekt nachází v jurisdikci, v níž za dané účetní období podléhá kvalifikovanému pravidlu pro zahrnutí příjmů, a přímo či nepřímo vlastní kontrolní podíl ve středním mateřském subjektu uvedeném v odstavcích 1 a 2.</w:t>
            </w:r>
          </w:p>
          <w:p w14:paraId="44688BE4" w14:textId="77777777" w:rsidR="0002496E" w:rsidRDefault="0002496E" w:rsidP="0002496E">
            <w:pPr>
              <w:pStyle w:val="Default"/>
              <w:rPr>
                <w:rFonts w:ascii="Times New Roman" w:hAnsi="Times New Roman" w:cs="Times New Roman"/>
                <w:sz w:val="18"/>
                <w:szCs w:val="18"/>
              </w:rPr>
            </w:pPr>
          </w:p>
          <w:p w14:paraId="745E3018" w14:textId="77777777" w:rsidR="0002496E" w:rsidRDefault="0002496E" w:rsidP="0002496E">
            <w:pPr>
              <w:pStyle w:val="Default"/>
              <w:rPr>
                <w:rFonts w:ascii="Times New Roman" w:hAnsi="Times New Roman" w:cs="Times New Roman"/>
                <w:sz w:val="18"/>
                <w:szCs w:val="18"/>
              </w:rPr>
            </w:pPr>
          </w:p>
          <w:p w14:paraId="0D32401C" w14:textId="16353A60" w:rsidR="0002496E" w:rsidRPr="008811C8" w:rsidRDefault="0002496E" w:rsidP="0002496E">
            <w:pPr>
              <w:pStyle w:val="Default"/>
              <w:rPr>
                <w:rFonts w:ascii="Times New Roman" w:hAnsi="Times New Roman" w:cs="Times New Roman"/>
                <w:sz w:val="18"/>
                <w:szCs w:val="18"/>
              </w:rPr>
            </w:pPr>
            <w:r w:rsidRPr="008811C8">
              <w:rPr>
                <w:rFonts w:ascii="Times New Roman" w:hAnsi="Times New Roman" w:cs="Times New Roman"/>
                <w:sz w:val="18"/>
                <w:szCs w:val="18"/>
              </w:rPr>
              <w:t>1.</w:t>
            </w:r>
            <w:r>
              <w:rPr>
                <w:rFonts w:ascii="Times New Roman" w:hAnsi="Times New Roman" w:cs="Times New Roman"/>
                <w:sz w:val="18"/>
                <w:szCs w:val="18"/>
              </w:rPr>
              <w:t xml:space="preserve"> </w:t>
            </w:r>
            <w:r w:rsidRPr="008811C8">
              <w:rPr>
                <w:rFonts w:ascii="Times New Roman" w:hAnsi="Times New Roman" w:cs="Times New Roman"/>
                <w:sz w:val="18"/>
                <w:szCs w:val="18"/>
              </w:rPr>
              <w:t>Členské státy zajistí, aby částečně vlastněný mateřský subjekt, který se nachází v členském státě, podléhal za dané účetní období ve vztahu ke svým nízce zdaněným členským subjektům, které se nacházejí v jiné jurisdikci nebo které jsou bez státní příslušnosti, dorovnávací dani podle pravidla pro zahrnutí příjmů.</w:t>
            </w:r>
          </w:p>
          <w:p w14:paraId="5BD23681" w14:textId="7C25071A" w:rsidR="0002496E" w:rsidRPr="008811C8" w:rsidRDefault="0002496E" w:rsidP="0002496E">
            <w:pPr>
              <w:pStyle w:val="Default"/>
              <w:rPr>
                <w:rFonts w:ascii="Times New Roman" w:hAnsi="Times New Roman" w:cs="Times New Roman"/>
                <w:sz w:val="18"/>
                <w:szCs w:val="18"/>
              </w:rPr>
            </w:pPr>
            <w:r w:rsidRPr="008811C8">
              <w:rPr>
                <w:rFonts w:ascii="Times New Roman" w:hAnsi="Times New Roman" w:cs="Times New Roman"/>
                <w:sz w:val="18"/>
                <w:szCs w:val="18"/>
              </w:rPr>
              <w:t>2.</w:t>
            </w:r>
            <w:r>
              <w:rPr>
                <w:rFonts w:ascii="Times New Roman" w:hAnsi="Times New Roman" w:cs="Times New Roman"/>
                <w:sz w:val="18"/>
                <w:szCs w:val="18"/>
              </w:rPr>
              <w:t xml:space="preserve"> </w:t>
            </w:r>
            <w:r w:rsidRPr="008811C8">
              <w:rPr>
                <w:rFonts w:ascii="Times New Roman" w:hAnsi="Times New Roman" w:cs="Times New Roman"/>
                <w:sz w:val="18"/>
                <w:szCs w:val="18"/>
              </w:rPr>
              <w:t>Pokud se částečně vlastněný mateřský subjekt nachází v členském státě, který je jurisdikcí s nízkým zdaněním, zajistí členské státy, aby uvedený částečně vlastněný subjekt podléhal za dané účetní období dorovnávací dani podle pravidla pro zahrnutí příjmů ve vztahu k sobě a svým nízce zdaněným členským subjektům nacházejícím se v tomtéž členském státě.</w:t>
            </w:r>
          </w:p>
          <w:p w14:paraId="234144C2" w14:textId="7C504D5B" w:rsidR="0002496E" w:rsidRDefault="0002496E" w:rsidP="0002496E">
            <w:pPr>
              <w:pStyle w:val="Default"/>
              <w:rPr>
                <w:rFonts w:ascii="Times New Roman" w:hAnsi="Times New Roman" w:cs="Times New Roman"/>
                <w:sz w:val="18"/>
                <w:szCs w:val="18"/>
              </w:rPr>
            </w:pPr>
            <w:r w:rsidRPr="008811C8">
              <w:rPr>
                <w:rFonts w:ascii="Times New Roman" w:hAnsi="Times New Roman" w:cs="Times New Roman"/>
                <w:sz w:val="18"/>
                <w:szCs w:val="18"/>
              </w:rPr>
              <w:t>3.</w:t>
            </w:r>
            <w:r>
              <w:rPr>
                <w:rFonts w:ascii="Times New Roman" w:hAnsi="Times New Roman" w:cs="Times New Roman"/>
                <w:sz w:val="18"/>
                <w:szCs w:val="18"/>
              </w:rPr>
              <w:t xml:space="preserve"> </w:t>
            </w:r>
            <w:r w:rsidRPr="008811C8">
              <w:rPr>
                <w:rFonts w:ascii="Times New Roman" w:hAnsi="Times New Roman" w:cs="Times New Roman"/>
                <w:sz w:val="18"/>
                <w:szCs w:val="18"/>
              </w:rPr>
              <w:t>Odstavce 1 a 2 se nepoužijí, pokud jsou všechny vlastnické podíly částečně vlastněného mateřského subjektu přímo či nepřímo drženy jiným částečně vlastněným mateřským subjektem, který podléhá za dané účetní období kvalifikovanému pravidlu pro zahrnutí příjmů.</w:t>
            </w:r>
          </w:p>
          <w:p w14:paraId="4C873420" w14:textId="77777777" w:rsidR="0002496E" w:rsidRDefault="0002496E" w:rsidP="0002496E">
            <w:pPr>
              <w:pStyle w:val="Default"/>
              <w:rPr>
                <w:rFonts w:ascii="Times New Roman" w:hAnsi="Times New Roman" w:cs="Times New Roman"/>
                <w:sz w:val="18"/>
                <w:szCs w:val="18"/>
              </w:rPr>
            </w:pPr>
          </w:p>
          <w:p w14:paraId="20B5FC67" w14:textId="77777777" w:rsidR="0002496E" w:rsidRDefault="0002496E" w:rsidP="0002496E">
            <w:pPr>
              <w:pStyle w:val="Default"/>
              <w:rPr>
                <w:rFonts w:ascii="Times New Roman" w:hAnsi="Times New Roman" w:cs="Times New Roman"/>
                <w:sz w:val="18"/>
                <w:szCs w:val="18"/>
              </w:rPr>
            </w:pPr>
          </w:p>
          <w:p w14:paraId="32D37D22" w14:textId="3EC1A953" w:rsidR="0002496E" w:rsidRPr="008811C8" w:rsidRDefault="0002496E" w:rsidP="0002496E">
            <w:pPr>
              <w:pStyle w:val="Default"/>
              <w:rPr>
                <w:rFonts w:ascii="Times New Roman" w:hAnsi="Times New Roman" w:cs="Times New Roman"/>
                <w:sz w:val="18"/>
                <w:szCs w:val="18"/>
              </w:rPr>
            </w:pPr>
            <w:r w:rsidRPr="008811C8">
              <w:rPr>
                <w:rFonts w:ascii="Times New Roman" w:hAnsi="Times New Roman" w:cs="Times New Roman"/>
                <w:sz w:val="18"/>
                <w:szCs w:val="18"/>
              </w:rPr>
              <w:t>1.</w:t>
            </w:r>
            <w:r>
              <w:rPr>
                <w:rFonts w:ascii="Times New Roman" w:hAnsi="Times New Roman" w:cs="Times New Roman"/>
                <w:sz w:val="18"/>
                <w:szCs w:val="18"/>
              </w:rPr>
              <w:t xml:space="preserve"> </w:t>
            </w:r>
            <w:r w:rsidRPr="008811C8">
              <w:rPr>
                <w:rFonts w:ascii="Times New Roman" w:hAnsi="Times New Roman" w:cs="Times New Roman"/>
                <w:sz w:val="18"/>
                <w:szCs w:val="18"/>
              </w:rPr>
              <w:t>Dorovnávací daň podle pravidla pro zahrnutí příjmů splatná mateřským subjektem ve vztahu k nízce zdaněnému členskému subjektu podle čl. 5 odst. 1, čl. 6 odst. 1, čl. 7 odst. 1 a čl. 8 odst. 1 se rovná dorovnávací dani nízce zdaněného členského subjektu, která se vypočítá podle článku 27, vynásobené přidělitelným podílem mateřského subjektu na takové dorovnávací dani za dané účetní období.</w:t>
            </w:r>
          </w:p>
          <w:p w14:paraId="76745B0A" w14:textId="77777777" w:rsidR="0002496E" w:rsidRPr="008811C8" w:rsidRDefault="0002496E" w:rsidP="0002496E">
            <w:pPr>
              <w:pStyle w:val="Default"/>
              <w:rPr>
                <w:rFonts w:ascii="Times New Roman" w:hAnsi="Times New Roman" w:cs="Times New Roman"/>
                <w:sz w:val="18"/>
                <w:szCs w:val="18"/>
              </w:rPr>
            </w:pPr>
          </w:p>
          <w:p w14:paraId="2D51576F" w14:textId="5DDA12DB" w:rsidR="0002496E" w:rsidRPr="007936DA" w:rsidRDefault="0002496E" w:rsidP="0002496E">
            <w:pPr>
              <w:pStyle w:val="Default"/>
              <w:rPr>
                <w:rFonts w:ascii="Times New Roman" w:hAnsi="Times New Roman" w:cs="Times New Roman"/>
                <w:sz w:val="18"/>
                <w:szCs w:val="18"/>
              </w:rPr>
            </w:pPr>
            <w:r w:rsidRPr="008811C8">
              <w:rPr>
                <w:rFonts w:ascii="Times New Roman" w:hAnsi="Times New Roman" w:cs="Times New Roman"/>
                <w:sz w:val="18"/>
                <w:szCs w:val="18"/>
              </w:rPr>
              <w:t>2.</w:t>
            </w:r>
            <w:r>
              <w:rPr>
                <w:rFonts w:ascii="Times New Roman" w:hAnsi="Times New Roman" w:cs="Times New Roman"/>
                <w:sz w:val="18"/>
                <w:szCs w:val="18"/>
              </w:rPr>
              <w:t xml:space="preserve"> </w:t>
            </w:r>
            <w:r w:rsidRPr="008811C8">
              <w:rPr>
                <w:rFonts w:ascii="Times New Roman" w:hAnsi="Times New Roman" w:cs="Times New Roman"/>
                <w:sz w:val="18"/>
                <w:szCs w:val="18"/>
              </w:rPr>
              <w:t>Přidělitelný podíl mateřského subjektu na dorovnávací dani ve vztahu k nízce zdaněnému členskému subjektu je dán poměrem vlastnického podílu mateřského subjektu na kvalifikovaném příjmu nízce zdaněného členského subjektu. Tento poměr se rovná kvalifikovanému příjmu nízce zdaněného členského subjektu za dané účetní období sníženému o částku tohoto příjmu přiřaditelnou vlastnickým podílům drženým jinými vlastníky a vydělenému kvalifikovaným příjmem nízce zdaněného členského subjektu za dané účetní období.</w:t>
            </w:r>
          </w:p>
        </w:tc>
      </w:tr>
      <w:tr w:rsidR="0002496E" w:rsidRPr="007936DA" w14:paraId="518D1D4A"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5F43E3B2"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lastRenderedPageBreak/>
              <w:t>§ 97</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4A831ACD" w14:textId="7D2B2639"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 xml:space="preserve">Část přiřazované dorovnávací daně přiřazená poplatníkovi podle pravidla pro zahrnutí zisku se sníží o dílčí dorovnávací daň přiřaditelnou tomuto poplatníkovi na základě pravidla pro zahrnutí zisku, která je v daném </w:t>
            </w:r>
            <w:r w:rsidR="00640624">
              <w:rPr>
                <w:b/>
                <w:sz w:val="18"/>
                <w:szCs w:val="18"/>
                <w:u w:val="single"/>
                <w:lang w:eastAsia="ar-SA"/>
              </w:rPr>
              <w:t>výkazním</w:t>
            </w:r>
            <w:r w:rsidRPr="00430543">
              <w:rPr>
                <w:sz w:val="18"/>
                <w:szCs w:val="18"/>
                <w:lang w:eastAsia="ar-SA"/>
              </w:rPr>
              <w:t xml:space="preserve"> období přiřaditelná na základě kvalifikovaného pravidla pro zahrnutí zisku také střední mateřské entitě nebo částečně vlastněné mateřské entitě, ve kterých tento poplatník drží přímo nebo nepřímo vlastnický podíl, pokud těmto entitám vznikne v souvislosti s touto přiřaditelnou dílčí dorovnávací daní daňová povinnost k přiřazované dorovnávací dani.</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2A7FCF9" w14:textId="6F4E63AD" w:rsidR="0002496E" w:rsidRPr="00430543" w:rsidRDefault="0002496E" w:rsidP="0002496E">
            <w:pPr>
              <w:widowControl w:val="0"/>
              <w:ind w:left="57" w:right="113"/>
              <w:rPr>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21A08F69" w14:textId="77CF8E60" w:rsidR="0002496E" w:rsidRPr="00430543" w:rsidRDefault="0002496E" w:rsidP="0002496E">
            <w:pPr>
              <w:widowControl w:val="0"/>
              <w:ind w:left="57" w:right="113"/>
              <w:rPr>
                <w:sz w:val="18"/>
                <w:szCs w:val="18"/>
              </w:rPr>
            </w:pPr>
            <w:r w:rsidRPr="00430543">
              <w:rPr>
                <w:sz w:val="18"/>
                <w:szCs w:val="18"/>
              </w:rPr>
              <w:t>čl. 10</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59F5968D" w14:textId="77777777" w:rsidR="0002496E" w:rsidRPr="00443943" w:rsidRDefault="0002496E" w:rsidP="0002496E">
            <w:pPr>
              <w:rPr>
                <w:color w:val="000000"/>
                <w:sz w:val="18"/>
                <w:szCs w:val="18"/>
              </w:rPr>
            </w:pPr>
            <w:r w:rsidRPr="00443943">
              <w:rPr>
                <w:color w:val="000000"/>
                <w:sz w:val="18"/>
                <w:szCs w:val="18"/>
              </w:rPr>
              <w:t>Pokud mateřský subjekt nacházející se v členském státě drží vlastnický podíl v nízce zdaněném členském subjektu nepřímo prostřednictvím středního mateřského subjektu nebo částečně vlastněného mateřského subjektu, který pro dané účetní období podléhá kvalifikovanému pravidlu pro zahrnutí příjmů, sníží se dorovnávací daň splatná podle článků 5 až 8 o částku, která se rovná části přidělitelného podílu prvně uvedeného mateřského subjektu na dorovnávací dani, jež je splatná středním mateřským subjektem nebo částečně vlastněným mateřským subjektem.</w:t>
            </w:r>
          </w:p>
          <w:p w14:paraId="27AA7667" w14:textId="77777777" w:rsidR="0002496E" w:rsidRPr="007936DA" w:rsidRDefault="0002496E" w:rsidP="0002496E">
            <w:pPr>
              <w:pStyle w:val="Default"/>
              <w:rPr>
                <w:rFonts w:ascii="Times New Roman" w:hAnsi="Times New Roman" w:cs="Times New Roman"/>
                <w:sz w:val="18"/>
                <w:szCs w:val="18"/>
              </w:rPr>
            </w:pPr>
          </w:p>
        </w:tc>
      </w:tr>
      <w:tr w:rsidR="0002496E" w:rsidRPr="007936DA" w14:paraId="52D8B82B"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2A09C0D5"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 99</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6E26CFCF"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Členská entita, která není investiční entitou, podléhá pravidlu pro nedostatečně zdaněný zisk, pokud nejvyšší mateřská entita nadnárodní skupiny, jejíž součástí je tato členská entita, je</w:t>
            </w:r>
          </w:p>
          <w:p w14:paraId="61FF19FB"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a)</w:t>
            </w:r>
            <w:r w:rsidRPr="00430543">
              <w:rPr>
                <w:sz w:val="18"/>
                <w:szCs w:val="18"/>
                <w:lang w:eastAsia="ar-SA"/>
              </w:rPr>
              <w:tab/>
              <w:t>vyloučenou entitou, nebo</w:t>
            </w:r>
          </w:p>
          <w:p w14:paraId="12948DAD"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b)</w:t>
            </w:r>
            <w:r w:rsidRPr="00430543">
              <w:rPr>
                <w:sz w:val="18"/>
                <w:szCs w:val="18"/>
                <w:lang w:eastAsia="ar-SA"/>
              </w:rPr>
              <w:tab/>
              <w:t>ze třetího státu,</w:t>
            </w:r>
          </w:p>
          <w:p w14:paraId="680BD101" w14:textId="77053ECB"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1.</w:t>
            </w:r>
            <w:r w:rsidRPr="00430543">
              <w:rPr>
                <w:sz w:val="18"/>
                <w:szCs w:val="18"/>
                <w:lang w:eastAsia="ar-SA"/>
              </w:rPr>
              <w:tab/>
              <w:t xml:space="preserve">ve kterém nejvyšší mateřská entita v daném </w:t>
            </w:r>
            <w:r w:rsidR="00640624">
              <w:rPr>
                <w:b/>
                <w:sz w:val="18"/>
                <w:szCs w:val="18"/>
                <w:u w:val="single"/>
                <w:lang w:eastAsia="ar-SA"/>
              </w:rPr>
              <w:t>výkazním</w:t>
            </w:r>
            <w:r w:rsidRPr="00430543">
              <w:rPr>
                <w:sz w:val="18"/>
                <w:szCs w:val="18"/>
                <w:lang w:eastAsia="ar-SA"/>
              </w:rPr>
              <w:t xml:space="preserve"> období nepodléhá kvalifikovanému pravidlu pro zahrnutí zisku, nebo</w:t>
            </w:r>
          </w:p>
          <w:p w14:paraId="5337623A" w14:textId="285E052E"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2.</w:t>
            </w:r>
            <w:r w:rsidRPr="00430543">
              <w:rPr>
                <w:sz w:val="18"/>
                <w:szCs w:val="18"/>
                <w:lang w:eastAsia="ar-SA"/>
              </w:rPr>
              <w:tab/>
              <w:t>který je státem s nízkým zdaněním; to neplatí, pokud nejvyšší mateřská entita v tomto státě podléhá kvalifikovanému pravidlu pro zahrnutí zisku ve vztahu k ní samé a k nízce zdaněným členským entitám z tohoto státu.</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0EC0236A" w14:textId="5B8E82D0" w:rsidR="0002496E" w:rsidRPr="00430543" w:rsidRDefault="0002496E" w:rsidP="0002496E">
            <w:pPr>
              <w:widowControl w:val="0"/>
              <w:ind w:left="57" w:right="113"/>
              <w:rPr>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20FBAC42" w14:textId="77777777" w:rsidR="0002496E" w:rsidRPr="00430543" w:rsidRDefault="0002496E" w:rsidP="0002496E">
            <w:pPr>
              <w:widowControl w:val="0"/>
              <w:ind w:left="57" w:right="113"/>
              <w:rPr>
                <w:sz w:val="18"/>
                <w:szCs w:val="18"/>
              </w:rPr>
            </w:pPr>
            <w:r w:rsidRPr="00430543">
              <w:rPr>
                <w:sz w:val="18"/>
                <w:szCs w:val="18"/>
              </w:rPr>
              <w:t xml:space="preserve">čl. 12 odst. 1 pododstavec první, </w:t>
            </w:r>
          </w:p>
          <w:p w14:paraId="515735FD" w14:textId="18115B21" w:rsidR="0002496E" w:rsidRPr="00430543" w:rsidRDefault="0002496E" w:rsidP="0002496E">
            <w:pPr>
              <w:widowControl w:val="0"/>
              <w:ind w:right="113"/>
              <w:rPr>
                <w:sz w:val="18"/>
                <w:szCs w:val="18"/>
              </w:rPr>
            </w:pPr>
          </w:p>
          <w:p w14:paraId="505B4C24" w14:textId="79FB66B5" w:rsidR="0002496E" w:rsidRDefault="0002496E" w:rsidP="0002496E">
            <w:pPr>
              <w:widowControl w:val="0"/>
              <w:ind w:left="57" w:right="113"/>
              <w:rPr>
                <w:sz w:val="18"/>
                <w:szCs w:val="18"/>
              </w:rPr>
            </w:pPr>
          </w:p>
          <w:p w14:paraId="3CA02AE2" w14:textId="77777777" w:rsidR="0002496E" w:rsidRPr="00430543" w:rsidRDefault="0002496E" w:rsidP="0002496E">
            <w:pPr>
              <w:widowControl w:val="0"/>
              <w:ind w:left="57" w:right="113"/>
              <w:rPr>
                <w:sz w:val="18"/>
                <w:szCs w:val="18"/>
              </w:rPr>
            </w:pPr>
          </w:p>
          <w:p w14:paraId="59CCA582" w14:textId="77777777" w:rsidR="0002496E" w:rsidRPr="00430543" w:rsidRDefault="0002496E" w:rsidP="0002496E">
            <w:pPr>
              <w:widowControl w:val="0"/>
              <w:ind w:left="57" w:right="113"/>
              <w:rPr>
                <w:sz w:val="18"/>
                <w:szCs w:val="18"/>
              </w:rPr>
            </w:pPr>
          </w:p>
          <w:p w14:paraId="5B4C69C0" w14:textId="7C120166" w:rsidR="0002496E" w:rsidRPr="00430543" w:rsidRDefault="0002496E" w:rsidP="0002496E">
            <w:pPr>
              <w:widowControl w:val="0"/>
              <w:ind w:left="57" w:right="113"/>
              <w:rPr>
                <w:sz w:val="18"/>
                <w:szCs w:val="18"/>
              </w:rPr>
            </w:pPr>
            <w:r w:rsidRPr="00430543">
              <w:rPr>
                <w:sz w:val="18"/>
                <w:szCs w:val="18"/>
              </w:rPr>
              <w:t>čl. 12 odst. 3,</w:t>
            </w:r>
          </w:p>
          <w:p w14:paraId="6A97809C" w14:textId="77777777" w:rsidR="0002496E" w:rsidRPr="00430543" w:rsidRDefault="0002496E" w:rsidP="0002496E">
            <w:pPr>
              <w:widowControl w:val="0"/>
              <w:ind w:left="57" w:right="113"/>
              <w:rPr>
                <w:sz w:val="18"/>
                <w:szCs w:val="18"/>
              </w:rPr>
            </w:pPr>
          </w:p>
          <w:p w14:paraId="38AF28F8" w14:textId="77777777" w:rsidR="0002496E" w:rsidRPr="00430543" w:rsidRDefault="0002496E" w:rsidP="0002496E">
            <w:pPr>
              <w:widowControl w:val="0"/>
              <w:ind w:left="57" w:right="113"/>
              <w:rPr>
                <w:sz w:val="18"/>
                <w:szCs w:val="18"/>
              </w:rPr>
            </w:pPr>
            <w:r w:rsidRPr="00430543">
              <w:rPr>
                <w:sz w:val="18"/>
                <w:szCs w:val="18"/>
              </w:rPr>
              <w:t xml:space="preserve">čl. 13 odst. 1 pododstavec první a třetí a </w:t>
            </w:r>
          </w:p>
          <w:p w14:paraId="09F816CD" w14:textId="77777777" w:rsidR="0002496E" w:rsidRPr="00430543" w:rsidRDefault="0002496E" w:rsidP="0002496E">
            <w:pPr>
              <w:widowControl w:val="0"/>
              <w:ind w:left="57" w:right="113"/>
              <w:rPr>
                <w:sz w:val="18"/>
                <w:szCs w:val="18"/>
              </w:rPr>
            </w:pPr>
          </w:p>
          <w:p w14:paraId="5291DA02" w14:textId="77777777" w:rsidR="0002496E" w:rsidRPr="00430543" w:rsidRDefault="0002496E" w:rsidP="0002496E">
            <w:pPr>
              <w:widowControl w:val="0"/>
              <w:ind w:left="57" w:right="113"/>
              <w:rPr>
                <w:sz w:val="18"/>
                <w:szCs w:val="18"/>
              </w:rPr>
            </w:pPr>
          </w:p>
          <w:p w14:paraId="644A8DC5" w14:textId="77777777" w:rsidR="0002496E" w:rsidRPr="00430543" w:rsidRDefault="0002496E" w:rsidP="0002496E">
            <w:pPr>
              <w:widowControl w:val="0"/>
              <w:ind w:left="57" w:right="113"/>
              <w:rPr>
                <w:sz w:val="18"/>
                <w:szCs w:val="18"/>
              </w:rPr>
            </w:pPr>
          </w:p>
          <w:p w14:paraId="5EA6F457" w14:textId="510A58C2" w:rsidR="0002496E" w:rsidRDefault="0002496E" w:rsidP="0002496E">
            <w:pPr>
              <w:widowControl w:val="0"/>
              <w:ind w:left="57" w:right="113"/>
              <w:rPr>
                <w:sz w:val="18"/>
                <w:szCs w:val="18"/>
              </w:rPr>
            </w:pPr>
          </w:p>
          <w:p w14:paraId="14FBEB10" w14:textId="19B64593" w:rsidR="0002496E" w:rsidRDefault="0002496E" w:rsidP="0002496E">
            <w:pPr>
              <w:widowControl w:val="0"/>
              <w:ind w:left="57" w:right="113"/>
              <w:rPr>
                <w:sz w:val="18"/>
                <w:szCs w:val="18"/>
              </w:rPr>
            </w:pPr>
          </w:p>
          <w:p w14:paraId="0097D1CD" w14:textId="330CFA9E" w:rsidR="0002496E" w:rsidRDefault="0002496E" w:rsidP="0002496E">
            <w:pPr>
              <w:widowControl w:val="0"/>
              <w:ind w:left="57" w:right="113"/>
              <w:rPr>
                <w:sz w:val="18"/>
                <w:szCs w:val="18"/>
              </w:rPr>
            </w:pPr>
          </w:p>
          <w:p w14:paraId="13F74EFA" w14:textId="77777777" w:rsidR="0002496E" w:rsidRPr="00430543" w:rsidRDefault="0002496E" w:rsidP="0002496E">
            <w:pPr>
              <w:widowControl w:val="0"/>
              <w:ind w:left="57" w:right="113"/>
              <w:rPr>
                <w:sz w:val="18"/>
                <w:szCs w:val="18"/>
              </w:rPr>
            </w:pPr>
          </w:p>
          <w:p w14:paraId="6B451866" w14:textId="77777777" w:rsidR="0002496E" w:rsidRPr="00430543" w:rsidRDefault="0002496E" w:rsidP="0002496E">
            <w:pPr>
              <w:widowControl w:val="0"/>
              <w:ind w:left="57" w:right="113"/>
              <w:rPr>
                <w:sz w:val="18"/>
                <w:szCs w:val="18"/>
              </w:rPr>
            </w:pPr>
          </w:p>
          <w:p w14:paraId="7C1B52E6" w14:textId="27B87AA0" w:rsidR="0002496E" w:rsidRPr="00430543" w:rsidRDefault="0002496E" w:rsidP="0002496E">
            <w:pPr>
              <w:widowControl w:val="0"/>
              <w:ind w:left="57" w:right="113"/>
              <w:rPr>
                <w:sz w:val="18"/>
                <w:szCs w:val="18"/>
              </w:rPr>
            </w:pPr>
            <w:r w:rsidRPr="00430543">
              <w:rPr>
                <w:sz w:val="18"/>
                <w:szCs w:val="18"/>
              </w:rPr>
              <w:t>čl. 13 odst. 3</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385FA235" w14:textId="2DB735D5" w:rsidR="0002496E" w:rsidRDefault="0002496E" w:rsidP="0002496E">
            <w:pPr>
              <w:rPr>
                <w:color w:val="000000"/>
                <w:sz w:val="18"/>
                <w:szCs w:val="18"/>
              </w:rPr>
            </w:pPr>
            <w:r w:rsidRPr="00443943">
              <w:rPr>
                <w:color w:val="000000"/>
                <w:sz w:val="18"/>
                <w:szCs w:val="18"/>
              </w:rPr>
              <w:t>1.   Pokud se nejvyšší mateřský subjekt nadnárodní skupiny podniků nachází v jurisdikci třetí země, která neuplatňuje kvalifikované pravidlo pro zahrnutí příjmů, nebo pokud je nejvyšší mateřský subjekt nadnárodní skupiny podniků vyloučeným subjektem, zajistí členské státy, aby členské subjekty nacházející se v Unii podléhaly v členském státě, v němž se nacházejí, úpravě, jež se rovná částce dorovnávací daně podle pravidla pro nedostatečně zdaněný zisk přidělené tomuto členskému státu za dané účetní období v souladu s článkem 14.</w:t>
            </w:r>
          </w:p>
          <w:p w14:paraId="6898E5D9" w14:textId="77777777" w:rsidR="0002496E" w:rsidRPr="00443943" w:rsidRDefault="0002496E" w:rsidP="0002496E">
            <w:pPr>
              <w:rPr>
                <w:color w:val="000000"/>
                <w:sz w:val="18"/>
                <w:szCs w:val="18"/>
              </w:rPr>
            </w:pPr>
          </w:p>
          <w:p w14:paraId="2D006F8F" w14:textId="4AC02C69" w:rsidR="0002496E" w:rsidRPr="00443943" w:rsidRDefault="0002496E" w:rsidP="0002496E">
            <w:pPr>
              <w:rPr>
                <w:color w:val="000000"/>
                <w:sz w:val="18"/>
                <w:szCs w:val="18"/>
              </w:rPr>
            </w:pPr>
            <w:r w:rsidRPr="00443943">
              <w:rPr>
                <w:color w:val="000000"/>
                <w:sz w:val="18"/>
                <w:szCs w:val="18"/>
              </w:rPr>
              <w:t>3. Tento článek se nevztahuje na členské subjekty, které jsou investičními subjekty.</w:t>
            </w:r>
          </w:p>
          <w:p w14:paraId="58579A7D" w14:textId="77777777" w:rsidR="0002496E" w:rsidRDefault="0002496E" w:rsidP="0002496E">
            <w:pPr>
              <w:pStyle w:val="Default"/>
              <w:rPr>
                <w:rFonts w:ascii="Times New Roman" w:hAnsi="Times New Roman" w:cs="Times New Roman"/>
                <w:sz w:val="18"/>
                <w:szCs w:val="18"/>
              </w:rPr>
            </w:pPr>
            <w:r>
              <w:rPr>
                <w:rFonts w:ascii="Times New Roman" w:hAnsi="Times New Roman" w:cs="Times New Roman"/>
                <w:sz w:val="18"/>
                <w:szCs w:val="18"/>
              </w:rPr>
              <w:t>…</w:t>
            </w:r>
          </w:p>
          <w:p w14:paraId="574D933D" w14:textId="0B80A88D" w:rsidR="0002496E" w:rsidRDefault="0002496E" w:rsidP="0002496E">
            <w:pPr>
              <w:rPr>
                <w:color w:val="000000"/>
                <w:sz w:val="18"/>
                <w:szCs w:val="18"/>
              </w:rPr>
            </w:pPr>
            <w:r>
              <w:rPr>
                <w:color w:val="000000"/>
                <w:sz w:val="18"/>
                <w:szCs w:val="18"/>
              </w:rPr>
              <w:t xml:space="preserve">1. </w:t>
            </w:r>
            <w:r w:rsidRPr="00443943">
              <w:rPr>
                <w:color w:val="000000"/>
                <w:sz w:val="18"/>
                <w:szCs w:val="18"/>
              </w:rPr>
              <w:t>Pokud se nejvyšší mateřský subjekt nadnárodní skupiny podniků nachází v jurisdikci třetí země s nízkým zdaněním, zajistí členské státy, aby členské subjekty nacházející se v Unii podléhaly v členském státě, v němž se nacházejí, úpravě, jež se rovná částce dorovnávací daně podle pravidla pro nedostatečně zdaněný zisk přidělené tomuto členskému státu za dané účetní období v souladu s článkem 14.</w:t>
            </w:r>
          </w:p>
          <w:p w14:paraId="61CEE6E3" w14:textId="77777777" w:rsidR="0002496E" w:rsidRPr="00443943" w:rsidRDefault="0002496E" w:rsidP="0002496E">
            <w:pPr>
              <w:rPr>
                <w:color w:val="000000"/>
                <w:sz w:val="18"/>
                <w:szCs w:val="18"/>
              </w:rPr>
            </w:pPr>
          </w:p>
          <w:p w14:paraId="25C86319" w14:textId="13FB1308" w:rsidR="0002496E" w:rsidRDefault="0002496E" w:rsidP="0002496E">
            <w:pPr>
              <w:rPr>
                <w:color w:val="000000"/>
                <w:sz w:val="18"/>
                <w:szCs w:val="18"/>
              </w:rPr>
            </w:pPr>
            <w:r w:rsidRPr="00443943">
              <w:rPr>
                <w:color w:val="000000"/>
                <w:sz w:val="18"/>
                <w:szCs w:val="18"/>
              </w:rPr>
              <w:t>První pododstavec se nepoužije, pokud se na nejvyšší mateřský subjekt v jurisdikci třetí země s nízkým zdaněním vztahuje kvalifikované pravidlo pro zahrnutí příjmů ve vztahu k němu a jeho nízce zdaněným členským subjektům nacházejícím se v této jurisdikci.</w:t>
            </w:r>
          </w:p>
          <w:p w14:paraId="2215C6CA" w14:textId="5960F270" w:rsidR="0002496E" w:rsidRDefault="0002496E" w:rsidP="0002496E">
            <w:pPr>
              <w:rPr>
                <w:color w:val="000000"/>
                <w:sz w:val="18"/>
                <w:szCs w:val="18"/>
              </w:rPr>
            </w:pPr>
          </w:p>
          <w:p w14:paraId="77418BC6" w14:textId="77777777" w:rsidR="0002496E" w:rsidRPr="00443943" w:rsidRDefault="0002496E" w:rsidP="0002496E">
            <w:pPr>
              <w:rPr>
                <w:color w:val="000000"/>
                <w:sz w:val="18"/>
                <w:szCs w:val="18"/>
              </w:rPr>
            </w:pPr>
          </w:p>
          <w:p w14:paraId="7E5BB017" w14:textId="0164052B" w:rsidR="0002496E" w:rsidRPr="00443943" w:rsidRDefault="0002496E" w:rsidP="0002496E">
            <w:pPr>
              <w:rPr>
                <w:color w:val="000000"/>
                <w:sz w:val="18"/>
                <w:szCs w:val="18"/>
              </w:rPr>
            </w:pPr>
            <w:r>
              <w:rPr>
                <w:color w:val="000000"/>
                <w:sz w:val="18"/>
                <w:szCs w:val="18"/>
              </w:rPr>
              <w:t xml:space="preserve">3. </w:t>
            </w:r>
            <w:r w:rsidRPr="00443943">
              <w:rPr>
                <w:color w:val="000000"/>
                <w:sz w:val="18"/>
                <w:szCs w:val="18"/>
              </w:rPr>
              <w:t>Tento článek se nevztahuje na členské subjekty, které jsou investičními subjekty.</w:t>
            </w:r>
          </w:p>
          <w:p w14:paraId="3F484701" w14:textId="61677099" w:rsidR="0002496E" w:rsidRPr="007936DA" w:rsidRDefault="0002496E" w:rsidP="0002496E">
            <w:pPr>
              <w:pStyle w:val="Default"/>
              <w:rPr>
                <w:rFonts w:ascii="Times New Roman" w:hAnsi="Times New Roman" w:cs="Times New Roman"/>
                <w:sz w:val="18"/>
                <w:szCs w:val="18"/>
              </w:rPr>
            </w:pPr>
          </w:p>
        </w:tc>
      </w:tr>
      <w:tr w:rsidR="0002496E" w:rsidRPr="007936DA" w14:paraId="632AA962"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6F26BC17" w14:textId="0FE949A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 101</w:t>
            </w:r>
            <w:r w:rsidR="002D0264">
              <w:rPr>
                <w:sz w:val="18"/>
                <w:szCs w:val="18"/>
                <w:lang w:eastAsia="ar-SA"/>
              </w:rPr>
              <w:t xml:space="preserve"> odst. 2</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3C0ABFAF" w14:textId="1662CFCA" w:rsidR="0002496E" w:rsidRPr="00430543" w:rsidRDefault="002D0264" w:rsidP="0002496E">
            <w:pPr>
              <w:widowControl w:val="0"/>
              <w:suppressAutoHyphens/>
              <w:ind w:left="57" w:right="113"/>
              <w:jc w:val="both"/>
              <w:rPr>
                <w:sz w:val="18"/>
                <w:szCs w:val="18"/>
                <w:lang w:eastAsia="ar-SA"/>
              </w:rPr>
            </w:pPr>
            <w:r w:rsidRPr="00430543">
              <w:rPr>
                <w:sz w:val="18"/>
                <w:szCs w:val="18"/>
                <w:lang w:eastAsia="ar-SA"/>
              </w:rPr>
              <w:t xml:space="preserve"> </w:t>
            </w:r>
            <w:r w:rsidR="0002496E" w:rsidRPr="00430543">
              <w:rPr>
                <w:sz w:val="18"/>
                <w:szCs w:val="18"/>
                <w:lang w:eastAsia="ar-SA"/>
              </w:rPr>
              <w:t>(2)</w:t>
            </w:r>
            <w:r w:rsidR="0002496E" w:rsidRPr="00430543">
              <w:rPr>
                <w:sz w:val="18"/>
                <w:szCs w:val="18"/>
                <w:lang w:eastAsia="ar-SA"/>
              </w:rPr>
              <w:tab/>
              <w:t xml:space="preserve">Pro účely odstavce 1 písm. a) platí, že dílčí dorovnávací daň je nulová, pokud nejvyšší mateřská entita drží všechny své vlastnické podíly v nízce zdaněné členské entitě přímo nebo nepřímo prostřednictvím jedné nebo více mateřských entit podléhajících v daném </w:t>
            </w:r>
            <w:r w:rsidR="00D4308C">
              <w:rPr>
                <w:b/>
                <w:sz w:val="18"/>
                <w:szCs w:val="18"/>
                <w:u w:val="single"/>
                <w:lang w:eastAsia="ar-SA"/>
              </w:rPr>
              <w:t>výkazním</w:t>
            </w:r>
            <w:r w:rsidR="0002496E" w:rsidRPr="00430543">
              <w:rPr>
                <w:sz w:val="18"/>
                <w:szCs w:val="18"/>
                <w:lang w:eastAsia="ar-SA"/>
              </w:rPr>
              <w:t xml:space="preserve"> období kvalifikovanému pravidlu pro zahrnutí zisku ve </w:t>
            </w:r>
            <w:r w:rsidR="0002496E" w:rsidRPr="00430543">
              <w:rPr>
                <w:sz w:val="18"/>
                <w:szCs w:val="18"/>
                <w:lang w:eastAsia="ar-SA"/>
              </w:rPr>
              <w:lastRenderedPageBreak/>
              <w:t>vztahu k této nízce zdaněné členské entitě.</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036863D6" w14:textId="1D0BDDAF" w:rsidR="0002496E" w:rsidRPr="00430543" w:rsidRDefault="0002496E" w:rsidP="0002496E">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56CAB240" w14:textId="7CEB088A" w:rsidR="0002496E" w:rsidRPr="00430543" w:rsidRDefault="0002496E" w:rsidP="002D0264">
            <w:pPr>
              <w:widowControl w:val="0"/>
              <w:ind w:left="57" w:right="113"/>
              <w:rPr>
                <w:sz w:val="18"/>
                <w:szCs w:val="18"/>
              </w:rPr>
            </w:pPr>
            <w:r w:rsidRPr="00430543">
              <w:rPr>
                <w:sz w:val="18"/>
                <w:szCs w:val="18"/>
              </w:rPr>
              <w:t xml:space="preserve">čl. 14 odst. </w:t>
            </w:r>
            <w:r w:rsidR="002D0264">
              <w:rPr>
                <w:sz w:val="18"/>
                <w:szCs w:val="18"/>
              </w:rPr>
              <w:t xml:space="preserve">3 a </w:t>
            </w:r>
            <w:r w:rsidRPr="00430543">
              <w:rPr>
                <w:sz w:val="18"/>
                <w:szCs w:val="18"/>
              </w:rPr>
              <w:t>4</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5C5A73D3" w14:textId="77777777" w:rsidR="0002496E" w:rsidRDefault="0002496E" w:rsidP="0002496E">
            <w:pPr>
              <w:pStyle w:val="Default"/>
              <w:rPr>
                <w:rFonts w:ascii="Times New Roman" w:hAnsi="Times New Roman" w:cs="Times New Roman"/>
                <w:sz w:val="18"/>
                <w:szCs w:val="18"/>
              </w:rPr>
            </w:pPr>
            <w:r w:rsidRPr="005D2FB6">
              <w:rPr>
                <w:rFonts w:ascii="Times New Roman" w:hAnsi="Times New Roman" w:cs="Times New Roman"/>
                <w:sz w:val="18"/>
                <w:szCs w:val="18"/>
              </w:rPr>
              <w:t>3.</w:t>
            </w:r>
            <w:r>
              <w:rPr>
                <w:rFonts w:ascii="Times New Roman" w:hAnsi="Times New Roman" w:cs="Times New Roman"/>
                <w:sz w:val="18"/>
                <w:szCs w:val="18"/>
              </w:rPr>
              <w:t xml:space="preserve"> </w:t>
            </w:r>
            <w:r w:rsidRPr="005D2FB6">
              <w:rPr>
                <w:rFonts w:ascii="Times New Roman" w:hAnsi="Times New Roman" w:cs="Times New Roman"/>
                <w:sz w:val="18"/>
                <w:szCs w:val="18"/>
              </w:rPr>
              <w:t>Dorovnávací daň podle pravidla pro nedostatečně zdaněný zisk nízce zdaněného členského subjektu se rovná nule, pokud jsou v daném účetním období všechny vlastnické podíly nejvyššího mateřského subjektu v takovém nízce zdaněném členském subjektu drženy přímo nebo nepřímo jedním nebo více mateřskými subjekty, které jsou povinny uplatnit vůči uvedenému nízce zdaněnému členskému subjektu za dané účetní období kvalifikované pravidlo pro zahrnutí příjmů.</w:t>
            </w:r>
            <w:r>
              <w:rPr>
                <w:rFonts w:ascii="Times New Roman" w:hAnsi="Times New Roman" w:cs="Times New Roman"/>
                <w:sz w:val="18"/>
                <w:szCs w:val="18"/>
              </w:rPr>
              <w:t xml:space="preserve"> </w:t>
            </w:r>
          </w:p>
          <w:p w14:paraId="39253337" w14:textId="2C33DAB7" w:rsidR="0002496E" w:rsidRPr="007936DA" w:rsidRDefault="0002496E" w:rsidP="0002496E">
            <w:pPr>
              <w:pStyle w:val="Default"/>
              <w:rPr>
                <w:rFonts w:ascii="Times New Roman" w:hAnsi="Times New Roman" w:cs="Times New Roman"/>
                <w:sz w:val="18"/>
                <w:szCs w:val="18"/>
              </w:rPr>
            </w:pPr>
            <w:r w:rsidRPr="005D2FB6">
              <w:rPr>
                <w:rFonts w:ascii="Times New Roman" w:hAnsi="Times New Roman" w:cs="Times New Roman"/>
                <w:sz w:val="18"/>
                <w:szCs w:val="18"/>
              </w:rPr>
              <w:lastRenderedPageBreak/>
              <w:t>4.</w:t>
            </w:r>
            <w:r>
              <w:rPr>
                <w:rFonts w:ascii="Times New Roman" w:hAnsi="Times New Roman" w:cs="Times New Roman"/>
                <w:sz w:val="18"/>
                <w:szCs w:val="18"/>
              </w:rPr>
              <w:t xml:space="preserve"> </w:t>
            </w:r>
            <w:r w:rsidRPr="005D2FB6">
              <w:rPr>
                <w:rFonts w:ascii="Times New Roman" w:hAnsi="Times New Roman" w:cs="Times New Roman"/>
                <w:sz w:val="18"/>
                <w:szCs w:val="18"/>
              </w:rPr>
              <w:t>Pokud se nepoužije odstavec 3, dorovnávací daň podle pravidla pro nedostatečně zdaněný zisk nízce zdaněného členského subjektu se sníží o přidělitelný podíl mateřského subjektu na dorovnávací dani tohoto nízce zdaněného členského subjektu, která je vyměřena podle kvalifikovaného pravidla pro zahrnutí příjmů.</w:t>
            </w:r>
          </w:p>
        </w:tc>
      </w:tr>
      <w:tr w:rsidR="0002496E" w:rsidRPr="007936DA" w14:paraId="166E0AD5"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76B0FDB9" w14:textId="694B7033"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lastRenderedPageBreak/>
              <w:t>§ 102</w:t>
            </w:r>
            <w:r w:rsidR="00D4308C">
              <w:rPr>
                <w:sz w:val="18"/>
                <w:szCs w:val="18"/>
                <w:lang w:eastAsia="ar-SA"/>
              </w:rPr>
              <w:t xml:space="preserve"> odst. 1 a 3 až 5</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6F14B696" w14:textId="07888E84" w:rsidR="00D4308C" w:rsidRPr="00D4308C" w:rsidRDefault="00D4308C" w:rsidP="00D4308C">
            <w:pPr>
              <w:pStyle w:val="Textparagrafu"/>
              <w:rPr>
                <w:sz w:val="18"/>
                <w:szCs w:val="18"/>
              </w:rPr>
            </w:pPr>
            <w:r w:rsidRPr="00D4308C">
              <w:rPr>
                <w:sz w:val="18"/>
                <w:szCs w:val="18"/>
              </w:rPr>
              <w:t xml:space="preserve">(1) Podíl státu na celkové dorovnávací dani nadnárodní skupiny činí pro dané </w:t>
            </w:r>
            <w:r w:rsidRPr="00D4308C">
              <w:rPr>
                <w:b/>
                <w:sz w:val="18"/>
                <w:szCs w:val="18"/>
                <w:u w:val="single"/>
              </w:rPr>
              <w:t>výkazní</w:t>
            </w:r>
            <w:r w:rsidRPr="00D4308C">
              <w:rPr>
                <w:sz w:val="18"/>
                <w:szCs w:val="18"/>
              </w:rPr>
              <w:t xml:space="preserve"> období součet</w:t>
            </w:r>
          </w:p>
          <w:p w14:paraId="08AD82AB" w14:textId="77777777" w:rsidR="00D4308C" w:rsidRPr="00D4308C" w:rsidRDefault="00D4308C" w:rsidP="00D4308C">
            <w:pPr>
              <w:pStyle w:val="PZTextpsmene"/>
              <w:rPr>
                <w:sz w:val="18"/>
                <w:szCs w:val="18"/>
              </w:rPr>
            </w:pPr>
            <w:r w:rsidRPr="00D4308C">
              <w:rPr>
                <w:sz w:val="18"/>
                <w:szCs w:val="18"/>
              </w:rPr>
              <w:t>a)</w:t>
            </w:r>
            <w:r w:rsidRPr="00D4308C">
              <w:rPr>
                <w:sz w:val="18"/>
                <w:szCs w:val="18"/>
              </w:rPr>
              <w:tab/>
              <w:t>jedné poloviny podílu</w:t>
            </w:r>
          </w:p>
          <w:p w14:paraId="037A9C70" w14:textId="417A8262" w:rsidR="00D4308C" w:rsidRPr="00D4308C" w:rsidRDefault="00D4308C" w:rsidP="00D4308C">
            <w:pPr>
              <w:pStyle w:val="PZTextbodu"/>
              <w:rPr>
                <w:sz w:val="18"/>
                <w:szCs w:val="18"/>
              </w:rPr>
            </w:pPr>
            <w:r w:rsidRPr="00D4308C">
              <w:rPr>
                <w:sz w:val="18"/>
                <w:szCs w:val="18"/>
              </w:rPr>
              <w:t>1.</w:t>
            </w:r>
            <w:r w:rsidRPr="00D4308C">
              <w:rPr>
                <w:sz w:val="18"/>
                <w:szCs w:val="18"/>
              </w:rPr>
              <w:tab/>
              <w:t xml:space="preserve">celkového počtu pracovníků všech členských entit nadnárodní skupiny z tohoto státu zjištěnému pro toto </w:t>
            </w:r>
            <w:r w:rsidRPr="00D4308C">
              <w:rPr>
                <w:b/>
                <w:sz w:val="18"/>
                <w:szCs w:val="18"/>
                <w:u w:val="single"/>
              </w:rPr>
              <w:t>výkazní</w:t>
            </w:r>
            <w:r w:rsidRPr="00D4308C">
              <w:rPr>
                <w:sz w:val="18"/>
                <w:szCs w:val="18"/>
              </w:rPr>
              <w:t xml:space="preserve"> období a</w:t>
            </w:r>
          </w:p>
          <w:p w14:paraId="11D01EA7" w14:textId="37F2951D" w:rsidR="00D4308C" w:rsidRPr="00D4308C" w:rsidRDefault="00D4308C" w:rsidP="00D4308C">
            <w:pPr>
              <w:pStyle w:val="PZTextbodu"/>
              <w:rPr>
                <w:sz w:val="18"/>
                <w:szCs w:val="18"/>
              </w:rPr>
            </w:pPr>
            <w:r w:rsidRPr="00D4308C">
              <w:rPr>
                <w:sz w:val="18"/>
                <w:szCs w:val="18"/>
              </w:rPr>
              <w:t>2.</w:t>
            </w:r>
            <w:r w:rsidRPr="00D4308C">
              <w:rPr>
                <w:sz w:val="18"/>
                <w:szCs w:val="18"/>
              </w:rPr>
              <w:tab/>
              <w:t xml:space="preserve">celkového počtu pracovníků všech členských entit nadnárodní skupiny ze státu, který má pro toto </w:t>
            </w:r>
            <w:r w:rsidRPr="00D4308C">
              <w:rPr>
                <w:b/>
                <w:sz w:val="18"/>
                <w:szCs w:val="18"/>
                <w:u w:val="single"/>
              </w:rPr>
              <w:t>výkazní</w:t>
            </w:r>
            <w:r w:rsidRPr="00D4308C">
              <w:rPr>
                <w:sz w:val="18"/>
                <w:szCs w:val="18"/>
              </w:rPr>
              <w:t xml:space="preserve"> období stanoveno kvalifikované pravidlo pro nedostatečně zdaněný zisk, zjištěnému pro toto </w:t>
            </w:r>
            <w:r w:rsidRPr="00D4308C">
              <w:rPr>
                <w:b/>
                <w:sz w:val="18"/>
                <w:szCs w:val="18"/>
                <w:u w:val="single"/>
              </w:rPr>
              <w:t>výkazní</w:t>
            </w:r>
            <w:r w:rsidRPr="00D4308C">
              <w:rPr>
                <w:sz w:val="18"/>
                <w:szCs w:val="18"/>
                <w:u w:val="single"/>
              </w:rPr>
              <w:t xml:space="preserve"> </w:t>
            </w:r>
            <w:r w:rsidRPr="00D4308C">
              <w:rPr>
                <w:sz w:val="18"/>
                <w:szCs w:val="18"/>
              </w:rPr>
              <w:t>období a</w:t>
            </w:r>
          </w:p>
          <w:p w14:paraId="7834955A" w14:textId="77777777" w:rsidR="00D4308C" w:rsidRPr="00D4308C" w:rsidRDefault="00D4308C" w:rsidP="00D4308C">
            <w:pPr>
              <w:pStyle w:val="PZTextpsmene"/>
              <w:rPr>
                <w:sz w:val="18"/>
                <w:szCs w:val="18"/>
              </w:rPr>
            </w:pPr>
            <w:r w:rsidRPr="00D4308C">
              <w:rPr>
                <w:sz w:val="18"/>
                <w:szCs w:val="18"/>
              </w:rPr>
              <w:t>b)</w:t>
            </w:r>
            <w:r w:rsidRPr="00D4308C">
              <w:rPr>
                <w:sz w:val="18"/>
                <w:szCs w:val="18"/>
              </w:rPr>
              <w:tab/>
              <w:t>jedné poloviny podílu</w:t>
            </w:r>
          </w:p>
          <w:p w14:paraId="14528FBD" w14:textId="4F6710D0" w:rsidR="00D4308C" w:rsidRPr="00D4308C" w:rsidRDefault="00D4308C" w:rsidP="00D4308C">
            <w:pPr>
              <w:pStyle w:val="PZTextbodu"/>
              <w:rPr>
                <w:sz w:val="18"/>
                <w:szCs w:val="18"/>
              </w:rPr>
            </w:pPr>
            <w:r w:rsidRPr="00D4308C">
              <w:rPr>
                <w:sz w:val="18"/>
                <w:szCs w:val="18"/>
              </w:rPr>
              <w:t>1.</w:t>
            </w:r>
            <w:r w:rsidRPr="00D4308C">
              <w:rPr>
                <w:sz w:val="18"/>
                <w:szCs w:val="18"/>
              </w:rPr>
              <w:tab/>
              <w:t xml:space="preserve">úhrnu čistých účetních hodnot hmotných aktiv všech členských entit nadnárodní skupiny z tohoto státu vykázaných v tomto </w:t>
            </w:r>
            <w:r w:rsidRPr="00D4308C">
              <w:rPr>
                <w:b/>
                <w:sz w:val="18"/>
                <w:szCs w:val="18"/>
                <w:u w:val="single"/>
              </w:rPr>
              <w:t>výkazním</w:t>
            </w:r>
            <w:r w:rsidRPr="00D4308C">
              <w:rPr>
                <w:sz w:val="18"/>
                <w:szCs w:val="18"/>
              </w:rPr>
              <w:t xml:space="preserve"> období a</w:t>
            </w:r>
          </w:p>
          <w:p w14:paraId="3E610AD2" w14:textId="785A446B" w:rsidR="00D4308C" w:rsidRPr="00D4308C" w:rsidRDefault="00D4308C" w:rsidP="00D4308C">
            <w:pPr>
              <w:pStyle w:val="PZTextbodu"/>
              <w:rPr>
                <w:sz w:val="18"/>
                <w:szCs w:val="18"/>
              </w:rPr>
            </w:pPr>
            <w:r w:rsidRPr="00D4308C">
              <w:rPr>
                <w:sz w:val="18"/>
                <w:szCs w:val="18"/>
              </w:rPr>
              <w:t>2.</w:t>
            </w:r>
            <w:r w:rsidRPr="00D4308C">
              <w:rPr>
                <w:sz w:val="18"/>
                <w:szCs w:val="18"/>
              </w:rPr>
              <w:tab/>
              <w:t xml:space="preserve">úhrnu čistých účetních hodnot hmotných aktiv všech členských entit nadnárodní skupiny ze státu, který má pro toto </w:t>
            </w:r>
            <w:r w:rsidRPr="00D4308C">
              <w:rPr>
                <w:b/>
                <w:sz w:val="18"/>
                <w:szCs w:val="18"/>
                <w:u w:val="single"/>
              </w:rPr>
              <w:t>výkazní</w:t>
            </w:r>
            <w:r w:rsidRPr="00D4308C">
              <w:rPr>
                <w:sz w:val="18"/>
                <w:szCs w:val="18"/>
              </w:rPr>
              <w:t xml:space="preserve"> období stanoveno kvalifikované pravidlo pro nedostatečně zdaněný zisk, vykázaných v tomto v tomto </w:t>
            </w:r>
            <w:r w:rsidRPr="00D4308C">
              <w:rPr>
                <w:b/>
                <w:sz w:val="18"/>
                <w:szCs w:val="18"/>
                <w:u w:val="single"/>
              </w:rPr>
              <w:t>výkazním</w:t>
            </w:r>
            <w:r w:rsidRPr="00D4308C">
              <w:rPr>
                <w:sz w:val="18"/>
                <w:szCs w:val="18"/>
              </w:rPr>
              <w:t xml:space="preserve"> období.</w:t>
            </w:r>
          </w:p>
          <w:p w14:paraId="2BE8E6DE" w14:textId="63B58C6A" w:rsidR="00D4308C" w:rsidRPr="00D4308C" w:rsidRDefault="00D4308C" w:rsidP="00D4308C">
            <w:pPr>
              <w:pStyle w:val="Textparagrafu"/>
              <w:jc w:val="center"/>
              <w:rPr>
                <w:sz w:val="18"/>
                <w:szCs w:val="18"/>
              </w:rPr>
            </w:pPr>
            <w:r>
              <w:rPr>
                <w:sz w:val="18"/>
                <w:szCs w:val="18"/>
              </w:rPr>
              <w:t>…</w:t>
            </w:r>
          </w:p>
          <w:p w14:paraId="20ED9E8E" w14:textId="7722DF34" w:rsidR="00D4308C" w:rsidRPr="00D4308C" w:rsidRDefault="00D4308C" w:rsidP="00D4308C">
            <w:pPr>
              <w:pStyle w:val="Textparagrafu"/>
              <w:rPr>
                <w:sz w:val="18"/>
                <w:szCs w:val="18"/>
              </w:rPr>
            </w:pPr>
            <w:r w:rsidRPr="00D4308C">
              <w:rPr>
                <w:sz w:val="18"/>
                <w:szCs w:val="18"/>
              </w:rPr>
              <w:t xml:space="preserve">(3) Pokud je dorovnávací daň, která je státu přiřazena podle pravidla pro nedostatečně zdaněný zisk za bezprostředně předcházející </w:t>
            </w:r>
            <w:r w:rsidRPr="00D4308C">
              <w:rPr>
                <w:b/>
                <w:sz w:val="18"/>
                <w:szCs w:val="18"/>
                <w:u w:val="single"/>
              </w:rPr>
              <w:t>výkazní</w:t>
            </w:r>
            <w:r w:rsidRPr="00D4308C">
              <w:rPr>
                <w:sz w:val="18"/>
                <w:szCs w:val="18"/>
              </w:rPr>
              <w:t xml:space="preserve"> období, vyšší než souhrn dodatečných splatných daní, které za toto období vznikly v důsledku přiřazení této dorovnávací daně členským entitám z tohoto státu, platí, že podíl tohoto státu na celkové dorovnávací </w:t>
            </w:r>
            <w:r w:rsidRPr="00D4308C">
              <w:rPr>
                <w:sz w:val="18"/>
                <w:szCs w:val="18"/>
              </w:rPr>
              <w:lastRenderedPageBreak/>
              <w:t xml:space="preserve">dani podle odstavce 1 je pro toto </w:t>
            </w:r>
            <w:r w:rsidRPr="00D4308C">
              <w:rPr>
                <w:b/>
                <w:sz w:val="18"/>
                <w:szCs w:val="18"/>
                <w:u w:val="single"/>
              </w:rPr>
              <w:t>výkazní</w:t>
            </w:r>
            <w:r w:rsidRPr="00D4308C">
              <w:rPr>
                <w:sz w:val="18"/>
                <w:szCs w:val="18"/>
              </w:rPr>
              <w:t xml:space="preserve"> období nulový. </w:t>
            </w:r>
          </w:p>
          <w:p w14:paraId="56E86123" w14:textId="77777777" w:rsidR="00D4308C" w:rsidRPr="00D4308C" w:rsidRDefault="00D4308C" w:rsidP="00D4308C">
            <w:pPr>
              <w:pStyle w:val="Textparagrafu"/>
              <w:rPr>
                <w:sz w:val="18"/>
                <w:szCs w:val="18"/>
              </w:rPr>
            </w:pPr>
            <w:r w:rsidRPr="00D4308C">
              <w:rPr>
                <w:sz w:val="18"/>
                <w:szCs w:val="18"/>
              </w:rPr>
              <w:t>(4) Odstavec 3 se nepoužije, pokud by byl v důsledku jeho použití podíl státu na celkové dorovnávací dani nadnárodní skupiny nulový ve všech státech,</w:t>
            </w:r>
          </w:p>
          <w:p w14:paraId="2BE3545B" w14:textId="77777777" w:rsidR="00D4308C" w:rsidRPr="00D4308C" w:rsidRDefault="00D4308C" w:rsidP="00D4308C">
            <w:pPr>
              <w:pStyle w:val="PZTextpsmene"/>
              <w:rPr>
                <w:sz w:val="18"/>
                <w:szCs w:val="18"/>
              </w:rPr>
            </w:pPr>
            <w:r w:rsidRPr="00D4308C">
              <w:rPr>
                <w:sz w:val="18"/>
                <w:szCs w:val="18"/>
              </w:rPr>
              <w:t>a)</w:t>
            </w:r>
            <w:r w:rsidRPr="00D4308C">
              <w:rPr>
                <w:sz w:val="18"/>
                <w:szCs w:val="18"/>
              </w:rPr>
              <w:tab/>
              <w:t>ze kterých jsou členské entity dané nadnárodní skupiny a</w:t>
            </w:r>
          </w:p>
          <w:p w14:paraId="4B27FC54" w14:textId="183E63D9" w:rsidR="00D4308C" w:rsidRPr="00D4308C" w:rsidRDefault="00D4308C" w:rsidP="00D4308C">
            <w:pPr>
              <w:pStyle w:val="PZTextpsmene"/>
              <w:rPr>
                <w:sz w:val="18"/>
                <w:szCs w:val="18"/>
              </w:rPr>
            </w:pPr>
            <w:r w:rsidRPr="00D4308C">
              <w:rPr>
                <w:sz w:val="18"/>
                <w:szCs w:val="18"/>
              </w:rPr>
              <w:t>b)</w:t>
            </w:r>
            <w:r w:rsidRPr="00D4308C">
              <w:rPr>
                <w:sz w:val="18"/>
                <w:szCs w:val="18"/>
              </w:rPr>
              <w:tab/>
              <w:t xml:space="preserve">které mají pro dané </w:t>
            </w:r>
            <w:r w:rsidRPr="00D4308C">
              <w:rPr>
                <w:b/>
                <w:sz w:val="18"/>
                <w:szCs w:val="18"/>
                <w:u w:val="single"/>
              </w:rPr>
              <w:t>výkazní</w:t>
            </w:r>
            <w:r w:rsidRPr="00D4308C">
              <w:rPr>
                <w:sz w:val="18"/>
                <w:szCs w:val="18"/>
              </w:rPr>
              <w:t xml:space="preserve"> období stanoveno pravidlo pro nedostatečně zdaněný zisk.</w:t>
            </w:r>
          </w:p>
          <w:p w14:paraId="5807F11D" w14:textId="7CE1CB91" w:rsidR="00D4308C" w:rsidRPr="00D4308C" w:rsidRDefault="00D4308C" w:rsidP="00D4308C">
            <w:pPr>
              <w:pStyle w:val="Textparagrafu"/>
              <w:rPr>
                <w:sz w:val="18"/>
                <w:szCs w:val="18"/>
              </w:rPr>
            </w:pPr>
            <w:r w:rsidRPr="00D4308C">
              <w:rPr>
                <w:sz w:val="18"/>
                <w:szCs w:val="18"/>
              </w:rPr>
              <w:t>(5) Je-li pod</w:t>
            </w:r>
            <w:r w:rsidRPr="00D4308C">
              <w:rPr>
                <w:rFonts w:hint="eastAsia"/>
                <w:sz w:val="18"/>
                <w:szCs w:val="18"/>
              </w:rPr>
              <w:t>í</w:t>
            </w:r>
            <w:r w:rsidRPr="00D4308C">
              <w:rPr>
                <w:sz w:val="18"/>
                <w:szCs w:val="18"/>
              </w:rPr>
              <w:t>l státu na celkové dorovnávací dani nadnárodní skupiny pro dan</w:t>
            </w:r>
            <w:r w:rsidRPr="00D4308C">
              <w:rPr>
                <w:rFonts w:hint="eastAsia"/>
                <w:sz w:val="18"/>
                <w:szCs w:val="18"/>
              </w:rPr>
              <w:t>é</w:t>
            </w:r>
            <w:r w:rsidRPr="00D4308C">
              <w:rPr>
                <w:sz w:val="18"/>
                <w:szCs w:val="18"/>
              </w:rPr>
              <w:t xml:space="preserve"> </w:t>
            </w:r>
            <w:r w:rsidRPr="00D4308C">
              <w:rPr>
                <w:b/>
                <w:sz w:val="18"/>
                <w:szCs w:val="18"/>
                <w:u w:val="single"/>
              </w:rPr>
              <w:t>výkazní</w:t>
            </w:r>
            <w:r w:rsidRPr="00D4308C">
              <w:rPr>
                <w:sz w:val="18"/>
                <w:szCs w:val="18"/>
              </w:rPr>
              <w:t xml:space="preserve"> obdob</w:t>
            </w:r>
            <w:r w:rsidRPr="00D4308C">
              <w:rPr>
                <w:rFonts w:hint="eastAsia"/>
                <w:sz w:val="18"/>
                <w:szCs w:val="18"/>
              </w:rPr>
              <w:t>í</w:t>
            </w:r>
            <w:r w:rsidRPr="00D4308C">
              <w:rPr>
                <w:sz w:val="18"/>
                <w:szCs w:val="18"/>
              </w:rPr>
              <w:t xml:space="preserve"> podle odstavce 2 nulov</w:t>
            </w:r>
            <w:r w:rsidRPr="00D4308C">
              <w:rPr>
                <w:rFonts w:hint="eastAsia"/>
                <w:sz w:val="18"/>
                <w:szCs w:val="18"/>
              </w:rPr>
              <w:t>ý</w:t>
            </w:r>
            <w:r w:rsidRPr="00D4308C">
              <w:rPr>
                <w:sz w:val="18"/>
                <w:szCs w:val="18"/>
              </w:rPr>
              <w:t>, ur</w:t>
            </w:r>
            <w:r w:rsidRPr="00D4308C">
              <w:rPr>
                <w:rFonts w:hint="eastAsia"/>
                <w:sz w:val="18"/>
                <w:szCs w:val="18"/>
              </w:rPr>
              <w:t>čí</w:t>
            </w:r>
            <w:r w:rsidRPr="00D4308C">
              <w:rPr>
                <w:sz w:val="18"/>
                <w:szCs w:val="18"/>
              </w:rPr>
              <w:t xml:space="preserve"> se pod</w:t>
            </w:r>
            <w:r w:rsidRPr="00D4308C">
              <w:rPr>
                <w:rFonts w:hint="eastAsia"/>
                <w:sz w:val="18"/>
                <w:szCs w:val="18"/>
              </w:rPr>
              <w:t>í</w:t>
            </w:r>
            <w:r w:rsidRPr="00D4308C">
              <w:rPr>
                <w:sz w:val="18"/>
                <w:szCs w:val="18"/>
              </w:rPr>
              <w:t>l ostatn</w:t>
            </w:r>
            <w:r w:rsidRPr="00D4308C">
              <w:rPr>
                <w:rFonts w:hint="eastAsia"/>
                <w:sz w:val="18"/>
                <w:szCs w:val="18"/>
              </w:rPr>
              <w:t>í</w:t>
            </w:r>
            <w:r w:rsidRPr="00D4308C">
              <w:rPr>
                <w:sz w:val="18"/>
                <w:szCs w:val="18"/>
              </w:rPr>
              <w:t xml:space="preserve">ch států na celkové dorovnávací dani výpočtem podle odstavce 1, ve kterém se nezohlední počet pracovníků a čistá účetní hodnota hmotných aktiv členské entity nadnárodní skupiny ze státu, jehož podíl na celkové dorovnávací dani nadnárodní skupiny je pro toto </w:t>
            </w:r>
            <w:r w:rsidRPr="00D4308C">
              <w:rPr>
                <w:b/>
                <w:sz w:val="18"/>
                <w:szCs w:val="18"/>
                <w:u w:val="single"/>
              </w:rPr>
              <w:t>výkazní</w:t>
            </w:r>
            <w:r w:rsidRPr="00D4308C">
              <w:rPr>
                <w:sz w:val="18"/>
                <w:szCs w:val="18"/>
              </w:rPr>
              <w:t xml:space="preserve"> obdob</w:t>
            </w:r>
            <w:r w:rsidRPr="00D4308C">
              <w:rPr>
                <w:rFonts w:hint="eastAsia"/>
                <w:sz w:val="18"/>
                <w:szCs w:val="18"/>
              </w:rPr>
              <w:t>í</w:t>
            </w:r>
            <w:r w:rsidRPr="00D4308C">
              <w:rPr>
                <w:sz w:val="18"/>
                <w:szCs w:val="18"/>
              </w:rPr>
              <w:t xml:space="preserve"> podle odstavce 2 nulov</w:t>
            </w:r>
            <w:r w:rsidRPr="00D4308C">
              <w:rPr>
                <w:rFonts w:hint="eastAsia"/>
                <w:sz w:val="18"/>
                <w:szCs w:val="18"/>
              </w:rPr>
              <w:t>ý</w:t>
            </w:r>
            <w:r w:rsidRPr="00D4308C">
              <w:rPr>
                <w:sz w:val="18"/>
                <w:szCs w:val="18"/>
              </w:rPr>
              <w:t>.</w:t>
            </w:r>
          </w:p>
          <w:p w14:paraId="7F029C56" w14:textId="6D5EF61D" w:rsidR="0002496E" w:rsidRPr="00D4308C" w:rsidRDefault="0002496E" w:rsidP="0002496E">
            <w:pPr>
              <w:widowControl w:val="0"/>
              <w:suppressAutoHyphens/>
              <w:ind w:left="57"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2349272" w14:textId="6B443945" w:rsidR="0002496E" w:rsidRPr="00430543" w:rsidRDefault="0002496E" w:rsidP="0002496E">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59164E97" w14:textId="77777777" w:rsidR="0002496E" w:rsidRPr="00430543" w:rsidRDefault="0002496E" w:rsidP="0002496E">
            <w:pPr>
              <w:widowControl w:val="0"/>
              <w:ind w:left="57" w:right="113"/>
              <w:rPr>
                <w:sz w:val="18"/>
                <w:szCs w:val="18"/>
              </w:rPr>
            </w:pPr>
            <w:r w:rsidRPr="00430543">
              <w:rPr>
                <w:sz w:val="18"/>
                <w:szCs w:val="18"/>
              </w:rPr>
              <w:t>čl. 14 odst. 5,</w:t>
            </w:r>
          </w:p>
          <w:p w14:paraId="254F6DC3" w14:textId="77777777" w:rsidR="0002496E" w:rsidRPr="00430543" w:rsidRDefault="0002496E" w:rsidP="0002496E">
            <w:pPr>
              <w:widowControl w:val="0"/>
              <w:ind w:left="57" w:right="113"/>
              <w:rPr>
                <w:sz w:val="18"/>
                <w:szCs w:val="18"/>
              </w:rPr>
            </w:pPr>
          </w:p>
          <w:p w14:paraId="661976F3" w14:textId="77777777" w:rsidR="0002496E" w:rsidRPr="00430543" w:rsidRDefault="0002496E" w:rsidP="0002496E">
            <w:pPr>
              <w:widowControl w:val="0"/>
              <w:ind w:left="57" w:right="113"/>
              <w:rPr>
                <w:sz w:val="18"/>
                <w:szCs w:val="18"/>
              </w:rPr>
            </w:pPr>
          </w:p>
          <w:p w14:paraId="1A21D1E0" w14:textId="77777777" w:rsidR="0002496E" w:rsidRPr="00430543" w:rsidRDefault="0002496E" w:rsidP="0002496E">
            <w:pPr>
              <w:widowControl w:val="0"/>
              <w:ind w:left="57" w:right="113"/>
              <w:rPr>
                <w:sz w:val="18"/>
                <w:szCs w:val="18"/>
              </w:rPr>
            </w:pPr>
          </w:p>
          <w:p w14:paraId="31D347E9" w14:textId="77777777" w:rsidR="0002496E" w:rsidRPr="00430543" w:rsidRDefault="0002496E" w:rsidP="0002496E">
            <w:pPr>
              <w:widowControl w:val="0"/>
              <w:ind w:left="57" w:right="113"/>
              <w:rPr>
                <w:sz w:val="18"/>
                <w:szCs w:val="18"/>
              </w:rPr>
            </w:pPr>
          </w:p>
          <w:p w14:paraId="6ED49A90" w14:textId="77777777" w:rsidR="0002496E" w:rsidRPr="00430543" w:rsidRDefault="0002496E" w:rsidP="0002496E">
            <w:pPr>
              <w:widowControl w:val="0"/>
              <w:ind w:left="57" w:right="113"/>
              <w:rPr>
                <w:sz w:val="18"/>
                <w:szCs w:val="18"/>
              </w:rPr>
            </w:pPr>
          </w:p>
          <w:p w14:paraId="77DC0BBF" w14:textId="77777777" w:rsidR="0002496E" w:rsidRPr="00430543" w:rsidRDefault="0002496E" w:rsidP="0002496E">
            <w:pPr>
              <w:widowControl w:val="0"/>
              <w:ind w:left="57" w:right="113"/>
              <w:rPr>
                <w:sz w:val="18"/>
                <w:szCs w:val="18"/>
              </w:rPr>
            </w:pPr>
          </w:p>
          <w:p w14:paraId="333596BA" w14:textId="77777777" w:rsidR="0002496E" w:rsidRPr="00430543" w:rsidRDefault="0002496E" w:rsidP="0002496E">
            <w:pPr>
              <w:widowControl w:val="0"/>
              <w:ind w:left="57" w:right="113"/>
              <w:rPr>
                <w:sz w:val="18"/>
                <w:szCs w:val="18"/>
              </w:rPr>
            </w:pPr>
          </w:p>
          <w:p w14:paraId="795899EB" w14:textId="77777777" w:rsidR="0002496E" w:rsidRPr="00430543" w:rsidRDefault="0002496E" w:rsidP="0002496E">
            <w:pPr>
              <w:widowControl w:val="0"/>
              <w:ind w:left="57" w:right="113"/>
              <w:rPr>
                <w:sz w:val="18"/>
                <w:szCs w:val="18"/>
              </w:rPr>
            </w:pPr>
          </w:p>
          <w:p w14:paraId="4B61D9DD" w14:textId="77777777" w:rsidR="0002496E" w:rsidRPr="00430543" w:rsidRDefault="0002496E" w:rsidP="0002496E">
            <w:pPr>
              <w:widowControl w:val="0"/>
              <w:ind w:left="57" w:right="113"/>
              <w:rPr>
                <w:sz w:val="18"/>
                <w:szCs w:val="18"/>
              </w:rPr>
            </w:pPr>
          </w:p>
          <w:p w14:paraId="248DD643" w14:textId="77777777" w:rsidR="0002496E" w:rsidRPr="00430543" w:rsidRDefault="0002496E" w:rsidP="0002496E">
            <w:pPr>
              <w:widowControl w:val="0"/>
              <w:ind w:left="57" w:right="113"/>
              <w:rPr>
                <w:sz w:val="18"/>
                <w:szCs w:val="18"/>
              </w:rPr>
            </w:pPr>
          </w:p>
          <w:p w14:paraId="7923C918" w14:textId="77777777" w:rsidR="0002496E" w:rsidRPr="00430543" w:rsidRDefault="0002496E" w:rsidP="0002496E">
            <w:pPr>
              <w:widowControl w:val="0"/>
              <w:ind w:left="57" w:right="113"/>
              <w:rPr>
                <w:sz w:val="18"/>
                <w:szCs w:val="18"/>
              </w:rPr>
            </w:pPr>
          </w:p>
          <w:p w14:paraId="4F24354F" w14:textId="77777777" w:rsidR="0002496E" w:rsidRPr="00430543" w:rsidRDefault="0002496E" w:rsidP="0002496E">
            <w:pPr>
              <w:widowControl w:val="0"/>
              <w:ind w:left="57" w:right="113"/>
              <w:rPr>
                <w:sz w:val="18"/>
                <w:szCs w:val="18"/>
              </w:rPr>
            </w:pPr>
          </w:p>
          <w:p w14:paraId="353C6642" w14:textId="77777777" w:rsidR="0002496E" w:rsidRPr="00430543" w:rsidRDefault="0002496E" w:rsidP="0002496E">
            <w:pPr>
              <w:widowControl w:val="0"/>
              <w:ind w:left="57" w:right="113"/>
              <w:rPr>
                <w:sz w:val="18"/>
                <w:szCs w:val="18"/>
              </w:rPr>
            </w:pPr>
          </w:p>
          <w:p w14:paraId="66C2ED0B" w14:textId="77777777" w:rsidR="0002496E" w:rsidRPr="00430543" w:rsidRDefault="0002496E" w:rsidP="0002496E">
            <w:pPr>
              <w:widowControl w:val="0"/>
              <w:ind w:left="57" w:right="113"/>
              <w:rPr>
                <w:sz w:val="18"/>
                <w:szCs w:val="18"/>
              </w:rPr>
            </w:pPr>
          </w:p>
          <w:p w14:paraId="6C6471C4" w14:textId="77777777" w:rsidR="0002496E" w:rsidRPr="00430543" w:rsidRDefault="0002496E" w:rsidP="0002496E">
            <w:pPr>
              <w:widowControl w:val="0"/>
              <w:ind w:left="57" w:right="113"/>
              <w:rPr>
                <w:sz w:val="18"/>
                <w:szCs w:val="18"/>
              </w:rPr>
            </w:pPr>
          </w:p>
          <w:p w14:paraId="48A8D84C" w14:textId="353BAADC" w:rsidR="0002496E" w:rsidRPr="00430543" w:rsidRDefault="0002496E" w:rsidP="0002496E">
            <w:pPr>
              <w:widowControl w:val="0"/>
              <w:ind w:right="113"/>
              <w:rPr>
                <w:sz w:val="18"/>
                <w:szCs w:val="18"/>
              </w:rPr>
            </w:pPr>
          </w:p>
          <w:p w14:paraId="236BA8F7" w14:textId="77777777" w:rsidR="0002496E" w:rsidRPr="00430543" w:rsidRDefault="0002496E" w:rsidP="0002496E">
            <w:pPr>
              <w:widowControl w:val="0"/>
              <w:ind w:left="57" w:right="113"/>
              <w:rPr>
                <w:sz w:val="18"/>
                <w:szCs w:val="18"/>
              </w:rPr>
            </w:pPr>
          </w:p>
          <w:p w14:paraId="30A55D17" w14:textId="77777777" w:rsidR="0002496E" w:rsidRPr="00430543" w:rsidRDefault="0002496E" w:rsidP="0002496E">
            <w:pPr>
              <w:widowControl w:val="0"/>
              <w:ind w:left="57" w:right="113"/>
              <w:rPr>
                <w:sz w:val="18"/>
                <w:szCs w:val="18"/>
              </w:rPr>
            </w:pPr>
            <w:r w:rsidRPr="00430543">
              <w:rPr>
                <w:sz w:val="18"/>
                <w:szCs w:val="18"/>
              </w:rPr>
              <w:t>čl. 14 odst. 8</w:t>
            </w:r>
          </w:p>
          <w:p w14:paraId="6157D09C" w14:textId="77777777" w:rsidR="0002496E" w:rsidRPr="00430543" w:rsidRDefault="0002496E" w:rsidP="0002496E">
            <w:pPr>
              <w:widowControl w:val="0"/>
              <w:ind w:left="57" w:right="113"/>
              <w:rPr>
                <w:sz w:val="18"/>
                <w:szCs w:val="18"/>
              </w:rPr>
            </w:pPr>
          </w:p>
          <w:p w14:paraId="0DFD6043" w14:textId="77777777" w:rsidR="0002496E" w:rsidRPr="00430543" w:rsidRDefault="0002496E" w:rsidP="0002496E">
            <w:pPr>
              <w:widowControl w:val="0"/>
              <w:ind w:left="57" w:right="113"/>
              <w:rPr>
                <w:sz w:val="18"/>
                <w:szCs w:val="18"/>
              </w:rPr>
            </w:pPr>
          </w:p>
          <w:p w14:paraId="6310CCA5" w14:textId="77777777" w:rsidR="0002496E" w:rsidRPr="00430543" w:rsidRDefault="0002496E" w:rsidP="0002496E">
            <w:pPr>
              <w:widowControl w:val="0"/>
              <w:ind w:left="57" w:right="113"/>
              <w:rPr>
                <w:sz w:val="18"/>
                <w:szCs w:val="18"/>
              </w:rPr>
            </w:pPr>
          </w:p>
          <w:p w14:paraId="1743355F" w14:textId="77777777" w:rsidR="0002496E" w:rsidRPr="00430543" w:rsidRDefault="0002496E" w:rsidP="0002496E">
            <w:pPr>
              <w:widowControl w:val="0"/>
              <w:ind w:left="57" w:right="113"/>
              <w:rPr>
                <w:sz w:val="18"/>
                <w:szCs w:val="18"/>
              </w:rPr>
            </w:pPr>
          </w:p>
          <w:p w14:paraId="32EE86A4" w14:textId="77777777" w:rsidR="0002496E" w:rsidRPr="00430543" w:rsidRDefault="0002496E" w:rsidP="0002496E">
            <w:pPr>
              <w:widowControl w:val="0"/>
              <w:ind w:left="57" w:right="113"/>
              <w:rPr>
                <w:sz w:val="18"/>
                <w:szCs w:val="18"/>
              </w:rPr>
            </w:pPr>
          </w:p>
          <w:p w14:paraId="1543A2CA" w14:textId="77777777" w:rsidR="0002496E" w:rsidRPr="00430543" w:rsidRDefault="0002496E" w:rsidP="0002496E">
            <w:pPr>
              <w:widowControl w:val="0"/>
              <w:ind w:left="57" w:right="113"/>
              <w:rPr>
                <w:sz w:val="18"/>
                <w:szCs w:val="18"/>
              </w:rPr>
            </w:pPr>
          </w:p>
          <w:p w14:paraId="59942C64" w14:textId="77777777" w:rsidR="0002496E" w:rsidRPr="00430543" w:rsidRDefault="0002496E" w:rsidP="0002496E">
            <w:pPr>
              <w:widowControl w:val="0"/>
              <w:ind w:left="57" w:right="113"/>
              <w:rPr>
                <w:sz w:val="18"/>
                <w:szCs w:val="18"/>
              </w:rPr>
            </w:pPr>
          </w:p>
          <w:p w14:paraId="42769392" w14:textId="77777777" w:rsidR="0002496E" w:rsidRPr="00430543" w:rsidRDefault="0002496E" w:rsidP="0002496E">
            <w:pPr>
              <w:widowControl w:val="0"/>
              <w:ind w:left="57" w:right="113"/>
              <w:rPr>
                <w:sz w:val="18"/>
                <w:szCs w:val="18"/>
              </w:rPr>
            </w:pPr>
          </w:p>
          <w:p w14:paraId="228BE212" w14:textId="77777777" w:rsidR="0002496E" w:rsidRPr="00430543" w:rsidRDefault="0002496E" w:rsidP="0002496E">
            <w:pPr>
              <w:widowControl w:val="0"/>
              <w:ind w:left="57" w:right="113"/>
              <w:rPr>
                <w:sz w:val="18"/>
                <w:szCs w:val="18"/>
              </w:rPr>
            </w:pPr>
          </w:p>
          <w:p w14:paraId="44508B7E" w14:textId="77777777" w:rsidR="0002496E" w:rsidRPr="00430543" w:rsidRDefault="0002496E" w:rsidP="0002496E">
            <w:pPr>
              <w:widowControl w:val="0"/>
              <w:ind w:left="57" w:right="113"/>
              <w:rPr>
                <w:sz w:val="18"/>
                <w:szCs w:val="18"/>
              </w:rPr>
            </w:pPr>
          </w:p>
          <w:p w14:paraId="23943745" w14:textId="77777777" w:rsidR="0002496E" w:rsidRPr="00430543" w:rsidRDefault="0002496E" w:rsidP="0002496E">
            <w:pPr>
              <w:widowControl w:val="0"/>
              <w:ind w:left="57" w:right="113"/>
              <w:rPr>
                <w:sz w:val="18"/>
                <w:szCs w:val="18"/>
              </w:rPr>
            </w:pPr>
          </w:p>
          <w:p w14:paraId="55E2D4FD" w14:textId="33EF2B95" w:rsidR="0002496E" w:rsidRPr="00430543" w:rsidRDefault="0002496E" w:rsidP="0002496E">
            <w:pPr>
              <w:widowControl w:val="0"/>
              <w:ind w:left="57" w:right="113"/>
              <w:rPr>
                <w:sz w:val="18"/>
                <w:szCs w:val="18"/>
              </w:rPr>
            </w:pPr>
            <w:r w:rsidRPr="00430543">
              <w:rPr>
                <w:sz w:val="18"/>
                <w:szCs w:val="18"/>
              </w:rPr>
              <w:t>čl. 14odst. 9</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0790A971" w14:textId="591CDBC8" w:rsidR="0002496E" w:rsidRPr="000B0AEA" w:rsidRDefault="0002496E" w:rsidP="0002496E">
            <w:pPr>
              <w:rPr>
                <w:color w:val="000000"/>
                <w:sz w:val="18"/>
                <w:szCs w:val="18"/>
              </w:rPr>
            </w:pPr>
            <w:r w:rsidRPr="000B0AEA">
              <w:rPr>
                <w:color w:val="000000"/>
                <w:sz w:val="18"/>
                <w:szCs w:val="18"/>
              </w:rPr>
              <w:t> Procentní podíl členského státu podle pravidla pro nedostatečně zdaněný zisk se pro každé účetní období a každou nadnárodní skupinu podniků vypočítá podle následujícího vzorce:</w:t>
            </w:r>
            <w:r w:rsidRPr="00430543">
              <w:rPr>
                <w:sz w:val="18"/>
                <w:szCs w:val="18"/>
              </w:rPr>
              <w:t xml:space="preserve"> </w:t>
            </w:r>
          </w:p>
          <w:p w14:paraId="416EA535" w14:textId="02BC06D4" w:rsidR="0002496E" w:rsidRDefault="0002496E" w:rsidP="0002496E">
            <w:pPr>
              <w:rPr>
                <w:color w:val="000000"/>
                <w:sz w:val="18"/>
                <w:szCs w:val="18"/>
              </w:rPr>
            </w:pPr>
            <w:r>
              <w:rPr>
                <w:i/>
                <w:color w:val="000000"/>
                <w:sz w:val="18"/>
                <w:szCs w:val="18"/>
              </w:rPr>
              <w:t>(vzorec vynechán)</w:t>
            </w:r>
          </w:p>
          <w:p w14:paraId="6058E7A2" w14:textId="77777777" w:rsidR="0002496E" w:rsidRDefault="0002496E" w:rsidP="0002496E">
            <w:pPr>
              <w:rPr>
                <w:color w:val="000000"/>
                <w:sz w:val="18"/>
                <w:szCs w:val="18"/>
              </w:rPr>
            </w:pPr>
          </w:p>
          <w:p w14:paraId="4167F4B7" w14:textId="77777777" w:rsidR="0002496E" w:rsidRDefault="0002496E" w:rsidP="0002496E">
            <w:pPr>
              <w:rPr>
                <w:color w:val="000000"/>
                <w:sz w:val="18"/>
                <w:szCs w:val="18"/>
              </w:rPr>
            </w:pPr>
            <w:r w:rsidRPr="000B0AEA">
              <w:rPr>
                <w:color w:val="000000"/>
                <w:sz w:val="18"/>
                <w:szCs w:val="18"/>
              </w:rPr>
              <w:t>kde:</w:t>
            </w:r>
            <w:r>
              <w:rPr>
                <w:color w:val="000000"/>
                <w:sz w:val="18"/>
                <w:szCs w:val="18"/>
              </w:rPr>
              <w:t xml:space="preserve"> </w:t>
            </w:r>
          </w:p>
          <w:p w14:paraId="47BCFDFC" w14:textId="3D966A4E" w:rsidR="0002496E" w:rsidRDefault="0002496E" w:rsidP="0002496E">
            <w:pPr>
              <w:rPr>
                <w:color w:val="000000"/>
                <w:sz w:val="18"/>
                <w:szCs w:val="18"/>
              </w:rPr>
            </w:pPr>
            <w:r w:rsidRPr="000B0AEA">
              <w:rPr>
                <w:color w:val="000000"/>
                <w:sz w:val="18"/>
                <w:szCs w:val="18"/>
              </w:rPr>
              <w:t>a</w:t>
            </w:r>
            <w:r>
              <w:rPr>
                <w:color w:val="000000"/>
                <w:sz w:val="18"/>
                <w:szCs w:val="18"/>
              </w:rPr>
              <w:t xml:space="preserve">) </w:t>
            </w:r>
            <w:r w:rsidRPr="000B0AEA">
              <w:rPr>
                <w:color w:val="000000"/>
                <w:sz w:val="18"/>
                <w:szCs w:val="18"/>
              </w:rPr>
              <w:t>počtem zaměstnanců v členském státě je celkový počet zaměstnanců všech členských subjektů nadnárodní skupiny podniků, které se nacházejí v tomto členském státě;</w:t>
            </w:r>
            <w:r>
              <w:rPr>
                <w:color w:val="000000"/>
                <w:sz w:val="18"/>
                <w:szCs w:val="18"/>
              </w:rPr>
              <w:t xml:space="preserve"> </w:t>
            </w:r>
          </w:p>
          <w:p w14:paraId="3D6C4700" w14:textId="13597D18" w:rsidR="0002496E" w:rsidRDefault="0002496E" w:rsidP="0002496E">
            <w:pPr>
              <w:rPr>
                <w:color w:val="000000"/>
                <w:sz w:val="18"/>
                <w:szCs w:val="18"/>
              </w:rPr>
            </w:pPr>
            <w:r w:rsidRPr="000B0AEA">
              <w:rPr>
                <w:color w:val="000000"/>
                <w:sz w:val="18"/>
                <w:szCs w:val="18"/>
              </w:rPr>
              <w:t>b</w:t>
            </w:r>
            <w:r>
              <w:rPr>
                <w:color w:val="000000"/>
                <w:sz w:val="18"/>
                <w:szCs w:val="18"/>
              </w:rPr>
              <w:t xml:space="preserve">) </w:t>
            </w:r>
            <w:r w:rsidRPr="000B0AEA">
              <w:rPr>
                <w:color w:val="000000"/>
                <w:sz w:val="18"/>
                <w:szCs w:val="18"/>
              </w:rPr>
              <w:t>počtem zaměstnanců ve všech jurisdikcích, uplatňujících pravidlo pro nedostatečně zdaněný zisk je celkový počet zaměstnanců všech členských subjektů nadnárodní skupiny podniků, které se nacházejí v jurisdikci, která má pro dané účetní období zavedeno kvalifikované pravidlo pro nedostatečně zdaněný zisk;</w:t>
            </w:r>
            <w:r>
              <w:rPr>
                <w:color w:val="000000"/>
                <w:sz w:val="18"/>
                <w:szCs w:val="18"/>
              </w:rPr>
              <w:t xml:space="preserve"> </w:t>
            </w:r>
          </w:p>
          <w:p w14:paraId="6E6258F5" w14:textId="61CB45B6" w:rsidR="0002496E" w:rsidRDefault="0002496E" w:rsidP="0002496E">
            <w:pPr>
              <w:rPr>
                <w:color w:val="000000"/>
                <w:sz w:val="18"/>
                <w:szCs w:val="18"/>
              </w:rPr>
            </w:pPr>
            <w:r w:rsidRPr="000B0AEA">
              <w:rPr>
                <w:color w:val="000000"/>
                <w:sz w:val="18"/>
                <w:szCs w:val="18"/>
              </w:rPr>
              <w:t>c</w:t>
            </w:r>
            <w:r>
              <w:rPr>
                <w:color w:val="000000"/>
                <w:sz w:val="18"/>
                <w:szCs w:val="18"/>
              </w:rPr>
              <w:t xml:space="preserve">) </w:t>
            </w:r>
            <w:r w:rsidRPr="000B0AEA">
              <w:rPr>
                <w:color w:val="000000"/>
                <w:sz w:val="18"/>
                <w:szCs w:val="18"/>
              </w:rPr>
              <w:t>celkovou hodnotou hmotných aktiv v členském státě je součet čisté účetní hodnoty hmotných aktiv všech členských subjektů nadnárodní skupiny podniků, které se nacházejí v daném členském státě;</w:t>
            </w:r>
            <w:r>
              <w:rPr>
                <w:color w:val="000000"/>
                <w:sz w:val="18"/>
                <w:szCs w:val="18"/>
              </w:rPr>
              <w:t xml:space="preserve"> </w:t>
            </w:r>
          </w:p>
          <w:p w14:paraId="7C3F320D" w14:textId="77777777" w:rsidR="0002496E" w:rsidRDefault="0002496E" w:rsidP="0002496E">
            <w:pPr>
              <w:rPr>
                <w:color w:val="000000"/>
                <w:sz w:val="18"/>
                <w:szCs w:val="18"/>
              </w:rPr>
            </w:pPr>
            <w:r w:rsidRPr="000B0AEA">
              <w:rPr>
                <w:color w:val="000000"/>
                <w:sz w:val="18"/>
                <w:szCs w:val="18"/>
              </w:rPr>
              <w:t>d</w:t>
            </w:r>
            <w:r>
              <w:rPr>
                <w:color w:val="000000"/>
                <w:sz w:val="18"/>
                <w:szCs w:val="18"/>
              </w:rPr>
              <w:t xml:space="preserve">) </w:t>
            </w:r>
            <w:r w:rsidRPr="000B0AEA">
              <w:rPr>
                <w:color w:val="000000"/>
                <w:sz w:val="18"/>
                <w:szCs w:val="18"/>
              </w:rPr>
              <w:t>celkovou hodnotou hmotných aktiv ve všech jurisdikcích uplatňujících pravidlo pro nedostatečně zdaněný zisk je součet čisté účetní hodnoty hmotných aktiv všech členských subjektů nadnárodní skupiny podniků, které se nacházejí v jurisdikci, která má pro dané účetní období zavedeno kvalifikované pravidlo pro nedostatečně zdaněný zisk.</w:t>
            </w:r>
          </w:p>
          <w:p w14:paraId="5477A6C0" w14:textId="0D44E4D3" w:rsidR="0002496E" w:rsidRPr="000B0AEA" w:rsidRDefault="0002496E" w:rsidP="0002496E">
            <w:pPr>
              <w:rPr>
                <w:color w:val="000000"/>
                <w:sz w:val="18"/>
                <w:szCs w:val="18"/>
              </w:rPr>
            </w:pPr>
            <w:r>
              <w:rPr>
                <w:color w:val="000000"/>
                <w:sz w:val="18"/>
                <w:szCs w:val="18"/>
              </w:rPr>
              <w:t xml:space="preserve">8. </w:t>
            </w:r>
            <w:r w:rsidRPr="000B0AEA">
              <w:rPr>
                <w:color w:val="000000"/>
                <w:sz w:val="18"/>
                <w:szCs w:val="18"/>
              </w:rPr>
              <w:t>Odchylně od odstavce 5 se procentní podíl určité jurisdikce podle pravidla pro nedostatečně zdaněný zisk pro určitou nadnárodní skupinu podniků považuje v daném účetním období za nulový, pokud částka dorovnávací daně podle pravidla pro nedostatečně zdaněný zisk přiřazená této jurisdikci v předchozím účetním období nevedla k tomu, že členské subjekty této nadnárodní skupiny podniků nacházející se v uvedené jurisdikci mají dodatečný hotovostní daňový náklad, který se celkově rovná částce dorovnávací daně podle pravidla pro nedostatečně zdaněný zisk za uvedené předchozí účetní období přidělené uvedené jurisdikci.</w:t>
            </w:r>
            <w:r w:rsidRPr="00430543">
              <w:rPr>
                <w:sz w:val="18"/>
                <w:szCs w:val="18"/>
              </w:rPr>
              <w:t xml:space="preserve"> </w:t>
            </w:r>
            <w:r w:rsidRPr="000B0AEA">
              <w:rPr>
                <w:color w:val="000000"/>
                <w:sz w:val="18"/>
                <w:szCs w:val="18"/>
              </w:rPr>
              <w:t>Počet zaměstnanců a čistá účetní hodnota hmotných aktiv členských subjektů nadnárodní skupiny podniků, které se nacházejí v jurisdikci s nulovým procentním podílem podle pravidla pro nedostatečně zdaněný zisk za dané účetní období, jsou vyloučeny z prvků vzorce pro přidělení celkové dorovnávací daně podle pravidla pro nedostatečně zdaněný zisk této nadnárodní skupině podniků za dané účetní období.</w:t>
            </w:r>
          </w:p>
          <w:p w14:paraId="72DDDCD3" w14:textId="5EC07902" w:rsidR="0002496E" w:rsidRPr="000B0AEA" w:rsidRDefault="0002496E" w:rsidP="0002496E">
            <w:pPr>
              <w:rPr>
                <w:color w:val="000000"/>
                <w:sz w:val="18"/>
                <w:szCs w:val="18"/>
              </w:rPr>
            </w:pPr>
            <w:r>
              <w:rPr>
                <w:color w:val="000000"/>
                <w:sz w:val="18"/>
                <w:szCs w:val="18"/>
              </w:rPr>
              <w:t xml:space="preserve">9. </w:t>
            </w:r>
            <w:r w:rsidRPr="000B0AEA">
              <w:rPr>
                <w:color w:val="000000"/>
                <w:sz w:val="18"/>
                <w:szCs w:val="18"/>
              </w:rPr>
              <w:t>Odstavec 8 se pro dané účetní období nepoužije, pokud všechny jurisdikce s kvalifikovaným pravidlem pro nedostatečně zdaněný zisk platným pro dané účetní období mají pro nadnárodní skupinu podniků za dané účetní období nulový procentní podíl podle pravidla pro nedostatečně zdaněný zisk.</w:t>
            </w:r>
          </w:p>
          <w:p w14:paraId="7A11C2E0" w14:textId="71BFC030" w:rsidR="0002496E" w:rsidRPr="000B0AEA" w:rsidRDefault="0002496E" w:rsidP="0002496E">
            <w:pPr>
              <w:rPr>
                <w:color w:val="000000"/>
                <w:sz w:val="18"/>
                <w:szCs w:val="18"/>
              </w:rPr>
            </w:pPr>
          </w:p>
        </w:tc>
      </w:tr>
      <w:tr w:rsidR="0002496E" w:rsidRPr="007936DA" w14:paraId="036DE16D"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5A17CFC6"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 115</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7EF061C5" w14:textId="77777777" w:rsidR="00622BD2" w:rsidRPr="00622BD2" w:rsidRDefault="00622BD2" w:rsidP="00622BD2">
            <w:pPr>
              <w:pStyle w:val="Textparagrafu"/>
              <w:rPr>
                <w:b/>
                <w:sz w:val="18"/>
                <w:szCs w:val="18"/>
                <w:u w:val="single"/>
              </w:rPr>
            </w:pPr>
            <w:r w:rsidRPr="00622BD2">
              <w:rPr>
                <w:b/>
                <w:sz w:val="18"/>
                <w:szCs w:val="18"/>
                <w:u w:val="single"/>
              </w:rPr>
              <w:t>Zdaňovacím obdobím přiřazované dorovnávací daně je výkazní období.</w:t>
            </w:r>
          </w:p>
          <w:p w14:paraId="5E8ACCD9" w14:textId="1021E239" w:rsidR="0002496E" w:rsidRPr="00622BD2" w:rsidRDefault="0002496E" w:rsidP="0002496E">
            <w:pPr>
              <w:widowControl w:val="0"/>
              <w:suppressAutoHyphens/>
              <w:ind w:left="57" w:right="113"/>
              <w:jc w:val="both"/>
              <w:rPr>
                <w:sz w:val="18"/>
                <w:szCs w:val="18"/>
                <w:u w:val="single"/>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0DE18C95" w14:textId="699A58B3" w:rsidR="0002496E" w:rsidRPr="00430543" w:rsidRDefault="0002496E" w:rsidP="0002496E">
            <w:pPr>
              <w:widowControl w:val="0"/>
              <w:ind w:left="57" w:right="113"/>
              <w:rPr>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20DAEB40" w14:textId="78AEE071" w:rsidR="0002496E" w:rsidRPr="00430543" w:rsidRDefault="0002496E" w:rsidP="0002496E">
            <w:pPr>
              <w:widowControl w:val="0"/>
              <w:ind w:left="57" w:right="113"/>
              <w:rPr>
                <w:sz w:val="18"/>
                <w:szCs w:val="18"/>
              </w:rPr>
            </w:pPr>
            <w:r w:rsidRPr="00430543">
              <w:rPr>
                <w:sz w:val="18"/>
                <w:szCs w:val="18"/>
              </w:rPr>
              <w:t>čl. 3 bod 7</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59F8BFE2" w14:textId="77777777" w:rsidR="0002496E" w:rsidRPr="006F6F09" w:rsidRDefault="0002496E" w:rsidP="0002496E">
            <w:pPr>
              <w:widowControl w:val="0"/>
              <w:ind w:left="57" w:right="113"/>
              <w:rPr>
                <w:color w:val="000000"/>
                <w:sz w:val="18"/>
                <w:szCs w:val="18"/>
              </w:rPr>
            </w:pPr>
            <w:r w:rsidRPr="006F6F09">
              <w:rPr>
                <w:color w:val="000000"/>
                <w:sz w:val="18"/>
                <w:szCs w:val="18"/>
              </w:rPr>
              <w:t>Pro účely této směrnice se rozumí:</w:t>
            </w:r>
          </w:p>
          <w:p w14:paraId="5B2C9770" w14:textId="756FC14B" w:rsidR="0002496E" w:rsidRDefault="0002496E" w:rsidP="0002496E">
            <w:pPr>
              <w:pStyle w:val="Default"/>
              <w:rPr>
                <w:rFonts w:ascii="Times New Roman" w:hAnsi="Times New Roman" w:cs="Times New Roman"/>
                <w:sz w:val="18"/>
                <w:szCs w:val="18"/>
              </w:rPr>
            </w:pPr>
            <w:r>
              <w:rPr>
                <w:rFonts w:ascii="Times New Roman" w:hAnsi="Times New Roman" w:cs="Times New Roman"/>
                <w:sz w:val="18"/>
                <w:szCs w:val="18"/>
              </w:rPr>
              <w:t>…</w:t>
            </w:r>
          </w:p>
          <w:p w14:paraId="097FB5CB" w14:textId="48F60544" w:rsidR="0002496E" w:rsidRPr="007936DA" w:rsidRDefault="0002496E" w:rsidP="0002496E">
            <w:pPr>
              <w:pStyle w:val="Default"/>
              <w:rPr>
                <w:rFonts w:ascii="Times New Roman" w:hAnsi="Times New Roman" w:cs="Times New Roman"/>
                <w:sz w:val="18"/>
                <w:szCs w:val="18"/>
              </w:rPr>
            </w:pPr>
            <w:r>
              <w:rPr>
                <w:rFonts w:ascii="Times New Roman" w:hAnsi="Times New Roman" w:cs="Times New Roman"/>
                <w:sz w:val="18"/>
                <w:szCs w:val="18"/>
              </w:rPr>
              <w:t xml:space="preserve">7. </w:t>
            </w:r>
            <w:r w:rsidRPr="006F6F09">
              <w:rPr>
                <w:rFonts w:ascii="Times New Roman" w:hAnsi="Times New Roman" w:cs="Times New Roman"/>
                <w:sz w:val="18"/>
                <w:szCs w:val="18"/>
              </w:rPr>
              <w:t>„účetním obdobím“ účetní období, ve vztahu k němuž nejvyšší mateřský subjekt nadnárodní skupiny podniků nebo velké vnitrostátní skupiny sestavuje svoji konsolidovanou účetní závěrku, nebo pokud nejvyšší mateřský subjekt konsolidovanou účetní závěrku nesestavuje, kalendářní rok;</w:t>
            </w:r>
          </w:p>
        </w:tc>
      </w:tr>
      <w:tr w:rsidR="0002496E" w:rsidRPr="007936DA" w14:paraId="58564FB2"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1542C072"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 120</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41FED98B" w14:textId="77777777" w:rsidR="00622BD2" w:rsidRPr="00622BD2" w:rsidRDefault="00622BD2" w:rsidP="00622BD2">
            <w:pPr>
              <w:pStyle w:val="Textparagrafu"/>
              <w:rPr>
                <w:sz w:val="18"/>
                <w:szCs w:val="18"/>
                <w:u w:color="D9D9D9" w:themeColor="background1" w:themeShade="D9"/>
              </w:rPr>
            </w:pPr>
            <w:r w:rsidRPr="00622BD2">
              <w:rPr>
                <w:sz w:val="18"/>
                <w:szCs w:val="18"/>
                <w:u w:color="D9D9D9" w:themeColor="background1" w:themeShade="D9"/>
              </w:rPr>
              <w:t>(1) Sazba české dorovnávací daně činí podíl</w:t>
            </w:r>
          </w:p>
          <w:p w14:paraId="68EC8654" w14:textId="77777777" w:rsidR="00622BD2" w:rsidRPr="00622BD2" w:rsidRDefault="00622BD2" w:rsidP="00622BD2">
            <w:pPr>
              <w:pStyle w:val="PZTextpsmene"/>
              <w:rPr>
                <w:sz w:val="18"/>
                <w:szCs w:val="18"/>
                <w:u w:color="D9D9D9" w:themeColor="background1" w:themeShade="D9"/>
              </w:rPr>
            </w:pPr>
            <w:r w:rsidRPr="00622BD2">
              <w:rPr>
                <w:sz w:val="18"/>
                <w:szCs w:val="18"/>
                <w:u w:color="D9D9D9" w:themeColor="background1" w:themeShade="D9"/>
              </w:rPr>
              <w:t>a)</w:t>
            </w:r>
            <w:r w:rsidRPr="00622BD2">
              <w:rPr>
                <w:sz w:val="18"/>
                <w:szCs w:val="18"/>
                <w:u w:color="D9D9D9" w:themeColor="background1" w:themeShade="D9"/>
              </w:rPr>
              <w:tab/>
              <w:t>alokační částky poplatníka a</w:t>
            </w:r>
          </w:p>
          <w:p w14:paraId="54EA46BD" w14:textId="77777777" w:rsidR="00622BD2" w:rsidRPr="00622BD2" w:rsidRDefault="00622BD2" w:rsidP="00622BD2">
            <w:pPr>
              <w:pStyle w:val="PZTextpsmene"/>
              <w:rPr>
                <w:sz w:val="18"/>
                <w:szCs w:val="18"/>
                <w:u w:color="D9D9D9" w:themeColor="background1" w:themeShade="D9"/>
              </w:rPr>
            </w:pPr>
            <w:r w:rsidRPr="00622BD2">
              <w:rPr>
                <w:sz w:val="18"/>
                <w:szCs w:val="18"/>
                <w:u w:color="D9D9D9" w:themeColor="background1" w:themeShade="D9"/>
              </w:rPr>
              <w:t>b)</w:t>
            </w:r>
            <w:r w:rsidRPr="00622BD2">
              <w:rPr>
                <w:sz w:val="18"/>
                <w:szCs w:val="18"/>
                <w:u w:color="D9D9D9" w:themeColor="background1" w:themeShade="D9"/>
              </w:rPr>
              <w:tab/>
              <w:t>úhrnu alokačních částek všech poplatníků české dorovnávací daně, kteří jsou součástí téže skupiny jako poplatník.</w:t>
            </w:r>
          </w:p>
          <w:p w14:paraId="3AA8B506" w14:textId="77777777" w:rsidR="00622BD2" w:rsidRPr="00622BD2" w:rsidRDefault="00622BD2" w:rsidP="00622BD2">
            <w:pPr>
              <w:pStyle w:val="Textparagrafu"/>
              <w:rPr>
                <w:sz w:val="18"/>
                <w:szCs w:val="18"/>
                <w:u w:color="D9D9D9" w:themeColor="background1" w:themeShade="D9"/>
              </w:rPr>
            </w:pPr>
            <w:r w:rsidRPr="00622BD2">
              <w:rPr>
                <w:sz w:val="18"/>
                <w:szCs w:val="18"/>
                <w:u w:color="D9D9D9" w:themeColor="background1" w:themeShade="D9"/>
              </w:rPr>
              <w:t>(2) Alokační částka poplatníka činí součin</w:t>
            </w:r>
          </w:p>
          <w:p w14:paraId="75358463" w14:textId="77777777" w:rsidR="00622BD2" w:rsidRPr="00622BD2" w:rsidRDefault="00622BD2" w:rsidP="00622BD2">
            <w:pPr>
              <w:pStyle w:val="PZTextpsmene"/>
              <w:rPr>
                <w:sz w:val="18"/>
                <w:szCs w:val="18"/>
                <w:u w:color="D9D9D9" w:themeColor="background1" w:themeShade="D9"/>
              </w:rPr>
            </w:pPr>
            <w:r w:rsidRPr="00622BD2">
              <w:rPr>
                <w:sz w:val="18"/>
                <w:szCs w:val="18"/>
                <w:u w:color="D9D9D9" w:themeColor="background1" w:themeShade="D9"/>
              </w:rPr>
              <w:t>a)</w:t>
            </w:r>
            <w:r w:rsidRPr="00622BD2">
              <w:rPr>
                <w:sz w:val="18"/>
                <w:szCs w:val="18"/>
                <w:u w:color="D9D9D9" w:themeColor="background1" w:themeShade="D9"/>
              </w:rPr>
              <w:tab/>
            </w:r>
            <w:r w:rsidRPr="00622BD2">
              <w:rPr>
                <w:b/>
                <w:sz w:val="18"/>
                <w:szCs w:val="18"/>
                <w:u w:val="single"/>
              </w:rPr>
              <w:t>čistého</w:t>
            </w:r>
            <w:r w:rsidRPr="00622BD2">
              <w:rPr>
                <w:sz w:val="18"/>
                <w:szCs w:val="18"/>
                <w:u w:color="D9D9D9" w:themeColor="background1" w:themeShade="D9"/>
              </w:rPr>
              <w:t xml:space="preserve"> kvalifikovaného zisku poplatníka a</w:t>
            </w:r>
          </w:p>
          <w:p w14:paraId="2124C8AC" w14:textId="77777777" w:rsidR="00622BD2" w:rsidRPr="00622BD2" w:rsidRDefault="00622BD2" w:rsidP="00622BD2">
            <w:pPr>
              <w:pStyle w:val="PZTextpsmene"/>
              <w:rPr>
                <w:sz w:val="18"/>
                <w:szCs w:val="18"/>
                <w:u w:color="D9D9D9" w:themeColor="background1" w:themeShade="D9"/>
              </w:rPr>
            </w:pPr>
            <w:r w:rsidRPr="00622BD2">
              <w:rPr>
                <w:sz w:val="18"/>
                <w:szCs w:val="18"/>
              </w:rPr>
              <w:t>b)</w:t>
            </w:r>
            <w:r w:rsidRPr="00622BD2">
              <w:rPr>
                <w:sz w:val="18"/>
                <w:szCs w:val="18"/>
              </w:rPr>
              <w:tab/>
              <w:t xml:space="preserve">kladného </w:t>
            </w:r>
            <w:r w:rsidRPr="00622BD2">
              <w:rPr>
                <w:sz w:val="18"/>
                <w:szCs w:val="18"/>
                <w:u w:color="D9D9D9" w:themeColor="background1" w:themeShade="D9"/>
              </w:rPr>
              <w:t>rozdílu</w:t>
            </w:r>
          </w:p>
          <w:p w14:paraId="1B3327F5" w14:textId="1AAA3865" w:rsidR="00622BD2" w:rsidRPr="00622BD2" w:rsidRDefault="00622BD2" w:rsidP="00622BD2">
            <w:pPr>
              <w:pStyle w:val="PZTextbodu"/>
              <w:rPr>
                <w:sz w:val="18"/>
                <w:szCs w:val="18"/>
                <w:u w:color="D9D9D9" w:themeColor="background1" w:themeShade="D9"/>
              </w:rPr>
            </w:pPr>
            <w:r w:rsidRPr="00622BD2">
              <w:rPr>
                <w:sz w:val="18"/>
                <w:szCs w:val="18"/>
              </w:rPr>
              <w:t>1.</w:t>
            </w:r>
            <w:r w:rsidRPr="00622BD2">
              <w:rPr>
                <w:sz w:val="18"/>
                <w:szCs w:val="18"/>
              </w:rPr>
              <w:tab/>
              <w:t xml:space="preserve">minimální </w:t>
            </w:r>
            <w:r w:rsidRPr="00622BD2">
              <w:rPr>
                <w:sz w:val="18"/>
                <w:szCs w:val="18"/>
                <w:u w:color="D9D9D9" w:themeColor="background1" w:themeShade="D9"/>
              </w:rPr>
              <w:t>daňové sazby a</w:t>
            </w:r>
          </w:p>
          <w:p w14:paraId="1490A1B2" w14:textId="6DD9FA62" w:rsidR="00622BD2" w:rsidRPr="00622BD2" w:rsidRDefault="00622BD2" w:rsidP="00622BD2">
            <w:pPr>
              <w:pStyle w:val="PZTextbodu"/>
              <w:rPr>
                <w:sz w:val="18"/>
                <w:szCs w:val="18"/>
                <w:u w:color="D9D9D9" w:themeColor="background1" w:themeShade="D9"/>
              </w:rPr>
            </w:pPr>
            <w:r w:rsidRPr="00622BD2">
              <w:rPr>
                <w:sz w:val="18"/>
                <w:szCs w:val="18"/>
                <w:u w:color="D9D9D9" w:themeColor="background1" w:themeShade="D9"/>
              </w:rPr>
              <w:t>2.</w:t>
            </w:r>
            <w:r w:rsidRPr="00622BD2">
              <w:rPr>
                <w:sz w:val="18"/>
                <w:szCs w:val="18"/>
                <w:u w:color="D9D9D9" w:themeColor="background1" w:themeShade="D9"/>
              </w:rPr>
              <w:tab/>
              <w:t>efektivní daňové sazby poplatníka.</w:t>
            </w:r>
          </w:p>
          <w:p w14:paraId="0B97EC47" w14:textId="77777777" w:rsidR="00622BD2" w:rsidRPr="00622BD2" w:rsidRDefault="00622BD2" w:rsidP="00622BD2">
            <w:pPr>
              <w:pStyle w:val="Textparagrafu"/>
              <w:rPr>
                <w:sz w:val="18"/>
                <w:szCs w:val="18"/>
              </w:rPr>
            </w:pPr>
            <w:r w:rsidRPr="00622BD2">
              <w:rPr>
                <w:sz w:val="18"/>
                <w:szCs w:val="18"/>
              </w:rPr>
              <w:lastRenderedPageBreak/>
              <w:t>(3) Efektivní daňová sazba poplatníka činí podíl</w:t>
            </w:r>
          </w:p>
          <w:p w14:paraId="5E5025A0" w14:textId="16303AC8" w:rsidR="00622BD2" w:rsidRPr="00622BD2" w:rsidRDefault="00622BD2" w:rsidP="00622BD2">
            <w:pPr>
              <w:pStyle w:val="PZTextpsmene"/>
              <w:rPr>
                <w:sz w:val="18"/>
                <w:szCs w:val="18"/>
              </w:rPr>
            </w:pPr>
            <w:r w:rsidRPr="00622BD2">
              <w:rPr>
                <w:sz w:val="18"/>
                <w:szCs w:val="18"/>
              </w:rPr>
              <w:t>a)</w:t>
            </w:r>
            <w:r w:rsidRPr="00622BD2">
              <w:rPr>
                <w:sz w:val="18"/>
                <w:szCs w:val="18"/>
              </w:rPr>
              <w:tab/>
              <w:t>úhrnu upravených zahrnutých daní tohoto poplatníka za </w:t>
            </w:r>
            <w:r w:rsidRPr="00622BD2">
              <w:rPr>
                <w:b/>
                <w:sz w:val="18"/>
                <w:szCs w:val="18"/>
                <w:u w:val="single"/>
              </w:rPr>
              <w:t>výkazní</w:t>
            </w:r>
            <w:r w:rsidRPr="00622BD2">
              <w:rPr>
                <w:sz w:val="18"/>
                <w:szCs w:val="18"/>
              </w:rPr>
              <w:t xml:space="preserve"> období a</w:t>
            </w:r>
          </w:p>
          <w:p w14:paraId="43C0500E" w14:textId="03D08AE6" w:rsidR="00622BD2" w:rsidRPr="00622BD2" w:rsidRDefault="00622BD2" w:rsidP="00622BD2">
            <w:pPr>
              <w:pStyle w:val="PZTextpsmene"/>
              <w:rPr>
                <w:sz w:val="18"/>
                <w:szCs w:val="18"/>
              </w:rPr>
            </w:pPr>
            <w:r w:rsidRPr="00622BD2">
              <w:rPr>
                <w:sz w:val="18"/>
                <w:szCs w:val="18"/>
              </w:rPr>
              <w:t>b)</w:t>
            </w:r>
            <w:r w:rsidRPr="00622BD2">
              <w:rPr>
                <w:sz w:val="18"/>
                <w:szCs w:val="18"/>
              </w:rPr>
              <w:tab/>
              <w:t xml:space="preserve">čistého kvalifikovaného zisku tohoto poplatníka za  </w:t>
            </w:r>
            <w:r w:rsidRPr="00622BD2">
              <w:rPr>
                <w:b/>
                <w:sz w:val="18"/>
                <w:szCs w:val="18"/>
                <w:u w:val="single"/>
              </w:rPr>
              <w:t>výkazní</w:t>
            </w:r>
            <w:r w:rsidRPr="00622BD2">
              <w:rPr>
                <w:sz w:val="18"/>
                <w:szCs w:val="18"/>
              </w:rPr>
              <w:t xml:space="preserve"> období podle písmene a).</w:t>
            </w:r>
          </w:p>
          <w:p w14:paraId="43CBF643" w14:textId="77777777" w:rsidR="00622BD2" w:rsidRPr="00622BD2" w:rsidRDefault="00622BD2" w:rsidP="00622BD2">
            <w:pPr>
              <w:pStyle w:val="Textparagrafu"/>
              <w:rPr>
                <w:sz w:val="18"/>
                <w:szCs w:val="18"/>
              </w:rPr>
            </w:pPr>
            <w:r w:rsidRPr="00622BD2">
              <w:rPr>
                <w:sz w:val="18"/>
                <w:szCs w:val="18"/>
              </w:rPr>
              <w:t xml:space="preserve">(4) Efektivní daňová sazba podle odstavce 3 </w:t>
            </w:r>
            <w:r w:rsidRPr="00622BD2">
              <w:rPr>
                <w:b/>
                <w:sz w:val="18"/>
                <w:szCs w:val="18"/>
                <w:u w:val="single"/>
              </w:rPr>
              <w:t>vyjádřená v procentních bodech</w:t>
            </w:r>
            <w:r w:rsidRPr="00622BD2">
              <w:rPr>
                <w:sz w:val="18"/>
                <w:szCs w:val="18"/>
              </w:rPr>
              <w:t xml:space="preserve"> se zaokrouhluje na 4 desetinná místa.</w:t>
            </w:r>
          </w:p>
          <w:p w14:paraId="02B345A1" w14:textId="734DBF45" w:rsidR="00622BD2" w:rsidRPr="00622BD2" w:rsidRDefault="00622BD2" w:rsidP="00622BD2">
            <w:pPr>
              <w:pStyle w:val="Textparagrafu"/>
              <w:rPr>
                <w:sz w:val="18"/>
                <w:szCs w:val="18"/>
              </w:rPr>
            </w:pPr>
            <w:r w:rsidRPr="00AE2314">
              <w:rPr>
                <w:sz w:val="18"/>
                <w:szCs w:val="18"/>
              </w:rPr>
              <w:t>(5)</w:t>
            </w:r>
            <w:r w:rsidRPr="00622BD2">
              <w:rPr>
                <w:sz w:val="18"/>
                <w:szCs w:val="18"/>
              </w:rPr>
              <w:t xml:space="preserve"> </w:t>
            </w:r>
            <w:r w:rsidRPr="00622BD2">
              <w:rPr>
                <w:b/>
                <w:sz w:val="18"/>
                <w:szCs w:val="18"/>
              </w:rPr>
              <w:t xml:space="preserve">Čistý </w:t>
            </w:r>
            <w:r w:rsidRPr="00622BD2">
              <w:rPr>
                <w:b/>
                <w:sz w:val="18"/>
                <w:szCs w:val="18"/>
                <w:u w:val="single"/>
              </w:rPr>
              <w:t>kvalifikovaný</w:t>
            </w:r>
            <w:r w:rsidRPr="00622BD2">
              <w:rPr>
                <w:sz w:val="18"/>
                <w:szCs w:val="18"/>
              </w:rPr>
              <w:t xml:space="preserve"> zisk poplatníka </w:t>
            </w:r>
            <w:r w:rsidRPr="00622BD2">
              <w:rPr>
                <w:b/>
                <w:sz w:val="18"/>
                <w:szCs w:val="18"/>
                <w:u w:val="single"/>
              </w:rPr>
              <w:t>podle odstavců 2 a 3</w:t>
            </w:r>
            <w:r w:rsidRPr="00622BD2">
              <w:rPr>
                <w:sz w:val="18"/>
                <w:szCs w:val="18"/>
              </w:rPr>
              <w:t xml:space="preserve"> činí kladný rozdíl</w:t>
            </w:r>
          </w:p>
          <w:p w14:paraId="3282EA6F" w14:textId="62FE2D09" w:rsidR="00622BD2" w:rsidRPr="00622BD2" w:rsidRDefault="00622BD2" w:rsidP="00622BD2">
            <w:pPr>
              <w:pStyle w:val="PZTextpsmene"/>
              <w:rPr>
                <w:sz w:val="18"/>
                <w:szCs w:val="18"/>
              </w:rPr>
            </w:pPr>
            <w:r w:rsidRPr="00622BD2">
              <w:rPr>
                <w:sz w:val="18"/>
                <w:szCs w:val="18"/>
              </w:rPr>
              <w:t>a)</w:t>
            </w:r>
            <w:r w:rsidRPr="00622BD2">
              <w:rPr>
                <w:sz w:val="18"/>
                <w:szCs w:val="18"/>
              </w:rPr>
              <w:tab/>
              <w:t xml:space="preserve">kvalifikovaného zisku tohoto poplatníka vzniklého za </w:t>
            </w:r>
            <w:r w:rsidRPr="00622BD2">
              <w:rPr>
                <w:b/>
                <w:bCs/>
                <w:sz w:val="18"/>
                <w:szCs w:val="18"/>
                <w:u w:val="single"/>
              </w:rPr>
              <w:t>výkazní</w:t>
            </w:r>
            <w:r w:rsidRPr="00622BD2">
              <w:rPr>
                <w:sz w:val="18"/>
                <w:szCs w:val="18"/>
              </w:rPr>
              <w:t xml:space="preserve"> období a</w:t>
            </w:r>
          </w:p>
          <w:p w14:paraId="63687FF6" w14:textId="5A97CF25" w:rsidR="00622BD2" w:rsidRPr="00622BD2" w:rsidRDefault="00622BD2" w:rsidP="00622BD2">
            <w:pPr>
              <w:pStyle w:val="PZTextpsmene"/>
              <w:rPr>
                <w:sz w:val="18"/>
                <w:szCs w:val="18"/>
              </w:rPr>
            </w:pPr>
            <w:r w:rsidRPr="00622BD2">
              <w:rPr>
                <w:sz w:val="18"/>
                <w:szCs w:val="18"/>
              </w:rPr>
              <w:t>b)</w:t>
            </w:r>
            <w:r w:rsidRPr="00622BD2">
              <w:rPr>
                <w:sz w:val="18"/>
                <w:szCs w:val="18"/>
              </w:rPr>
              <w:tab/>
              <w:t xml:space="preserve">kvalifikované ztráty tohoto poplatníka vzniklé za </w:t>
            </w:r>
            <w:r w:rsidRPr="00622BD2">
              <w:rPr>
                <w:b/>
                <w:bCs/>
                <w:sz w:val="18"/>
                <w:szCs w:val="18"/>
                <w:u w:val="single"/>
              </w:rPr>
              <w:t>výkazní</w:t>
            </w:r>
            <w:r w:rsidRPr="00622BD2">
              <w:rPr>
                <w:sz w:val="18"/>
                <w:szCs w:val="18"/>
              </w:rPr>
              <w:t xml:space="preserve"> období podle písmene a).</w:t>
            </w:r>
          </w:p>
          <w:p w14:paraId="3CDD98B3" w14:textId="79A1747D" w:rsidR="0002496E" w:rsidRPr="00622BD2" w:rsidRDefault="0002496E" w:rsidP="0002496E">
            <w:pPr>
              <w:widowControl w:val="0"/>
              <w:suppressAutoHyphens/>
              <w:ind w:left="57"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1C37E937" w14:textId="4F57FED8" w:rsidR="0002496E" w:rsidRPr="00430543" w:rsidRDefault="0002496E" w:rsidP="0002496E">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4717325D" w14:textId="77777777" w:rsidR="0002496E" w:rsidRPr="00430543" w:rsidRDefault="0002496E" w:rsidP="0002496E">
            <w:pPr>
              <w:widowControl w:val="0"/>
              <w:ind w:left="57" w:right="113"/>
              <w:rPr>
                <w:sz w:val="18"/>
                <w:szCs w:val="18"/>
              </w:rPr>
            </w:pPr>
            <w:r w:rsidRPr="00430543">
              <w:rPr>
                <w:sz w:val="18"/>
                <w:szCs w:val="18"/>
              </w:rPr>
              <w:t>čl. 1 odst. 2</w:t>
            </w:r>
          </w:p>
          <w:p w14:paraId="21B42DA3" w14:textId="77777777" w:rsidR="0002496E" w:rsidRPr="00430543" w:rsidRDefault="0002496E" w:rsidP="0002496E">
            <w:pPr>
              <w:widowControl w:val="0"/>
              <w:ind w:left="57" w:right="113"/>
              <w:rPr>
                <w:sz w:val="18"/>
                <w:szCs w:val="18"/>
              </w:rPr>
            </w:pPr>
          </w:p>
          <w:p w14:paraId="517A7BDA" w14:textId="77777777" w:rsidR="0002496E" w:rsidRPr="00430543" w:rsidRDefault="0002496E" w:rsidP="0002496E">
            <w:pPr>
              <w:widowControl w:val="0"/>
              <w:ind w:left="57" w:right="113"/>
              <w:rPr>
                <w:sz w:val="18"/>
                <w:szCs w:val="18"/>
              </w:rPr>
            </w:pPr>
          </w:p>
          <w:p w14:paraId="02CCC090" w14:textId="5700EA15" w:rsidR="0002496E" w:rsidRDefault="0002496E" w:rsidP="0002496E">
            <w:pPr>
              <w:widowControl w:val="0"/>
              <w:ind w:left="57" w:right="113"/>
              <w:rPr>
                <w:sz w:val="18"/>
                <w:szCs w:val="18"/>
              </w:rPr>
            </w:pPr>
          </w:p>
          <w:p w14:paraId="59210AE8" w14:textId="77777777" w:rsidR="0002496E" w:rsidRPr="00430543" w:rsidRDefault="0002496E" w:rsidP="0002496E">
            <w:pPr>
              <w:widowControl w:val="0"/>
              <w:ind w:left="57" w:right="113"/>
              <w:rPr>
                <w:sz w:val="18"/>
                <w:szCs w:val="18"/>
              </w:rPr>
            </w:pPr>
          </w:p>
          <w:p w14:paraId="27FAA2D2" w14:textId="5EF88C24" w:rsidR="0002496E" w:rsidRPr="00430543" w:rsidRDefault="0002496E" w:rsidP="0002496E">
            <w:pPr>
              <w:widowControl w:val="0"/>
              <w:ind w:left="57" w:right="113"/>
              <w:rPr>
                <w:sz w:val="18"/>
                <w:szCs w:val="18"/>
              </w:rPr>
            </w:pPr>
            <w:r w:rsidRPr="00430543">
              <w:rPr>
                <w:sz w:val="18"/>
                <w:szCs w:val="18"/>
              </w:rPr>
              <w:t>čl. 11 odst. 1 až 3</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636DD450" w14:textId="77777777" w:rsidR="0002496E" w:rsidRDefault="0002496E" w:rsidP="0002496E">
            <w:pPr>
              <w:pStyle w:val="Default"/>
              <w:rPr>
                <w:rFonts w:ascii="Times New Roman" w:hAnsi="Times New Roman" w:cs="Times New Roman"/>
                <w:sz w:val="18"/>
                <w:szCs w:val="18"/>
              </w:rPr>
            </w:pPr>
            <w:r w:rsidRPr="006F6F09">
              <w:rPr>
                <w:rFonts w:ascii="Times New Roman" w:hAnsi="Times New Roman" w:cs="Times New Roman"/>
                <w:sz w:val="18"/>
                <w:szCs w:val="18"/>
              </w:rPr>
              <w:t>2.   Členské státy se mohou rozhodnout uplatňovat kvalifikovanou vnitrostátní dorovnávací daň, na jejímž základě se vypočítává a hradí dorovnávací daň z nadměrného zisku všech nízce zdaněných členských subjektů, jež se nacházejí v jejich jurisdikci, podle této směrnice.</w:t>
            </w:r>
          </w:p>
          <w:p w14:paraId="34A7B27F" w14:textId="0C9A326B" w:rsidR="0002496E" w:rsidRDefault="0002496E" w:rsidP="0002496E">
            <w:pPr>
              <w:pStyle w:val="Default"/>
              <w:rPr>
                <w:rFonts w:ascii="Times New Roman" w:hAnsi="Times New Roman" w:cs="Times New Roman"/>
                <w:sz w:val="18"/>
                <w:szCs w:val="18"/>
              </w:rPr>
            </w:pPr>
          </w:p>
          <w:p w14:paraId="128CE00E" w14:textId="77777777" w:rsidR="0002496E" w:rsidRDefault="0002496E" w:rsidP="0002496E">
            <w:pPr>
              <w:pStyle w:val="Default"/>
              <w:rPr>
                <w:rFonts w:ascii="Times New Roman" w:hAnsi="Times New Roman" w:cs="Times New Roman"/>
                <w:sz w:val="18"/>
                <w:szCs w:val="18"/>
              </w:rPr>
            </w:pPr>
          </w:p>
          <w:p w14:paraId="20777965" w14:textId="77777777" w:rsidR="0002496E" w:rsidRPr="006F6F09" w:rsidRDefault="0002496E" w:rsidP="0002496E">
            <w:pPr>
              <w:pStyle w:val="Default"/>
              <w:rPr>
                <w:rFonts w:ascii="Times New Roman" w:hAnsi="Times New Roman" w:cs="Times New Roman"/>
                <w:sz w:val="18"/>
                <w:szCs w:val="18"/>
              </w:rPr>
            </w:pPr>
            <w:r w:rsidRPr="006F6F09">
              <w:rPr>
                <w:rFonts w:ascii="Times New Roman" w:hAnsi="Times New Roman" w:cs="Times New Roman"/>
                <w:sz w:val="18"/>
                <w:szCs w:val="18"/>
              </w:rPr>
              <w:t>1.   Členské státy se mohou rozhodnout uplatňovat kvalifikovanou vnitrostátní dorovnávací daň.</w:t>
            </w:r>
          </w:p>
          <w:p w14:paraId="2278E791" w14:textId="77777777" w:rsidR="0002496E" w:rsidRPr="006F6F09" w:rsidRDefault="0002496E" w:rsidP="0002496E">
            <w:pPr>
              <w:pStyle w:val="Default"/>
              <w:rPr>
                <w:rFonts w:ascii="Times New Roman" w:hAnsi="Times New Roman" w:cs="Times New Roman"/>
                <w:sz w:val="18"/>
                <w:szCs w:val="18"/>
              </w:rPr>
            </w:pPr>
          </w:p>
          <w:p w14:paraId="13587148" w14:textId="77777777" w:rsidR="0002496E" w:rsidRPr="006F6F09" w:rsidRDefault="0002496E" w:rsidP="0002496E">
            <w:pPr>
              <w:pStyle w:val="Default"/>
              <w:rPr>
                <w:rFonts w:ascii="Times New Roman" w:hAnsi="Times New Roman" w:cs="Times New Roman"/>
                <w:sz w:val="18"/>
                <w:szCs w:val="18"/>
              </w:rPr>
            </w:pPr>
            <w:r w:rsidRPr="006F6F09">
              <w:rPr>
                <w:rFonts w:ascii="Times New Roman" w:hAnsi="Times New Roman" w:cs="Times New Roman"/>
                <w:sz w:val="18"/>
                <w:szCs w:val="18"/>
              </w:rPr>
              <w:t>Pokud se členský stát, v němž se nacházejí členské subjekty nadnárodní skupiny podniků nebo velké vnitrostátní skupiny, rozhodne uplatňovat kvalifikovanou vnitrostátní dorovnávací daň, podléhají této vnitrostátní dorovnávací dani za dané účetní období všechny nízce zdaněné členské subjekty této nadnárodní skupiny podniků nebo velké vnitrostátní skupiny v tomto členském státě.</w:t>
            </w:r>
          </w:p>
          <w:p w14:paraId="42FE9532" w14:textId="77777777" w:rsidR="0002496E" w:rsidRPr="006F6F09" w:rsidRDefault="0002496E" w:rsidP="0002496E">
            <w:pPr>
              <w:pStyle w:val="Default"/>
              <w:rPr>
                <w:rFonts w:ascii="Times New Roman" w:hAnsi="Times New Roman" w:cs="Times New Roman"/>
                <w:sz w:val="18"/>
                <w:szCs w:val="18"/>
              </w:rPr>
            </w:pPr>
          </w:p>
          <w:p w14:paraId="3BAE884A" w14:textId="77777777" w:rsidR="0002496E" w:rsidRPr="006F6F09" w:rsidRDefault="0002496E" w:rsidP="0002496E">
            <w:pPr>
              <w:pStyle w:val="Default"/>
              <w:rPr>
                <w:rFonts w:ascii="Times New Roman" w:hAnsi="Times New Roman" w:cs="Times New Roman"/>
                <w:sz w:val="18"/>
                <w:szCs w:val="18"/>
              </w:rPr>
            </w:pPr>
            <w:r w:rsidRPr="006F6F09">
              <w:rPr>
                <w:rFonts w:ascii="Times New Roman" w:hAnsi="Times New Roman" w:cs="Times New Roman"/>
                <w:sz w:val="18"/>
                <w:szCs w:val="18"/>
              </w:rPr>
              <w:t>V rámci kvalifikované vnitrostátní dorovnávací daně mohou být vnitrostátní nadměrné zisky nízce zdaněných členských subjektů vypočítány na základě přijatelného účetního standardu nebo schváleného účetního standardu povoleného oprávněným účetním orgánem a upraveny tak, aby nedocházelo k podstatnému narušení hospodářské soutěže, a nikoli na základě účetního standardu používaného v konsolidované účetní závěrce.</w:t>
            </w:r>
          </w:p>
          <w:p w14:paraId="31AF52A7" w14:textId="77777777" w:rsidR="0002496E" w:rsidRPr="006F6F09" w:rsidRDefault="0002496E" w:rsidP="0002496E">
            <w:pPr>
              <w:pStyle w:val="Default"/>
              <w:rPr>
                <w:rFonts w:ascii="Times New Roman" w:hAnsi="Times New Roman" w:cs="Times New Roman"/>
                <w:sz w:val="18"/>
                <w:szCs w:val="18"/>
              </w:rPr>
            </w:pPr>
          </w:p>
          <w:p w14:paraId="2E02AD5B" w14:textId="77777777" w:rsidR="0002496E" w:rsidRPr="006F6F09" w:rsidRDefault="0002496E" w:rsidP="0002496E">
            <w:pPr>
              <w:pStyle w:val="Default"/>
              <w:rPr>
                <w:rFonts w:ascii="Times New Roman" w:hAnsi="Times New Roman" w:cs="Times New Roman"/>
                <w:sz w:val="18"/>
                <w:szCs w:val="18"/>
              </w:rPr>
            </w:pPr>
            <w:r w:rsidRPr="006F6F09">
              <w:rPr>
                <w:rFonts w:ascii="Times New Roman" w:hAnsi="Times New Roman" w:cs="Times New Roman"/>
                <w:sz w:val="18"/>
                <w:szCs w:val="18"/>
              </w:rPr>
              <w:t>2.   Pokud se mateřský subjekt nadnárodní skupiny podniků nebo velké vnitrostátní skupiny nachází v členském státě a jeho přímo či nepřímo držené členské subjekty nacházející se buď v tomto členském státě, nebo v jiné jurisdikci podléhají v uvedených jurisdikcích za dané účetní období kvalifikované vnitrostátní dorovnávací dani, sníží se částka jakékoli dorovnávací daně vypočítané podle článku 27 a splatné tímto mateřským subjektem v souladu s články 5 až 8 případně až na nulovou výši o částku kvalifikované vnitrostátní dorovnávací daně splatné buď uvedeným mateřským subjektem, nebo uvedenými členskými subjekty.</w:t>
            </w:r>
          </w:p>
          <w:p w14:paraId="37C149FC" w14:textId="77777777" w:rsidR="0002496E" w:rsidRPr="006F6F09" w:rsidRDefault="0002496E" w:rsidP="0002496E">
            <w:pPr>
              <w:pStyle w:val="Default"/>
              <w:rPr>
                <w:rFonts w:ascii="Times New Roman" w:hAnsi="Times New Roman" w:cs="Times New Roman"/>
                <w:sz w:val="18"/>
                <w:szCs w:val="18"/>
              </w:rPr>
            </w:pPr>
          </w:p>
          <w:p w14:paraId="0D401ECB" w14:textId="77777777" w:rsidR="0002496E" w:rsidRPr="006F6F09" w:rsidRDefault="0002496E" w:rsidP="0002496E">
            <w:pPr>
              <w:pStyle w:val="Default"/>
              <w:rPr>
                <w:rFonts w:ascii="Times New Roman" w:hAnsi="Times New Roman" w:cs="Times New Roman"/>
                <w:sz w:val="18"/>
                <w:szCs w:val="18"/>
              </w:rPr>
            </w:pPr>
            <w:r w:rsidRPr="006F6F09">
              <w:rPr>
                <w:rFonts w:ascii="Times New Roman" w:hAnsi="Times New Roman" w:cs="Times New Roman"/>
                <w:sz w:val="18"/>
                <w:szCs w:val="18"/>
              </w:rPr>
              <w:t>Bez ohledu na první pododstavec platí, že pokud byla kvalifikovaná vnitrostátní dorovnávací daň za určité účetní období vypočítána v souladu s přijatelným účetním standardem nejvyššího mateřského subjektu nebo s mezinárodními standardy účetního výkaznictví (IFRS nebo IFRS ve znění přijatém Unií podle nařízení (ES) č. 1606/2002), nevypočítá se ve vztahu k členským subjektům uvedené nadnárodní skupiny podniků nebo velké vnitrostátní skupiny nacházejícím se v uvedeném členském státě za dané účetní období žádná dorovnávací daň v souladu s článkem 27. Tímto pododstavcem není dotčen výpočet jakékoli dodatečné dorovnávací daně podle článku 29 v případě, že členský stát neuplatní kvalifikovanou vnitrostátní dorovnávací daň k výběru jakékoli dodatečné dorovnávací daně vyplývající z článku 29.</w:t>
            </w:r>
          </w:p>
          <w:p w14:paraId="6FEA07D7" w14:textId="77777777" w:rsidR="0002496E" w:rsidRPr="006F6F09" w:rsidRDefault="0002496E" w:rsidP="0002496E">
            <w:pPr>
              <w:pStyle w:val="Default"/>
              <w:rPr>
                <w:rFonts w:ascii="Times New Roman" w:hAnsi="Times New Roman" w:cs="Times New Roman"/>
                <w:sz w:val="18"/>
                <w:szCs w:val="18"/>
              </w:rPr>
            </w:pPr>
          </w:p>
          <w:p w14:paraId="554522D6" w14:textId="39166C42" w:rsidR="0002496E" w:rsidRPr="007936DA" w:rsidRDefault="0002496E" w:rsidP="0002496E">
            <w:pPr>
              <w:pStyle w:val="Default"/>
              <w:rPr>
                <w:rFonts w:ascii="Times New Roman" w:hAnsi="Times New Roman" w:cs="Times New Roman"/>
                <w:sz w:val="18"/>
                <w:szCs w:val="18"/>
              </w:rPr>
            </w:pPr>
            <w:r w:rsidRPr="006F6F09">
              <w:rPr>
                <w:rFonts w:ascii="Times New Roman" w:hAnsi="Times New Roman" w:cs="Times New Roman"/>
                <w:sz w:val="18"/>
                <w:szCs w:val="18"/>
              </w:rPr>
              <w:t>3.   Pokud není částka kvalifikované vnitrostátní dorovnávací daně za určité účetní období zaplacena během čtyř účetních období následujících po účetním období, v němž byla splatná, přičte se částka nezaplacené kvalifikované vnitrostátní dorovnávací daně k dorovnávací dani pro jurisdikci vypočtené podle čl. 27 odst. 3 a nemůže ji již vybrat členský stát, který učinil rozhodnutí podle odstavce 1 tohoto článku.</w:t>
            </w:r>
          </w:p>
        </w:tc>
      </w:tr>
      <w:tr w:rsidR="0002496E" w:rsidRPr="007936DA" w14:paraId="614427D5"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78509196"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lastRenderedPageBreak/>
              <w:t>§ 123</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1EF8B31A" w14:textId="0B033444" w:rsidR="00AE2314" w:rsidRPr="00622BD2" w:rsidRDefault="00AE2314" w:rsidP="00AE2314">
            <w:pPr>
              <w:pStyle w:val="Textparagrafu"/>
              <w:rPr>
                <w:b/>
                <w:sz w:val="18"/>
                <w:szCs w:val="18"/>
                <w:u w:val="single"/>
              </w:rPr>
            </w:pPr>
            <w:r w:rsidRPr="00622BD2">
              <w:rPr>
                <w:b/>
                <w:sz w:val="18"/>
                <w:szCs w:val="18"/>
                <w:u w:val="single"/>
              </w:rPr>
              <w:t xml:space="preserve">Zdaňovacím obdobím </w:t>
            </w:r>
            <w:r>
              <w:rPr>
                <w:b/>
                <w:sz w:val="18"/>
                <w:szCs w:val="18"/>
                <w:u w:val="single"/>
              </w:rPr>
              <w:t>české</w:t>
            </w:r>
            <w:r w:rsidRPr="00622BD2">
              <w:rPr>
                <w:b/>
                <w:sz w:val="18"/>
                <w:szCs w:val="18"/>
                <w:u w:val="single"/>
              </w:rPr>
              <w:t xml:space="preserve"> dorovnávací daně je výkazní období.</w:t>
            </w:r>
          </w:p>
          <w:p w14:paraId="45EE32C9" w14:textId="51901168" w:rsidR="0002496E" w:rsidRPr="00430543" w:rsidRDefault="0002496E" w:rsidP="0002496E">
            <w:pPr>
              <w:widowControl w:val="0"/>
              <w:suppressAutoHyphens/>
              <w:ind w:left="57"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5E1F1645" w14:textId="06E1633F" w:rsidR="0002496E" w:rsidRPr="00430543" w:rsidRDefault="0002496E" w:rsidP="0002496E">
            <w:pPr>
              <w:widowControl w:val="0"/>
              <w:ind w:left="57" w:right="113"/>
              <w:rPr>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4E1A32F6" w14:textId="77777777" w:rsidR="0002496E" w:rsidRDefault="0002496E" w:rsidP="0002496E">
            <w:pPr>
              <w:widowControl w:val="0"/>
              <w:ind w:left="57" w:right="113"/>
              <w:rPr>
                <w:sz w:val="18"/>
                <w:szCs w:val="18"/>
              </w:rPr>
            </w:pPr>
            <w:r w:rsidRPr="00430543">
              <w:rPr>
                <w:sz w:val="18"/>
                <w:szCs w:val="18"/>
              </w:rPr>
              <w:t xml:space="preserve">čl. 1 odst. 2 a </w:t>
            </w:r>
          </w:p>
          <w:p w14:paraId="3A159437" w14:textId="7528E707" w:rsidR="0002496E" w:rsidRDefault="0002496E" w:rsidP="0002496E">
            <w:pPr>
              <w:widowControl w:val="0"/>
              <w:ind w:left="57" w:right="113"/>
              <w:rPr>
                <w:sz w:val="18"/>
                <w:szCs w:val="18"/>
              </w:rPr>
            </w:pPr>
          </w:p>
          <w:p w14:paraId="3D33FC77" w14:textId="36FAF686" w:rsidR="0002496E" w:rsidRDefault="0002496E" w:rsidP="0002496E">
            <w:pPr>
              <w:widowControl w:val="0"/>
              <w:ind w:left="57" w:right="113"/>
              <w:rPr>
                <w:sz w:val="18"/>
                <w:szCs w:val="18"/>
              </w:rPr>
            </w:pPr>
          </w:p>
          <w:p w14:paraId="54D047B9" w14:textId="6280EB07" w:rsidR="0002496E" w:rsidRDefault="0002496E" w:rsidP="0002496E">
            <w:pPr>
              <w:widowControl w:val="0"/>
              <w:ind w:left="57" w:right="113"/>
              <w:rPr>
                <w:sz w:val="18"/>
                <w:szCs w:val="18"/>
              </w:rPr>
            </w:pPr>
          </w:p>
          <w:p w14:paraId="06C5447D" w14:textId="77777777" w:rsidR="0002496E" w:rsidRDefault="0002496E" w:rsidP="0002496E">
            <w:pPr>
              <w:widowControl w:val="0"/>
              <w:ind w:left="57" w:right="113"/>
              <w:rPr>
                <w:sz w:val="18"/>
                <w:szCs w:val="18"/>
              </w:rPr>
            </w:pPr>
          </w:p>
          <w:p w14:paraId="69A63951" w14:textId="523799D6" w:rsidR="0002496E" w:rsidRPr="00430543" w:rsidRDefault="0002496E" w:rsidP="0002496E">
            <w:pPr>
              <w:widowControl w:val="0"/>
              <w:ind w:left="57" w:right="113"/>
              <w:rPr>
                <w:sz w:val="18"/>
                <w:szCs w:val="18"/>
              </w:rPr>
            </w:pPr>
            <w:r w:rsidRPr="00430543">
              <w:rPr>
                <w:sz w:val="18"/>
                <w:szCs w:val="18"/>
              </w:rPr>
              <w:t>čl. 11 odst. 1 až 3</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18C2217F" w14:textId="77777777" w:rsidR="0002496E" w:rsidRDefault="0002496E" w:rsidP="0002496E">
            <w:pPr>
              <w:pStyle w:val="Default"/>
              <w:rPr>
                <w:rFonts w:ascii="Times New Roman" w:hAnsi="Times New Roman" w:cs="Times New Roman"/>
                <w:sz w:val="18"/>
                <w:szCs w:val="18"/>
              </w:rPr>
            </w:pPr>
            <w:r w:rsidRPr="006F6F09">
              <w:rPr>
                <w:rFonts w:ascii="Times New Roman" w:hAnsi="Times New Roman" w:cs="Times New Roman"/>
                <w:sz w:val="18"/>
                <w:szCs w:val="18"/>
              </w:rPr>
              <w:t>2.   Členské státy se mohou rozhodnout uplatňovat kvalifikovanou vnitrostátní dorovnávací daň, na jejímž základě se vypočítává a hradí dorovnávací daň z nadměrného zisku všech nízce zdaněných členských subjektů, jež se nacházejí v jejich jurisdikci, podle této směrnice.</w:t>
            </w:r>
          </w:p>
          <w:p w14:paraId="6A8BD156" w14:textId="77777777" w:rsidR="0002496E" w:rsidRDefault="0002496E" w:rsidP="0002496E">
            <w:pPr>
              <w:pStyle w:val="Default"/>
              <w:rPr>
                <w:rFonts w:ascii="Times New Roman" w:hAnsi="Times New Roman" w:cs="Times New Roman"/>
                <w:sz w:val="18"/>
                <w:szCs w:val="18"/>
              </w:rPr>
            </w:pPr>
          </w:p>
          <w:p w14:paraId="19BBE911" w14:textId="06BAAA50" w:rsidR="0002496E" w:rsidRDefault="0002496E" w:rsidP="0002496E">
            <w:pPr>
              <w:pStyle w:val="Default"/>
              <w:rPr>
                <w:rFonts w:ascii="Times New Roman" w:hAnsi="Times New Roman" w:cs="Times New Roman"/>
                <w:sz w:val="18"/>
                <w:szCs w:val="18"/>
              </w:rPr>
            </w:pPr>
          </w:p>
          <w:p w14:paraId="58E8E194" w14:textId="77777777" w:rsidR="0002496E" w:rsidRPr="006F6F09" w:rsidRDefault="0002496E" w:rsidP="0002496E">
            <w:pPr>
              <w:pStyle w:val="Default"/>
              <w:rPr>
                <w:rFonts w:ascii="Times New Roman" w:hAnsi="Times New Roman" w:cs="Times New Roman"/>
                <w:sz w:val="18"/>
                <w:szCs w:val="18"/>
              </w:rPr>
            </w:pPr>
            <w:r w:rsidRPr="006F6F09">
              <w:rPr>
                <w:rFonts w:ascii="Times New Roman" w:hAnsi="Times New Roman" w:cs="Times New Roman"/>
                <w:sz w:val="18"/>
                <w:szCs w:val="18"/>
              </w:rPr>
              <w:t>1.   Členské státy se mohou rozhodnout uplatňovat kvalifikovanou vnitrostátní dorovnávací daň.</w:t>
            </w:r>
          </w:p>
          <w:p w14:paraId="7922D1A4" w14:textId="77777777" w:rsidR="0002496E" w:rsidRPr="006F6F09" w:rsidRDefault="0002496E" w:rsidP="0002496E">
            <w:pPr>
              <w:pStyle w:val="Default"/>
              <w:rPr>
                <w:rFonts w:ascii="Times New Roman" w:hAnsi="Times New Roman" w:cs="Times New Roman"/>
                <w:sz w:val="18"/>
                <w:szCs w:val="18"/>
              </w:rPr>
            </w:pPr>
          </w:p>
          <w:p w14:paraId="47D1697A" w14:textId="77777777" w:rsidR="0002496E" w:rsidRPr="006F6F09" w:rsidRDefault="0002496E" w:rsidP="0002496E">
            <w:pPr>
              <w:pStyle w:val="Default"/>
              <w:rPr>
                <w:rFonts w:ascii="Times New Roman" w:hAnsi="Times New Roman" w:cs="Times New Roman"/>
                <w:sz w:val="18"/>
                <w:szCs w:val="18"/>
              </w:rPr>
            </w:pPr>
            <w:r w:rsidRPr="006F6F09">
              <w:rPr>
                <w:rFonts w:ascii="Times New Roman" w:hAnsi="Times New Roman" w:cs="Times New Roman"/>
                <w:sz w:val="18"/>
                <w:szCs w:val="18"/>
              </w:rPr>
              <w:t xml:space="preserve">Pokud se členský stát, v němž se nacházejí členské subjekty nadnárodní skupiny podniků nebo velké vnitrostátní skupiny, rozhodne uplatňovat kvalifikovanou vnitrostátní dorovnávací daň, podléhají této vnitrostátní dorovnávací dani za dané účetní období všechny nízce zdaněné </w:t>
            </w:r>
            <w:r w:rsidRPr="006F6F09">
              <w:rPr>
                <w:rFonts w:ascii="Times New Roman" w:hAnsi="Times New Roman" w:cs="Times New Roman"/>
                <w:sz w:val="18"/>
                <w:szCs w:val="18"/>
              </w:rPr>
              <w:lastRenderedPageBreak/>
              <w:t>členské subjekty této nadnárodní skupiny podniků nebo velké vnitrostátní skupiny v tomto členském státě.</w:t>
            </w:r>
          </w:p>
          <w:p w14:paraId="47C8528C" w14:textId="77777777" w:rsidR="0002496E" w:rsidRPr="006F6F09" w:rsidRDefault="0002496E" w:rsidP="0002496E">
            <w:pPr>
              <w:pStyle w:val="Default"/>
              <w:rPr>
                <w:rFonts w:ascii="Times New Roman" w:hAnsi="Times New Roman" w:cs="Times New Roman"/>
                <w:sz w:val="18"/>
                <w:szCs w:val="18"/>
              </w:rPr>
            </w:pPr>
          </w:p>
          <w:p w14:paraId="6B13ADE8" w14:textId="77777777" w:rsidR="0002496E" w:rsidRPr="006F6F09" w:rsidRDefault="0002496E" w:rsidP="0002496E">
            <w:pPr>
              <w:pStyle w:val="Default"/>
              <w:rPr>
                <w:rFonts w:ascii="Times New Roman" w:hAnsi="Times New Roman" w:cs="Times New Roman"/>
                <w:sz w:val="18"/>
                <w:szCs w:val="18"/>
              </w:rPr>
            </w:pPr>
            <w:r w:rsidRPr="006F6F09">
              <w:rPr>
                <w:rFonts w:ascii="Times New Roman" w:hAnsi="Times New Roman" w:cs="Times New Roman"/>
                <w:sz w:val="18"/>
                <w:szCs w:val="18"/>
              </w:rPr>
              <w:t>V rámci kvalifikované vnitrostátní dorovnávací daně mohou být vnitrostátní nadměrné zisky nízce zdaněných členských subjektů vypočítány na základě přijatelného účetního standardu nebo schváleného účetního standardu povoleného oprávněným účetním orgánem a upraveny tak, aby nedocházelo k podstatnému narušení hospodářské soutěže, a nikoli na základě účetního standardu používaného v konsolidované účetní závěrce.</w:t>
            </w:r>
          </w:p>
          <w:p w14:paraId="6D039072" w14:textId="77777777" w:rsidR="0002496E" w:rsidRPr="006F6F09" w:rsidRDefault="0002496E" w:rsidP="0002496E">
            <w:pPr>
              <w:pStyle w:val="Default"/>
              <w:rPr>
                <w:rFonts w:ascii="Times New Roman" w:hAnsi="Times New Roman" w:cs="Times New Roman"/>
                <w:sz w:val="18"/>
                <w:szCs w:val="18"/>
              </w:rPr>
            </w:pPr>
          </w:p>
          <w:p w14:paraId="3CC9464C" w14:textId="77777777" w:rsidR="0002496E" w:rsidRPr="006F6F09" w:rsidRDefault="0002496E" w:rsidP="0002496E">
            <w:pPr>
              <w:pStyle w:val="Default"/>
              <w:rPr>
                <w:rFonts w:ascii="Times New Roman" w:hAnsi="Times New Roman" w:cs="Times New Roman"/>
                <w:sz w:val="18"/>
                <w:szCs w:val="18"/>
              </w:rPr>
            </w:pPr>
            <w:r w:rsidRPr="006F6F09">
              <w:rPr>
                <w:rFonts w:ascii="Times New Roman" w:hAnsi="Times New Roman" w:cs="Times New Roman"/>
                <w:sz w:val="18"/>
                <w:szCs w:val="18"/>
              </w:rPr>
              <w:t>2.   Pokud se mateřský subjekt nadnárodní skupiny podniků nebo velké vnitrostátní skupiny nachází v členském státě a jeho přímo či nepřímo držené členské subjekty nacházející se buď v tomto členském státě, nebo v jiné jurisdikci podléhají v uvedených jurisdikcích za dané účetní období kvalifikované vnitrostátní dorovnávací dani, sníží se částka jakékoli dorovnávací daně vypočítané podle článku 27 a splatné tímto mateřským subjektem v souladu s články 5 až 8 případně až na nulovou výši o částku kvalifikované vnitrostátní dorovnávací daně splatné buď uvedeným mateřským subjektem, nebo uvedenými členskými subjekty.</w:t>
            </w:r>
          </w:p>
          <w:p w14:paraId="109AA635" w14:textId="77777777" w:rsidR="0002496E" w:rsidRPr="006F6F09" w:rsidRDefault="0002496E" w:rsidP="0002496E">
            <w:pPr>
              <w:pStyle w:val="Default"/>
              <w:rPr>
                <w:rFonts w:ascii="Times New Roman" w:hAnsi="Times New Roman" w:cs="Times New Roman"/>
                <w:sz w:val="18"/>
                <w:szCs w:val="18"/>
              </w:rPr>
            </w:pPr>
          </w:p>
          <w:p w14:paraId="17E6F581" w14:textId="77777777" w:rsidR="0002496E" w:rsidRPr="006F6F09" w:rsidRDefault="0002496E" w:rsidP="0002496E">
            <w:pPr>
              <w:pStyle w:val="Default"/>
              <w:rPr>
                <w:rFonts w:ascii="Times New Roman" w:hAnsi="Times New Roman" w:cs="Times New Roman"/>
                <w:sz w:val="18"/>
                <w:szCs w:val="18"/>
              </w:rPr>
            </w:pPr>
            <w:r w:rsidRPr="006F6F09">
              <w:rPr>
                <w:rFonts w:ascii="Times New Roman" w:hAnsi="Times New Roman" w:cs="Times New Roman"/>
                <w:sz w:val="18"/>
                <w:szCs w:val="18"/>
              </w:rPr>
              <w:t>Bez ohledu na první pododstavec platí, že pokud byla kvalifikovaná vnitrostátní dorovnávací daň za určité účetní období vypočítána v souladu s přijatelným účetním standardem nejvyššího mateřského subjektu nebo s mezinárodními standardy účetního výkaznictví (IFRS nebo IFRS ve znění přijatém Unií podle nařízení (ES) č. 1606/2002), nevypočítá se ve vztahu k členským subjektům uvedené nadnárodní skupiny podniků nebo velké vnitrostátní skupiny nacházejícím se v uvedeném členském státě za dané účetní období žádná dorovnávací daň v souladu s článkem 27. Tímto pododstavcem není dotčen výpočet jakékoli dodatečné dorovnávací daně podle článku 29 v případě, že členský stát neuplatní kvalifikovanou vnitrostátní dorovnávací daň k výběru jakékoli dodatečné dorovnávací daně vyplývající z článku 29.</w:t>
            </w:r>
          </w:p>
          <w:p w14:paraId="12651CD3" w14:textId="77777777" w:rsidR="0002496E" w:rsidRPr="006F6F09" w:rsidRDefault="0002496E" w:rsidP="0002496E">
            <w:pPr>
              <w:pStyle w:val="Default"/>
              <w:rPr>
                <w:rFonts w:ascii="Times New Roman" w:hAnsi="Times New Roman" w:cs="Times New Roman"/>
                <w:sz w:val="18"/>
                <w:szCs w:val="18"/>
              </w:rPr>
            </w:pPr>
          </w:p>
          <w:p w14:paraId="28F1D9FB" w14:textId="6395C716" w:rsidR="0002496E" w:rsidRPr="007936DA" w:rsidRDefault="0002496E" w:rsidP="0002496E">
            <w:pPr>
              <w:pStyle w:val="Default"/>
              <w:rPr>
                <w:rFonts w:ascii="Times New Roman" w:hAnsi="Times New Roman" w:cs="Times New Roman"/>
                <w:sz w:val="18"/>
                <w:szCs w:val="18"/>
              </w:rPr>
            </w:pPr>
            <w:r w:rsidRPr="006F6F09">
              <w:rPr>
                <w:rFonts w:ascii="Times New Roman" w:hAnsi="Times New Roman" w:cs="Times New Roman"/>
                <w:sz w:val="18"/>
                <w:szCs w:val="18"/>
              </w:rPr>
              <w:t>3.   Pokud není částka kvalifikované vnitrostátní dorovnávací daně za určité účetní období zaplacena během čtyř účetních období následujících po účetním období, v němž byla splatná, přičte se částka nezaplacené kvalifikované vnitrostátní dorovnávací daně k dorovnávací dani pro jurisdikci vypočtené podle čl. 27 odst. 3 a nemůže ji již vybrat členský stát, který učinil rozhodnutí podle odstavce 1 tohoto článku.</w:t>
            </w:r>
          </w:p>
        </w:tc>
      </w:tr>
      <w:tr w:rsidR="0002496E" w:rsidRPr="007936DA" w14:paraId="675D3EBE"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047A5985"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lastRenderedPageBreak/>
              <w:t>§ 129</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695C4A70" w14:textId="77777777" w:rsidR="00AE2314" w:rsidRPr="00AE2314" w:rsidRDefault="00AE2314" w:rsidP="00AE2314">
            <w:pPr>
              <w:pStyle w:val="Textparagrafu"/>
              <w:rPr>
                <w:b/>
                <w:sz w:val="18"/>
                <w:szCs w:val="18"/>
                <w:u w:val="single"/>
              </w:rPr>
            </w:pPr>
            <w:r w:rsidRPr="00AE2314">
              <w:rPr>
                <w:sz w:val="18"/>
                <w:szCs w:val="18"/>
              </w:rPr>
              <w:t>(1) Poplatník české dorovnávací daně je povinen podat informační přehled k české dorovnávací dani ve stejné lhůtě jako daňové přiznání k této dani</w:t>
            </w:r>
            <w:r w:rsidRPr="00AE2314">
              <w:rPr>
                <w:b/>
                <w:sz w:val="18"/>
                <w:szCs w:val="18"/>
                <w:u w:val="single"/>
              </w:rPr>
              <w:t>, bez ohledu na to, zda v rámci velké vnitrostátní skupiny nebo velké nadnárodní skupiny je nízce zdaněná členská entita nebo zda má tato členská entita nadměrný zisk</w:t>
            </w:r>
            <w:r w:rsidRPr="00AE2314">
              <w:rPr>
                <w:b/>
                <w:sz w:val="18"/>
                <w:szCs w:val="18"/>
              </w:rPr>
              <w:t>.</w:t>
            </w:r>
          </w:p>
          <w:p w14:paraId="14A0AA71" w14:textId="77777777" w:rsidR="00AE2314" w:rsidRPr="00AE2314" w:rsidRDefault="00AE2314" w:rsidP="00AE2314">
            <w:pPr>
              <w:pStyle w:val="Textparagrafu"/>
              <w:rPr>
                <w:b/>
                <w:sz w:val="18"/>
                <w:szCs w:val="18"/>
              </w:rPr>
            </w:pPr>
            <w:r w:rsidRPr="00AE2314">
              <w:rPr>
                <w:sz w:val="18"/>
                <w:szCs w:val="18"/>
              </w:rPr>
              <w:lastRenderedPageBreak/>
              <w:t>(2) Poplatník přiřazované dorovnávací daně je povinen podat informační přehled k přiřazované dorovnávací dani nejpozději do 15 měsíců po uplynutí zdaňovacího období</w:t>
            </w:r>
            <w:r w:rsidRPr="00AE2314">
              <w:rPr>
                <w:b/>
                <w:sz w:val="18"/>
                <w:szCs w:val="18"/>
                <w:u w:val="single"/>
              </w:rPr>
              <w:t>, bez ohledu na to, zda v rámci velké vnitrostátní skupiny nebo velké nadnárodní skupiny je nízce zdaněná česká členská entita nebo zda má tato česká členská entita nadměrný zisk</w:t>
            </w:r>
            <w:r w:rsidRPr="00AE2314">
              <w:rPr>
                <w:sz w:val="18"/>
                <w:szCs w:val="18"/>
              </w:rPr>
              <w:t>. Je-li zdaňovací období vstupním obdobím skupiny, je poplatník povinen podat informační přehled nejpozději do 18 měsíců po uplynutí zdaňovacího období.</w:t>
            </w:r>
          </w:p>
          <w:p w14:paraId="64C8F7D7" w14:textId="1175A58A" w:rsidR="0002496E" w:rsidRPr="00430543" w:rsidRDefault="0002496E" w:rsidP="0002496E">
            <w:pPr>
              <w:widowControl w:val="0"/>
              <w:suppressAutoHyphens/>
              <w:ind w:left="57"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0CD8D99C" w14:textId="5CC95030" w:rsidR="0002496E" w:rsidRPr="00430543" w:rsidRDefault="0002496E" w:rsidP="0002496E">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29EA127D" w14:textId="64046188" w:rsidR="0002496E" w:rsidRDefault="0002496E" w:rsidP="0002496E">
            <w:pPr>
              <w:widowControl w:val="0"/>
              <w:ind w:left="57" w:right="113"/>
              <w:rPr>
                <w:sz w:val="18"/>
                <w:szCs w:val="18"/>
              </w:rPr>
            </w:pPr>
            <w:r>
              <w:rPr>
                <w:sz w:val="18"/>
                <w:szCs w:val="18"/>
              </w:rPr>
              <w:t>čl. 44 odst. 1, 2,</w:t>
            </w:r>
            <w:r w:rsidRPr="00430543">
              <w:rPr>
                <w:sz w:val="18"/>
                <w:szCs w:val="18"/>
              </w:rPr>
              <w:t xml:space="preserve"> </w:t>
            </w:r>
          </w:p>
          <w:p w14:paraId="0E58B90B" w14:textId="77777777" w:rsidR="0002496E" w:rsidRDefault="0002496E" w:rsidP="0002496E">
            <w:pPr>
              <w:widowControl w:val="0"/>
              <w:ind w:left="57" w:right="113"/>
              <w:rPr>
                <w:sz w:val="18"/>
                <w:szCs w:val="18"/>
              </w:rPr>
            </w:pPr>
          </w:p>
          <w:p w14:paraId="3B3D4E03" w14:textId="3CD6143B" w:rsidR="0002496E" w:rsidRDefault="0002496E" w:rsidP="0002496E">
            <w:pPr>
              <w:widowControl w:val="0"/>
              <w:ind w:left="57" w:right="113"/>
              <w:rPr>
                <w:sz w:val="18"/>
                <w:szCs w:val="18"/>
              </w:rPr>
            </w:pPr>
          </w:p>
          <w:p w14:paraId="7BD2F831" w14:textId="7FE01F9C" w:rsidR="0002496E" w:rsidRDefault="0002496E" w:rsidP="0002496E">
            <w:pPr>
              <w:widowControl w:val="0"/>
              <w:ind w:left="57" w:right="113"/>
              <w:rPr>
                <w:sz w:val="18"/>
                <w:szCs w:val="18"/>
              </w:rPr>
            </w:pPr>
          </w:p>
          <w:p w14:paraId="5429B1BC" w14:textId="489754B7" w:rsidR="0002496E" w:rsidRDefault="0002496E" w:rsidP="0002496E">
            <w:pPr>
              <w:widowControl w:val="0"/>
              <w:ind w:left="57" w:right="113"/>
              <w:rPr>
                <w:sz w:val="18"/>
                <w:szCs w:val="18"/>
              </w:rPr>
            </w:pPr>
          </w:p>
          <w:p w14:paraId="7099D64E" w14:textId="5A9BF2EF" w:rsidR="0002496E" w:rsidRDefault="0002496E" w:rsidP="0002496E">
            <w:pPr>
              <w:widowControl w:val="0"/>
              <w:ind w:left="57" w:right="113"/>
              <w:rPr>
                <w:sz w:val="18"/>
                <w:szCs w:val="18"/>
              </w:rPr>
            </w:pPr>
          </w:p>
          <w:p w14:paraId="2BC39F28" w14:textId="66EAA35E" w:rsidR="0002496E" w:rsidRDefault="0002496E" w:rsidP="0002496E">
            <w:pPr>
              <w:widowControl w:val="0"/>
              <w:ind w:left="57" w:right="113"/>
              <w:rPr>
                <w:sz w:val="18"/>
                <w:szCs w:val="18"/>
              </w:rPr>
            </w:pPr>
          </w:p>
          <w:p w14:paraId="528A3646" w14:textId="2CC40706" w:rsidR="0002496E" w:rsidRDefault="0002496E" w:rsidP="0002496E">
            <w:pPr>
              <w:widowControl w:val="0"/>
              <w:ind w:left="57" w:right="113"/>
              <w:rPr>
                <w:sz w:val="18"/>
                <w:szCs w:val="18"/>
              </w:rPr>
            </w:pPr>
          </w:p>
          <w:p w14:paraId="774E4B9D" w14:textId="288D7093" w:rsidR="0002496E" w:rsidRDefault="0002496E" w:rsidP="0002496E">
            <w:pPr>
              <w:widowControl w:val="0"/>
              <w:ind w:left="57" w:right="113"/>
              <w:rPr>
                <w:sz w:val="18"/>
                <w:szCs w:val="18"/>
              </w:rPr>
            </w:pPr>
          </w:p>
          <w:p w14:paraId="552481A8" w14:textId="1AB34F4B" w:rsidR="0002496E" w:rsidRDefault="0002496E" w:rsidP="0002496E">
            <w:pPr>
              <w:widowControl w:val="0"/>
              <w:ind w:left="57" w:right="113"/>
              <w:rPr>
                <w:sz w:val="18"/>
                <w:szCs w:val="18"/>
              </w:rPr>
            </w:pPr>
          </w:p>
          <w:p w14:paraId="6BF59F39" w14:textId="41A76049" w:rsidR="0002496E" w:rsidRDefault="0002496E" w:rsidP="0002496E">
            <w:pPr>
              <w:widowControl w:val="0"/>
              <w:ind w:left="57" w:right="113"/>
              <w:rPr>
                <w:sz w:val="18"/>
                <w:szCs w:val="18"/>
              </w:rPr>
            </w:pPr>
          </w:p>
          <w:p w14:paraId="4D259959" w14:textId="1A590259" w:rsidR="0002496E" w:rsidRDefault="0002496E" w:rsidP="0002496E">
            <w:pPr>
              <w:widowControl w:val="0"/>
              <w:ind w:left="57" w:right="113"/>
              <w:rPr>
                <w:sz w:val="18"/>
                <w:szCs w:val="18"/>
              </w:rPr>
            </w:pPr>
          </w:p>
          <w:p w14:paraId="63BBCC7F" w14:textId="25C25AC2" w:rsidR="0002496E" w:rsidRDefault="0002496E" w:rsidP="0002496E">
            <w:pPr>
              <w:widowControl w:val="0"/>
              <w:ind w:left="57" w:right="113"/>
              <w:rPr>
                <w:sz w:val="18"/>
                <w:szCs w:val="18"/>
              </w:rPr>
            </w:pPr>
          </w:p>
          <w:p w14:paraId="2C208C8F" w14:textId="6059CFE8" w:rsidR="0002496E" w:rsidRDefault="0002496E" w:rsidP="0002496E">
            <w:pPr>
              <w:widowControl w:val="0"/>
              <w:ind w:left="57" w:right="113"/>
              <w:rPr>
                <w:sz w:val="18"/>
                <w:szCs w:val="18"/>
              </w:rPr>
            </w:pPr>
          </w:p>
          <w:p w14:paraId="7089D46A" w14:textId="36AAE5FC" w:rsidR="0002496E" w:rsidRDefault="0002496E" w:rsidP="0002496E">
            <w:pPr>
              <w:widowControl w:val="0"/>
              <w:ind w:left="57" w:right="113"/>
              <w:rPr>
                <w:sz w:val="18"/>
                <w:szCs w:val="18"/>
              </w:rPr>
            </w:pPr>
          </w:p>
          <w:p w14:paraId="5545BD60" w14:textId="51D27F12" w:rsidR="0002496E" w:rsidRDefault="0002496E" w:rsidP="0002496E">
            <w:pPr>
              <w:widowControl w:val="0"/>
              <w:ind w:left="57" w:right="113"/>
              <w:rPr>
                <w:sz w:val="18"/>
                <w:szCs w:val="18"/>
              </w:rPr>
            </w:pPr>
          </w:p>
          <w:p w14:paraId="1361C1BD" w14:textId="3B709A96" w:rsidR="0002496E" w:rsidRDefault="0002496E" w:rsidP="0002496E">
            <w:pPr>
              <w:widowControl w:val="0"/>
              <w:ind w:left="57" w:right="113"/>
              <w:rPr>
                <w:sz w:val="18"/>
                <w:szCs w:val="18"/>
              </w:rPr>
            </w:pPr>
          </w:p>
          <w:p w14:paraId="0AA596AC" w14:textId="21F859AB" w:rsidR="0002496E" w:rsidRDefault="0002496E" w:rsidP="0002496E">
            <w:pPr>
              <w:widowControl w:val="0"/>
              <w:ind w:right="113"/>
              <w:rPr>
                <w:sz w:val="18"/>
                <w:szCs w:val="18"/>
              </w:rPr>
            </w:pPr>
          </w:p>
          <w:p w14:paraId="268EF119" w14:textId="4FCC0FF4" w:rsidR="0002496E" w:rsidRDefault="0002496E" w:rsidP="0002496E">
            <w:pPr>
              <w:widowControl w:val="0"/>
              <w:ind w:left="57" w:right="113"/>
              <w:rPr>
                <w:sz w:val="18"/>
                <w:szCs w:val="18"/>
              </w:rPr>
            </w:pPr>
            <w:r>
              <w:rPr>
                <w:sz w:val="18"/>
                <w:szCs w:val="18"/>
              </w:rPr>
              <w:t xml:space="preserve">čl. 44 odst. </w:t>
            </w:r>
            <w:r w:rsidRPr="00430543">
              <w:rPr>
                <w:sz w:val="18"/>
                <w:szCs w:val="18"/>
              </w:rPr>
              <w:t xml:space="preserve">5 až 7 a </w:t>
            </w:r>
          </w:p>
          <w:p w14:paraId="5AAD7A5A" w14:textId="77777777" w:rsidR="0002496E" w:rsidRDefault="0002496E" w:rsidP="0002496E">
            <w:pPr>
              <w:widowControl w:val="0"/>
              <w:ind w:left="57" w:right="113"/>
              <w:rPr>
                <w:sz w:val="18"/>
                <w:szCs w:val="18"/>
              </w:rPr>
            </w:pPr>
          </w:p>
          <w:p w14:paraId="01AD3E82" w14:textId="77777777" w:rsidR="0002496E" w:rsidRDefault="0002496E" w:rsidP="0002496E">
            <w:pPr>
              <w:widowControl w:val="0"/>
              <w:ind w:left="57" w:right="113"/>
              <w:rPr>
                <w:sz w:val="18"/>
                <w:szCs w:val="18"/>
              </w:rPr>
            </w:pPr>
          </w:p>
          <w:p w14:paraId="2A2F4A57" w14:textId="77777777" w:rsidR="0002496E" w:rsidRDefault="0002496E" w:rsidP="0002496E">
            <w:pPr>
              <w:widowControl w:val="0"/>
              <w:ind w:left="57" w:right="113"/>
              <w:rPr>
                <w:sz w:val="18"/>
                <w:szCs w:val="18"/>
              </w:rPr>
            </w:pPr>
          </w:p>
          <w:p w14:paraId="2E876966" w14:textId="77777777" w:rsidR="0002496E" w:rsidRDefault="0002496E" w:rsidP="0002496E">
            <w:pPr>
              <w:widowControl w:val="0"/>
              <w:ind w:left="57" w:right="113"/>
              <w:rPr>
                <w:sz w:val="18"/>
                <w:szCs w:val="18"/>
              </w:rPr>
            </w:pPr>
          </w:p>
          <w:p w14:paraId="64A8E797" w14:textId="77777777" w:rsidR="0002496E" w:rsidRDefault="0002496E" w:rsidP="0002496E">
            <w:pPr>
              <w:widowControl w:val="0"/>
              <w:ind w:left="57" w:right="113"/>
              <w:rPr>
                <w:sz w:val="18"/>
                <w:szCs w:val="18"/>
              </w:rPr>
            </w:pPr>
          </w:p>
          <w:p w14:paraId="195AD57B" w14:textId="77777777" w:rsidR="0002496E" w:rsidRDefault="0002496E" w:rsidP="0002496E">
            <w:pPr>
              <w:widowControl w:val="0"/>
              <w:ind w:left="57" w:right="113"/>
              <w:rPr>
                <w:sz w:val="18"/>
                <w:szCs w:val="18"/>
              </w:rPr>
            </w:pPr>
          </w:p>
          <w:p w14:paraId="2A19DCCA" w14:textId="77777777" w:rsidR="0002496E" w:rsidRDefault="0002496E" w:rsidP="0002496E">
            <w:pPr>
              <w:widowControl w:val="0"/>
              <w:ind w:left="57" w:right="113"/>
              <w:rPr>
                <w:sz w:val="18"/>
                <w:szCs w:val="18"/>
              </w:rPr>
            </w:pPr>
          </w:p>
          <w:p w14:paraId="767CA4A8" w14:textId="77777777" w:rsidR="0002496E" w:rsidRDefault="0002496E" w:rsidP="0002496E">
            <w:pPr>
              <w:widowControl w:val="0"/>
              <w:ind w:left="57" w:right="113"/>
              <w:rPr>
                <w:sz w:val="18"/>
                <w:szCs w:val="18"/>
              </w:rPr>
            </w:pPr>
          </w:p>
          <w:p w14:paraId="4266B066" w14:textId="77777777" w:rsidR="0002496E" w:rsidRDefault="0002496E" w:rsidP="0002496E">
            <w:pPr>
              <w:widowControl w:val="0"/>
              <w:ind w:left="57" w:right="113"/>
              <w:rPr>
                <w:sz w:val="18"/>
                <w:szCs w:val="18"/>
              </w:rPr>
            </w:pPr>
          </w:p>
          <w:p w14:paraId="13E4CB2E" w14:textId="77777777" w:rsidR="0002496E" w:rsidRDefault="0002496E" w:rsidP="0002496E">
            <w:pPr>
              <w:widowControl w:val="0"/>
              <w:ind w:left="57" w:right="113"/>
              <w:rPr>
                <w:sz w:val="18"/>
                <w:szCs w:val="18"/>
              </w:rPr>
            </w:pPr>
          </w:p>
          <w:p w14:paraId="2250BD37" w14:textId="77777777" w:rsidR="0002496E" w:rsidRDefault="0002496E" w:rsidP="0002496E">
            <w:pPr>
              <w:widowControl w:val="0"/>
              <w:ind w:left="57" w:right="113"/>
              <w:rPr>
                <w:sz w:val="18"/>
                <w:szCs w:val="18"/>
              </w:rPr>
            </w:pPr>
          </w:p>
          <w:p w14:paraId="347F0531" w14:textId="77777777" w:rsidR="0002496E" w:rsidRDefault="0002496E" w:rsidP="0002496E">
            <w:pPr>
              <w:widowControl w:val="0"/>
              <w:ind w:left="57" w:right="113"/>
              <w:rPr>
                <w:sz w:val="18"/>
                <w:szCs w:val="18"/>
              </w:rPr>
            </w:pPr>
          </w:p>
          <w:p w14:paraId="33A9CA1F" w14:textId="77777777" w:rsidR="0002496E" w:rsidRDefault="0002496E" w:rsidP="0002496E">
            <w:pPr>
              <w:widowControl w:val="0"/>
              <w:ind w:left="57" w:right="113"/>
              <w:rPr>
                <w:sz w:val="18"/>
                <w:szCs w:val="18"/>
              </w:rPr>
            </w:pPr>
          </w:p>
          <w:p w14:paraId="350A9B16" w14:textId="77777777" w:rsidR="0002496E" w:rsidRDefault="0002496E" w:rsidP="0002496E">
            <w:pPr>
              <w:widowControl w:val="0"/>
              <w:ind w:left="57" w:right="113"/>
              <w:rPr>
                <w:sz w:val="18"/>
                <w:szCs w:val="18"/>
              </w:rPr>
            </w:pPr>
          </w:p>
          <w:p w14:paraId="76013B37" w14:textId="77777777" w:rsidR="0002496E" w:rsidRDefault="0002496E" w:rsidP="0002496E">
            <w:pPr>
              <w:widowControl w:val="0"/>
              <w:ind w:left="57" w:right="113"/>
              <w:rPr>
                <w:sz w:val="18"/>
                <w:szCs w:val="18"/>
              </w:rPr>
            </w:pPr>
          </w:p>
          <w:p w14:paraId="02CAD3E0" w14:textId="77777777" w:rsidR="0002496E" w:rsidRDefault="0002496E" w:rsidP="0002496E">
            <w:pPr>
              <w:widowControl w:val="0"/>
              <w:ind w:left="57" w:right="113"/>
              <w:rPr>
                <w:sz w:val="18"/>
                <w:szCs w:val="18"/>
              </w:rPr>
            </w:pPr>
          </w:p>
          <w:p w14:paraId="7869E927" w14:textId="77777777" w:rsidR="0002496E" w:rsidRDefault="0002496E" w:rsidP="0002496E">
            <w:pPr>
              <w:widowControl w:val="0"/>
              <w:ind w:left="57" w:right="113"/>
              <w:rPr>
                <w:sz w:val="18"/>
                <w:szCs w:val="18"/>
              </w:rPr>
            </w:pPr>
          </w:p>
          <w:p w14:paraId="67295265" w14:textId="77777777" w:rsidR="0002496E" w:rsidRDefault="0002496E" w:rsidP="0002496E">
            <w:pPr>
              <w:widowControl w:val="0"/>
              <w:ind w:left="57" w:right="113"/>
              <w:rPr>
                <w:sz w:val="18"/>
                <w:szCs w:val="18"/>
              </w:rPr>
            </w:pPr>
          </w:p>
          <w:p w14:paraId="53EEAD44" w14:textId="77777777" w:rsidR="0002496E" w:rsidRDefault="0002496E" w:rsidP="0002496E">
            <w:pPr>
              <w:widowControl w:val="0"/>
              <w:ind w:left="57" w:right="113"/>
              <w:rPr>
                <w:sz w:val="18"/>
                <w:szCs w:val="18"/>
              </w:rPr>
            </w:pPr>
          </w:p>
          <w:p w14:paraId="50E0E166" w14:textId="77777777" w:rsidR="0002496E" w:rsidRDefault="0002496E" w:rsidP="0002496E">
            <w:pPr>
              <w:widowControl w:val="0"/>
              <w:ind w:left="57" w:right="113"/>
              <w:rPr>
                <w:sz w:val="18"/>
                <w:szCs w:val="18"/>
              </w:rPr>
            </w:pPr>
          </w:p>
          <w:p w14:paraId="0589E712" w14:textId="77777777" w:rsidR="0002496E" w:rsidRDefault="0002496E" w:rsidP="0002496E">
            <w:pPr>
              <w:widowControl w:val="0"/>
              <w:ind w:left="57" w:right="113"/>
              <w:rPr>
                <w:sz w:val="18"/>
                <w:szCs w:val="18"/>
              </w:rPr>
            </w:pPr>
          </w:p>
          <w:p w14:paraId="6E1780DC" w14:textId="77777777" w:rsidR="0002496E" w:rsidRDefault="0002496E" w:rsidP="0002496E">
            <w:pPr>
              <w:widowControl w:val="0"/>
              <w:ind w:left="57" w:right="113"/>
              <w:rPr>
                <w:sz w:val="18"/>
                <w:szCs w:val="18"/>
              </w:rPr>
            </w:pPr>
          </w:p>
          <w:p w14:paraId="321B3FDC" w14:textId="77777777" w:rsidR="0002496E" w:rsidRDefault="0002496E" w:rsidP="0002496E">
            <w:pPr>
              <w:widowControl w:val="0"/>
              <w:ind w:left="57" w:right="113"/>
              <w:rPr>
                <w:sz w:val="18"/>
                <w:szCs w:val="18"/>
              </w:rPr>
            </w:pPr>
          </w:p>
          <w:p w14:paraId="76E0A267" w14:textId="77777777" w:rsidR="0002496E" w:rsidRDefault="0002496E" w:rsidP="0002496E">
            <w:pPr>
              <w:widowControl w:val="0"/>
              <w:ind w:left="57" w:right="113"/>
              <w:rPr>
                <w:sz w:val="18"/>
                <w:szCs w:val="18"/>
              </w:rPr>
            </w:pPr>
          </w:p>
          <w:p w14:paraId="5718A01F" w14:textId="77777777" w:rsidR="0002496E" w:rsidRDefault="0002496E" w:rsidP="0002496E">
            <w:pPr>
              <w:widowControl w:val="0"/>
              <w:ind w:left="57" w:right="113"/>
              <w:rPr>
                <w:sz w:val="18"/>
                <w:szCs w:val="18"/>
              </w:rPr>
            </w:pPr>
          </w:p>
          <w:p w14:paraId="0B1BF77F" w14:textId="77777777" w:rsidR="0002496E" w:rsidRDefault="0002496E" w:rsidP="0002496E">
            <w:pPr>
              <w:widowControl w:val="0"/>
              <w:ind w:left="57" w:right="113"/>
              <w:rPr>
                <w:sz w:val="18"/>
                <w:szCs w:val="18"/>
              </w:rPr>
            </w:pPr>
          </w:p>
          <w:p w14:paraId="2BF0C6FC" w14:textId="77777777" w:rsidR="0002496E" w:rsidRDefault="0002496E" w:rsidP="0002496E">
            <w:pPr>
              <w:widowControl w:val="0"/>
              <w:ind w:left="57" w:right="113"/>
              <w:rPr>
                <w:sz w:val="18"/>
                <w:szCs w:val="18"/>
              </w:rPr>
            </w:pPr>
          </w:p>
          <w:p w14:paraId="4923398C" w14:textId="77777777" w:rsidR="0002496E" w:rsidRDefault="0002496E" w:rsidP="0002496E">
            <w:pPr>
              <w:widowControl w:val="0"/>
              <w:ind w:left="57" w:right="113"/>
              <w:rPr>
                <w:sz w:val="18"/>
                <w:szCs w:val="18"/>
              </w:rPr>
            </w:pPr>
          </w:p>
          <w:p w14:paraId="0E50C4EF" w14:textId="77777777" w:rsidR="0002496E" w:rsidRDefault="0002496E" w:rsidP="0002496E">
            <w:pPr>
              <w:widowControl w:val="0"/>
              <w:ind w:left="57" w:right="113"/>
              <w:rPr>
                <w:sz w:val="18"/>
                <w:szCs w:val="18"/>
              </w:rPr>
            </w:pPr>
          </w:p>
          <w:p w14:paraId="6833B720" w14:textId="77777777" w:rsidR="0002496E" w:rsidRDefault="0002496E" w:rsidP="0002496E">
            <w:pPr>
              <w:widowControl w:val="0"/>
              <w:ind w:left="57" w:right="113"/>
              <w:rPr>
                <w:sz w:val="18"/>
                <w:szCs w:val="18"/>
              </w:rPr>
            </w:pPr>
          </w:p>
          <w:p w14:paraId="670D87D5" w14:textId="77777777" w:rsidR="0002496E" w:rsidRDefault="0002496E" w:rsidP="0002496E">
            <w:pPr>
              <w:widowControl w:val="0"/>
              <w:ind w:left="57" w:right="113"/>
              <w:rPr>
                <w:sz w:val="18"/>
                <w:szCs w:val="18"/>
              </w:rPr>
            </w:pPr>
          </w:p>
          <w:p w14:paraId="677DEA24" w14:textId="77777777" w:rsidR="0002496E" w:rsidRDefault="0002496E" w:rsidP="0002496E">
            <w:pPr>
              <w:widowControl w:val="0"/>
              <w:ind w:left="57" w:right="113"/>
              <w:rPr>
                <w:sz w:val="18"/>
                <w:szCs w:val="18"/>
              </w:rPr>
            </w:pPr>
          </w:p>
          <w:p w14:paraId="74DEBF71" w14:textId="77777777" w:rsidR="0002496E" w:rsidRDefault="0002496E" w:rsidP="0002496E">
            <w:pPr>
              <w:widowControl w:val="0"/>
              <w:ind w:left="57" w:right="113"/>
              <w:rPr>
                <w:sz w:val="18"/>
                <w:szCs w:val="18"/>
              </w:rPr>
            </w:pPr>
          </w:p>
          <w:p w14:paraId="1118319B" w14:textId="77777777" w:rsidR="0002496E" w:rsidRDefault="0002496E" w:rsidP="0002496E">
            <w:pPr>
              <w:widowControl w:val="0"/>
              <w:ind w:left="57" w:right="113"/>
              <w:rPr>
                <w:sz w:val="18"/>
                <w:szCs w:val="18"/>
              </w:rPr>
            </w:pPr>
          </w:p>
          <w:p w14:paraId="7E35D805" w14:textId="77777777" w:rsidR="0002496E" w:rsidRDefault="0002496E" w:rsidP="0002496E">
            <w:pPr>
              <w:widowControl w:val="0"/>
              <w:ind w:left="57" w:right="113"/>
              <w:rPr>
                <w:sz w:val="18"/>
                <w:szCs w:val="18"/>
              </w:rPr>
            </w:pPr>
          </w:p>
          <w:p w14:paraId="24F871EA" w14:textId="77777777" w:rsidR="0002496E" w:rsidRDefault="0002496E" w:rsidP="0002496E">
            <w:pPr>
              <w:widowControl w:val="0"/>
              <w:ind w:left="57" w:right="113"/>
              <w:rPr>
                <w:sz w:val="18"/>
                <w:szCs w:val="18"/>
              </w:rPr>
            </w:pPr>
          </w:p>
          <w:p w14:paraId="05E996BB" w14:textId="77777777" w:rsidR="0002496E" w:rsidRDefault="0002496E" w:rsidP="0002496E">
            <w:pPr>
              <w:widowControl w:val="0"/>
              <w:ind w:left="57" w:right="113"/>
              <w:rPr>
                <w:sz w:val="18"/>
                <w:szCs w:val="18"/>
              </w:rPr>
            </w:pPr>
          </w:p>
          <w:p w14:paraId="7A6E4178" w14:textId="77777777" w:rsidR="0002496E" w:rsidRDefault="0002496E" w:rsidP="0002496E">
            <w:pPr>
              <w:widowControl w:val="0"/>
              <w:ind w:left="57" w:right="113"/>
              <w:rPr>
                <w:sz w:val="18"/>
                <w:szCs w:val="18"/>
              </w:rPr>
            </w:pPr>
          </w:p>
          <w:p w14:paraId="61F4723D" w14:textId="77777777" w:rsidR="0002496E" w:rsidRDefault="0002496E" w:rsidP="0002496E">
            <w:pPr>
              <w:widowControl w:val="0"/>
              <w:ind w:left="57" w:right="113"/>
              <w:rPr>
                <w:sz w:val="18"/>
                <w:szCs w:val="18"/>
              </w:rPr>
            </w:pPr>
          </w:p>
          <w:p w14:paraId="12E74368" w14:textId="77777777" w:rsidR="0002496E" w:rsidRDefault="0002496E" w:rsidP="0002496E">
            <w:pPr>
              <w:widowControl w:val="0"/>
              <w:ind w:left="57" w:right="113"/>
              <w:rPr>
                <w:sz w:val="18"/>
                <w:szCs w:val="18"/>
              </w:rPr>
            </w:pPr>
          </w:p>
          <w:p w14:paraId="0B65E8C0" w14:textId="77777777" w:rsidR="0002496E" w:rsidRDefault="0002496E" w:rsidP="0002496E">
            <w:pPr>
              <w:widowControl w:val="0"/>
              <w:ind w:left="57" w:right="113"/>
              <w:rPr>
                <w:sz w:val="18"/>
                <w:szCs w:val="18"/>
              </w:rPr>
            </w:pPr>
          </w:p>
          <w:p w14:paraId="7A46A2DF" w14:textId="77777777" w:rsidR="0002496E" w:rsidRDefault="0002496E" w:rsidP="0002496E">
            <w:pPr>
              <w:widowControl w:val="0"/>
              <w:ind w:left="57" w:right="113"/>
              <w:rPr>
                <w:sz w:val="18"/>
                <w:szCs w:val="18"/>
              </w:rPr>
            </w:pPr>
          </w:p>
          <w:p w14:paraId="4151787F" w14:textId="77777777" w:rsidR="0002496E" w:rsidRDefault="0002496E" w:rsidP="0002496E">
            <w:pPr>
              <w:widowControl w:val="0"/>
              <w:ind w:left="57" w:right="113"/>
              <w:rPr>
                <w:sz w:val="18"/>
                <w:szCs w:val="18"/>
              </w:rPr>
            </w:pPr>
          </w:p>
          <w:p w14:paraId="2AB080F0" w14:textId="77777777" w:rsidR="0002496E" w:rsidRDefault="0002496E" w:rsidP="0002496E">
            <w:pPr>
              <w:widowControl w:val="0"/>
              <w:ind w:left="57" w:right="113"/>
              <w:rPr>
                <w:sz w:val="18"/>
                <w:szCs w:val="18"/>
              </w:rPr>
            </w:pPr>
          </w:p>
          <w:p w14:paraId="1FD31C3E" w14:textId="77777777" w:rsidR="0002496E" w:rsidRDefault="0002496E" w:rsidP="0002496E">
            <w:pPr>
              <w:widowControl w:val="0"/>
              <w:ind w:left="57" w:right="113"/>
              <w:rPr>
                <w:sz w:val="18"/>
                <w:szCs w:val="18"/>
              </w:rPr>
            </w:pPr>
          </w:p>
          <w:p w14:paraId="228BF078" w14:textId="77777777" w:rsidR="0002496E" w:rsidRDefault="0002496E" w:rsidP="0002496E">
            <w:pPr>
              <w:widowControl w:val="0"/>
              <w:ind w:left="57" w:right="113"/>
              <w:rPr>
                <w:sz w:val="18"/>
                <w:szCs w:val="18"/>
              </w:rPr>
            </w:pPr>
          </w:p>
          <w:p w14:paraId="5C13DB73" w14:textId="77777777" w:rsidR="0002496E" w:rsidRDefault="0002496E" w:rsidP="0002496E">
            <w:pPr>
              <w:widowControl w:val="0"/>
              <w:ind w:left="57" w:right="113"/>
              <w:rPr>
                <w:sz w:val="18"/>
                <w:szCs w:val="18"/>
              </w:rPr>
            </w:pPr>
          </w:p>
          <w:p w14:paraId="7AA8A36F" w14:textId="77777777" w:rsidR="0002496E" w:rsidRDefault="0002496E" w:rsidP="0002496E">
            <w:pPr>
              <w:widowControl w:val="0"/>
              <w:ind w:left="57" w:right="113"/>
              <w:rPr>
                <w:sz w:val="18"/>
                <w:szCs w:val="18"/>
              </w:rPr>
            </w:pPr>
          </w:p>
          <w:p w14:paraId="4A284C95" w14:textId="77777777" w:rsidR="0002496E" w:rsidRDefault="0002496E" w:rsidP="0002496E">
            <w:pPr>
              <w:widowControl w:val="0"/>
              <w:ind w:left="57" w:right="113"/>
              <w:rPr>
                <w:sz w:val="18"/>
                <w:szCs w:val="18"/>
              </w:rPr>
            </w:pPr>
          </w:p>
          <w:p w14:paraId="65A705ED" w14:textId="77777777" w:rsidR="0002496E" w:rsidRDefault="0002496E" w:rsidP="0002496E">
            <w:pPr>
              <w:widowControl w:val="0"/>
              <w:ind w:left="57" w:right="113"/>
              <w:rPr>
                <w:sz w:val="18"/>
                <w:szCs w:val="18"/>
              </w:rPr>
            </w:pPr>
          </w:p>
          <w:p w14:paraId="1183A49B" w14:textId="77777777" w:rsidR="0002496E" w:rsidRDefault="0002496E" w:rsidP="0002496E">
            <w:pPr>
              <w:widowControl w:val="0"/>
              <w:ind w:left="57" w:right="113"/>
              <w:rPr>
                <w:sz w:val="18"/>
                <w:szCs w:val="18"/>
              </w:rPr>
            </w:pPr>
          </w:p>
          <w:p w14:paraId="1219DB0C" w14:textId="77777777" w:rsidR="0002496E" w:rsidRDefault="0002496E" w:rsidP="0002496E">
            <w:pPr>
              <w:widowControl w:val="0"/>
              <w:ind w:left="57" w:right="113"/>
              <w:rPr>
                <w:sz w:val="18"/>
                <w:szCs w:val="18"/>
              </w:rPr>
            </w:pPr>
          </w:p>
          <w:p w14:paraId="20452E40" w14:textId="77777777" w:rsidR="0002496E" w:rsidRDefault="0002496E" w:rsidP="0002496E">
            <w:pPr>
              <w:widowControl w:val="0"/>
              <w:ind w:left="57" w:right="113"/>
              <w:rPr>
                <w:sz w:val="18"/>
                <w:szCs w:val="18"/>
              </w:rPr>
            </w:pPr>
          </w:p>
          <w:p w14:paraId="750ABECF" w14:textId="77777777" w:rsidR="0002496E" w:rsidRDefault="0002496E" w:rsidP="0002496E">
            <w:pPr>
              <w:widowControl w:val="0"/>
              <w:ind w:left="57" w:right="113"/>
              <w:rPr>
                <w:sz w:val="18"/>
                <w:szCs w:val="18"/>
              </w:rPr>
            </w:pPr>
          </w:p>
          <w:p w14:paraId="6336B0DB" w14:textId="77777777" w:rsidR="0002496E" w:rsidRDefault="0002496E" w:rsidP="0002496E">
            <w:pPr>
              <w:widowControl w:val="0"/>
              <w:ind w:left="57" w:right="113"/>
              <w:rPr>
                <w:sz w:val="18"/>
                <w:szCs w:val="18"/>
              </w:rPr>
            </w:pPr>
          </w:p>
          <w:p w14:paraId="274E8A56" w14:textId="77777777" w:rsidR="0002496E" w:rsidRDefault="0002496E" w:rsidP="0002496E">
            <w:pPr>
              <w:widowControl w:val="0"/>
              <w:ind w:left="57" w:right="113"/>
              <w:rPr>
                <w:sz w:val="18"/>
                <w:szCs w:val="18"/>
              </w:rPr>
            </w:pPr>
          </w:p>
          <w:p w14:paraId="02A3652D" w14:textId="77777777" w:rsidR="0002496E" w:rsidRDefault="0002496E" w:rsidP="0002496E">
            <w:pPr>
              <w:widowControl w:val="0"/>
              <w:ind w:left="57" w:right="113"/>
              <w:rPr>
                <w:sz w:val="18"/>
                <w:szCs w:val="18"/>
              </w:rPr>
            </w:pPr>
          </w:p>
          <w:p w14:paraId="2C765737" w14:textId="77777777" w:rsidR="0002496E" w:rsidRDefault="0002496E" w:rsidP="0002496E">
            <w:pPr>
              <w:widowControl w:val="0"/>
              <w:ind w:left="57" w:right="113"/>
              <w:rPr>
                <w:sz w:val="18"/>
                <w:szCs w:val="18"/>
              </w:rPr>
            </w:pPr>
          </w:p>
          <w:p w14:paraId="56A180F4" w14:textId="77777777" w:rsidR="0002496E" w:rsidRDefault="0002496E" w:rsidP="0002496E">
            <w:pPr>
              <w:widowControl w:val="0"/>
              <w:ind w:left="57" w:right="113"/>
              <w:rPr>
                <w:sz w:val="18"/>
                <w:szCs w:val="18"/>
              </w:rPr>
            </w:pPr>
          </w:p>
          <w:p w14:paraId="0981E90C" w14:textId="5AF20189" w:rsidR="0002496E" w:rsidRDefault="0002496E" w:rsidP="0002496E">
            <w:pPr>
              <w:widowControl w:val="0"/>
              <w:ind w:left="57" w:right="113"/>
              <w:rPr>
                <w:sz w:val="18"/>
                <w:szCs w:val="18"/>
              </w:rPr>
            </w:pPr>
          </w:p>
          <w:p w14:paraId="1131B9E4" w14:textId="09C8B929" w:rsidR="0002496E" w:rsidRDefault="0002496E" w:rsidP="0002496E">
            <w:pPr>
              <w:widowControl w:val="0"/>
              <w:ind w:left="57" w:right="113"/>
              <w:rPr>
                <w:sz w:val="18"/>
                <w:szCs w:val="18"/>
              </w:rPr>
            </w:pPr>
          </w:p>
          <w:p w14:paraId="7473FF22" w14:textId="3A06E41C" w:rsidR="0002496E" w:rsidRDefault="0002496E" w:rsidP="0002496E">
            <w:pPr>
              <w:widowControl w:val="0"/>
              <w:ind w:left="57" w:right="113"/>
              <w:rPr>
                <w:sz w:val="18"/>
                <w:szCs w:val="18"/>
              </w:rPr>
            </w:pPr>
          </w:p>
          <w:p w14:paraId="3569DAFE" w14:textId="69D67F31" w:rsidR="0002496E" w:rsidRDefault="0002496E" w:rsidP="0002496E">
            <w:pPr>
              <w:widowControl w:val="0"/>
              <w:ind w:left="57" w:right="113"/>
              <w:rPr>
                <w:sz w:val="18"/>
                <w:szCs w:val="18"/>
              </w:rPr>
            </w:pPr>
          </w:p>
          <w:p w14:paraId="64DA7156" w14:textId="4F62BBB9" w:rsidR="0002496E" w:rsidRDefault="0002496E" w:rsidP="0002496E">
            <w:pPr>
              <w:widowControl w:val="0"/>
              <w:ind w:left="57" w:right="113"/>
              <w:rPr>
                <w:sz w:val="18"/>
                <w:szCs w:val="18"/>
              </w:rPr>
            </w:pPr>
          </w:p>
          <w:p w14:paraId="19C8795B" w14:textId="5034885D" w:rsidR="0002496E" w:rsidRDefault="0002496E" w:rsidP="0002496E">
            <w:pPr>
              <w:widowControl w:val="0"/>
              <w:ind w:left="57" w:right="113"/>
              <w:rPr>
                <w:sz w:val="18"/>
                <w:szCs w:val="18"/>
              </w:rPr>
            </w:pPr>
          </w:p>
          <w:p w14:paraId="0A602A0F" w14:textId="3EEB8AD9" w:rsidR="0002496E" w:rsidRDefault="0002496E" w:rsidP="0002496E">
            <w:pPr>
              <w:widowControl w:val="0"/>
              <w:ind w:left="57" w:right="113"/>
              <w:rPr>
                <w:sz w:val="18"/>
                <w:szCs w:val="18"/>
              </w:rPr>
            </w:pPr>
          </w:p>
          <w:p w14:paraId="6D3A7D72" w14:textId="5D6888D9" w:rsidR="0002496E" w:rsidRDefault="0002496E" w:rsidP="0002496E">
            <w:pPr>
              <w:widowControl w:val="0"/>
              <w:ind w:left="57" w:right="113"/>
              <w:rPr>
                <w:sz w:val="18"/>
                <w:szCs w:val="18"/>
              </w:rPr>
            </w:pPr>
          </w:p>
          <w:p w14:paraId="0E56D7AF" w14:textId="5E923AC3" w:rsidR="0002496E" w:rsidRDefault="0002496E" w:rsidP="0002496E">
            <w:pPr>
              <w:widowControl w:val="0"/>
              <w:ind w:left="57" w:right="113"/>
              <w:rPr>
                <w:sz w:val="18"/>
                <w:szCs w:val="18"/>
              </w:rPr>
            </w:pPr>
          </w:p>
          <w:p w14:paraId="2AE540EE" w14:textId="5C330445" w:rsidR="0002496E" w:rsidRDefault="0002496E" w:rsidP="0002496E">
            <w:pPr>
              <w:widowControl w:val="0"/>
              <w:ind w:left="57" w:right="113"/>
              <w:rPr>
                <w:sz w:val="18"/>
                <w:szCs w:val="18"/>
              </w:rPr>
            </w:pPr>
          </w:p>
          <w:p w14:paraId="2C37BD2F" w14:textId="3CD38D5C" w:rsidR="0002496E" w:rsidRDefault="0002496E" w:rsidP="0002496E">
            <w:pPr>
              <w:widowControl w:val="0"/>
              <w:ind w:left="57" w:right="113"/>
              <w:rPr>
                <w:sz w:val="18"/>
                <w:szCs w:val="18"/>
              </w:rPr>
            </w:pPr>
          </w:p>
          <w:p w14:paraId="1AE2E46E" w14:textId="65825099" w:rsidR="0002496E" w:rsidRDefault="0002496E" w:rsidP="0002496E">
            <w:pPr>
              <w:widowControl w:val="0"/>
              <w:ind w:left="57" w:right="113"/>
              <w:rPr>
                <w:sz w:val="18"/>
                <w:szCs w:val="18"/>
              </w:rPr>
            </w:pPr>
          </w:p>
          <w:p w14:paraId="535AE9A1" w14:textId="79B522AC" w:rsidR="0002496E" w:rsidRDefault="0002496E" w:rsidP="0002496E">
            <w:pPr>
              <w:widowControl w:val="0"/>
              <w:ind w:left="57" w:right="113"/>
              <w:rPr>
                <w:sz w:val="18"/>
                <w:szCs w:val="18"/>
              </w:rPr>
            </w:pPr>
          </w:p>
          <w:p w14:paraId="35002615" w14:textId="412643C8" w:rsidR="0002496E" w:rsidRDefault="0002496E" w:rsidP="0002496E">
            <w:pPr>
              <w:widowControl w:val="0"/>
              <w:ind w:left="57" w:right="113"/>
              <w:rPr>
                <w:sz w:val="18"/>
                <w:szCs w:val="18"/>
              </w:rPr>
            </w:pPr>
          </w:p>
          <w:p w14:paraId="74032B24" w14:textId="5757F3BD" w:rsidR="0002496E" w:rsidRDefault="0002496E" w:rsidP="0002496E">
            <w:pPr>
              <w:widowControl w:val="0"/>
              <w:ind w:left="57" w:right="113"/>
              <w:rPr>
                <w:sz w:val="18"/>
                <w:szCs w:val="18"/>
              </w:rPr>
            </w:pPr>
          </w:p>
          <w:p w14:paraId="642E900C" w14:textId="3CA4ABD9" w:rsidR="0002496E" w:rsidRDefault="0002496E" w:rsidP="0002496E">
            <w:pPr>
              <w:widowControl w:val="0"/>
              <w:ind w:left="57" w:right="113"/>
              <w:rPr>
                <w:sz w:val="18"/>
                <w:szCs w:val="18"/>
              </w:rPr>
            </w:pPr>
          </w:p>
          <w:p w14:paraId="14617A01" w14:textId="3AB9DE82" w:rsidR="0002496E" w:rsidRDefault="0002496E" w:rsidP="0002496E">
            <w:pPr>
              <w:widowControl w:val="0"/>
              <w:ind w:left="57" w:right="113"/>
              <w:rPr>
                <w:sz w:val="18"/>
                <w:szCs w:val="18"/>
              </w:rPr>
            </w:pPr>
          </w:p>
          <w:p w14:paraId="0799F73F" w14:textId="05EA5E21" w:rsidR="0002496E" w:rsidRDefault="0002496E" w:rsidP="0002496E">
            <w:pPr>
              <w:widowControl w:val="0"/>
              <w:ind w:left="57" w:right="113"/>
              <w:rPr>
                <w:sz w:val="18"/>
                <w:szCs w:val="18"/>
              </w:rPr>
            </w:pPr>
          </w:p>
          <w:p w14:paraId="0B29BE6F" w14:textId="71AAC16C" w:rsidR="0002496E" w:rsidRDefault="0002496E" w:rsidP="0002496E">
            <w:pPr>
              <w:widowControl w:val="0"/>
              <w:ind w:left="57" w:right="113"/>
              <w:rPr>
                <w:sz w:val="18"/>
                <w:szCs w:val="18"/>
              </w:rPr>
            </w:pPr>
          </w:p>
          <w:p w14:paraId="3ECB3A61" w14:textId="18FD155D" w:rsidR="0002496E" w:rsidRDefault="0002496E" w:rsidP="0002496E">
            <w:pPr>
              <w:widowControl w:val="0"/>
              <w:ind w:left="57" w:right="113"/>
              <w:rPr>
                <w:sz w:val="18"/>
                <w:szCs w:val="18"/>
              </w:rPr>
            </w:pPr>
          </w:p>
          <w:p w14:paraId="40295665" w14:textId="2269DF33" w:rsidR="0002496E" w:rsidRDefault="0002496E" w:rsidP="0002496E">
            <w:pPr>
              <w:widowControl w:val="0"/>
              <w:ind w:left="57" w:right="113"/>
              <w:rPr>
                <w:sz w:val="18"/>
                <w:szCs w:val="18"/>
              </w:rPr>
            </w:pPr>
          </w:p>
          <w:p w14:paraId="52A45B74" w14:textId="042455FB" w:rsidR="0002496E" w:rsidRDefault="0002496E" w:rsidP="0002496E">
            <w:pPr>
              <w:widowControl w:val="0"/>
              <w:ind w:left="57" w:right="113"/>
              <w:rPr>
                <w:sz w:val="18"/>
                <w:szCs w:val="18"/>
              </w:rPr>
            </w:pPr>
          </w:p>
          <w:p w14:paraId="010327C6" w14:textId="15E946D5" w:rsidR="0002496E" w:rsidRDefault="0002496E" w:rsidP="0002496E">
            <w:pPr>
              <w:widowControl w:val="0"/>
              <w:ind w:left="57" w:right="113"/>
              <w:rPr>
                <w:sz w:val="18"/>
                <w:szCs w:val="18"/>
              </w:rPr>
            </w:pPr>
          </w:p>
          <w:p w14:paraId="0A1CE234" w14:textId="1537A29F" w:rsidR="0002496E" w:rsidRDefault="0002496E" w:rsidP="0002496E">
            <w:pPr>
              <w:widowControl w:val="0"/>
              <w:ind w:right="113"/>
              <w:rPr>
                <w:sz w:val="18"/>
                <w:szCs w:val="18"/>
              </w:rPr>
            </w:pPr>
          </w:p>
          <w:p w14:paraId="7620FBBA" w14:textId="30C4D49A" w:rsidR="0002496E" w:rsidRPr="00430543" w:rsidRDefault="0002496E" w:rsidP="0002496E">
            <w:pPr>
              <w:widowControl w:val="0"/>
              <w:ind w:left="57" w:right="113"/>
              <w:rPr>
                <w:sz w:val="18"/>
                <w:szCs w:val="18"/>
              </w:rPr>
            </w:pPr>
            <w:r w:rsidRPr="00430543">
              <w:rPr>
                <w:sz w:val="18"/>
                <w:szCs w:val="18"/>
              </w:rPr>
              <w:t>čl. 51</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07F2BD4A" w14:textId="77777777" w:rsidR="0002496E" w:rsidRPr="005F44C4" w:rsidRDefault="0002496E" w:rsidP="0002496E">
            <w:pPr>
              <w:widowControl w:val="0"/>
              <w:ind w:left="57" w:right="113"/>
              <w:rPr>
                <w:color w:val="000000"/>
                <w:sz w:val="18"/>
                <w:szCs w:val="18"/>
              </w:rPr>
            </w:pPr>
            <w:r w:rsidRPr="005F44C4">
              <w:rPr>
                <w:color w:val="000000"/>
                <w:sz w:val="18"/>
                <w:szCs w:val="18"/>
              </w:rPr>
              <w:lastRenderedPageBreak/>
              <w:t>1.   Pro účely tohoto článku se rozumí:</w:t>
            </w:r>
          </w:p>
          <w:p w14:paraId="065479F5" w14:textId="77777777" w:rsidR="0002496E" w:rsidRPr="005F44C4" w:rsidRDefault="0002496E" w:rsidP="0002496E">
            <w:pPr>
              <w:widowControl w:val="0"/>
              <w:ind w:left="57" w:right="113"/>
              <w:rPr>
                <w:color w:val="000000"/>
                <w:sz w:val="18"/>
                <w:szCs w:val="18"/>
              </w:rPr>
            </w:pPr>
          </w:p>
          <w:p w14:paraId="7702EE50" w14:textId="124601D5" w:rsidR="0002496E" w:rsidRPr="005F44C4" w:rsidRDefault="0002496E" w:rsidP="0002496E">
            <w:pPr>
              <w:pStyle w:val="Odstavecseseznamem"/>
              <w:widowControl w:val="0"/>
              <w:numPr>
                <w:ilvl w:val="0"/>
                <w:numId w:val="27"/>
              </w:numPr>
              <w:ind w:right="113"/>
              <w:rPr>
                <w:color w:val="000000"/>
                <w:sz w:val="18"/>
                <w:szCs w:val="18"/>
              </w:rPr>
            </w:pPr>
            <w:r w:rsidRPr="005F44C4">
              <w:rPr>
                <w:color w:val="000000"/>
                <w:sz w:val="18"/>
                <w:szCs w:val="18"/>
              </w:rPr>
              <w:t>„určeným místním subjektem“ členský subjekt nadnárodní skupiny podniků nebo velké vnitrostátní skupiny, který se nachází v členském státě a byl jmenován ostatními členskými subjekty nadnárodní skupiny podniků nebo velké vnitrostátní skupiny nacházejícími se ve stejném členském státě k tomu, aby jejich jménem podal informační přehled k dorovnávací dani nebo oznámení v souladu s tímto článkem;</w:t>
            </w:r>
          </w:p>
          <w:p w14:paraId="467D6939" w14:textId="77777777" w:rsidR="0002496E" w:rsidRPr="005F44C4" w:rsidRDefault="0002496E" w:rsidP="0002496E">
            <w:pPr>
              <w:widowControl w:val="0"/>
              <w:ind w:left="57" w:right="113"/>
              <w:rPr>
                <w:color w:val="000000"/>
                <w:sz w:val="18"/>
                <w:szCs w:val="18"/>
              </w:rPr>
            </w:pPr>
          </w:p>
          <w:p w14:paraId="1E0E0AA7" w14:textId="4606A760" w:rsidR="0002496E" w:rsidRPr="005F44C4" w:rsidRDefault="0002496E" w:rsidP="0002496E">
            <w:pPr>
              <w:pStyle w:val="Odstavecseseznamem"/>
              <w:widowControl w:val="0"/>
              <w:numPr>
                <w:ilvl w:val="0"/>
                <w:numId w:val="27"/>
              </w:numPr>
              <w:ind w:right="113"/>
              <w:rPr>
                <w:color w:val="000000"/>
                <w:sz w:val="18"/>
                <w:szCs w:val="18"/>
              </w:rPr>
            </w:pPr>
            <w:r w:rsidRPr="005F44C4">
              <w:rPr>
                <w:color w:val="000000"/>
                <w:sz w:val="18"/>
                <w:szCs w:val="18"/>
              </w:rPr>
              <w:t xml:space="preserve">„kvalifikovanou dohodou příslušných orgánů“ dvoustranná nebo mnohostranná dohoda </w:t>
            </w:r>
            <w:r w:rsidRPr="005F44C4">
              <w:rPr>
                <w:color w:val="000000"/>
                <w:sz w:val="18"/>
                <w:szCs w:val="18"/>
              </w:rPr>
              <w:lastRenderedPageBreak/>
              <w:t>nebo ujednání mezi dvěma nebo více příslušnými orgány, která stanoví automatickou výměnu ročních informačních přehledů k dorovnávací dani.</w:t>
            </w:r>
          </w:p>
          <w:p w14:paraId="1BBB59F9" w14:textId="77777777" w:rsidR="0002496E" w:rsidRPr="005F44C4" w:rsidRDefault="0002496E" w:rsidP="0002496E">
            <w:pPr>
              <w:widowControl w:val="0"/>
              <w:ind w:left="57" w:right="113"/>
              <w:rPr>
                <w:color w:val="000000"/>
                <w:sz w:val="18"/>
                <w:szCs w:val="18"/>
              </w:rPr>
            </w:pPr>
          </w:p>
          <w:p w14:paraId="1006D322" w14:textId="77777777" w:rsidR="0002496E" w:rsidRDefault="0002496E" w:rsidP="0002496E">
            <w:pPr>
              <w:widowControl w:val="0"/>
              <w:ind w:left="57" w:right="113"/>
              <w:rPr>
                <w:color w:val="000000"/>
                <w:sz w:val="18"/>
                <w:szCs w:val="18"/>
              </w:rPr>
            </w:pPr>
            <w:r w:rsidRPr="005F44C4">
              <w:rPr>
                <w:color w:val="000000"/>
                <w:sz w:val="18"/>
                <w:szCs w:val="18"/>
              </w:rPr>
              <w:t>2.   Členský subjekt, který se nachází v členském státě, podá informační přehled k dorovnávací dani svému správc</w:t>
            </w:r>
            <w:r>
              <w:rPr>
                <w:color w:val="000000"/>
                <w:sz w:val="18"/>
                <w:szCs w:val="18"/>
              </w:rPr>
              <w:t xml:space="preserve">i daně v souladu s odstavcem 5. </w:t>
            </w:r>
            <w:r w:rsidRPr="005F44C4">
              <w:rPr>
                <w:color w:val="000000"/>
                <w:sz w:val="18"/>
                <w:szCs w:val="18"/>
              </w:rPr>
              <w:t>Tento přehled může jménem členského subjektu podat určený místní subjekt.</w:t>
            </w:r>
          </w:p>
          <w:p w14:paraId="1B686D51" w14:textId="77777777" w:rsidR="0002496E" w:rsidRDefault="0002496E" w:rsidP="0002496E">
            <w:pPr>
              <w:widowControl w:val="0"/>
              <w:ind w:left="57" w:right="113"/>
              <w:rPr>
                <w:color w:val="000000"/>
                <w:sz w:val="18"/>
                <w:szCs w:val="18"/>
              </w:rPr>
            </w:pPr>
          </w:p>
          <w:p w14:paraId="07FCCF5B" w14:textId="09FFEA8B" w:rsidR="0002496E" w:rsidRDefault="0002496E" w:rsidP="0002496E">
            <w:pPr>
              <w:widowControl w:val="0"/>
              <w:ind w:left="57" w:right="113"/>
              <w:rPr>
                <w:color w:val="000000"/>
                <w:sz w:val="18"/>
                <w:szCs w:val="18"/>
              </w:rPr>
            </w:pPr>
          </w:p>
          <w:p w14:paraId="5A40D77C" w14:textId="77777777" w:rsidR="0002496E" w:rsidRDefault="0002496E" w:rsidP="0002496E">
            <w:pPr>
              <w:widowControl w:val="0"/>
              <w:ind w:left="57" w:right="113"/>
              <w:rPr>
                <w:color w:val="000000"/>
                <w:sz w:val="18"/>
                <w:szCs w:val="18"/>
              </w:rPr>
            </w:pPr>
          </w:p>
          <w:p w14:paraId="41F3E563" w14:textId="77777777" w:rsidR="0002496E" w:rsidRPr="005F44C4" w:rsidRDefault="0002496E" w:rsidP="0002496E">
            <w:pPr>
              <w:widowControl w:val="0"/>
              <w:ind w:left="57" w:right="113"/>
              <w:rPr>
                <w:color w:val="000000"/>
                <w:sz w:val="18"/>
                <w:szCs w:val="18"/>
              </w:rPr>
            </w:pPr>
            <w:r w:rsidRPr="005F44C4">
              <w:rPr>
                <w:color w:val="000000"/>
                <w:sz w:val="18"/>
                <w:szCs w:val="18"/>
              </w:rPr>
              <w:t>5.   Informační přehled k dorovnávací dani se podává ve standardní šabloně a obsahuje tyto informace týkající se nadnárodní skupiny podniků nebo velké vnitrostátní skupiny:</w:t>
            </w:r>
          </w:p>
          <w:p w14:paraId="44B3D6FD" w14:textId="77777777" w:rsidR="0002496E" w:rsidRPr="005F44C4" w:rsidRDefault="0002496E" w:rsidP="0002496E">
            <w:pPr>
              <w:widowControl w:val="0"/>
              <w:ind w:left="57" w:right="113"/>
              <w:rPr>
                <w:color w:val="000000"/>
                <w:sz w:val="18"/>
                <w:szCs w:val="18"/>
              </w:rPr>
            </w:pPr>
          </w:p>
          <w:p w14:paraId="770E850F" w14:textId="508B67CA" w:rsidR="0002496E" w:rsidRPr="005F44C4" w:rsidRDefault="0002496E" w:rsidP="0002496E">
            <w:pPr>
              <w:pStyle w:val="Odstavecseseznamem"/>
              <w:widowControl w:val="0"/>
              <w:numPr>
                <w:ilvl w:val="0"/>
                <w:numId w:val="28"/>
              </w:numPr>
              <w:ind w:right="113"/>
              <w:rPr>
                <w:color w:val="000000"/>
                <w:sz w:val="18"/>
                <w:szCs w:val="18"/>
              </w:rPr>
            </w:pPr>
            <w:r w:rsidRPr="005F44C4">
              <w:rPr>
                <w:color w:val="000000"/>
                <w:sz w:val="18"/>
                <w:szCs w:val="18"/>
              </w:rPr>
              <w:t>identifikaci členských subjektů, včetně jejich případných daňových identifikačních čísel, jurisdikce, v níž se nacházejí, a jejich statusu podle pravidel této směrnice;</w:t>
            </w:r>
          </w:p>
          <w:p w14:paraId="0313838B" w14:textId="77777777" w:rsidR="0002496E" w:rsidRPr="005F44C4" w:rsidRDefault="0002496E" w:rsidP="0002496E">
            <w:pPr>
              <w:widowControl w:val="0"/>
              <w:ind w:left="57" w:right="113"/>
              <w:rPr>
                <w:color w:val="000000"/>
                <w:sz w:val="18"/>
                <w:szCs w:val="18"/>
              </w:rPr>
            </w:pPr>
          </w:p>
          <w:p w14:paraId="7B0BCA61" w14:textId="216A7FBB" w:rsidR="0002496E" w:rsidRPr="005F44C4" w:rsidRDefault="0002496E" w:rsidP="0002496E">
            <w:pPr>
              <w:pStyle w:val="Odstavecseseznamem"/>
              <w:widowControl w:val="0"/>
              <w:numPr>
                <w:ilvl w:val="0"/>
                <w:numId w:val="28"/>
              </w:numPr>
              <w:ind w:right="113"/>
              <w:rPr>
                <w:color w:val="000000"/>
                <w:sz w:val="18"/>
                <w:szCs w:val="18"/>
              </w:rPr>
            </w:pPr>
            <w:r w:rsidRPr="005F44C4">
              <w:rPr>
                <w:color w:val="000000"/>
                <w:sz w:val="18"/>
                <w:szCs w:val="18"/>
              </w:rPr>
              <w:t>informace o obecné korporátní struktuře nadnárodní skupiny podniků nebo velké vnitrostátní skupiny, včetně kontrolních podílů v členských subjektech držených ostatními členskými subjekty;</w:t>
            </w:r>
          </w:p>
          <w:p w14:paraId="0E5FD6C4" w14:textId="77777777" w:rsidR="0002496E" w:rsidRPr="005F44C4" w:rsidRDefault="0002496E" w:rsidP="0002496E">
            <w:pPr>
              <w:widowControl w:val="0"/>
              <w:ind w:left="57" w:right="113"/>
              <w:rPr>
                <w:color w:val="000000"/>
                <w:sz w:val="18"/>
                <w:szCs w:val="18"/>
              </w:rPr>
            </w:pPr>
          </w:p>
          <w:p w14:paraId="48200EBC" w14:textId="5D7542AE" w:rsidR="0002496E" w:rsidRPr="005F44C4" w:rsidRDefault="0002496E" w:rsidP="0002496E">
            <w:pPr>
              <w:pStyle w:val="Odstavecseseznamem"/>
              <w:widowControl w:val="0"/>
              <w:numPr>
                <w:ilvl w:val="0"/>
                <w:numId w:val="28"/>
              </w:numPr>
              <w:ind w:right="113"/>
              <w:rPr>
                <w:color w:val="000000"/>
                <w:sz w:val="18"/>
                <w:szCs w:val="18"/>
              </w:rPr>
            </w:pPr>
            <w:r w:rsidRPr="005F44C4">
              <w:rPr>
                <w:color w:val="000000"/>
                <w:sz w:val="18"/>
                <w:szCs w:val="18"/>
              </w:rPr>
              <w:t>informace, které jsou nezbytné pro výpočet:</w:t>
            </w:r>
          </w:p>
          <w:p w14:paraId="10E21B51" w14:textId="77777777" w:rsidR="0002496E" w:rsidRPr="005F44C4" w:rsidRDefault="0002496E" w:rsidP="0002496E">
            <w:pPr>
              <w:widowControl w:val="0"/>
              <w:ind w:left="57" w:right="113"/>
              <w:rPr>
                <w:color w:val="000000"/>
                <w:sz w:val="18"/>
                <w:szCs w:val="18"/>
              </w:rPr>
            </w:pPr>
          </w:p>
          <w:p w14:paraId="0124AE0F" w14:textId="69A8A606" w:rsidR="0002496E" w:rsidRPr="005F44C4" w:rsidRDefault="0002496E" w:rsidP="0002496E">
            <w:pPr>
              <w:pStyle w:val="Odstavecseseznamem"/>
              <w:widowControl w:val="0"/>
              <w:numPr>
                <w:ilvl w:val="0"/>
                <w:numId w:val="29"/>
              </w:numPr>
              <w:ind w:left="1440" w:right="113"/>
              <w:rPr>
                <w:color w:val="000000"/>
                <w:sz w:val="18"/>
                <w:szCs w:val="18"/>
              </w:rPr>
            </w:pPr>
            <w:r w:rsidRPr="005F44C4">
              <w:rPr>
                <w:color w:val="000000"/>
                <w:sz w:val="18"/>
                <w:szCs w:val="18"/>
              </w:rPr>
              <w:t>efektivní daňové sazby pro každou jurisdikci a dorovnávací daně každého členského subjektu;</w:t>
            </w:r>
          </w:p>
          <w:p w14:paraId="77361B49" w14:textId="77777777" w:rsidR="0002496E" w:rsidRPr="005F44C4" w:rsidRDefault="0002496E" w:rsidP="0002496E">
            <w:pPr>
              <w:widowControl w:val="0"/>
              <w:ind w:left="720" w:right="113"/>
              <w:rPr>
                <w:color w:val="000000"/>
                <w:sz w:val="18"/>
                <w:szCs w:val="18"/>
              </w:rPr>
            </w:pPr>
          </w:p>
          <w:p w14:paraId="7B05D77B" w14:textId="03815944" w:rsidR="0002496E" w:rsidRPr="005F44C4" w:rsidRDefault="0002496E" w:rsidP="0002496E">
            <w:pPr>
              <w:pStyle w:val="Odstavecseseznamem"/>
              <w:widowControl w:val="0"/>
              <w:numPr>
                <w:ilvl w:val="0"/>
                <w:numId w:val="29"/>
              </w:numPr>
              <w:ind w:left="1440" w:right="113"/>
              <w:rPr>
                <w:color w:val="000000"/>
                <w:sz w:val="18"/>
                <w:szCs w:val="18"/>
              </w:rPr>
            </w:pPr>
            <w:r w:rsidRPr="005F44C4">
              <w:rPr>
                <w:color w:val="000000"/>
                <w:sz w:val="18"/>
                <w:szCs w:val="18"/>
              </w:rPr>
              <w:t>dorovnávací daně člena skupiny společných podniků;</w:t>
            </w:r>
          </w:p>
          <w:p w14:paraId="2A288910" w14:textId="77777777" w:rsidR="0002496E" w:rsidRPr="005F44C4" w:rsidRDefault="0002496E" w:rsidP="0002496E">
            <w:pPr>
              <w:widowControl w:val="0"/>
              <w:ind w:left="720" w:right="113"/>
              <w:rPr>
                <w:color w:val="000000"/>
                <w:sz w:val="18"/>
                <w:szCs w:val="18"/>
              </w:rPr>
            </w:pPr>
          </w:p>
          <w:p w14:paraId="7A82D2F3" w14:textId="3B3F28EB" w:rsidR="0002496E" w:rsidRPr="005F44C4" w:rsidRDefault="0002496E" w:rsidP="0002496E">
            <w:pPr>
              <w:pStyle w:val="Odstavecseseznamem"/>
              <w:widowControl w:val="0"/>
              <w:numPr>
                <w:ilvl w:val="0"/>
                <w:numId w:val="29"/>
              </w:numPr>
              <w:ind w:left="1440" w:right="113"/>
              <w:rPr>
                <w:color w:val="000000"/>
                <w:sz w:val="18"/>
                <w:szCs w:val="18"/>
              </w:rPr>
            </w:pPr>
            <w:r w:rsidRPr="005F44C4">
              <w:rPr>
                <w:color w:val="000000"/>
                <w:sz w:val="18"/>
                <w:szCs w:val="18"/>
              </w:rPr>
              <w:t>přidělení dorovnávací daně podle pravidla pro zahrnutí příjmů a částky dorovnávací daně podle pravidla pro nedostatečně zdaněný zisk jednotlivým jurisdikcím a</w:t>
            </w:r>
          </w:p>
          <w:p w14:paraId="07E3B4C8" w14:textId="77777777" w:rsidR="0002496E" w:rsidRPr="005F44C4" w:rsidRDefault="0002496E" w:rsidP="0002496E">
            <w:pPr>
              <w:widowControl w:val="0"/>
              <w:ind w:left="57" w:right="113"/>
              <w:rPr>
                <w:color w:val="000000"/>
                <w:sz w:val="18"/>
                <w:szCs w:val="18"/>
              </w:rPr>
            </w:pPr>
          </w:p>
          <w:p w14:paraId="1311F411" w14:textId="77777777" w:rsidR="0002496E" w:rsidRDefault="0002496E" w:rsidP="0002496E">
            <w:pPr>
              <w:pStyle w:val="Odstavecseseznamem"/>
              <w:widowControl w:val="0"/>
              <w:numPr>
                <w:ilvl w:val="0"/>
                <w:numId w:val="28"/>
              </w:numPr>
              <w:ind w:right="113"/>
              <w:rPr>
                <w:color w:val="000000"/>
                <w:sz w:val="18"/>
                <w:szCs w:val="18"/>
              </w:rPr>
            </w:pPr>
            <w:r w:rsidRPr="005F44C4">
              <w:rPr>
                <w:color w:val="000000"/>
                <w:sz w:val="18"/>
                <w:szCs w:val="18"/>
              </w:rPr>
              <w:t>dokumentaci dokládající rozhodnutí učiněná v souladu s touto směrnicí.</w:t>
            </w:r>
          </w:p>
          <w:p w14:paraId="305C0990" w14:textId="77777777" w:rsidR="0002496E" w:rsidRDefault="0002496E" w:rsidP="0002496E">
            <w:pPr>
              <w:widowControl w:val="0"/>
              <w:ind w:right="113"/>
              <w:rPr>
                <w:color w:val="000000"/>
                <w:sz w:val="18"/>
                <w:szCs w:val="18"/>
              </w:rPr>
            </w:pPr>
          </w:p>
          <w:p w14:paraId="31911A20" w14:textId="77777777" w:rsidR="0002496E" w:rsidRPr="005F44C4" w:rsidRDefault="0002496E" w:rsidP="0002496E">
            <w:pPr>
              <w:widowControl w:val="0"/>
              <w:ind w:left="57" w:right="113"/>
              <w:rPr>
                <w:color w:val="000000"/>
                <w:sz w:val="18"/>
                <w:szCs w:val="18"/>
              </w:rPr>
            </w:pPr>
            <w:r w:rsidRPr="005F44C4">
              <w:rPr>
                <w:color w:val="000000"/>
                <w:sz w:val="18"/>
                <w:szCs w:val="18"/>
              </w:rPr>
              <w:t>6.   Odchylně od odstavce 5, pokud se členský subjekt nachází v členském státě a nejvyšší mateřský subjekt v jurisdikci třetí země, která uplatňuje pravidla považovaná podle článku 52 za rovnocenná pravidlům této směrnice, podá členský subjekt nebo určený místní subjekt informační přehled k dorovnávací dani obsahující tyto informace:</w:t>
            </w:r>
          </w:p>
          <w:p w14:paraId="26A3F898" w14:textId="77777777" w:rsidR="0002496E" w:rsidRPr="005F44C4" w:rsidRDefault="0002496E" w:rsidP="0002496E">
            <w:pPr>
              <w:widowControl w:val="0"/>
              <w:ind w:right="113"/>
              <w:rPr>
                <w:color w:val="000000"/>
                <w:sz w:val="18"/>
                <w:szCs w:val="18"/>
              </w:rPr>
            </w:pPr>
          </w:p>
          <w:p w14:paraId="65FA9575" w14:textId="25B6BCB5" w:rsidR="0002496E" w:rsidRPr="005F44C4" w:rsidRDefault="0002496E" w:rsidP="0002496E">
            <w:pPr>
              <w:pStyle w:val="Odstavecseseznamem"/>
              <w:widowControl w:val="0"/>
              <w:numPr>
                <w:ilvl w:val="0"/>
                <w:numId w:val="30"/>
              </w:numPr>
              <w:ind w:right="113"/>
              <w:rPr>
                <w:color w:val="000000"/>
                <w:sz w:val="18"/>
                <w:szCs w:val="18"/>
              </w:rPr>
            </w:pPr>
            <w:r w:rsidRPr="005F44C4">
              <w:rPr>
                <w:color w:val="000000"/>
                <w:sz w:val="18"/>
                <w:szCs w:val="18"/>
              </w:rPr>
              <w:t>veškeré informace nezbytné pro uplatnění článku 8, včetně:</w:t>
            </w:r>
          </w:p>
          <w:p w14:paraId="59449BB2" w14:textId="77777777" w:rsidR="0002496E" w:rsidRPr="005F44C4" w:rsidRDefault="0002496E" w:rsidP="0002496E">
            <w:pPr>
              <w:widowControl w:val="0"/>
              <w:ind w:right="113"/>
              <w:rPr>
                <w:color w:val="000000"/>
                <w:sz w:val="18"/>
                <w:szCs w:val="18"/>
              </w:rPr>
            </w:pPr>
          </w:p>
          <w:p w14:paraId="2C8A5E38" w14:textId="5B2F0DF2" w:rsidR="0002496E" w:rsidRPr="005F44C4" w:rsidRDefault="0002496E" w:rsidP="0002496E">
            <w:pPr>
              <w:pStyle w:val="Odstavecseseznamem"/>
              <w:widowControl w:val="0"/>
              <w:numPr>
                <w:ilvl w:val="0"/>
                <w:numId w:val="31"/>
              </w:numPr>
              <w:ind w:left="1440" w:right="113"/>
              <w:rPr>
                <w:color w:val="000000"/>
                <w:sz w:val="18"/>
                <w:szCs w:val="18"/>
              </w:rPr>
            </w:pPr>
            <w:r w:rsidRPr="005F44C4">
              <w:rPr>
                <w:color w:val="000000"/>
                <w:sz w:val="18"/>
                <w:szCs w:val="18"/>
              </w:rPr>
              <w:t xml:space="preserve">identifikace všech členských subjektů, v nichž částečně vlastněný mateřský subjekt nacházející se v členském státě drží přímo či nepřímo </w:t>
            </w:r>
            <w:r w:rsidRPr="005F44C4">
              <w:rPr>
                <w:color w:val="000000"/>
                <w:sz w:val="18"/>
                <w:szCs w:val="18"/>
              </w:rPr>
              <w:lastRenderedPageBreak/>
              <w:t>kdykoli během účetního období vlastnický podíl, a struktury těchto vlastnických podílů;</w:t>
            </w:r>
          </w:p>
          <w:p w14:paraId="534D5C77" w14:textId="77777777" w:rsidR="0002496E" w:rsidRPr="005F44C4" w:rsidRDefault="0002496E" w:rsidP="0002496E">
            <w:pPr>
              <w:widowControl w:val="0"/>
              <w:ind w:left="360" w:right="113"/>
              <w:rPr>
                <w:color w:val="000000"/>
                <w:sz w:val="18"/>
                <w:szCs w:val="18"/>
              </w:rPr>
            </w:pPr>
          </w:p>
          <w:p w14:paraId="5FFDA3A2" w14:textId="5160BF3B" w:rsidR="0002496E" w:rsidRPr="005F44C4" w:rsidRDefault="0002496E" w:rsidP="0002496E">
            <w:pPr>
              <w:pStyle w:val="Odstavecseseznamem"/>
              <w:widowControl w:val="0"/>
              <w:numPr>
                <w:ilvl w:val="0"/>
                <w:numId w:val="31"/>
              </w:numPr>
              <w:ind w:left="1440" w:right="113"/>
              <w:rPr>
                <w:color w:val="000000"/>
                <w:sz w:val="18"/>
                <w:szCs w:val="18"/>
              </w:rPr>
            </w:pPr>
            <w:r w:rsidRPr="005F44C4">
              <w:rPr>
                <w:color w:val="000000"/>
                <w:sz w:val="18"/>
                <w:szCs w:val="18"/>
              </w:rPr>
              <w:t>veškerých informací nezbytných pro výpočet efektivní daňové sazby pro jurisdikce, v nichž částečně vlastněný mateřský subjekt nacházející se v členském státě drží vlastnické podíly v členských subjektech uvedených v bodě i), a splatné dorovnávací daně a</w:t>
            </w:r>
          </w:p>
          <w:p w14:paraId="207B5B11" w14:textId="77777777" w:rsidR="0002496E" w:rsidRPr="005F44C4" w:rsidRDefault="0002496E" w:rsidP="0002496E">
            <w:pPr>
              <w:widowControl w:val="0"/>
              <w:ind w:left="360" w:right="113"/>
              <w:rPr>
                <w:color w:val="000000"/>
                <w:sz w:val="18"/>
                <w:szCs w:val="18"/>
              </w:rPr>
            </w:pPr>
          </w:p>
          <w:p w14:paraId="7C65532E" w14:textId="57C50133" w:rsidR="0002496E" w:rsidRPr="005F44C4" w:rsidRDefault="0002496E" w:rsidP="0002496E">
            <w:pPr>
              <w:pStyle w:val="Odstavecseseznamem"/>
              <w:widowControl w:val="0"/>
              <w:numPr>
                <w:ilvl w:val="0"/>
                <w:numId w:val="31"/>
              </w:numPr>
              <w:ind w:left="1440" w:right="113"/>
              <w:rPr>
                <w:color w:val="000000"/>
                <w:sz w:val="18"/>
                <w:szCs w:val="18"/>
              </w:rPr>
            </w:pPr>
            <w:r w:rsidRPr="005F44C4">
              <w:rPr>
                <w:color w:val="000000"/>
                <w:sz w:val="18"/>
                <w:szCs w:val="18"/>
              </w:rPr>
              <w:t>veškerých informací, které jsou pro tento účel důležité v souladu s články 9, 10, nebo 11;</w:t>
            </w:r>
          </w:p>
          <w:p w14:paraId="5634F8CE" w14:textId="77777777" w:rsidR="0002496E" w:rsidRPr="005F44C4" w:rsidRDefault="0002496E" w:rsidP="0002496E">
            <w:pPr>
              <w:widowControl w:val="0"/>
              <w:ind w:right="113"/>
              <w:rPr>
                <w:color w:val="000000"/>
                <w:sz w:val="18"/>
                <w:szCs w:val="18"/>
              </w:rPr>
            </w:pPr>
          </w:p>
          <w:p w14:paraId="775F6376" w14:textId="14970B89" w:rsidR="0002496E" w:rsidRPr="005F44C4" w:rsidRDefault="0002496E" w:rsidP="0002496E">
            <w:pPr>
              <w:pStyle w:val="Odstavecseseznamem"/>
              <w:widowControl w:val="0"/>
              <w:numPr>
                <w:ilvl w:val="0"/>
                <w:numId w:val="30"/>
              </w:numPr>
              <w:ind w:right="113"/>
              <w:rPr>
                <w:color w:val="000000"/>
                <w:sz w:val="18"/>
                <w:szCs w:val="18"/>
              </w:rPr>
            </w:pPr>
            <w:r w:rsidRPr="005F44C4">
              <w:rPr>
                <w:color w:val="000000"/>
                <w:sz w:val="18"/>
                <w:szCs w:val="18"/>
              </w:rPr>
              <w:t>veškeré informace nezbytné pro uplatnění článku 13, včetně:</w:t>
            </w:r>
          </w:p>
          <w:p w14:paraId="2177A7A5" w14:textId="77777777" w:rsidR="0002496E" w:rsidRPr="005F44C4" w:rsidRDefault="0002496E" w:rsidP="0002496E">
            <w:pPr>
              <w:widowControl w:val="0"/>
              <w:ind w:left="360" w:right="113"/>
              <w:rPr>
                <w:color w:val="000000"/>
                <w:sz w:val="18"/>
                <w:szCs w:val="18"/>
              </w:rPr>
            </w:pPr>
          </w:p>
          <w:p w14:paraId="755A1E35" w14:textId="5F6ACBA8" w:rsidR="0002496E" w:rsidRPr="005F44C4" w:rsidRDefault="0002496E" w:rsidP="0002496E">
            <w:pPr>
              <w:pStyle w:val="Odstavecseseznamem"/>
              <w:widowControl w:val="0"/>
              <w:numPr>
                <w:ilvl w:val="0"/>
                <w:numId w:val="32"/>
              </w:numPr>
              <w:ind w:left="1440" w:right="113"/>
              <w:rPr>
                <w:color w:val="000000"/>
                <w:sz w:val="18"/>
                <w:szCs w:val="18"/>
              </w:rPr>
            </w:pPr>
            <w:r w:rsidRPr="005F44C4">
              <w:rPr>
                <w:color w:val="000000"/>
                <w:sz w:val="18"/>
                <w:szCs w:val="18"/>
              </w:rPr>
              <w:t>identifikace všech členských subjektů, které se nacházejí v jurisdikci nejvyššího mateřského subjektu, a struktury takových vlastnických podílů;</w:t>
            </w:r>
          </w:p>
          <w:p w14:paraId="1D45CC25" w14:textId="77777777" w:rsidR="0002496E" w:rsidRPr="005F44C4" w:rsidRDefault="0002496E" w:rsidP="0002496E">
            <w:pPr>
              <w:widowControl w:val="0"/>
              <w:ind w:left="360" w:right="113"/>
              <w:rPr>
                <w:color w:val="000000"/>
                <w:sz w:val="18"/>
                <w:szCs w:val="18"/>
              </w:rPr>
            </w:pPr>
          </w:p>
          <w:p w14:paraId="18498A45" w14:textId="118AF18A" w:rsidR="0002496E" w:rsidRPr="005F44C4" w:rsidRDefault="0002496E" w:rsidP="0002496E">
            <w:pPr>
              <w:pStyle w:val="Odstavecseseznamem"/>
              <w:widowControl w:val="0"/>
              <w:numPr>
                <w:ilvl w:val="0"/>
                <w:numId w:val="32"/>
              </w:numPr>
              <w:ind w:left="1440" w:right="113"/>
              <w:rPr>
                <w:color w:val="000000"/>
                <w:sz w:val="18"/>
                <w:szCs w:val="18"/>
              </w:rPr>
            </w:pPr>
            <w:r w:rsidRPr="005F44C4">
              <w:rPr>
                <w:color w:val="000000"/>
                <w:sz w:val="18"/>
                <w:szCs w:val="18"/>
              </w:rPr>
              <w:t>veškerých informací nezbytných pro výpočet efektivní daňové sazby v jurisdikci nejvyššího mateřského subjektu a jeho splatné dorovnávací daně a</w:t>
            </w:r>
          </w:p>
          <w:p w14:paraId="584A3F7F" w14:textId="77777777" w:rsidR="0002496E" w:rsidRPr="005F44C4" w:rsidRDefault="0002496E" w:rsidP="0002496E">
            <w:pPr>
              <w:widowControl w:val="0"/>
              <w:ind w:left="360" w:right="113"/>
              <w:rPr>
                <w:color w:val="000000"/>
                <w:sz w:val="18"/>
                <w:szCs w:val="18"/>
              </w:rPr>
            </w:pPr>
          </w:p>
          <w:p w14:paraId="7F68F59D" w14:textId="206F5306" w:rsidR="0002496E" w:rsidRPr="005F44C4" w:rsidRDefault="0002496E" w:rsidP="0002496E">
            <w:pPr>
              <w:pStyle w:val="Odstavecseseznamem"/>
              <w:widowControl w:val="0"/>
              <w:numPr>
                <w:ilvl w:val="0"/>
                <w:numId w:val="32"/>
              </w:numPr>
              <w:ind w:left="1440" w:right="113"/>
              <w:rPr>
                <w:color w:val="000000"/>
                <w:sz w:val="18"/>
                <w:szCs w:val="18"/>
              </w:rPr>
            </w:pPr>
            <w:r w:rsidRPr="005F44C4">
              <w:rPr>
                <w:color w:val="000000"/>
                <w:sz w:val="18"/>
                <w:szCs w:val="18"/>
              </w:rPr>
              <w:t>veškerých informací nezbytných pro přidělení takové dorovnávací daně na základě přidělovacího vzorce podle pravidla pro nedostatečně zdaněný zisk stanoveného v článku 14;</w:t>
            </w:r>
          </w:p>
          <w:p w14:paraId="78A37188" w14:textId="77777777" w:rsidR="0002496E" w:rsidRPr="005F44C4" w:rsidRDefault="0002496E" w:rsidP="0002496E">
            <w:pPr>
              <w:widowControl w:val="0"/>
              <w:ind w:right="113"/>
              <w:rPr>
                <w:color w:val="000000"/>
                <w:sz w:val="18"/>
                <w:szCs w:val="18"/>
              </w:rPr>
            </w:pPr>
          </w:p>
          <w:p w14:paraId="32C57F3A" w14:textId="25F3AB19" w:rsidR="0002496E" w:rsidRPr="005F44C4" w:rsidRDefault="0002496E" w:rsidP="0002496E">
            <w:pPr>
              <w:pStyle w:val="Odstavecseseznamem"/>
              <w:widowControl w:val="0"/>
              <w:numPr>
                <w:ilvl w:val="0"/>
                <w:numId w:val="30"/>
              </w:numPr>
              <w:ind w:right="113"/>
              <w:rPr>
                <w:color w:val="000000"/>
                <w:sz w:val="18"/>
                <w:szCs w:val="18"/>
              </w:rPr>
            </w:pPr>
            <w:r w:rsidRPr="005F44C4">
              <w:rPr>
                <w:color w:val="000000"/>
                <w:sz w:val="18"/>
                <w:szCs w:val="18"/>
              </w:rPr>
              <w:t>veškeré informace nezbytné pro uplatnění kvalifikované vnitrostátní dorovnávací daně kterýmkoli členským státem, který se v souladu s článkem 11 rozhodl takovou dorovnávací daň uplatňovat.</w:t>
            </w:r>
          </w:p>
          <w:p w14:paraId="5DAE9495" w14:textId="77777777" w:rsidR="0002496E" w:rsidRPr="005F44C4" w:rsidRDefault="0002496E" w:rsidP="0002496E">
            <w:pPr>
              <w:widowControl w:val="0"/>
              <w:ind w:right="113"/>
              <w:rPr>
                <w:color w:val="000000"/>
                <w:sz w:val="18"/>
                <w:szCs w:val="18"/>
              </w:rPr>
            </w:pPr>
          </w:p>
          <w:p w14:paraId="6D23341F" w14:textId="77777777" w:rsidR="0002496E" w:rsidRDefault="0002496E" w:rsidP="0002496E">
            <w:pPr>
              <w:widowControl w:val="0"/>
              <w:ind w:left="57" w:right="113"/>
              <w:rPr>
                <w:color w:val="000000"/>
                <w:sz w:val="18"/>
                <w:szCs w:val="18"/>
              </w:rPr>
            </w:pPr>
            <w:r w:rsidRPr="005F44C4">
              <w:rPr>
                <w:color w:val="000000"/>
                <w:sz w:val="18"/>
                <w:szCs w:val="18"/>
              </w:rPr>
              <w:t>7.   Informační přehled k dorovnávací dani uvedený v odstavcích 5 a 6 a veškerá související oznámení se podávají správci daně členského státu, ve kterém se členský subjekt nachází, nejpozději do patnácti měsíců od posledního dne vykazovaného účetního období.</w:t>
            </w:r>
          </w:p>
          <w:p w14:paraId="2A34CD5A" w14:textId="499DBBF6" w:rsidR="0002496E" w:rsidRDefault="0002496E" w:rsidP="0002496E">
            <w:pPr>
              <w:widowControl w:val="0"/>
              <w:ind w:right="113"/>
              <w:rPr>
                <w:color w:val="000000"/>
                <w:sz w:val="18"/>
                <w:szCs w:val="18"/>
              </w:rPr>
            </w:pPr>
          </w:p>
          <w:p w14:paraId="69BF1F4D" w14:textId="77777777" w:rsidR="0002496E" w:rsidRDefault="0002496E" w:rsidP="0002496E">
            <w:pPr>
              <w:widowControl w:val="0"/>
              <w:ind w:right="113"/>
              <w:rPr>
                <w:color w:val="000000"/>
                <w:sz w:val="18"/>
                <w:szCs w:val="18"/>
              </w:rPr>
            </w:pPr>
          </w:p>
          <w:p w14:paraId="2D45FFD4" w14:textId="77777777" w:rsidR="0002496E" w:rsidRPr="005F44C4" w:rsidRDefault="0002496E" w:rsidP="0002496E">
            <w:pPr>
              <w:widowControl w:val="0"/>
              <w:ind w:right="113"/>
              <w:rPr>
                <w:color w:val="000000"/>
                <w:sz w:val="18"/>
                <w:szCs w:val="18"/>
              </w:rPr>
            </w:pPr>
          </w:p>
          <w:p w14:paraId="71743ACF" w14:textId="77777777" w:rsidR="0002496E" w:rsidRPr="005F44C4" w:rsidRDefault="0002496E" w:rsidP="0002496E">
            <w:pPr>
              <w:widowControl w:val="0"/>
              <w:ind w:left="57" w:right="113"/>
              <w:rPr>
                <w:color w:val="000000"/>
                <w:sz w:val="18"/>
                <w:szCs w:val="18"/>
              </w:rPr>
            </w:pPr>
            <w:r w:rsidRPr="005F44C4">
              <w:rPr>
                <w:color w:val="000000"/>
                <w:sz w:val="18"/>
                <w:szCs w:val="18"/>
              </w:rPr>
              <w:t>Bez ohledu na čl. 44 odst. 7 se informační přehled k dorovnávací dani a oznámení podle článku 44 podávají správci daně členských států nejpozději osmnáct měsíců od posledního dne vykazovaného účetního období, které je přechodným obdobím uvedeným v článku 47.</w:t>
            </w:r>
          </w:p>
          <w:p w14:paraId="6A660867" w14:textId="77777777" w:rsidR="0002496E" w:rsidRPr="005F44C4" w:rsidRDefault="0002496E" w:rsidP="0002496E">
            <w:pPr>
              <w:widowControl w:val="0"/>
              <w:ind w:right="113"/>
              <w:rPr>
                <w:color w:val="000000"/>
                <w:sz w:val="18"/>
                <w:szCs w:val="18"/>
              </w:rPr>
            </w:pPr>
          </w:p>
        </w:tc>
      </w:tr>
      <w:tr w:rsidR="0002496E" w:rsidRPr="007936DA" w14:paraId="391FE3B2"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7F3CEB5E"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lastRenderedPageBreak/>
              <w:t>§ 130</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0CCE5CD6" w14:textId="544CD184" w:rsidR="00AE2314" w:rsidRPr="00AE2314" w:rsidRDefault="00AE2314" w:rsidP="00AE2314">
            <w:pPr>
              <w:pStyle w:val="Textparagrafu"/>
              <w:rPr>
                <w:b/>
                <w:sz w:val="18"/>
                <w:szCs w:val="18"/>
                <w:u w:val="single"/>
              </w:rPr>
            </w:pPr>
            <w:r w:rsidRPr="00AE2314">
              <w:rPr>
                <w:b/>
                <w:sz w:val="18"/>
                <w:szCs w:val="18"/>
                <w:u w:val="single"/>
              </w:rPr>
              <w:t xml:space="preserve">(1) Povinnost poplatníka přiřazované dorovnávací daně podat informační přehled k přiřazované dorovnávací dani se považuje za splněnou, pokud </w:t>
            </w:r>
          </w:p>
          <w:p w14:paraId="63CC2946" w14:textId="77777777" w:rsidR="00AE2314" w:rsidRPr="00AE2314" w:rsidRDefault="00AE2314" w:rsidP="00AE2314">
            <w:pPr>
              <w:pStyle w:val="PZTextpsmene"/>
              <w:rPr>
                <w:b/>
                <w:sz w:val="18"/>
                <w:szCs w:val="18"/>
                <w:u w:val="single"/>
              </w:rPr>
            </w:pPr>
            <w:r w:rsidRPr="00AE2314">
              <w:rPr>
                <w:b/>
                <w:sz w:val="18"/>
                <w:szCs w:val="18"/>
                <w:u w:val="single"/>
              </w:rPr>
              <w:t>a)</w:t>
            </w:r>
            <w:r w:rsidRPr="00AE2314">
              <w:rPr>
                <w:b/>
                <w:sz w:val="18"/>
                <w:szCs w:val="18"/>
                <w:u w:val="single"/>
              </w:rPr>
              <w:tab/>
              <w:t>tento informační přehled za dané zdaňovací období u správce daně státu, s jehož příslušným orgánem uzavřel příslušný orgán České republiky pro dané zdaňovací období dokument k provedení mezinárodní smlouvy umožňující automatickou výměnu informačních přehledů k dorovnávací dani, podala ve lhůtě pro podání informačního přehledu k přiřazované dorovnávací dani stanovené tímto zákonem</w:t>
            </w:r>
          </w:p>
          <w:p w14:paraId="2A5850BA" w14:textId="77777777" w:rsidR="00AE2314" w:rsidRPr="00AE2314" w:rsidRDefault="00AE2314" w:rsidP="00AE2314">
            <w:pPr>
              <w:pStyle w:val="PZTextbodu"/>
              <w:rPr>
                <w:b/>
                <w:sz w:val="18"/>
                <w:szCs w:val="18"/>
                <w:u w:val="single"/>
              </w:rPr>
            </w:pPr>
            <w:r w:rsidRPr="00AE2314">
              <w:rPr>
                <w:b/>
                <w:sz w:val="18"/>
                <w:szCs w:val="18"/>
                <w:u w:val="single"/>
              </w:rPr>
              <w:t>1.</w:t>
            </w:r>
            <w:r w:rsidRPr="00AE2314">
              <w:rPr>
                <w:b/>
                <w:sz w:val="18"/>
                <w:szCs w:val="18"/>
                <w:u w:val="single"/>
              </w:rPr>
              <w:tab/>
              <w:t>nejvyšší mateřská entita z tohoto státu, nebo</w:t>
            </w:r>
          </w:p>
          <w:p w14:paraId="191DB16F" w14:textId="77777777" w:rsidR="00AE2314" w:rsidRPr="00AE2314" w:rsidRDefault="00AE2314" w:rsidP="00AE2314">
            <w:pPr>
              <w:pStyle w:val="PZTextbodu"/>
              <w:rPr>
                <w:b/>
                <w:sz w:val="18"/>
                <w:szCs w:val="18"/>
                <w:u w:val="single"/>
              </w:rPr>
            </w:pPr>
            <w:r w:rsidRPr="00AE2314">
              <w:rPr>
                <w:b/>
                <w:sz w:val="18"/>
                <w:szCs w:val="18"/>
                <w:u w:val="single"/>
              </w:rPr>
              <w:t>2.</w:t>
            </w:r>
            <w:r w:rsidRPr="00AE2314">
              <w:rPr>
                <w:b/>
                <w:sz w:val="18"/>
                <w:szCs w:val="18"/>
                <w:u w:val="single"/>
              </w:rPr>
              <w:tab/>
              <w:t>určená podávající entita z tohoto státu,</w:t>
            </w:r>
          </w:p>
          <w:p w14:paraId="232CBC34" w14:textId="77777777" w:rsidR="00AE2314" w:rsidRPr="00AE2314" w:rsidRDefault="00AE2314" w:rsidP="00AE2314">
            <w:pPr>
              <w:pStyle w:val="PZTextpsmene"/>
              <w:rPr>
                <w:b/>
                <w:sz w:val="18"/>
                <w:szCs w:val="18"/>
                <w:u w:val="single"/>
              </w:rPr>
            </w:pPr>
            <w:r w:rsidRPr="00AE2314">
              <w:rPr>
                <w:b/>
                <w:sz w:val="18"/>
                <w:szCs w:val="18"/>
                <w:u w:val="single"/>
              </w:rPr>
              <w:t>b)</w:t>
            </w:r>
            <w:r w:rsidRPr="00AE2314">
              <w:rPr>
                <w:b/>
                <w:sz w:val="18"/>
                <w:szCs w:val="18"/>
                <w:u w:val="single"/>
              </w:rPr>
              <w:tab/>
              <w:t>tento informační přehled za dané zdaňovací období splňuje požadavky stanovené tímto zákonem pro obsahové náležitosti informačního přehledu k přiřazované dorovnávací dani a</w:t>
            </w:r>
          </w:p>
          <w:p w14:paraId="063CD84F" w14:textId="77777777" w:rsidR="00AE2314" w:rsidRPr="00AE2314" w:rsidRDefault="00AE2314" w:rsidP="00AE2314">
            <w:pPr>
              <w:pStyle w:val="PZTextpsmene"/>
              <w:rPr>
                <w:b/>
                <w:sz w:val="18"/>
                <w:szCs w:val="18"/>
                <w:u w:val="single"/>
              </w:rPr>
            </w:pPr>
            <w:r w:rsidRPr="00AE2314">
              <w:rPr>
                <w:b/>
                <w:sz w:val="18"/>
                <w:szCs w:val="18"/>
                <w:u w:val="single"/>
              </w:rPr>
              <w:t>c)</w:t>
            </w:r>
            <w:r w:rsidRPr="00AE2314">
              <w:rPr>
                <w:b/>
                <w:sz w:val="18"/>
                <w:szCs w:val="18"/>
                <w:u w:val="single"/>
              </w:rPr>
              <w:tab/>
              <w:t xml:space="preserve">poplatník ve lhůtě pro podání informačního přehledu k přiřazované dorovnávací dani oznámí tuto skutečnost správci daně společně s identifikačními a kontaktními </w:t>
            </w:r>
            <w:r w:rsidRPr="00AE2314">
              <w:rPr>
                <w:b/>
                <w:sz w:val="18"/>
                <w:szCs w:val="18"/>
                <w:u w:val="single"/>
              </w:rPr>
              <w:lastRenderedPageBreak/>
              <w:t>údaji entity, která informační přehled k přiřazované dorovnávací dani podala.</w:t>
            </w:r>
          </w:p>
          <w:p w14:paraId="6742F1C3" w14:textId="77777777" w:rsidR="00AE2314" w:rsidRPr="00AE2314" w:rsidRDefault="00AE2314" w:rsidP="00AE2314">
            <w:pPr>
              <w:pStyle w:val="Textparagrafu"/>
              <w:rPr>
                <w:b/>
                <w:bCs/>
                <w:sz w:val="18"/>
                <w:szCs w:val="18"/>
                <w:u w:val="single"/>
              </w:rPr>
            </w:pPr>
            <w:r w:rsidRPr="00AE2314">
              <w:rPr>
                <w:b/>
                <w:sz w:val="18"/>
                <w:szCs w:val="18"/>
                <w:u w:val="single"/>
              </w:rPr>
              <w:t xml:space="preserve">(2) </w:t>
            </w:r>
            <w:r w:rsidRPr="00AE2314">
              <w:rPr>
                <w:b/>
                <w:bCs/>
                <w:sz w:val="18"/>
                <w:szCs w:val="18"/>
                <w:u w:val="single"/>
              </w:rPr>
              <w:t>Odstavec 1 se na dodatečný informační přehled k přiřazované dorovnávací dani použije obdobně.</w:t>
            </w:r>
          </w:p>
          <w:p w14:paraId="5F1E6803" w14:textId="04B93A6F" w:rsidR="0002496E" w:rsidRPr="00AE2314" w:rsidRDefault="0002496E" w:rsidP="0002496E">
            <w:pPr>
              <w:widowControl w:val="0"/>
              <w:suppressAutoHyphens/>
              <w:ind w:left="57" w:right="113"/>
              <w:jc w:val="both"/>
              <w:rPr>
                <w:sz w:val="18"/>
                <w:szCs w:val="18"/>
                <w:u w:val="single"/>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C892677" w14:textId="32162E29" w:rsidR="0002496E" w:rsidRPr="00430543" w:rsidRDefault="0002496E" w:rsidP="0002496E">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249561DF" w14:textId="52F1098C" w:rsidR="0002496E" w:rsidRPr="00430543" w:rsidRDefault="0002496E" w:rsidP="0002496E">
            <w:pPr>
              <w:widowControl w:val="0"/>
              <w:ind w:left="57" w:right="113"/>
              <w:rPr>
                <w:sz w:val="18"/>
                <w:szCs w:val="18"/>
              </w:rPr>
            </w:pPr>
            <w:r w:rsidRPr="00430543">
              <w:rPr>
                <w:sz w:val="18"/>
                <w:szCs w:val="18"/>
              </w:rPr>
              <w:t>čl. 44 odst. 3 a 4</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58EABDCD" w14:textId="694BF91E" w:rsidR="0002496E" w:rsidRPr="00BD57BE" w:rsidRDefault="0002496E" w:rsidP="0002496E">
            <w:pPr>
              <w:widowControl w:val="0"/>
              <w:ind w:left="57" w:right="113"/>
              <w:rPr>
                <w:color w:val="000000"/>
                <w:sz w:val="18"/>
                <w:szCs w:val="18"/>
              </w:rPr>
            </w:pPr>
            <w:r w:rsidRPr="00BD57BE">
              <w:rPr>
                <w:color w:val="000000"/>
                <w:sz w:val="18"/>
                <w:szCs w:val="18"/>
              </w:rPr>
              <w:t>3.   Odchylně od odstavce 2 nemá členský subjekt povinnost podat svému správci daně informační přehled k dorovnávací dani, pokud tento přehled již byl v souladu s požadavky stanovenými v odstavci 5 podán:</w:t>
            </w:r>
          </w:p>
          <w:p w14:paraId="40805670" w14:textId="77777777" w:rsidR="0002496E" w:rsidRPr="005F44C4" w:rsidRDefault="0002496E" w:rsidP="0002496E">
            <w:pPr>
              <w:pStyle w:val="Default"/>
              <w:tabs>
                <w:tab w:val="left" w:pos="1530"/>
              </w:tabs>
              <w:rPr>
                <w:rFonts w:ascii="Times New Roman" w:hAnsi="Times New Roman" w:cs="Times New Roman"/>
                <w:sz w:val="18"/>
                <w:szCs w:val="18"/>
              </w:rPr>
            </w:pPr>
          </w:p>
          <w:p w14:paraId="13DE4D91" w14:textId="4B3575AD" w:rsidR="0002496E" w:rsidRPr="005F44C4" w:rsidRDefault="0002496E" w:rsidP="0002496E">
            <w:pPr>
              <w:pStyle w:val="Default"/>
              <w:numPr>
                <w:ilvl w:val="0"/>
                <w:numId w:val="33"/>
              </w:numPr>
              <w:tabs>
                <w:tab w:val="left" w:pos="1530"/>
              </w:tabs>
              <w:rPr>
                <w:rFonts w:ascii="Times New Roman" w:hAnsi="Times New Roman" w:cs="Times New Roman"/>
                <w:sz w:val="18"/>
                <w:szCs w:val="18"/>
              </w:rPr>
            </w:pPr>
            <w:r w:rsidRPr="005F44C4">
              <w:rPr>
                <w:rFonts w:ascii="Times New Roman" w:hAnsi="Times New Roman" w:cs="Times New Roman"/>
                <w:sz w:val="18"/>
                <w:szCs w:val="18"/>
              </w:rPr>
              <w:t>nejvyšším mateřským podnikem nacházejícím se v jurisdikci, která pro vykazované účetní období uzavřela kvalifikovanou dohodu příslušných orgánů s členským státem, v němž se členský subjekt nachází, nebo</w:t>
            </w:r>
          </w:p>
          <w:p w14:paraId="52527696" w14:textId="77777777" w:rsidR="0002496E" w:rsidRPr="005F44C4" w:rsidRDefault="0002496E" w:rsidP="0002496E">
            <w:pPr>
              <w:pStyle w:val="Default"/>
              <w:tabs>
                <w:tab w:val="left" w:pos="1530"/>
              </w:tabs>
              <w:rPr>
                <w:rFonts w:ascii="Times New Roman" w:hAnsi="Times New Roman" w:cs="Times New Roman"/>
                <w:sz w:val="18"/>
                <w:szCs w:val="18"/>
              </w:rPr>
            </w:pPr>
          </w:p>
          <w:p w14:paraId="52ED4122" w14:textId="139ACA62" w:rsidR="0002496E" w:rsidRPr="005F44C4" w:rsidRDefault="0002496E" w:rsidP="0002496E">
            <w:pPr>
              <w:pStyle w:val="Default"/>
              <w:numPr>
                <w:ilvl w:val="0"/>
                <w:numId w:val="33"/>
              </w:numPr>
              <w:tabs>
                <w:tab w:val="left" w:pos="1530"/>
              </w:tabs>
              <w:rPr>
                <w:rFonts w:ascii="Times New Roman" w:hAnsi="Times New Roman" w:cs="Times New Roman"/>
                <w:sz w:val="18"/>
                <w:szCs w:val="18"/>
              </w:rPr>
            </w:pPr>
            <w:r w:rsidRPr="005F44C4">
              <w:rPr>
                <w:rFonts w:ascii="Times New Roman" w:hAnsi="Times New Roman" w:cs="Times New Roman"/>
                <w:sz w:val="18"/>
                <w:szCs w:val="18"/>
              </w:rPr>
              <w:t>určeným podávajícím subjektem nacházejícím se v jurisdikci, která pro vykazované účetní období uzavřela kvalifikovanou dohodu příslušných orgánů s členským státem, v němž se členský subjekt nachází.</w:t>
            </w:r>
          </w:p>
          <w:p w14:paraId="72E8848C" w14:textId="77777777" w:rsidR="0002496E" w:rsidRPr="005F44C4" w:rsidRDefault="0002496E" w:rsidP="0002496E">
            <w:pPr>
              <w:pStyle w:val="Default"/>
              <w:tabs>
                <w:tab w:val="left" w:pos="1530"/>
              </w:tabs>
              <w:rPr>
                <w:rFonts w:ascii="Times New Roman" w:hAnsi="Times New Roman" w:cs="Times New Roman"/>
                <w:sz w:val="18"/>
                <w:szCs w:val="18"/>
              </w:rPr>
            </w:pPr>
          </w:p>
          <w:p w14:paraId="11D87C29" w14:textId="5D31EED6" w:rsidR="0002496E" w:rsidRPr="007936DA" w:rsidRDefault="0002496E" w:rsidP="0002496E">
            <w:pPr>
              <w:widowControl w:val="0"/>
              <w:ind w:left="57" w:right="113"/>
              <w:rPr>
                <w:sz w:val="18"/>
                <w:szCs w:val="18"/>
              </w:rPr>
            </w:pPr>
            <w:r w:rsidRPr="00BD57BE">
              <w:rPr>
                <w:color w:val="000000"/>
                <w:sz w:val="18"/>
                <w:szCs w:val="18"/>
              </w:rPr>
              <w:t>4.   Použije-li se odstavec 3, oznámí členský subjekt nacházející se v členském státě nebo určený místní subjekt jeho jménem správci daně totožnost subjektu, který podává informační přehled k dorovnávací dani, jakož i jurisdikci, v níž se subjekt nachází.</w:t>
            </w:r>
          </w:p>
        </w:tc>
      </w:tr>
      <w:tr w:rsidR="0002496E" w:rsidRPr="007936DA" w14:paraId="3129C8A4"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18522175" w14:textId="5B18B5B6"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 138</w:t>
            </w:r>
            <w:r w:rsidR="00CB6E4D">
              <w:rPr>
                <w:sz w:val="18"/>
                <w:szCs w:val="18"/>
                <w:lang w:eastAsia="ar-SA"/>
              </w:rPr>
              <w:t xml:space="preserve"> odst. 5</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20B128E6" w14:textId="77777777" w:rsidR="00D912E0" w:rsidRPr="00D912E0" w:rsidRDefault="00D912E0" w:rsidP="00D912E0">
            <w:pPr>
              <w:pStyle w:val="Textparagrafu"/>
              <w:rPr>
                <w:sz w:val="18"/>
                <w:szCs w:val="18"/>
              </w:rPr>
            </w:pPr>
            <w:r w:rsidRPr="00D912E0">
              <w:rPr>
                <w:sz w:val="18"/>
                <w:szCs w:val="18"/>
              </w:rPr>
              <w:t>(1) Českou dorovnávací daň nelze stanovit po uplynutí lhůty pro stanovení daně, která počne běžet dnem splatnosti této daně a skončí uplynutím 4 zdaňovacích období bezprostředně následujících po zdaňovacím období, ve kterém se tato daň stala splatnou.</w:t>
            </w:r>
          </w:p>
          <w:p w14:paraId="477AD100" w14:textId="77777777" w:rsidR="00D912E0" w:rsidRPr="00D912E0" w:rsidRDefault="00D912E0" w:rsidP="00D912E0">
            <w:pPr>
              <w:pStyle w:val="Textparagrafu"/>
              <w:rPr>
                <w:sz w:val="18"/>
                <w:szCs w:val="18"/>
              </w:rPr>
            </w:pPr>
            <w:r w:rsidRPr="00D912E0">
              <w:rPr>
                <w:sz w:val="18"/>
                <w:szCs w:val="18"/>
              </w:rPr>
              <w:t>(2) Lhůta pro stanovení daně neběží po dobu řízení, které je v souvislosti se stanovením daně vedeno před soudem.</w:t>
            </w:r>
          </w:p>
          <w:p w14:paraId="4DB0D7D9" w14:textId="77777777" w:rsidR="00D912E0" w:rsidRPr="00D912E0" w:rsidRDefault="00D912E0" w:rsidP="00D912E0">
            <w:pPr>
              <w:pStyle w:val="Textparagrafu"/>
              <w:rPr>
                <w:sz w:val="18"/>
                <w:szCs w:val="18"/>
              </w:rPr>
            </w:pPr>
            <w:r w:rsidRPr="00D912E0">
              <w:rPr>
                <w:sz w:val="18"/>
                <w:szCs w:val="18"/>
              </w:rPr>
              <w:t>(3) Dorovnávací daň nelze vybrat a vymáhat po uplynutí lhůty pro placení daně, která končí spolu s lhůtou pro stanovení této daně.</w:t>
            </w:r>
          </w:p>
          <w:p w14:paraId="5CC6B3D4" w14:textId="0684EA1F" w:rsidR="00D912E0" w:rsidRPr="00D912E0" w:rsidRDefault="00D912E0" w:rsidP="00D912E0">
            <w:pPr>
              <w:pStyle w:val="Textparagrafu"/>
              <w:rPr>
                <w:sz w:val="18"/>
                <w:szCs w:val="18"/>
              </w:rPr>
            </w:pPr>
            <w:r w:rsidRPr="00D912E0">
              <w:rPr>
                <w:sz w:val="18"/>
                <w:szCs w:val="18"/>
              </w:rPr>
              <w:t>(4) Ustanovení daňového řádu o prodloužení, přerušení a stavení lhůty pro stanovení daně a lhůty pro placení daně se nepoužijí.</w:t>
            </w:r>
          </w:p>
          <w:p w14:paraId="706AB20C" w14:textId="7BED619D" w:rsidR="00CB6E4D" w:rsidRPr="00D912E0" w:rsidRDefault="00CB6E4D" w:rsidP="00CB6E4D">
            <w:pPr>
              <w:pStyle w:val="Textparagrafu"/>
              <w:rPr>
                <w:b/>
                <w:sz w:val="18"/>
                <w:szCs w:val="18"/>
                <w:u w:val="single"/>
              </w:rPr>
            </w:pPr>
            <w:r w:rsidRPr="00D912E0">
              <w:rPr>
                <w:b/>
                <w:bCs/>
                <w:sz w:val="18"/>
                <w:szCs w:val="18"/>
                <w:u w:val="single"/>
              </w:rPr>
              <w:t xml:space="preserve">(5) </w:t>
            </w:r>
            <w:r w:rsidRPr="00D912E0">
              <w:rPr>
                <w:b/>
                <w:sz w:val="18"/>
                <w:szCs w:val="18"/>
                <w:u w:val="single"/>
              </w:rPr>
              <w:t>Odstavce 2 až 4 se nepoužijí na přiřazovanou dorovnávací daň.</w:t>
            </w:r>
          </w:p>
          <w:p w14:paraId="21DA3BD4" w14:textId="4C944D6A" w:rsidR="0002496E" w:rsidRPr="00D912E0" w:rsidRDefault="0002496E" w:rsidP="0002496E">
            <w:pPr>
              <w:widowControl w:val="0"/>
              <w:suppressAutoHyphens/>
              <w:ind w:left="57" w:right="113"/>
              <w:jc w:val="both"/>
              <w:rPr>
                <w:sz w:val="18"/>
                <w:szCs w:val="18"/>
                <w:u w:val="single"/>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C3601F1" w14:textId="25170922" w:rsidR="0002496E" w:rsidRPr="00430543" w:rsidRDefault="0002496E" w:rsidP="0002496E">
            <w:pPr>
              <w:widowControl w:val="0"/>
              <w:ind w:left="57" w:right="113"/>
              <w:rPr>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4EF550CB" w14:textId="58FF3655" w:rsidR="0002496E" w:rsidRPr="00430543" w:rsidRDefault="0002496E" w:rsidP="0002496E">
            <w:pPr>
              <w:widowControl w:val="0"/>
              <w:ind w:left="57" w:right="113"/>
              <w:rPr>
                <w:sz w:val="18"/>
                <w:szCs w:val="18"/>
              </w:rPr>
            </w:pPr>
            <w:r w:rsidRPr="00430543">
              <w:rPr>
                <w:sz w:val="18"/>
                <w:szCs w:val="18"/>
              </w:rPr>
              <w:t>čl. 11 odst. 3</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34295835" w14:textId="4CBF62AC" w:rsidR="0002496E" w:rsidRPr="00BD57BE" w:rsidRDefault="0002496E" w:rsidP="0002496E">
            <w:pPr>
              <w:widowControl w:val="0"/>
              <w:ind w:left="57" w:right="113"/>
              <w:rPr>
                <w:color w:val="000000"/>
                <w:sz w:val="18"/>
                <w:szCs w:val="18"/>
              </w:rPr>
            </w:pPr>
            <w:r w:rsidRPr="00BD57BE">
              <w:rPr>
                <w:color w:val="000000"/>
                <w:sz w:val="18"/>
                <w:szCs w:val="18"/>
              </w:rPr>
              <w:t>3.   Pokud není částka kvalifikované vnitrostátní dorovnávací daně za určité účetní období zaplacena během čtyř účetních období následujících po účetním období, v němž byla splatná, přičte se částka nezaplacené kvalifikované vnitrostátní dorovnávací daně k dorovnávací dani pro jurisdikci vypočtené podle čl. 27 odst. 3 a nemůže ji již vybrat členský stát, který učinil rozhodnutí podle odstavce 1 tohoto článku.</w:t>
            </w:r>
          </w:p>
        </w:tc>
      </w:tr>
      <w:tr w:rsidR="0002496E" w:rsidRPr="007936DA" w14:paraId="61492DFA"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2F83FC48"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 141</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5BCFA2D1" w14:textId="77777777" w:rsidR="00D912E0" w:rsidRPr="00D912E0" w:rsidRDefault="00D912E0" w:rsidP="00D912E0">
            <w:pPr>
              <w:pStyle w:val="Textparagrafu"/>
              <w:rPr>
                <w:sz w:val="18"/>
                <w:szCs w:val="18"/>
              </w:rPr>
            </w:pPr>
            <w:r w:rsidRPr="00D912E0">
              <w:rPr>
                <w:sz w:val="18"/>
                <w:szCs w:val="18"/>
              </w:rPr>
              <w:t xml:space="preserve">(4) Je-li mezi členskými entitami uskutečněn převod aktiv </w:t>
            </w:r>
            <w:r w:rsidRPr="00D912E0">
              <w:rPr>
                <w:b/>
                <w:sz w:val="18"/>
                <w:szCs w:val="18"/>
                <w:u w:val="single"/>
              </w:rPr>
              <w:t>nebo jiná podobná transakce</w:t>
            </w:r>
            <w:r w:rsidRPr="00D912E0">
              <w:rPr>
                <w:b/>
                <w:sz w:val="18"/>
                <w:szCs w:val="18"/>
              </w:rPr>
              <w:t xml:space="preserve"> </w:t>
            </w:r>
            <w:r w:rsidRPr="00D912E0">
              <w:rPr>
                <w:sz w:val="18"/>
                <w:szCs w:val="18"/>
              </w:rPr>
              <w:t>v období počínajícím po 30. listopadu 2021 a končícím dnem předcházejícím prvnímu dni vstupního období, určí se základ nabytých aktiv s výjimkou zásob na základě účetní hodnoty převáděných aktiv zcizující členské entity při zcizení, přičemž odložené daňové pohledávky a odložené daňové dluhy se určí na takto určeném základě nabytých aktiv.</w:t>
            </w:r>
          </w:p>
          <w:p w14:paraId="75721492" w14:textId="644590C4" w:rsidR="0002496E" w:rsidRPr="00430543" w:rsidRDefault="0002496E" w:rsidP="0002496E">
            <w:pPr>
              <w:widowControl w:val="0"/>
              <w:suppressAutoHyphens/>
              <w:ind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348C0AA5" w14:textId="2A77A5A4" w:rsidR="0002496E" w:rsidRPr="00430543" w:rsidRDefault="0002496E" w:rsidP="0002496E">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7B811B1A" w14:textId="61D39941" w:rsidR="0002496E" w:rsidRPr="00430543" w:rsidRDefault="00D912E0" w:rsidP="0002496E">
            <w:pPr>
              <w:widowControl w:val="0"/>
              <w:ind w:left="57" w:right="113"/>
              <w:rPr>
                <w:sz w:val="18"/>
                <w:szCs w:val="18"/>
              </w:rPr>
            </w:pPr>
            <w:r>
              <w:rPr>
                <w:sz w:val="18"/>
                <w:szCs w:val="18"/>
              </w:rPr>
              <w:t>čl. 47 odst.</w:t>
            </w:r>
            <w:r w:rsidR="0002496E" w:rsidRPr="00430543">
              <w:rPr>
                <w:sz w:val="18"/>
                <w:szCs w:val="18"/>
              </w:rPr>
              <w:t xml:space="preserve"> 4</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22F9B95F" w14:textId="0367300A" w:rsidR="0002496E" w:rsidRPr="00BD57BE" w:rsidRDefault="0002496E" w:rsidP="0002496E">
            <w:pPr>
              <w:widowControl w:val="0"/>
              <w:ind w:left="57" w:right="113"/>
              <w:rPr>
                <w:color w:val="000000"/>
                <w:sz w:val="18"/>
                <w:szCs w:val="18"/>
              </w:rPr>
            </w:pPr>
            <w:r w:rsidRPr="00BD57BE">
              <w:rPr>
                <w:color w:val="000000"/>
                <w:sz w:val="18"/>
                <w:szCs w:val="18"/>
              </w:rPr>
              <w:t>4.   V případě převodu aktiv mezi členskými subjekty po 30. listopadu 2021 a před začátkem přechodného období je základ nabytých aktiv s výjimkou zásob založen na účetní hodnotě převáděných aktiv zcizujícího členského subjektu při zcizení, přičemž na tomto základě se určí odložené daňové pohledávky a odložené daňové závazky.</w:t>
            </w:r>
          </w:p>
        </w:tc>
      </w:tr>
      <w:tr w:rsidR="0002496E" w:rsidRPr="007936DA" w14:paraId="1F3047A4"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4F75C010" w14:textId="77777777"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t>§ 142</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554B226F" w14:textId="0F845C33" w:rsidR="009F6A0B" w:rsidRPr="009F6A0B" w:rsidRDefault="009F6A0B" w:rsidP="009F6A0B">
            <w:pPr>
              <w:pStyle w:val="Textparagrafu"/>
              <w:rPr>
                <w:sz w:val="18"/>
                <w:szCs w:val="18"/>
              </w:rPr>
            </w:pPr>
            <w:r w:rsidRPr="009F6A0B">
              <w:rPr>
                <w:sz w:val="18"/>
                <w:szCs w:val="18"/>
              </w:rPr>
              <w:t xml:space="preserve">(1) Na přiřazovanou dorovnávací daň stanovenou poplatníkovi podléhajícímu pravidlu pro zahrnutí zisku, který je nejvyšší mateřskou entitou nebo střední mateřskou entitou, a na přiřazovanou dorovnávací daň stanovenou české členské entitě, která je součástí téže skupiny, jako tento poplatník, se hledí jako na přiřazovanou dorovnávací daň stanovenou v nulové výši, pokud je přiřazovaná dorovnávací daň stanovena za </w:t>
            </w:r>
            <w:r w:rsidRPr="009F6A0B">
              <w:rPr>
                <w:b/>
                <w:sz w:val="18"/>
                <w:szCs w:val="18"/>
                <w:u w:val="single"/>
              </w:rPr>
              <w:t>výkazní</w:t>
            </w:r>
            <w:r w:rsidRPr="009F6A0B">
              <w:rPr>
                <w:sz w:val="18"/>
                <w:szCs w:val="18"/>
              </w:rPr>
              <w:t xml:space="preserve"> období</w:t>
            </w:r>
          </w:p>
          <w:p w14:paraId="3E74E3F3" w14:textId="77777777" w:rsidR="009F6A0B" w:rsidRPr="009F6A0B" w:rsidRDefault="009F6A0B" w:rsidP="009F6A0B">
            <w:pPr>
              <w:pStyle w:val="PZTextpsmene"/>
              <w:rPr>
                <w:sz w:val="18"/>
                <w:szCs w:val="18"/>
              </w:rPr>
            </w:pPr>
            <w:r w:rsidRPr="009F6A0B">
              <w:rPr>
                <w:sz w:val="18"/>
                <w:szCs w:val="18"/>
              </w:rPr>
              <w:t>a)</w:t>
            </w:r>
            <w:r w:rsidRPr="009F6A0B">
              <w:rPr>
                <w:sz w:val="18"/>
                <w:szCs w:val="18"/>
              </w:rPr>
              <w:tab/>
              <w:t>považované za období počáteční fáze mezinárodní činnosti skupiny, která je velkou nadnárodní skupinou, a započaté v období 5 po sobě bezprostředně následujících kalendářních let počínajících prvním dnem prvního z výkazních období, ve kterém je tato skupina velkou nadnárodní skupinou, nebo</w:t>
            </w:r>
          </w:p>
          <w:p w14:paraId="2559C323" w14:textId="77777777" w:rsidR="009F6A0B" w:rsidRPr="009F6A0B" w:rsidRDefault="009F6A0B" w:rsidP="009F6A0B">
            <w:pPr>
              <w:pStyle w:val="PZTextpsmene"/>
              <w:rPr>
                <w:sz w:val="18"/>
                <w:szCs w:val="18"/>
              </w:rPr>
            </w:pPr>
            <w:r w:rsidRPr="009F6A0B">
              <w:rPr>
                <w:sz w:val="18"/>
                <w:szCs w:val="18"/>
              </w:rPr>
              <w:t>b)</w:t>
            </w:r>
            <w:r w:rsidRPr="009F6A0B">
              <w:rPr>
                <w:sz w:val="18"/>
                <w:szCs w:val="18"/>
              </w:rPr>
              <w:tab/>
              <w:t>započaté v období 5 po sobě bezprostředně následujících kalendářních let počínajícím prvním dnem prvního z výkazních období, ve kterém je skupina velkou vnitrostátní skupinou.</w:t>
            </w:r>
          </w:p>
          <w:p w14:paraId="7F9FD1BB" w14:textId="6A5B7DE1" w:rsidR="009F6A0B" w:rsidRPr="009F6A0B" w:rsidRDefault="009F6A0B" w:rsidP="009F6A0B">
            <w:pPr>
              <w:pStyle w:val="Textparagrafu"/>
              <w:rPr>
                <w:sz w:val="18"/>
                <w:szCs w:val="18"/>
              </w:rPr>
            </w:pPr>
            <w:r w:rsidRPr="009F6A0B">
              <w:rPr>
                <w:sz w:val="18"/>
                <w:szCs w:val="18"/>
              </w:rPr>
              <w:t xml:space="preserve">(2) Pro účely určení celkové dorovnávací daně se na dílčí dorovnávací daň členské entity z členského státu, která je součástí skupiny, jejíž nejvyšší mateřská entita je ze třetího státu, hledí jako na dílčí dorovnávací daň stanovenou v nulové výši, pokud je tato daň stanovena za </w:t>
            </w:r>
            <w:r w:rsidRPr="009F6A0B">
              <w:rPr>
                <w:b/>
                <w:sz w:val="18"/>
                <w:szCs w:val="18"/>
                <w:u w:val="single"/>
              </w:rPr>
              <w:t>výkazní</w:t>
            </w:r>
            <w:r w:rsidRPr="009F6A0B">
              <w:rPr>
                <w:sz w:val="18"/>
                <w:szCs w:val="18"/>
              </w:rPr>
              <w:t xml:space="preserve"> období </w:t>
            </w:r>
          </w:p>
          <w:p w14:paraId="313DDFBB" w14:textId="77777777" w:rsidR="009F6A0B" w:rsidRPr="009F6A0B" w:rsidRDefault="009F6A0B" w:rsidP="009F6A0B">
            <w:pPr>
              <w:pStyle w:val="PZTextpsmene"/>
              <w:rPr>
                <w:sz w:val="18"/>
                <w:szCs w:val="18"/>
              </w:rPr>
            </w:pPr>
            <w:r w:rsidRPr="009F6A0B">
              <w:rPr>
                <w:sz w:val="18"/>
                <w:szCs w:val="18"/>
              </w:rPr>
              <w:t>a)</w:t>
            </w:r>
            <w:r w:rsidRPr="009F6A0B">
              <w:rPr>
                <w:sz w:val="18"/>
                <w:szCs w:val="18"/>
              </w:rPr>
              <w:tab/>
              <w:t>považované za období počáteční fáze mezinárodní činnosti této skupiny a </w:t>
            </w:r>
          </w:p>
          <w:p w14:paraId="2DBCD8E2" w14:textId="77777777" w:rsidR="009F6A0B" w:rsidRPr="009F6A0B" w:rsidRDefault="009F6A0B" w:rsidP="009F6A0B">
            <w:pPr>
              <w:pStyle w:val="PZTextpsmene"/>
              <w:rPr>
                <w:sz w:val="18"/>
                <w:szCs w:val="18"/>
              </w:rPr>
            </w:pPr>
            <w:r w:rsidRPr="009F6A0B">
              <w:rPr>
                <w:sz w:val="18"/>
                <w:szCs w:val="18"/>
              </w:rPr>
              <w:t>b)</w:t>
            </w:r>
            <w:r w:rsidRPr="009F6A0B">
              <w:rPr>
                <w:sz w:val="18"/>
                <w:szCs w:val="18"/>
              </w:rPr>
              <w:tab/>
              <w:t>započaté v období 5 po sobě bezprostředně následujících kalendářních let počínajícím prvním dnem prvního z výkazních období, ve kterém je tato skupina velkou nadnárodní skupinou.</w:t>
            </w:r>
          </w:p>
          <w:p w14:paraId="40D928AC" w14:textId="36400169" w:rsidR="009F6A0B" w:rsidRPr="009F6A0B" w:rsidRDefault="009F6A0B" w:rsidP="009F6A0B">
            <w:pPr>
              <w:pStyle w:val="Textparagrafu"/>
              <w:rPr>
                <w:sz w:val="18"/>
                <w:szCs w:val="18"/>
              </w:rPr>
            </w:pPr>
            <w:r w:rsidRPr="009F6A0B">
              <w:rPr>
                <w:sz w:val="18"/>
                <w:szCs w:val="18"/>
              </w:rPr>
              <w:t xml:space="preserve">(3) </w:t>
            </w:r>
            <w:r w:rsidRPr="009F6A0B">
              <w:rPr>
                <w:b/>
                <w:sz w:val="18"/>
                <w:szCs w:val="18"/>
                <w:u w:val="single"/>
              </w:rPr>
              <w:t>Výkazní</w:t>
            </w:r>
            <w:r w:rsidRPr="009F6A0B">
              <w:rPr>
                <w:sz w:val="18"/>
                <w:szCs w:val="18"/>
              </w:rPr>
              <w:t xml:space="preserve"> období velké nadnárodní skupiny se považuje za období počáteční fáze mezinárodní činnosti této skupiny, pokud v tomto </w:t>
            </w:r>
            <w:r w:rsidRPr="009F6A0B">
              <w:rPr>
                <w:b/>
                <w:sz w:val="18"/>
                <w:szCs w:val="18"/>
                <w:u w:val="single"/>
              </w:rPr>
              <w:t>výkazním</w:t>
            </w:r>
            <w:r w:rsidRPr="009F6A0B">
              <w:rPr>
                <w:sz w:val="18"/>
                <w:szCs w:val="18"/>
              </w:rPr>
              <w:t xml:space="preserve"> období</w:t>
            </w:r>
          </w:p>
          <w:p w14:paraId="65FA2EC4" w14:textId="77777777" w:rsidR="009F6A0B" w:rsidRPr="009F6A0B" w:rsidRDefault="009F6A0B" w:rsidP="009F6A0B">
            <w:pPr>
              <w:pStyle w:val="Textpsmene"/>
              <w:spacing w:before="0"/>
              <w:rPr>
                <w:sz w:val="18"/>
                <w:szCs w:val="18"/>
              </w:rPr>
            </w:pPr>
            <w:r w:rsidRPr="009F6A0B">
              <w:rPr>
                <w:sz w:val="18"/>
                <w:szCs w:val="18"/>
              </w:rPr>
              <w:lastRenderedPageBreak/>
              <w:t>jsou členské entity této skupiny nejvýše z 6 různých států a</w:t>
            </w:r>
          </w:p>
          <w:p w14:paraId="49E0FEB4" w14:textId="77777777" w:rsidR="009F6A0B" w:rsidRPr="009F6A0B" w:rsidRDefault="009F6A0B" w:rsidP="009F6A0B">
            <w:pPr>
              <w:pStyle w:val="Textpsmene"/>
              <w:spacing w:before="0"/>
              <w:rPr>
                <w:sz w:val="18"/>
                <w:szCs w:val="18"/>
              </w:rPr>
            </w:pPr>
            <w:r w:rsidRPr="009F6A0B">
              <w:rPr>
                <w:sz w:val="18"/>
                <w:szCs w:val="18"/>
              </w:rPr>
              <w:t>součet čisté účetní hodnoty hmotných aktiv všech členských entit této skupiny z jiného než referenčního státu nepřesahuje částku odpovídající 50 000 000 EUR.</w:t>
            </w:r>
          </w:p>
          <w:p w14:paraId="57980FA3" w14:textId="77777777" w:rsidR="009F6A0B" w:rsidRPr="009F6A0B" w:rsidRDefault="009F6A0B" w:rsidP="009F6A0B">
            <w:pPr>
              <w:pStyle w:val="Textparagrafu"/>
              <w:rPr>
                <w:sz w:val="18"/>
                <w:szCs w:val="18"/>
              </w:rPr>
            </w:pPr>
            <w:r w:rsidRPr="009F6A0B">
              <w:rPr>
                <w:sz w:val="18"/>
                <w:szCs w:val="18"/>
              </w:rPr>
              <w:t>(4) Referenčním státem podle odstavce 3 se rozumí stát s nejvyšší celkovou hodnotou hmotných aktiv této skupiny v prvním z výkazních období, ve kterých je skupina velkou nadnárodní skupinou.</w:t>
            </w:r>
          </w:p>
          <w:p w14:paraId="7F9CCEA8" w14:textId="77777777" w:rsidR="009F6A0B" w:rsidRPr="009F6A0B" w:rsidRDefault="009F6A0B" w:rsidP="009F6A0B">
            <w:pPr>
              <w:pStyle w:val="Textparagrafu"/>
              <w:rPr>
                <w:sz w:val="18"/>
                <w:szCs w:val="18"/>
              </w:rPr>
            </w:pPr>
            <w:r w:rsidRPr="009F6A0B">
              <w:rPr>
                <w:sz w:val="18"/>
                <w:szCs w:val="18"/>
              </w:rPr>
              <w:t>(5) Celkovou hodnotou hmotných aktiv skupiny v určitém státě podle odstavce 4 se rozumí součet čisté účetní hodnoty všech hmotných aktiv všech členských entit velké nadnárodní skupiny z tohoto státu.</w:t>
            </w:r>
          </w:p>
          <w:p w14:paraId="3DB0F932" w14:textId="08E65359" w:rsidR="009F6A0B" w:rsidRPr="009F6A0B" w:rsidRDefault="009F6A0B" w:rsidP="009F6A0B">
            <w:pPr>
              <w:pStyle w:val="Textparagrafu"/>
              <w:rPr>
                <w:sz w:val="18"/>
                <w:szCs w:val="18"/>
              </w:rPr>
            </w:pPr>
            <w:r w:rsidRPr="009F6A0B">
              <w:rPr>
                <w:sz w:val="18"/>
                <w:szCs w:val="18"/>
              </w:rPr>
              <w:t xml:space="preserve">(6) Určená podávající entita, která je poplatníkem podle tohoto zákona, podá správci daně oznámení o zahájení prvního </w:t>
            </w:r>
            <w:r w:rsidRPr="009F6A0B">
              <w:rPr>
                <w:b/>
                <w:sz w:val="18"/>
                <w:szCs w:val="18"/>
                <w:u w:val="single"/>
              </w:rPr>
              <w:t>z výkazních</w:t>
            </w:r>
            <w:r w:rsidRPr="009F6A0B">
              <w:rPr>
                <w:b/>
                <w:sz w:val="18"/>
                <w:szCs w:val="18"/>
              </w:rPr>
              <w:t xml:space="preserve"> </w:t>
            </w:r>
            <w:r w:rsidRPr="009F6A0B">
              <w:rPr>
                <w:sz w:val="18"/>
                <w:szCs w:val="18"/>
              </w:rPr>
              <w:t xml:space="preserve">období, která se považují za období počáteční fáze mezinárodní činnosti velké nadnárodní skupiny, ve lhůtě pro podání informačního přehledu k přiřazované dorovnávací dani za toto </w:t>
            </w:r>
            <w:r w:rsidRPr="009F6A0B">
              <w:rPr>
                <w:b/>
                <w:sz w:val="18"/>
                <w:szCs w:val="18"/>
                <w:u w:val="single"/>
              </w:rPr>
              <w:t>výkazní</w:t>
            </w:r>
            <w:r w:rsidRPr="009F6A0B">
              <w:rPr>
                <w:sz w:val="18"/>
                <w:szCs w:val="18"/>
              </w:rPr>
              <w:t xml:space="preserve"> období.</w:t>
            </w:r>
          </w:p>
          <w:p w14:paraId="73560365" w14:textId="56DF72FC" w:rsidR="0002496E" w:rsidRPr="00430543" w:rsidRDefault="0002496E" w:rsidP="0002496E">
            <w:pPr>
              <w:widowControl w:val="0"/>
              <w:suppressAutoHyphens/>
              <w:ind w:left="57" w:right="113"/>
              <w:jc w:val="both"/>
              <w:rPr>
                <w:sz w:val="18"/>
                <w:szCs w:val="18"/>
                <w:lang w:eastAsia="ar-SA"/>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5CD34E0" w14:textId="4B1A4E15" w:rsidR="0002496E" w:rsidRPr="00430543" w:rsidRDefault="0002496E" w:rsidP="0002496E">
            <w:pPr>
              <w:widowControl w:val="0"/>
              <w:ind w:left="57" w:right="113"/>
              <w:rPr>
                <w:sz w:val="18"/>
                <w:szCs w:val="18"/>
              </w:rPr>
            </w:pPr>
            <w:r w:rsidRPr="00430543">
              <w:rPr>
                <w:color w:val="000000"/>
                <w:sz w:val="18"/>
                <w:szCs w:val="18"/>
              </w:rPr>
              <w:lastRenderedPageBreak/>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0B7D2674" w14:textId="77777777" w:rsidR="0002496E" w:rsidRDefault="0002496E" w:rsidP="0002496E">
            <w:pPr>
              <w:widowControl w:val="0"/>
              <w:ind w:left="57" w:right="113"/>
              <w:rPr>
                <w:sz w:val="18"/>
                <w:szCs w:val="18"/>
              </w:rPr>
            </w:pPr>
            <w:r w:rsidRPr="00430543">
              <w:rPr>
                <w:sz w:val="18"/>
                <w:szCs w:val="18"/>
              </w:rPr>
              <w:t xml:space="preserve">čl. 49 odst. 1 až 3, </w:t>
            </w:r>
          </w:p>
          <w:p w14:paraId="70BF08A7" w14:textId="77777777" w:rsidR="0002496E" w:rsidRDefault="0002496E" w:rsidP="0002496E">
            <w:pPr>
              <w:widowControl w:val="0"/>
              <w:ind w:left="57" w:right="113"/>
              <w:rPr>
                <w:sz w:val="18"/>
                <w:szCs w:val="18"/>
              </w:rPr>
            </w:pPr>
          </w:p>
          <w:p w14:paraId="0F771D69" w14:textId="77777777" w:rsidR="0002496E" w:rsidRDefault="0002496E" w:rsidP="0002496E">
            <w:pPr>
              <w:widowControl w:val="0"/>
              <w:ind w:left="57" w:right="113"/>
              <w:rPr>
                <w:sz w:val="18"/>
                <w:szCs w:val="18"/>
              </w:rPr>
            </w:pPr>
          </w:p>
          <w:p w14:paraId="3D71DC6E" w14:textId="1C0A1219" w:rsidR="0002496E" w:rsidRDefault="0002496E" w:rsidP="0002496E">
            <w:pPr>
              <w:widowControl w:val="0"/>
              <w:ind w:left="57" w:right="113"/>
              <w:rPr>
                <w:sz w:val="18"/>
                <w:szCs w:val="18"/>
              </w:rPr>
            </w:pPr>
          </w:p>
          <w:p w14:paraId="4964FBA9" w14:textId="75D619D2" w:rsidR="0002496E" w:rsidRDefault="0002496E" w:rsidP="0002496E">
            <w:pPr>
              <w:widowControl w:val="0"/>
              <w:ind w:left="57" w:right="113"/>
              <w:rPr>
                <w:sz w:val="18"/>
                <w:szCs w:val="18"/>
              </w:rPr>
            </w:pPr>
          </w:p>
          <w:p w14:paraId="31A98F37" w14:textId="465C7E78" w:rsidR="0002496E" w:rsidRDefault="0002496E" w:rsidP="0002496E">
            <w:pPr>
              <w:widowControl w:val="0"/>
              <w:ind w:left="57" w:right="113"/>
              <w:rPr>
                <w:sz w:val="18"/>
                <w:szCs w:val="18"/>
              </w:rPr>
            </w:pPr>
          </w:p>
          <w:p w14:paraId="656CA206" w14:textId="4114A242" w:rsidR="0002496E" w:rsidRDefault="0002496E" w:rsidP="0002496E">
            <w:pPr>
              <w:widowControl w:val="0"/>
              <w:ind w:left="57" w:right="113"/>
              <w:rPr>
                <w:sz w:val="18"/>
                <w:szCs w:val="18"/>
              </w:rPr>
            </w:pPr>
          </w:p>
          <w:p w14:paraId="4FA1A65A" w14:textId="6704010B" w:rsidR="0002496E" w:rsidRDefault="0002496E" w:rsidP="0002496E">
            <w:pPr>
              <w:widowControl w:val="0"/>
              <w:ind w:left="57" w:right="113"/>
              <w:rPr>
                <w:sz w:val="18"/>
                <w:szCs w:val="18"/>
              </w:rPr>
            </w:pPr>
          </w:p>
          <w:p w14:paraId="1FA8FD82" w14:textId="0BC81A57" w:rsidR="0002496E" w:rsidRDefault="0002496E" w:rsidP="0002496E">
            <w:pPr>
              <w:widowControl w:val="0"/>
              <w:ind w:left="57" w:right="113"/>
              <w:rPr>
                <w:sz w:val="18"/>
                <w:szCs w:val="18"/>
              </w:rPr>
            </w:pPr>
          </w:p>
          <w:p w14:paraId="16A7318F" w14:textId="6EC6FF42" w:rsidR="0002496E" w:rsidRDefault="0002496E" w:rsidP="0002496E">
            <w:pPr>
              <w:widowControl w:val="0"/>
              <w:ind w:left="57" w:right="113"/>
              <w:rPr>
                <w:sz w:val="18"/>
                <w:szCs w:val="18"/>
              </w:rPr>
            </w:pPr>
          </w:p>
          <w:p w14:paraId="633B774B" w14:textId="7DC544A7" w:rsidR="0002496E" w:rsidRDefault="0002496E" w:rsidP="0002496E">
            <w:pPr>
              <w:widowControl w:val="0"/>
              <w:ind w:left="57" w:right="113"/>
              <w:rPr>
                <w:sz w:val="18"/>
                <w:szCs w:val="18"/>
              </w:rPr>
            </w:pPr>
          </w:p>
          <w:p w14:paraId="13E7BC86" w14:textId="5C6A8B7A" w:rsidR="0002496E" w:rsidRDefault="0002496E" w:rsidP="0002496E">
            <w:pPr>
              <w:widowControl w:val="0"/>
              <w:ind w:left="57" w:right="113"/>
              <w:rPr>
                <w:sz w:val="18"/>
                <w:szCs w:val="18"/>
              </w:rPr>
            </w:pPr>
          </w:p>
          <w:p w14:paraId="7E75A0C8" w14:textId="3AC27E11" w:rsidR="0002496E" w:rsidRDefault="0002496E" w:rsidP="0002496E">
            <w:pPr>
              <w:widowControl w:val="0"/>
              <w:ind w:left="57" w:right="113"/>
              <w:rPr>
                <w:sz w:val="18"/>
                <w:szCs w:val="18"/>
              </w:rPr>
            </w:pPr>
          </w:p>
          <w:p w14:paraId="526B37B4" w14:textId="630921E9" w:rsidR="0002496E" w:rsidRDefault="0002496E" w:rsidP="0002496E">
            <w:pPr>
              <w:widowControl w:val="0"/>
              <w:ind w:left="57" w:right="113"/>
              <w:rPr>
                <w:sz w:val="18"/>
                <w:szCs w:val="18"/>
              </w:rPr>
            </w:pPr>
          </w:p>
          <w:p w14:paraId="7066DA95" w14:textId="2F0C2774" w:rsidR="0002496E" w:rsidRDefault="0002496E" w:rsidP="0002496E">
            <w:pPr>
              <w:widowControl w:val="0"/>
              <w:ind w:left="57" w:right="113"/>
              <w:rPr>
                <w:sz w:val="18"/>
                <w:szCs w:val="18"/>
              </w:rPr>
            </w:pPr>
          </w:p>
          <w:p w14:paraId="00526A81" w14:textId="4AFD4114" w:rsidR="0002496E" w:rsidRDefault="0002496E" w:rsidP="0002496E">
            <w:pPr>
              <w:widowControl w:val="0"/>
              <w:ind w:left="57" w:right="113"/>
              <w:rPr>
                <w:sz w:val="18"/>
                <w:szCs w:val="18"/>
              </w:rPr>
            </w:pPr>
          </w:p>
          <w:p w14:paraId="70B6884F" w14:textId="7039F660" w:rsidR="0002496E" w:rsidRDefault="0002496E" w:rsidP="0002496E">
            <w:pPr>
              <w:widowControl w:val="0"/>
              <w:ind w:left="57" w:right="113"/>
              <w:rPr>
                <w:sz w:val="18"/>
                <w:szCs w:val="18"/>
              </w:rPr>
            </w:pPr>
          </w:p>
          <w:p w14:paraId="7AADB589" w14:textId="42BD1B23" w:rsidR="0002496E" w:rsidRDefault="0002496E" w:rsidP="0002496E">
            <w:pPr>
              <w:widowControl w:val="0"/>
              <w:ind w:left="57" w:right="113"/>
              <w:rPr>
                <w:sz w:val="18"/>
                <w:szCs w:val="18"/>
              </w:rPr>
            </w:pPr>
          </w:p>
          <w:p w14:paraId="6BC6F830" w14:textId="4DFC7E3D" w:rsidR="0002496E" w:rsidRDefault="0002496E" w:rsidP="0002496E">
            <w:pPr>
              <w:widowControl w:val="0"/>
              <w:ind w:left="57" w:right="113"/>
              <w:rPr>
                <w:sz w:val="18"/>
                <w:szCs w:val="18"/>
              </w:rPr>
            </w:pPr>
          </w:p>
          <w:p w14:paraId="6A83D861" w14:textId="23252179" w:rsidR="0002496E" w:rsidRDefault="0002496E" w:rsidP="0002496E">
            <w:pPr>
              <w:widowControl w:val="0"/>
              <w:ind w:left="57" w:right="113"/>
              <w:rPr>
                <w:sz w:val="18"/>
                <w:szCs w:val="18"/>
              </w:rPr>
            </w:pPr>
          </w:p>
          <w:p w14:paraId="6281F439" w14:textId="33400264" w:rsidR="0002496E" w:rsidRDefault="0002496E" w:rsidP="0002496E">
            <w:pPr>
              <w:widowControl w:val="0"/>
              <w:ind w:left="57" w:right="113"/>
              <w:rPr>
                <w:sz w:val="18"/>
                <w:szCs w:val="18"/>
              </w:rPr>
            </w:pPr>
          </w:p>
          <w:p w14:paraId="39A89138" w14:textId="0B6A87B8" w:rsidR="0002496E" w:rsidRDefault="0002496E" w:rsidP="0002496E">
            <w:pPr>
              <w:widowControl w:val="0"/>
              <w:ind w:left="57" w:right="113"/>
              <w:rPr>
                <w:sz w:val="18"/>
                <w:szCs w:val="18"/>
              </w:rPr>
            </w:pPr>
          </w:p>
          <w:p w14:paraId="10E551D9" w14:textId="6D7FE036" w:rsidR="0002496E" w:rsidRDefault="0002496E" w:rsidP="0002496E">
            <w:pPr>
              <w:widowControl w:val="0"/>
              <w:ind w:left="57" w:right="113"/>
              <w:rPr>
                <w:sz w:val="18"/>
                <w:szCs w:val="18"/>
              </w:rPr>
            </w:pPr>
          </w:p>
          <w:p w14:paraId="5DC9605E" w14:textId="2715869E" w:rsidR="0002496E" w:rsidRDefault="0002496E" w:rsidP="0002496E">
            <w:pPr>
              <w:widowControl w:val="0"/>
              <w:ind w:left="57" w:right="113"/>
              <w:rPr>
                <w:sz w:val="18"/>
                <w:szCs w:val="18"/>
              </w:rPr>
            </w:pPr>
          </w:p>
          <w:p w14:paraId="7FDA3562" w14:textId="3337E1AE" w:rsidR="0002496E" w:rsidRDefault="0002496E" w:rsidP="0002496E">
            <w:pPr>
              <w:widowControl w:val="0"/>
              <w:ind w:left="57" w:right="113"/>
              <w:rPr>
                <w:sz w:val="18"/>
                <w:szCs w:val="18"/>
              </w:rPr>
            </w:pPr>
          </w:p>
          <w:p w14:paraId="01D98C3C" w14:textId="2683A693" w:rsidR="0002496E" w:rsidRDefault="0002496E" w:rsidP="0002496E">
            <w:pPr>
              <w:widowControl w:val="0"/>
              <w:ind w:left="57" w:right="113"/>
              <w:rPr>
                <w:sz w:val="18"/>
                <w:szCs w:val="18"/>
              </w:rPr>
            </w:pPr>
          </w:p>
          <w:p w14:paraId="239A22CE" w14:textId="7EFF51F2" w:rsidR="0002496E" w:rsidRDefault="0002496E" w:rsidP="0002496E">
            <w:pPr>
              <w:widowControl w:val="0"/>
              <w:ind w:left="57" w:right="113"/>
              <w:rPr>
                <w:sz w:val="18"/>
                <w:szCs w:val="18"/>
              </w:rPr>
            </w:pPr>
          </w:p>
          <w:p w14:paraId="23F7A222" w14:textId="3E4A5FAC" w:rsidR="0002496E" w:rsidRDefault="0002496E" w:rsidP="0002496E">
            <w:pPr>
              <w:widowControl w:val="0"/>
              <w:ind w:left="57" w:right="113"/>
              <w:rPr>
                <w:sz w:val="18"/>
                <w:szCs w:val="18"/>
              </w:rPr>
            </w:pPr>
          </w:p>
          <w:p w14:paraId="46451B88" w14:textId="66A09055" w:rsidR="0002496E" w:rsidRDefault="0002496E" w:rsidP="0002496E">
            <w:pPr>
              <w:widowControl w:val="0"/>
              <w:ind w:left="57" w:right="113"/>
              <w:rPr>
                <w:sz w:val="18"/>
                <w:szCs w:val="18"/>
              </w:rPr>
            </w:pPr>
          </w:p>
          <w:p w14:paraId="38CE0AE9" w14:textId="69135796" w:rsidR="0002496E" w:rsidRDefault="0002496E" w:rsidP="0002496E">
            <w:pPr>
              <w:widowControl w:val="0"/>
              <w:ind w:left="57" w:right="113"/>
              <w:rPr>
                <w:sz w:val="18"/>
                <w:szCs w:val="18"/>
              </w:rPr>
            </w:pPr>
          </w:p>
          <w:p w14:paraId="2613FC39" w14:textId="0032E4D4" w:rsidR="0002496E" w:rsidRDefault="0002496E" w:rsidP="0002496E">
            <w:pPr>
              <w:widowControl w:val="0"/>
              <w:ind w:left="57" w:right="113"/>
              <w:rPr>
                <w:sz w:val="18"/>
                <w:szCs w:val="18"/>
              </w:rPr>
            </w:pPr>
          </w:p>
          <w:p w14:paraId="409D61B9" w14:textId="31341DE0" w:rsidR="0002496E" w:rsidRDefault="0002496E" w:rsidP="0002496E">
            <w:pPr>
              <w:widowControl w:val="0"/>
              <w:ind w:right="113"/>
              <w:rPr>
                <w:sz w:val="18"/>
                <w:szCs w:val="18"/>
              </w:rPr>
            </w:pPr>
          </w:p>
          <w:p w14:paraId="7AE1E711" w14:textId="77777777" w:rsidR="0002496E" w:rsidRDefault="0002496E" w:rsidP="0002496E">
            <w:pPr>
              <w:widowControl w:val="0"/>
              <w:ind w:left="57" w:right="113"/>
              <w:rPr>
                <w:sz w:val="18"/>
                <w:szCs w:val="18"/>
              </w:rPr>
            </w:pPr>
            <w:r w:rsidRPr="00430543">
              <w:rPr>
                <w:sz w:val="18"/>
                <w:szCs w:val="18"/>
              </w:rPr>
              <w:t xml:space="preserve">čl. 49 odst. 4 pododstavec první a </w:t>
            </w:r>
          </w:p>
          <w:p w14:paraId="36033B4B" w14:textId="75590D44" w:rsidR="0002496E" w:rsidRDefault="0002496E" w:rsidP="0002496E">
            <w:pPr>
              <w:widowControl w:val="0"/>
              <w:ind w:right="113"/>
              <w:rPr>
                <w:sz w:val="18"/>
                <w:szCs w:val="18"/>
              </w:rPr>
            </w:pPr>
          </w:p>
          <w:p w14:paraId="6C724087" w14:textId="799075C7" w:rsidR="0002496E" w:rsidRPr="00430543" w:rsidRDefault="0002496E" w:rsidP="0002496E">
            <w:pPr>
              <w:widowControl w:val="0"/>
              <w:ind w:left="57" w:right="113"/>
              <w:rPr>
                <w:sz w:val="18"/>
                <w:szCs w:val="18"/>
              </w:rPr>
            </w:pPr>
            <w:r w:rsidRPr="00430543">
              <w:rPr>
                <w:sz w:val="18"/>
                <w:szCs w:val="18"/>
              </w:rPr>
              <w:t>čl. 49 odst. 5</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34E1B0CA" w14:textId="77777777" w:rsidR="0002496E" w:rsidRPr="00BD57BE" w:rsidRDefault="0002496E" w:rsidP="0002496E">
            <w:pPr>
              <w:widowControl w:val="0"/>
              <w:ind w:left="57" w:right="113"/>
              <w:rPr>
                <w:color w:val="000000"/>
                <w:sz w:val="18"/>
                <w:szCs w:val="18"/>
              </w:rPr>
            </w:pPr>
            <w:r w:rsidRPr="00BD57BE">
              <w:rPr>
                <w:color w:val="000000"/>
                <w:sz w:val="18"/>
                <w:szCs w:val="18"/>
              </w:rPr>
              <w:t>1.   Dorovnávací daň splatná nejvyšším mateřským subjektem nacházejícím se v členském státě v souladu s čl. 5 odst. 2 nebo středním mateřským subjektem nacházejícím se v členském státě v souladu s čl. 7 odst. 2, pokud je nejvyšší mateřský subjekt vyloučeným subjektem, se sníží na nulu:</w:t>
            </w:r>
          </w:p>
          <w:p w14:paraId="5147F3F2" w14:textId="77777777" w:rsidR="0002496E" w:rsidRPr="00BD57BE" w:rsidRDefault="0002496E" w:rsidP="0002496E">
            <w:pPr>
              <w:widowControl w:val="0"/>
              <w:ind w:left="57" w:right="113"/>
              <w:rPr>
                <w:color w:val="000000"/>
                <w:sz w:val="18"/>
                <w:szCs w:val="18"/>
              </w:rPr>
            </w:pPr>
          </w:p>
          <w:p w14:paraId="3FF305E8" w14:textId="4597426D" w:rsidR="0002496E" w:rsidRPr="00BD57BE" w:rsidRDefault="0002496E" w:rsidP="0002496E">
            <w:pPr>
              <w:widowControl w:val="0"/>
              <w:ind w:left="57" w:right="113"/>
              <w:rPr>
                <w:color w:val="000000"/>
                <w:sz w:val="18"/>
                <w:szCs w:val="18"/>
              </w:rPr>
            </w:pPr>
            <w:r w:rsidRPr="00BD57BE">
              <w:rPr>
                <w:color w:val="000000"/>
                <w:sz w:val="18"/>
                <w:szCs w:val="18"/>
              </w:rPr>
              <w:t>a) v prvních pěti letech počáteční fáze mezinárodní činnosti nadnárodní skupiny podniků bez ohledu na požadavky stanovené v kapitole V;</w:t>
            </w:r>
          </w:p>
          <w:p w14:paraId="693670EB" w14:textId="77777777" w:rsidR="0002496E" w:rsidRPr="00BD57BE" w:rsidRDefault="0002496E" w:rsidP="0002496E">
            <w:pPr>
              <w:widowControl w:val="0"/>
              <w:ind w:left="57" w:right="113"/>
              <w:rPr>
                <w:color w:val="000000"/>
                <w:sz w:val="18"/>
                <w:szCs w:val="18"/>
              </w:rPr>
            </w:pPr>
          </w:p>
          <w:p w14:paraId="44C22412" w14:textId="03904267" w:rsidR="0002496E" w:rsidRPr="00BD57BE" w:rsidRDefault="0002496E" w:rsidP="0002496E">
            <w:pPr>
              <w:widowControl w:val="0"/>
              <w:ind w:left="57" w:right="113"/>
              <w:rPr>
                <w:color w:val="000000"/>
                <w:sz w:val="18"/>
                <w:szCs w:val="18"/>
              </w:rPr>
            </w:pPr>
            <w:r w:rsidRPr="00BD57BE">
              <w:rPr>
                <w:color w:val="000000"/>
                <w:sz w:val="18"/>
                <w:szCs w:val="18"/>
              </w:rPr>
              <w:t>b) v prvních pěti letech počínaje prvním dnem účetního období, v němž velká vnitrostátní skupina poprvé spadá do oblasti působnosti této směrnice.</w:t>
            </w:r>
          </w:p>
          <w:p w14:paraId="66EEB0DC" w14:textId="77777777" w:rsidR="0002496E" w:rsidRPr="00BD57BE" w:rsidRDefault="0002496E" w:rsidP="0002496E">
            <w:pPr>
              <w:widowControl w:val="0"/>
              <w:ind w:left="57" w:right="113"/>
              <w:rPr>
                <w:color w:val="000000"/>
                <w:sz w:val="18"/>
                <w:szCs w:val="18"/>
              </w:rPr>
            </w:pPr>
          </w:p>
          <w:p w14:paraId="6E03DE75" w14:textId="77777777" w:rsidR="0002496E" w:rsidRPr="00BD57BE" w:rsidRDefault="0002496E" w:rsidP="0002496E">
            <w:pPr>
              <w:widowControl w:val="0"/>
              <w:ind w:left="57" w:right="113"/>
              <w:rPr>
                <w:color w:val="000000"/>
                <w:sz w:val="18"/>
                <w:szCs w:val="18"/>
              </w:rPr>
            </w:pPr>
            <w:r w:rsidRPr="00BD57BE">
              <w:rPr>
                <w:color w:val="000000"/>
                <w:sz w:val="18"/>
                <w:szCs w:val="18"/>
              </w:rPr>
              <w:t>2.   Pokud se nejvyšší mateřský subjekt nadnárodní skupiny podniků nachází v jurisdikci třetí země, sníží se dorovnávací daň splatná členským subjektem nacházejícím se v členském státě v souladu s čl. 14 odst. 2 v prvních pěti letech počáteční fáze mezinárodní činnosti této nadnárodní skupiny podniků na nulu bez ohledu na požadavky stanovené v kapitole V.</w:t>
            </w:r>
          </w:p>
          <w:p w14:paraId="257A15FB" w14:textId="77777777" w:rsidR="0002496E" w:rsidRPr="00BD57BE" w:rsidRDefault="0002496E" w:rsidP="0002496E">
            <w:pPr>
              <w:widowControl w:val="0"/>
              <w:ind w:left="57" w:right="113"/>
              <w:rPr>
                <w:color w:val="000000"/>
                <w:sz w:val="18"/>
                <w:szCs w:val="18"/>
              </w:rPr>
            </w:pPr>
          </w:p>
          <w:p w14:paraId="57AA122D" w14:textId="77777777" w:rsidR="0002496E" w:rsidRPr="00BD57BE" w:rsidRDefault="0002496E" w:rsidP="0002496E">
            <w:pPr>
              <w:widowControl w:val="0"/>
              <w:ind w:left="57" w:right="113"/>
              <w:rPr>
                <w:color w:val="000000"/>
                <w:sz w:val="18"/>
                <w:szCs w:val="18"/>
              </w:rPr>
            </w:pPr>
            <w:r w:rsidRPr="00BD57BE">
              <w:rPr>
                <w:color w:val="000000"/>
                <w:sz w:val="18"/>
                <w:szCs w:val="18"/>
              </w:rPr>
              <w:t>3.   Má se za to, že nadnárodní skupina podniků je v počáteční fázi své mezinárodní činnosti, pokud v daném účetním období:</w:t>
            </w:r>
          </w:p>
          <w:p w14:paraId="328839F1" w14:textId="77777777" w:rsidR="0002496E" w:rsidRPr="00D30F49" w:rsidRDefault="0002496E" w:rsidP="0002496E">
            <w:pPr>
              <w:pStyle w:val="Default"/>
              <w:rPr>
                <w:rFonts w:ascii="Times New Roman" w:hAnsi="Times New Roman" w:cs="Times New Roman"/>
                <w:sz w:val="18"/>
                <w:szCs w:val="18"/>
              </w:rPr>
            </w:pPr>
          </w:p>
          <w:p w14:paraId="309AB6D1" w14:textId="5AD9305E" w:rsidR="0002496E" w:rsidRPr="00D30F49" w:rsidRDefault="0002496E" w:rsidP="0002496E">
            <w:pPr>
              <w:pStyle w:val="Default"/>
              <w:numPr>
                <w:ilvl w:val="0"/>
                <w:numId w:val="34"/>
              </w:numPr>
              <w:rPr>
                <w:rFonts w:ascii="Times New Roman" w:hAnsi="Times New Roman" w:cs="Times New Roman"/>
                <w:sz w:val="18"/>
                <w:szCs w:val="18"/>
              </w:rPr>
            </w:pPr>
            <w:r w:rsidRPr="00D30F49">
              <w:rPr>
                <w:rFonts w:ascii="Times New Roman" w:hAnsi="Times New Roman" w:cs="Times New Roman"/>
                <w:sz w:val="18"/>
                <w:szCs w:val="18"/>
              </w:rPr>
              <w:t>má členské subjekty v nejvýše šesti jurisdikcích a</w:t>
            </w:r>
          </w:p>
          <w:p w14:paraId="3A6437DC" w14:textId="77777777" w:rsidR="0002496E" w:rsidRPr="00D30F49" w:rsidRDefault="0002496E" w:rsidP="0002496E">
            <w:pPr>
              <w:pStyle w:val="Default"/>
              <w:rPr>
                <w:rFonts w:ascii="Times New Roman" w:hAnsi="Times New Roman" w:cs="Times New Roman"/>
                <w:sz w:val="18"/>
                <w:szCs w:val="18"/>
              </w:rPr>
            </w:pPr>
          </w:p>
          <w:p w14:paraId="7A81E866" w14:textId="6B8726BC" w:rsidR="0002496E" w:rsidRPr="00D30F49" w:rsidRDefault="0002496E" w:rsidP="0002496E">
            <w:pPr>
              <w:pStyle w:val="Default"/>
              <w:numPr>
                <w:ilvl w:val="0"/>
                <w:numId w:val="34"/>
              </w:numPr>
              <w:rPr>
                <w:rFonts w:ascii="Times New Roman" w:hAnsi="Times New Roman" w:cs="Times New Roman"/>
                <w:sz w:val="18"/>
                <w:szCs w:val="18"/>
              </w:rPr>
            </w:pPr>
            <w:r w:rsidRPr="00D30F49">
              <w:rPr>
                <w:rFonts w:ascii="Times New Roman" w:hAnsi="Times New Roman" w:cs="Times New Roman"/>
                <w:sz w:val="18"/>
                <w:szCs w:val="18"/>
              </w:rPr>
              <w:t>součet čisté účetní hodnoty hmotných aktiv všech členských subjektů nadnárodní skupiny podniků nacházejících se ve všech jurisdikcích s výjimkou referenční jurisdikce nepřesahuje 50 000 000 EUR.</w:t>
            </w:r>
          </w:p>
          <w:p w14:paraId="64BD80C5" w14:textId="77777777" w:rsidR="0002496E" w:rsidRPr="00D30F49" w:rsidRDefault="0002496E" w:rsidP="0002496E">
            <w:pPr>
              <w:pStyle w:val="Default"/>
              <w:rPr>
                <w:rFonts w:ascii="Times New Roman" w:hAnsi="Times New Roman" w:cs="Times New Roman"/>
                <w:sz w:val="18"/>
                <w:szCs w:val="18"/>
              </w:rPr>
            </w:pPr>
          </w:p>
          <w:p w14:paraId="343A8987" w14:textId="77777777" w:rsidR="0002496E" w:rsidRPr="00BD57BE" w:rsidRDefault="0002496E" w:rsidP="0002496E">
            <w:pPr>
              <w:widowControl w:val="0"/>
              <w:ind w:left="57" w:right="113"/>
              <w:rPr>
                <w:color w:val="000000"/>
                <w:sz w:val="18"/>
                <w:szCs w:val="18"/>
              </w:rPr>
            </w:pPr>
            <w:r w:rsidRPr="00BD57BE">
              <w:rPr>
                <w:color w:val="000000"/>
                <w:sz w:val="18"/>
                <w:szCs w:val="18"/>
              </w:rPr>
              <w:t>Pro účely prvního pododstavce písm. b) se „referenční jurisdikcí“ rozumí jurisdikce, v níž mají členské subjekty nadnárodní skupiny podniků nejvyšší součet celkové hodnoty hmotných aktiv v účetním období, v němž nadnárodní skupina podniků poprvé spadá do oblasti působnosti této směrnice. Celkovou hodnotou hmotných aktiv v jurisdikci se rozumí součet čisté účetní hodnoty veškerých hmotných aktiv všech členských subjektů nadnárodní skupiny podniků, které se nacházejí v dané jurisdikci.</w:t>
            </w:r>
          </w:p>
          <w:p w14:paraId="092ACBFD" w14:textId="66E6A0C3" w:rsidR="0002496E" w:rsidRPr="00BD57BE" w:rsidRDefault="0002496E" w:rsidP="0002496E">
            <w:pPr>
              <w:widowControl w:val="0"/>
              <w:ind w:left="57" w:right="113"/>
              <w:rPr>
                <w:color w:val="000000"/>
                <w:sz w:val="18"/>
                <w:szCs w:val="18"/>
              </w:rPr>
            </w:pPr>
          </w:p>
          <w:p w14:paraId="37FEAF15" w14:textId="77777777" w:rsidR="0002496E" w:rsidRPr="00BD57BE" w:rsidRDefault="0002496E" w:rsidP="0002496E">
            <w:pPr>
              <w:widowControl w:val="0"/>
              <w:ind w:left="57" w:right="113"/>
              <w:rPr>
                <w:color w:val="000000"/>
                <w:sz w:val="18"/>
                <w:szCs w:val="18"/>
              </w:rPr>
            </w:pPr>
          </w:p>
          <w:p w14:paraId="4AC1368F" w14:textId="77777777" w:rsidR="0002496E" w:rsidRPr="00BD57BE" w:rsidRDefault="0002496E" w:rsidP="0002496E">
            <w:pPr>
              <w:widowControl w:val="0"/>
              <w:ind w:left="57" w:right="113"/>
              <w:rPr>
                <w:color w:val="000000"/>
                <w:sz w:val="18"/>
                <w:szCs w:val="18"/>
              </w:rPr>
            </w:pPr>
            <w:r w:rsidRPr="00BD57BE">
              <w:rPr>
                <w:color w:val="000000"/>
                <w:sz w:val="18"/>
                <w:szCs w:val="18"/>
              </w:rPr>
              <w:t>Pětileté období uvedené v odst. 1 písm. a) a odstavci 2 začíná běžet od začátku účetního období, v němž nadnárodní skupina podniků poprvé spadá do oblasti působnosti této směrnice.</w:t>
            </w:r>
          </w:p>
          <w:p w14:paraId="3F02A944" w14:textId="71E66CDB" w:rsidR="0002496E" w:rsidRPr="00BD57BE" w:rsidRDefault="0002496E" w:rsidP="0002496E">
            <w:pPr>
              <w:widowControl w:val="0"/>
              <w:ind w:left="57" w:right="113"/>
              <w:rPr>
                <w:color w:val="000000"/>
                <w:sz w:val="18"/>
                <w:szCs w:val="18"/>
              </w:rPr>
            </w:pPr>
          </w:p>
          <w:p w14:paraId="799B46D4" w14:textId="77777777" w:rsidR="0002496E" w:rsidRPr="00BD57BE" w:rsidRDefault="0002496E" w:rsidP="0002496E">
            <w:pPr>
              <w:widowControl w:val="0"/>
              <w:ind w:left="57" w:right="113"/>
              <w:rPr>
                <w:color w:val="000000"/>
                <w:sz w:val="18"/>
                <w:szCs w:val="18"/>
              </w:rPr>
            </w:pPr>
          </w:p>
          <w:p w14:paraId="76225BFF" w14:textId="6C76AD8F" w:rsidR="0002496E" w:rsidRPr="007936DA" w:rsidRDefault="0002496E" w:rsidP="0002496E">
            <w:pPr>
              <w:widowControl w:val="0"/>
              <w:ind w:left="57" w:right="113"/>
              <w:rPr>
                <w:sz w:val="18"/>
                <w:szCs w:val="18"/>
              </w:rPr>
            </w:pPr>
            <w:r w:rsidRPr="00BD57BE">
              <w:rPr>
                <w:color w:val="000000"/>
                <w:sz w:val="18"/>
                <w:szCs w:val="18"/>
              </w:rPr>
              <w:t xml:space="preserve">5.   Určený podávající subjekt uvedený v článku 44 informuje správce daně členského státu, </w:t>
            </w:r>
            <w:r w:rsidRPr="00BD57BE">
              <w:rPr>
                <w:color w:val="000000"/>
                <w:sz w:val="18"/>
                <w:szCs w:val="18"/>
              </w:rPr>
              <w:lastRenderedPageBreak/>
              <w:t>v němž se nachází, o zahájení počáteční fáze mezinárodní činnosti nadnárodní skupiny podniků.</w:t>
            </w:r>
          </w:p>
        </w:tc>
      </w:tr>
      <w:tr w:rsidR="0002496E" w:rsidRPr="007936DA" w14:paraId="4DE9018D" w14:textId="77777777" w:rsidTr="00430543">
        <w:tc>
          <w:tcPr>
            <w:tcW w:w="379" w:type="pct"/>
            <w:tcBorders>
              <w:top w:val="single" w:sz="4" w:space="0" w:color="auto"/>
              <w:left w:val="single" w:sz="4" w:space="0" w:color="auto"/>
              <w:bottom w:val="single" w:sz="4" w:space="0" w:color="auto"/>
              <w:right w:val="single" w:sz="4" w:space="0" w:color="auto"/>
            </w:tcBorders>
            <w:shd w:val="clear" w:color="auto" w:fill="auto"/>
          </w:tcPr>
          <w:p w14:paraId="3BA80145" w14:textId="6F0B1D59" w:rsidR="0002496E" w:rsidRPr="00430543" w:rsidRDefault="0002496E" w:rsidP="0002496E">
            <w:pPr>
              <w:widowControl w:val="0"/>
              <w:suppressAutoHyphens/>
              <w:ind w:left="57" w:right="113"/>
              <w:jc w:val="both"/>
              <w:rPr>
                <w:sz w:val="18"/>
                <w:szCs w:val="18"/>
                <w:lang w:eastAsia="ar-SA"/>
              </w:rPr>
            </w:pPr>
            <w:r w:rsidRPr="00430543">
              <w:rPr>
                <w:sz w:val="18"/>
                <w:szCs w:val="18"/>
                <w:lang w:eastAsia="ar-SA"/>
              </w:rPr>
              <w:lastRenderedPageBreak/>
              <w:t>§ 149</w:t>
            </w:r>
            <w:r w:rsidR="00AF4A76">
              <w:rPr>
                <w:sz w:val="18"/>
                <w:szCs w:val="18"/>
                <w:lang w:eastAsia="ar-SA"/>
              </w:rPr>
              <w:t xml:space="preserve"> odst. 1</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374589EF" w14:textId="59A69C2B" w:rsidR="0002496E" w:rsidRPr="00430543" w:rsidRDefault="00AF4A76" w:rsidP="00124813">
            <w:pPr>
              <w:pStyle w:val="Textparagrafu"/>
              <w:rPr>
                <w:sz w:val="18"/>
                <w:szCs w:val="18"/>
              </w:rPr>
            </w:pPr>
            <w:r w:rsidRPr="00AF4A76">
              <w:rPr>
                <w:sz w:val="18"/>
                <w:szCs w:val="18"/>
              </w:rPr>
              <w:t xml:space="preserve">(1) Pro účely určení zisku vyloučeného na základě ekonomické podstaty skupiny v daném státě se ve </w:t>
            </w:r>
            <w:r w:rsidRPr="00AF4A76">
              <w:rPr>
                <w:b/>
                <w:sz w:val="18"/>
                <w:szCs w:val="18"/>
                <w:u w:val="single"/>
              </w:rPr>
              <w:t>výkazních</w:t>
            </w:r>
            <w:r w:rsidRPr="00AF4A76">
              <w:rPr>
                <w:sz w:val="18"/>
                <w:szCs w:val="18"/>
              </w:rPr>
              <w:t xml:space="preserve"> obdobích kalendářních let 2023 až 2032 při určení vyňatých mzdových nákladů a vyňatých hmotných aktiv členské entity namísto koeficientů ve výši 5 % podle § 82 odst. 4 a 5 použijí koeficienty stanovené v příloze k tomuto zákonu.</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01C975D0" w14:textId="01ACF9C9" w:rsidR="0002496E" w:rsidRPr="00430543" w:rsidRDefault="0002496E" w:rsidP="0002496E">
            <w:pPr>
              <w:widowControl w:val="0"/>
              <w:ind w:left="57" w:right="113"/>
              <w:rPr>
                <w:sz w:val="18"/>
                <w:szCs w:val="18"/>
              </w:rPr>
            </w:pPr>
            <w:r w:rsidRPr="00430543">
              <w:rPr>
                <w:color w:val="000000"/>
                <w:sz w:val="18"/>
                <w:szCs w:val="18"/>
              </w:rPr>
              <w:t>32022L2523</w:t>
            </w: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28B953D4" w14:textId="0B7AE6EB" w:rsidR="0002496E" w:rsidRPr="00430543" w:rsidRDefault="0002496E" w:rsidP="0002496E">
            <w:pPr>
              <w:widowControl w:val="0"/>
              <w:ind w:left="57" w:right="113"/>
              <w:rPr>
                <w:sz w:val="18"/>
                <w:szCs w:val="18"/>
              </w:rPr>
            </w:pPr>
            <w:r w:rsidRPr="00430543">
              <w:rPr>
                <w:sz w:val="18"/>
                <w:szCs w:val="18"/>
              </w:rPr>
              <w:t>čl. 48</w:t>
            </w:r>
            <w:r w:rsidR="00AF4A76">
              <w:rPr>
                <w:sz w:val="18"/>
                <w:szCs w:val="18"/>
              </w:rPr>
              <w:t xml:space="preserve"> odst. 1</w:t>
            </w:r>
          </w:p>
        </w:tc>
        <w:tc>
          <w:tcPr>
            <w:tcW w:w="2381" w:type="pct"/>
            <w:tcBorders>
              <w:top w:val="single" w:sz="4" w:space="0" w:color="auto"/>
              <w:left w:val="single" w:sz="4" w:space="0" w:color="auto"/>
              <w:bottom w:val="single" w:sz="4" w:space="0" w:color="auto"/>
              <w:right w:val="single" w:sz="4" w:space="0" w:color="auto"/>
            </w:tcBorders>
            <w:shd w:val="clear" w:color="auto" w:fill="auto"/>
          </w:tcPr>
          <w:p w14:paraId="3B0039D4" w14:textId="77777777" w:rsidR="0002496E" w:rsidRPr="00B1159F" w:rsidRDefault="0002496E" w:rsidP="0002496E">
            <w:pPr>
              <w:pStyle w:val="Default"/>
              <w:rPr>
                <w:rFonts w:ascii="Times New Roman" w:hAnsi="Times New Roman" w:cs="Times New Roman"/>
                <w:sz w:val="18"/>
                <w:szCs w:val="18"/>
              </w:rPr>
            </w:pPr>
            <w:r w:rsidRPr="00B1159F">
              <w:rPr>
                <w:rFonts w:ascii="Times New Roman" w:hAnsi="Times New Roman" w:cs="Times New Roman"/>
                <w:sz w:val="18"/>
                <w:szCs w:val="18"/>
              </w:rPr>
              <w:t>1.   Pro účely čl. 28 odst. 3 se hodnota 5 % pro každé účetní období začínající od 31. prosince následujících kalendářních let nahrazuje hodnotami stanovenými v této tabulce:</w:t>
            </w:r>
          </w:p>
          <w:p w14:paraId="12B740C0" w14:textId="77777777" w:rsidR="0002496E" w:rsidRPr="00B1159F" w:rsidRDefault="0002496E" w:rsidP="0002496E">
            <w:pPr>
              <w:pStyle w:val="Default"/>
              <w:rPr>
                <w:rFonts w:ascii="Times New Roman" w:hAnsi="Times New Roman" w:cs="Times New Roman"/>
                <w:sz w:val="18"/>
                <w:szCs w:val="18"/>
              </w:rPr>
            </w:pPr>
          </w:p>
          <w:tbl>
            <w:tblPr>
              <w:tblStyle w:val="Mkatabulky"/>
              <w:tblW w:w="0" w:type="auto"/>
              <w:tblLook w:val="04A0" w:firstRow="1" w:lastRow="0" w:firstColumn="1" w:lastColumn="0" w:noHBand="0" w:noVBand="1"/>
            </w:tblPr>
            <w:tblGrid>
              <w:gridCol w:w="576"/>
              <w:gridCol w:w="636"/>
            </w:tblGrid>
            <w:tr w:rsidR="0002496E" w:rsidRPr="00407808" w14:paraId="60483EFD" w14:textId="77777777" w:rsidTr="00407808">
              <w:tc>
                <w:tcPr>
                  <w:tcW w:w="0" w:type="auto"/>
                </w:tcPr>
                <w:p w14:paraId="26C4146C" w14:textId="1CE943A9"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2023</w:t>
                  </w:r>
                </w:p>
              </w:tc>
              <w:tc>
                <w:tcPr>
                  <w:tcW w:w="0" w:type="auto"/>
                </w:tcPr>
                <w:p w14:paraId="4B503D30" w14:textId="1BA826E8"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10 %</w:t>
                  </w:r>
                </w:p>
              </w:tc>
            </w:tr>
            <w:tr w:rsidR="0002496E" w:rsidRPr="00407808" w14:paraId="629385FB" w14:textId="77777777" w:rsidTr="00407808">
              <w:tc>
                <w:tcPr>
                  <w:tcW w:w="0" w:type="auto"/>
                </w:tcPr>
                <w:p w14:paraId="4EA566F8" w14:textId="317CCBEE"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2024</w:t>
                  </w:r>
                </w:p>
              </w:tc>
              <w:tc>
                <w:tcPr>
                  <w:tcW w:w="0" w:type="auto"/>
                </w:tcPr>
                <w:p w14:paraId="3A6C29FC" w14:textId="421B6EF7"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9,8 %</w:t>
                  </w:r>
                </w:p>
              </w:tc>
            </w:tr>
            <w:tr w:rsidR="0002496E" w:rsidRPr="00407808" w14:paraId="3AD42944" w14:textId="77777777" w:rsidTr="00407808">
              <w:tc>
                <w:tcPr>
                  <w:tcW w:w="0" w:type="auto"/>
                </w:tcPr>
                <w:p w14:paraId="5087DB6E" w14:textId="5EF6EE28"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2025</w:t>
                  </w:r>
                </w:p>
              </w:tc>
              <w:tc>
                <w:tcPr>
                  <w:tcW w:w="0" w:type="auto"/>
                </w:tcPr>
                <w:p w14:paraId="06F9DE5C" w14:textId="69E05A59"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9,6 %</w:t>
                  </w:r>
                </w:p>
              </w:tc>
            </w:tr>
            <w:tr w:rsidR="0002496E" w:rsidRPr="00407808" w14:paraId="5B7E3B7A" w14:textId="77777777" w:rsidTr="00407808">
              <w:tc>
                <w:tcPr>
                  <w:tcW w:w="0" w:type="auto"/>
                </w:tcPr>
                <w:p w14:paraId="783FF83B" w14:textId="3239AE4C"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2026</w:t>
                  </w:r>
                </w:p>
              </w:tc>
              <w:tc>
                <w:tcPr>
                  <w:tcW w:w="0" w:type="auto"/>
                </w:tcPr>
                <w:p w14:paraId="4922EA2A" w14:textId="001EA201"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9,4 %</w:t>
                  </w:r>
                </w:p>
              </w:tc>
            </w:tr>
            <w:tr w:rsidR="0002496E" w:rsidRPr="00407808" w14:paraId="14DFBE3E" w14:textId="77777777" w:rsidTr="00407808">
              <w:tc>
                <w:tcPr>
                  <w:tcW w:w="0" w:type="auto"/>
                </w:tcPr>
                <w:p w14:paraId="14BC9895" w14:textId="1994E4EA"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2027</w:t>
                  </w:r>
                </w:p>
              </w:tc>
              <w:tc>
                <w:tcPr>
                  <w:tcW w:w="0" w:type="auto"/>
                </w:tcPr>
                <w:p w14:paraId="223636C4" w14:textId="053D3E8A"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9,2 %</w:t>
                  </w:r>
                </w:p>
              </w:tc>
            </w:tr>
            <w:tr w:rsidR="0002496E" w:rsidRPr="00407808" w14:paraId="1CF253B4" w14:textId="77777777" w:rsidTr="00407808">
              <w:tc>
                <w:tcPr>
                  <w:tcW w:w="0" w:type="auto"/>
                </w:tcPr>
                <w:p w14:paraId="66921D79" w14:textId="24A5BC80"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2028</w:t>
                  </w:r>
                </w:p>
              </w:tc>
              <w:tc>
                <w:tcPr>
                  <w:tcW w:w="0" w:type="auto"/>
                </w:tcPr>
                <w:p w14:paraId="0E8199B4" w14:textId="2CB486D7"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9,0 %</w:t>
                  </w:r>
                </w:p>
              </w:tc>
            </w:tr>
            <w:tr w:rsidR="0002496E" w:rsidRPr="00407808" w14:paraId="6D4A8531" w14:textId="77777777" w:rsidTr="00407808">
              <w:tc>
                <w:tcPr>
                  <w:tcW w:w="0" w:type="auto"/>
                </w:tcPr>
                <w:p w14:paraId="1781D48B" w14:textId="5A23DBCF"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2029</w:t>
                  </w:r>
                </w:p>
              </w:tc>
              <w:tc>
                <w:tcPr>
                  <w:tcW w:w="0" w:type="auto"/>
                </w:tcPr>
                <w:p w14:paraId="6AC39C27" w14:textId="50C61516"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8,2 %</w:t>
                  </w:r>
                </w:p>
              </w:tc>
            </w:tr>
            <w:tr w:rsidR="0002496E" w:rsidRPr="00407808" w14:paraId="62A35B8E" w14:textId="77777777" w:rsidTr="00407808">
              <w:tc>
                <w:tcPr>
                  <w:tcW w:w="0" w:type="auto"/>
                </w:tcPr>
                <w:p w14:paraId="5EE4A0C2" w14:textId="7A314F8F"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2030</w:t>
                  </w:r>
                </w:p>
              </w:tc>
              <w:tc>
                <w:tcPr>
                  <w:tcW w:w="0" w:type="auto"/>
                </w:tcPr>
                <w:p w14:paraId="03F82B57" w14:textId="55996E82"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7,4 %</w:t>
                  </w:r>
                </w:p>
              </w:tc>
            </w:tr>
            <w:tr w:rsidR="0002496E" w:rsidRPr="00407808" w14:paraId="2D873E98" w14:textId="77777777" w:rsidTr="00407808">
              <w:tc>
                <w:tcPr>
                  <w:tcW w:w="0" w:type="auto"/>
                </w:tcPr>
                <w:p w14:paraId="2FFC4435" w14:textId="36DCF46B"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2031</w:t>
                  </w:r>
                </w:p>
              </w:tc>
              <w:tc>
                <w:tcPr>
                  <w:tcW w:w="0" w:type="auto"/>
                </w:tcPr>
                <w:p w14:paraId="7BD17520" w14:textId="381FCBDF"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6,6 %</w:t>
                  </w:r>
                </w:p>
              </w:tc>
            </w:tr>
            <w:tr w:rsidR="0002496E" w:rsidRPr="00407808" w14:paraId="2C363F1B" w14:textId="77777777" w:rsidTr="00407808">
              <w:tc>
                <w:tcPr>
                  <w:tcW w:w="0" w:type="auto"/>
                </w:tcPr>
                <w:p w14:paraId="38790B56" w14:textId="77777777"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2032</w:t>
                  </w:r>
                </w:p>
              </w:tc>
              <w:tc>
                <w:tcPr>
                  <w:tcW w:w="0" w:type="auto"/>
                </w:tcPr>
                <w:p w14:paraId="16B4ABF9" w14:textId="77777777" w:rsidR="0002496E" w:rsidRPr="00407808" w:rsidRDefault="0002496E" w:rsidP="0002496E">
                  <w:pPr>
                    <w:pStyle w:val="Default"/>
                    <w:rPr>
                      <w:rFonts w:ascii="Times New Roman" w:hAnsi="Times New Roman" w:cs="Times New Roman"/>
                      <w:sz w:val="18"/>
                      <w:szCs w:val="18"/>
                    </w:rPr>
                  </w:pPr>
                  <w:r w:rsidRPr="00407808">
                    <w:rPr>
                      <w:rFonts w:ascii="Times New Roman" w:hAnsi="Times New Roman" w:cs="Times New Roman"/>
                      <w:sz w:val="18"/>
                      <w:szCs w:val="18"/>
                    </w:rPr>
                    <w:t>5,8 %</w:t>
                  </w:r>
                </w:p>
              </w:tc>
            </w:tr>
          </w:tbl>
          <w:p w14:paraId="68D1A663" w14:textId="4512EA87" w:rsidR="0002496E" w:rsidRPr="007936DA" w:rsidRDefault="0002496E" w:rsidP="0002496E">
            <w:pPr>
              <w:pStyle w:val="Default"/>
              <w:rPr>
                <w:rFonts w:ascii="Times New Roman" w:hAnsi="Times New Roman" w:cs="Times New Roman"/>
                <w:sz w:val="18"/>
                <w:szCs w:val="18"/>
              </w:rPr>
            </w:pPr>
          </w:p>
        </w:tc>
      </w:tr>
    </w:tbl>
    <w:p w14:paraId="71680E24" w14:textId="30C14584" w:rsidR="00D83DBF" w:rsidRDefault="00D83DBF" w:rsidP="009968A1">
      <w:pPr>
        <w:widowControl w:val="0"/>
        <w:spacing w:before="40" w:after="40"/>
        <w:ind w:left="57" w:right="113"/>
        <w:rPr>
          <w:sz w:val="10"/>
        </w:rPr>
      </w:pPr>
    </w:p>
    <w:tbl>
      <w:tblPr>
        <w:tblW w:w="5000" w:type="pct"/>
        <w:tblCellMar>
          <w:left w:w="0" w:type="dxa"/>
          <w:right w:w="0" w:type="dxa"/>
        </w:tblCellMar>
        <w:tblLook w:val="04A0" w:firstRow="1" w:lastRow="0" w:firstColumn="1" w:lastColumn="0" w:noHBand="0" w:noVBand="1"/>
      </w:tblPr>
      <w:tblGrid>
        <w:gridCol w:w="5326"/>
        <w:gridCol w:w="9054"/>
      </w:tblGrid>
      <w:tr w:rsidR="00A66125" w:rsidRPr="00675767" w14:paraId="2CF19826" w14:textId="77777777" w:rsidTr="00420C6A">
        <w:trPr>
          <w:cantSplit/>
          <w:trHeight w:val="397"/>
        </w:trPr>
        <w:tc>
          <w:tcPr>
            <w:tcW w:w="1852" w:type="pct"/>
            <w:tcBorders>
              <w:top w:val="single" w:sz="8" w:space="0" w:color="000000"/>
              <w:left w:val="single" w:sz="8" w:space="0" w:color="000000"/>
              <w:bottom w:val="single" w:sz="8" w:space="0" w:color="000000"/>
              <w:right w:val="nil"/>
            </w:tcBorders>
            <w:shd w:val="pct25" w:color="auto" w:fill="auto"/>
            <w:vAlign w:val="center"/>
            <w:hideMark/>
          </w:tcPr>
          <w:p w14:paraId="3FF375E3" w14:textId="77777777" w:rsidR="00A66125" w:rsidRPr="00430543" w:rsidRDefault="00A66125" w:rsidP="002407F3">
            <w:pPr>
              <w:keepNext/>
              <w:widowControl w:val="0"/>
              <w:tabs>
                <w:tab w:val="left" w:pos="360"/>
              </w:tabs>
              <w:suppressAutoHyphens/>
              <w:spacing w:before="40" w:after="40" w:line="276" w:lineRule="auto"/>
              <w:ind w:left="57" w:right="113"/>
              <w:rPr>
                <w:b/>
                <w:sz w:val="18"/>
                <w:szCs w:val="18"/>
                <w:lang w:eastAsia="ar-SA"/>
              </w:rPr>
            </w:pPr>
            <w:r w:rsidRPr="00430543">
              <w:rPr>
                <w:b/>
                <w:sz w:val="18"/>
                <w:szCs w:val="18"/>
              </w:rPr>
              <w:lastRenderedPageBreak/>
              <w:t xml:space="preserve">Číslo předpisu EU (kód </w:t>
            </w:r>
            <w:proofErr w:type="spellStart"/>
            <w:r w:rsidRPr="00430543">
              <w:rPr>
                <w:b/>
                <w:sz w:val="18"/>
                <w:szCs w:val="18"/>
              </w:rPr>
              <w:t>celex</w:t>
            </w:r>
            <w:proofErr w:type="spellEnd"/>
            <w:r w:rsidRPr="00430543">
              <w:rPr>
                <w:b/>
                <w:sz w:val="18"/>
                <w:szCs w:val="18"/>
              </w:rPr>
              <w:t>)</w:t>
            </w:r>
          </w:p>
        </w:tc>
        <w:tc>
          <w:tcPr>
            <w:tcW w:w="3148" w:type="pct"/>
            <w:tcBorders>
              <w:top w:val="single" w:sz="8" w:space="0" w:color="000000"/>
              <w:left w:val="single" w:sz="8" w:space="0" w:color="000000"/>
              <w:bottom w:val="single" w:sz="8" w:space="0" w:color="000000"/>
              <w:right w:val="single" w:sz="8" w:space="0" w:color="000000"/>
            </w:tcBorders>
            <w:shd w:val="pct25" w:color="auto" w:fill="auto"/>
            <w:vAlign w:val="center"/>
            <w:hideMark/>
          </w:tcPr>
          <w:p w14:paraId="79FE5436" w14:textId="77777777" w:rsidR="00A66125" w:rsidRPr="00430543" w:rsidRDefault="00A66125" w:rsidP="009968A1">
            <w:pPr>
              <w:widowControl w:val="0"/>
              <w:tabs>
                <w:tab w:val="left" w:pos="360"/>
              </w:tabs>
              <w:suppressAutoHyphens/>
              <w:spacing w:before="40" w:after="40" w:line="276" w:lineRule="auto"/>
              <w:ind w:left="57" w:right="113"/>
              <w:rPr>
                <w:b/>
                <w:sz w:val="18"/>
                <w:szCs w:val="18"/>
                <w:lang w:eastAsia="ar-SA"/>
              </w:rPr>
            </w:pPr>
            <w:r w:rsidRPr="00430543">
              <w:rPr>
                <w:b/>
                <w:sz w:val="18"/>
                <w:szCs w:val="18"/>
              </w:rPr>
              <w:t>Název předpisu EU</w:t>
            </w:r>
          </w:p>
        </w:tc>
      </w:tr>
      <w:tr w:rsidR="005839AA" w:rsidRPr="00A20855" w14:paraId="79A8D08B" w14:textId="77777777" w:rsidTr="00420C6A">
        <w:trPr>
          <w:cantSplit/>
        </w:trPr>
        <w:tc>
          <w:tcPr>
            <w:tcW w:w="1852" w:type="pct"/>
            <w:tcBorders>
              <w:top w:val="single" w:sz="8" w:space="0" w:color="000000"/>
              <w:left w:val="single" w:sz="8" w:space="0" w:color="000000"/>
              <w:bottom w:val="single" w:sz="8" w:space="0" w:color="000000"/>
              <w:right w:val="nil"/>
            </w:tcBorders>
          </w:tcPr>
          <w:p w14:paraId="4B66BF73" w14:textId="77777777" w:rsidR="005839AA" w:rsidRPr="00430543" w:rsidRDefault="00E44C15" w:rsidP="002407F3">
            <w:pPr>
              <w:keepNext/>
              <w:widowControl w:val="0"/>
              <w:spacing w:before="40" w:after="40"/>
              <w:ind w:left="57" w:right="113"/>
              <w:rPr>
                <w:sz w:val="18"/>
                <w:szCs w:val="18"/>
                <w:highlight w:val="yellow"/>
              </w:rPr>
            </w:pPr>
            <w:r w:rsidRPr="00430543">
              <w:rPr>
                <w:sz w:val="18"/>
                <w:szCs w:val="18"/>
              </w:rPr>
              <w:t>32022L2523</w:t>
            </w:r>
          </w:p>
        </w:tc>
        <w:tc>
          <w:tcPr>
            <w:tcW w:w="3148" w:type="pct"/>
            <w:tcBorders>
              <w:top w:val="single" w:sz="8" w:space="0" w:color="000000"/>
              <w:left w:val="single" w:sz="8" w:space="0" w:color="000000"/>
              <w:bottom w:val="single" w:sz="8" w:space="0" w:color="000000"/>
              <w:right w:val="single" w:sz="8" w:space="0" w:color="000000"/>
            </w:tcBorders>
          </w:tcPr>
          <w:p w14:paraId="3FCB69DB" w14:textId="77777777" w:rsidR="005839AA" w:rsidRPr="00430543" w:rsidRDefault="000633C8" w:rsidP="009968A1">
            <w:pPr>
              <w:widowControl w:val="0"/>
              <w:spacing w:before="40" w:after="40"/>
              <w:ind w:left="57" w:right="113"/>
              <w:rPr>
                <w:sz w:val="18"/>
                <w:szCs w:val="18"/>
                <w:highlight w:val="yellow"/>
              </w:rPr>
            </w:pPr>
            <w:r w:rsidRPr="00430543">
              <w:rPr>
                <w:sz w:val="18"/>
                <w:szCs w:val="18"/>
              </w:rPr>
              <w:t>SMĚRNICE RADY (EU) 2022/2523 ze dne 14. prosince 2022 o zajištění globální minimální úrovně zdanění nadnárodních skupin podniků a velkých vnitrostátních skupin v Unii</w:t>
            </w:r>
          </w:p>
        </w:tc>
      </w:tr>
      <w:tr w:rsidR="00627814" w:rsidRPr="00A20855" w14:paraId="47F60114" w14:textId="77777777" w:rsidTr="00420C6A">
        <w:trPr>
          <w:cantSplit/>
        </w:trPr>
        <w:tc>
          <w:tcPr>
            <w:tcW w:w="1852" w:type="pct"/>
            <w:tcBorders>
              <w:top w:val="single" w:sz="8" w:space="0" w:color="000000"/>
              <w:left w:val="single" w:sz="8" w:space="0" w:color="000000"/>
              <w:bottom w:val="single" w:sz="8" w:space="0" w:color="000000"/>
              <w:right w:val="nil"/>
            </w:tcBorders>
          </w:tcPr>
          <w:p w14:paraId="1A4634A5" w14:textId="28354290" w:rsidR="00627814" w:rsidRPr="00430543" w:rsidRDefault="00627814" w:rsidP="009968A1">
            <w:pPr>
              <w:widowControl w:val="0"/>
              <w:spacing w:before="40" w:after="40"/>
              <w:ind w:left="57" w:right="113"/>
              <w:rPr>
                <w:sz w:val="18"/>
                <w:szCs w:val="18"/>
              </w:rPr>
            </w:pPr>
            <w:r w:rsidRPr="00430543">
              <w:rPr>
                <w:sz w:val="18"/>
                <w:szCs w:val="18"/>
              </w:rPr>
              <w:t>32016L1164</w:t>
            </w:r>
          </w:p>
        </w:tc>
        <w:tc>
          <w:tcPr>
            <w:tcW w:w="3148" w:type="pct"/>
            <w:tcBorders>
              <w:top w:val="single" w:sz="8" w:space="0" w:color="000000"/>
              <w:left w:val="single" w:sz="8" w:space="0" w:color="000000"/>
              <w:bottom w:val="single" w:sz="8" w:space="0" w:color="000000"/>
              <w:right w:val="single" w:sz="8" w:space="0" w:color="000000"/>
            </w:tcBorders>
          </w:tcPr>
          <w:p w14:paraId="125E552B" w14:textId="77A326E8" w:rsidR="00627814" w:rsidRPr="00430543" w:rsidRDefault="00627814" w:rsidP="00627814">
            <w:pPr>
              <w:widowControl w:val="0"/>
              <w:spacing w:before="40" w:after="40"/>
              <w:ind w:left="57" w:right="113"/>
              <w:rPr>
                <w:sz w:val="18"/>
                <w:szCs w:val="18"/>
              </w:rPr>
            </w:pPr>
            <w:r w:rsidRPr="00430543">
              <w:rPr>
                <w:sz w:val="18"/>
                <w:szCs w:val="18"/>
              </w:rPr>
              <w:t>SMĚRNICE RADY (EU) 2016/1164 ze dne 12. července 2016, kterou se stanoví pravidla proti praktikám vyhýbání se daňovým povinnostem, které mají přímý vliv na fungování vnitřního trhu</w:t>
            </w:r>
          </w:p>
        </w:tc>
      </w:tr>
    </w:tbl>
    <w:p w14:paraId="3C012AB6" w14:textId="77777777" w:rsidR="00A66125" w:rsidRPr="00675767" w:rsidRDefault="00A66125" w:rsidP="009968A1">
      <w:pPr>
        <w:widowControl w:val="0"/>
        <w:spacing w:before="40" w:after="40"/>
        <w:ind w:left="57" w:right="113"/>
        <w:rPr>
          <w:sz w:val="20"/>
          <w:szCs w:val="20"/>
        </w:rPr>
      </w:pPr>
    </w:p>
    <w:sectPr w:rsidR="00A66125" w:rsidRPr="00675767" w:rsidSect="00420C6A">
      <w:headerReference w:type="default" r:id="rId18"/>
      <w:headerReference w:type="first" r:id="rId19"/>
      <w:pgSz w:w="15840" w:h="12240" w:orient="landscape"/>
      <w:pgMar w:top="720" w:right="720" w:bottom="720" w:left="720" w:header="709"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7D72B" w14:textId="77777777" w:rsidR="00401306" w:rsidRDefault="00401306" w:rsidP="00F53C3A">
      <w:r>
        <w:separator/>
      </w:r>
    </w:p>
  </w:endnote>
  <w:endnote w:type="continuationSeparator" w:id="0">
    <w:p w14:paraId="675941CE" w14:textId="77777777" w:rsidR="00401306" w:rsidRDefault="00401306" w:rsidP="00F53C3A">
      <w:r>
        <w:continuationSeparator/>
      </w:r>
    </w:p>
  </w:endnote>
  <w:endnote w:type="continuationNotice" w:id="1">
    <w:p w14:paraId="0620BDB2" w14:textId="77777777" w:rsidR="00401306" w:rsidRDefault="00401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5" w:usb1="00000000" w:usb2="00000000" w:usb3="00000000" w:csb0="00000002"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BD2F8" w14:textId="77777777" w:rsidR="00401306" w:rsidRDefault="00401306" w:rsidP="00F53C3A">
      <w:r>
        <w:separator/>
      </w:r>
    </w:p>
  </w:footnote>
  <w:footnote w:type="continuationSeparator" w:id="0">
    <w:p w14:paraId="7CBB61BD" w14:textId="77777777" w:rsidR="00401306" w:rsidRDefault="00401306" w:rsidP="00F53C3A">
      <w:r>
        <w:continuationSeparator/>
      </w:r>
    </w:p>
  </w:footnote>
  <w:footnote w:type="continuationNotice" w:id="1">
    <w:p w14:paraId="418E9238" w14:textId="77777777" w:rsidR="00401306" w:rsidRDefault="0040130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9304399"/>
      <w:docPartObj>
        <w:docPartGallery w:val="Page Numbers (Top of Page)"/>
        <w:docPartUnique/>
      </w:docPartObj>
    </w:sdtPr>
    <w:sdtContent>
      <w:p w14:paraId="5EE41437" w14:textId="4F0C12D9" w:rsidR="00401306" w:rsidRDefault="00401306">
        <w:pPr>
          <w:pStyle w:val="Zhlav"/>
          <w:jc w:val="center"/>
        </w:pPr>
        <w:r>
          <w:fldChar w:fldCharType="begin"/>
        </w:r>
        <w:r>
          <w:instrText>PAGE   \* MERGEFORMAT</w:instrText>
        </w:r>
        <w:r>
          <w:fldChar w:fldCharType="separate"/>
        </w:r>
        <w:r w:rsidR="00ED1DBA">
          <w:rPr>
            <w:noProof/>
          </w:rPr>
          <w:t>- 41 -</w:t>
        </w:r>
        <w:r>
          <w:fldChar w:fldCharType="end"/>
        </w:r>
      </w:p>
    </w:sdtContent>
  </w:sdt>
  <w:p w14:paraId="6EE85D2A" w14:textId="77777777" w:rsidR="00401306" w:rsidRDefault="0040130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20CA" w14:textId="5D65FC4D" w:rsidR="00401306" w:rsidRPr="00BD568C" w:rsidRDefault="00401306" w:rsidP="00353BDC">
    <w:pPr>
      <w:pStyle w:val="Zhlav"/>
      <w:jc w:val="right"/>
      <w:rPr>
        <w:b/>
      </w:rPr>
    </w:pPr>
    <w:r>
      <w:rPr>
        <w:b/>
      </w:rPr>
      <w:t>VII.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64F63"/>
    <w:multiLevelType w:val="hybridMultilevel"/>
    <w:tmpl w:val="9F9A7A24"/>
    <w:lvl w:ilvl="0" w:tplc="4F76E54E">
      <w:start w:val="1"/>
      <w:numFmt w:val="lowerRoman"/>
      <w:lvlText w:val="%1)"/>
      <w:lvlJc w:val="left"/>
      <w:pPr>
        <w:ind w:left="777" w:hanging="720"/>
      </w:pPr>
      <w:rPr>
        <w:rFonts w:hint="default"/>
      </w:rPr>
    </w:lvl>
    <w:lvl w:ilvl="1" w:tplc="04050019" w:tentative="1">
      <w:start w:val="1"/>
      <w:numFmt w:val="lowerLetter"/>
      <w:lvlText w:val="%2."/>
      <w:lvlJc w:val="left"/>
      <w:pPr>
        <w:ind w:left="1137" w:hanging="360"/>
      </w:pPr>
    </w:lvl>
    <w:lvl w:ilvl="2" w:tplc="0405001B" w:tentative="1">
      <w:start w:val="1"/>
      <w:numFmt w:val="lowerRoman"/>
      <w:lvlText w:val="%3."/>
      <w:lvlJc w:val="right"/>
      <w:pPr>
        <w:ind w:left="1857" w:hanging="180"/>
      </w:pPr>
    </w:lvl>
    <w:lvl w:ilvl="3" w:tplc="0405000F" w:tentative="1">
      <w:start w:val="1"/>
      <w:numFmt w:val="decimal"/>
      <w:lvlText w:val="%4."/>
      <w:lvlJc w:val="left"/>
      <w:pPr>
        <w:ind w:left="2577" w:hanging="360"/>
      </w:pPr>
    </w:lvl>
    <w:lvl w:ilvl="4" w:tplc="04050019" w:tentative="1">
      <w:start w:val="1"/>
      <w:numFmt w:val="lowerLetter"/>
      <w:lvlText w:val="%5."/>
      <w:lvlJc w:val="left"/>
      <w:pPr>
        <w:ind w:left="3297" w:hanging="360"/>
      </w:pPr>
    </w:lvl>
    <w:lvl w:ilvl="5" w:tplc="0405001B" w:tentative="1">
      <w:start w:val="1"/>
      <w:numFmt w:val="lowerRoman"/>
      <w:lvlText w:val="%6."/>
      <w:lvlJc w:val="right"/>
      <w:pPr>
        <w:ind w:left="4017" w:hanging="180"/>
      </w:pPr>
    </w:lvl>
    <w:lvl w:ilvl="6" w:tplc="0405000F" w:tentative="1">
      <w:start w:val="1"/>
      <w:numFmt w:val="decimal"/>
      <w:lvlText w:val="%7."/>
      <w:lvlJc w:val="left"/>
      <w:pPr>
        <w:ind w:left="4737" w:hanging="360"/>
      </w:pPr>
    </w:lvl>
    <w:lvl w:ilvl="7" w:tplc="04050019" w:tentative="1">
      <w:start w:val="1"/>
      <w:numFmt w:val="lowerLetter"/>
      <w:lvlText w:val="%8."/>
      <w:lvlJc w:val="left"/>
      <w:pPr>
        <w:ind w:left="5457" w:hanging="360"/>
      </w:pPr>
    </w:lvl>
    <w:lvl w:ilvl="8" w:tplc="0405001B" w:tentative="1">
      <w:start w:val="1"/>
      <w:numFmt w:val="lowerRoman"/>
      <w:lvlText w:val="%9."/>
      <w:lvlJc w:val="right"/>
      <w:pPr>
        <w:ind w:left="6177" w:hanging="180"/>
      </w:pPr>
    </w:lvl>
  </w:abstractNum>
  <w:abstractNum w:abstractNumId="1" w15:restartNumberingAfterBreak="0">
    <w:nsid w:val="0F1960D5"/>
    <w:multiLevelType w:val="hybridMultilevel"/>
    <w:tmpl w:val="B7E0A558"/>
    <w:lvl w:ilvl="0" w:tplc="43BE229A">
      <w:start w:val="1"/>
      <w:numFmt w:val="lowerLetter"/>
      <w:lvlText w:val="%1)"/>
      <w:lvlJc w:val="left"/>
      <w:pPr>
        <w:ind w:left="417" w:hanging="360"/>
      </w:pPr>
      <w:rPr>
        <w:rFonts w:hint="default"/>
      </w:rPr>
    </w:lvl>
    <w:lvl w:ilvl="1" w:tplc="04050019" w:tentative="1">
      <w:start w:val="1"/>
      <w:numFmt w:val="lowerLetter"/>
      <w:lvlText w:val="%2."/>
      <w:lvlJc w:val="left"/>
      <w:pPr>
        <w:ind w:left="1137" w:hanging="360"/>
      </w:pPr>
    </w:lvl>
    <w:lvl w:ilvl="2" w:tplc="0405001B" w:tentative="1">
      <w:start w:val="1"/>
      <w:numFmt w:val="lowerRoman"/>
      <w:lvlText w:val="%3."/>
      <w:lvlJc w:val="right"/>
      <w:pPr>
        <w:ind w:left="1857" w:hanging="180"/>
      </w:pPr>
    </w:lvl>
    <w:lvl w:ilvl="3" w:tplc="0405000F" w:tentative="1">
      <w:start w:val="1"/>
      <w:numFmt w:val="decimal"/>
      <w:lvlText w:val="%4."/>
      <w:lvlJc w:val="left"/>
      <w:pPr>
        <w:ind w:left="2577" w:hanging="360"/>
      </w:pPr>
    </w:lvl>
    <w:lvl w:ilvl="4" w:tplc="04050019" w:tentative="1">
      <w:start w:val="1"/>
      <w:numFmt w:val="lowerLetter"/>
      <w:lvlText w:val="%5."/>
      <w:lvlJc w:val="left"/>
      <w:pPr>
        <w:ind w:left="3297" w:hanging="360"/>
      </w:pPr>
    </w:lvl>
    <w:lvl w:ilvl="5" w:tplc="0405001B" w:tentative="1">
      <w:start w:val="1"/>
      <w:numFmt w:val="lowerRoman"/>
      <w:lvlText w:val="%6."/>
      <w:lvlJc w:val="right"/>
      <w:pPr>
        <w:ind w:left="4017" w:hanging="180"/>
      </w:pPr>
    </w:lvl>
    <w:lvl w:ilvl="6" w:tplc="0405000F" w:tentative="1">
      <w:start w:val="1"/>
      <w:numFmt w:val="decimal"/>
      <w:lvlText w:val="%7."/>
      <w:lvlJc w:val="left"/>
      <w:pPr>
        <w:ind w:left="4737" w:hanging="360"/>
      </w:pPr>
    </w:lvl>
    <w:lvl w:ilvl="7" w:tplc="04050019" w:tentative="1">
      <w:start w:val="1"/>
      <w:numFmt w:val="lowerLetter"/>
      <w:lvlText w:val="%8."/>
      <w:lvlJc w:val="left"/>
      <w:pPr>
        <w:ind w:left="5457" w:hanging="360"/>
      </w:pPr>
    </w:lvl>
    <w:lvl w:ilvl="8" w:tplc="0405001B" w:tentative="1">
      <w:start w:val="1"/>
      <w:numFmt w:val="lowerRoman"/>
      <w:lvlText w:val="%9."/>
      <w:lvlJc w:val="right"/>
      <w:pPr>
        <w:ind w:left="6177" w:hanging="180"/>
      </w:pPr>
    </w:lvl>
  </w:abstractNum>
  <w:abstractNum w:abstractNumId="2" w15:restartNumberingAfterBreak="0">
    <w:nsid w:val="0FCC42EB"/>
    <w:multiLevelType w:val="hybridMultilevel"/>
    <w:tmpl w:val="EEB8873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3222CCA"/>
    <w:multiLevelType w:val="hybridMultilevel"/>
    <w:tmpl w:val="278C914E"/>
    <w:lvl w:ilvl="0" w:tplc="D63C3504">
      <w:start w:val="1"/>
      <w:numFmt w:val="lowerLetter"/>
      <w:lvlText w:val="%1)"/>
      <w:lvlJc w:val="left"/>
      <w:pPr>
        <w:ind w:left="417" w:hanging="360"/>
      </w:pPr>
      <w:rPr>
        <w:rFonts w:hint="default"/>
      </w:rPr>
    </w:lvl>
    <w:lvl w:ilvl="1" w:tplc="04050019" w:tentative="1">
      <w:start w:val="1"/>
      <w:numFmt w:val="lowerLetter"/>
      <w:lvlText w:val="%2."/>
      <w:lvlJc w:val="left"/>
      <w:pPr>
        <w:ind w:left="1137" w:hanging="360"/>
      </w:pPr>
    </w:lvl>
    <w:lvl w:ilvl="2" w:tplc="0405001B" w:tentative="1">
      <w:start w:val="1"/>
      <w:numFmt w:val="lowerRoman"/>
      <w:lvlText w:val="%3."/>
      <w:lvlJc w:val="right"/>
      <w:pPr>
        <w:ind w:left="1857" w:hanging="180"/>
      </w:pPr>
    </w:lvl>
    <w:lvl w:ilvl="3" w:tplc="0405000F" w:tentative="1">
      <w:start w:val="1"/>
      <w:numFmt w:val="decimal"/>
      <w:lvlText w:val="%4."/>
      <w:lvlJc w:val="left"/>
      <w:pPr>
        <w:ind w:left="2577" w:hanging="360"/>
      </w:pPr>
    </w:lvl>
    <w:lvl w:ilvl="4" w:tplc="04050019" w:tentative="1">
      <w:start w:val="1"/>
      <w:numFmt w:val="lowerLetter"/>
      <w:lvlText w:val="%5."/>
      <w:lvlJc w:val="left"/>
      <w:pPr>
        <w:ind w:left="3297" w:hanging="360"/>
      </w:pPr>
    </w:lvl>
    <w:lvl w:ilvl="5" w:tplc="0405001B" w:tentative="1">
      <w:start w:val="1"/>
      <w:numFmt w:val="lowerRoman"/>
      <w:lvlText w:val="%6."/>
      <w:lvlJc w:val="right"/>
      <w:pPr>
        <w:ind w:left="4017" w:hanging="180"/>
      </w:pPr>
    </w:lvl>
    <w:lvl w:ilvl="6" w:tplc="0405000F" w:tentative="1">
      <w:start w:val="1"/>
      <w:numFmt w:val="decimal"/>
      <w:lvlText w:val="%7."/>
      <w:lvlJc w:val="left"/>
      <w:pPr>
        <w:ind w:left="4737" w:hanging="360"/>
      </w:pPr>
    </w:lvl>
    <w:lvl w:ilvl="7" w:tplc="04050019" w:tentative="1">
      <w:start w:val="1"/>
      <w:numFmt w:val="lowerLetter"/>
      <w:lvlText w:val="%8."/>
      <w:lvlJc w:val="left"/>
      <w:pPr>
        <w:ind w:left="5457" w:hanging="360"/>
      </w:pPr>
    </w:lvl>
    <w:lvl w:ilvl="8" w:tplc="0405001B" w:tentative="1">
      <w:start w:val="1"/>
      <w:numFmt w:val="lowerRoman"/>
      <w:lvlText w:val="%9."/>
      <w:lvlJc w:val="right"/>
      <w:pPr>
        <w:ind w:left="6177" w:hanging="180"/>
      </w:pPr>
    </w:lvl>
  </w:abstractNum>
  <w:abstractNum w:abstractNumId="4" w15:restartNumberingAfterBreak="0">
    <w:nsid w:val="19371BD0"/>
    <w:multiLevelType w:val="singleLevel"/>
    <w:tmpl w:val="97E49018"/>
    <w:lvl w:ilvl="0">
      <w:start w:val="1"/>
      <w:numFmt w:val="decimal"/>
      <w:pStyle w:val="Novelizanbod"/>
      <w:lvlText w:val="%1."/>
      <w:lvlJc w:val="left"/>
      <w:pPr>
        <w:tabs>
          <w:tab w:val="num" w:pos="567"/>
        </w:tabs>
        <w:ind w:left="567" w:hanging="567"/>
      </w:pPr>
      <w:rPr>
        <w:b/>
        <w:i w:val="0"/>
        <w:sz w:val="22"/>
        <w:szCs w:val="22"/>
      </w:rPr>
    </w:lvl>
  </w:abstractNum>
  <w:abstractNum w:abstractNumId="5" w15:restartNumberingAfterBreak="0">
    <w:nsid w:val="1B2B745A"/>
    <w:multiLevelType w:val="hybridMultilevel"/>
    <w:tmpl w:val="15A6E7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F13582F"/>
    <w:multiLevelType w:val="hybridMultilevel"/>
    <w:tmpl w:val="4A785F4E"/>
    <w:lvl w:ilvl="0" w:tplc="93C2F7F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0371DA8"/>
    <w:multiLevelType w:val="hybridMultilevel"/>
    <w:tmpl w:val="5964D3E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2B24638"/>
    <w:multiLevelType w:val="hybridMultilevel"/>
    <w:tmpl w:val="BCC41E1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2C060BD"/>
    <w:multiLevelType w:val="hybridMultilevel"/>
    <w:tmpl w:val="C312122E"/>
    <w:lvl w:ilvl="0" w:tplc="1ACC4808">
      <w:start w:val="1"/>
      <w:numFmt w:val="lowerLetter"/>
      <w:lvlText w:val="%1)"/>
      <w:lvlJc w:val="left"/>
      <w:pPr>
        <w:ind w:left="417" w:hanging="360"/>
      </w:pPr>
      <w:rPr>
        <w:rFonts w:hint="default"/>
      </w:rPr>
    </w:lvl>
    <w:lvl w:ilvl="1" w:tplc="04050019" w:tentative="1">
      <w:start w:val="1"/>
      <w:numFmt w:val="lowerLetter"/>
      <w:lvlText w:val="%2."/>
      <w:lvlJc w:val="left"/>
      <w:pPr>
        <w:ind w:left="1137" w:hanging="360"/>
      </w:pPr>
    </w:lvl>
    <w:lvl w:ilvl="2" w:tplc="0405001B" w:tentative="1">
      <w:start w:val="1"/>
      <w:numFmt w:val="lowerRoman"/>
      <w:lvlText w:val="%3."/>
      <w:lvlJc w:val="right"/>
      <w:pPr>
        <w:ind w:left="1857" w:hanging="180"/>
      </w:pPr>
    </w:lvl>
    <w:lvl w:ilvl="3" w:tplc="0405000F" w:tentative="1">
      <w:start w:val="1"/>
      <w:numFmt w:val="decimal"/>
      <w:lvlText w:val="%4."/>
      <w:lvlJc w:val="left"/>
      <w:pPr>
        <w:ind w:left="2577" w:hanging="360"/>
      </w:pPr>
    </w:lvl>
    <w:lvl w:ilvl="4" w:tplc="04050019" w:tentative="1">
      <w:start w:val="1"/>
      <w:numFmt w:val="lowerLetter"/>
      <w:lvlText w:val="%5."/>
      <w:lvlJc w:val="left"/>
      <w:pPr>
        <w:ind w:left="3297" w:hanging="360"/>
      </w:pPr>
    </w:lvl>
    <w:lvl w:ilvl="5" w:tplc="0405001B" w:tentative="1">
      <w:start w:val="1"/>
      <w:numFmt w:val="lowerRoman"/>
      <w:lvlText w:val="%6."/>
      <w:lvlJc w:val="right"/>
      <w:pPr>
        <w:ind w:left="4017" w:hanging="180"/>
      </w:pPr>
    </w:lvl>
    <w:lvl w:ilvl="6" w:tplc="0405000F" w:tentative="1">
      <w:start w:val="1"/>
      <w:numFmt w:val="decimal"/>
      <w:lvlText w:val="%7."/>
      <w:lvlJc w:val="left"/>
      <w:pPr>
        <w:ind w:left="4737" w:hanging="360"/>
      </w:pPr>
    </w:lvl>
    <w:lvl w:ilvl="7" w:tplc="04050019" w:tentative="1">
      <w:start w:val="1"/>
      <w:numFmt w:val="lowerLetter"/>
      <w:lvlText w:val="%8."/>
      <w:lvlJc w:val="left"/>
      <w:pPr>
        <w:ind w:left="5457" w:hanging="360"/>
      </w:pPr>
    </w:lvl>
    <w:lvl w:ilvl="8" w:tplc="0405001B" w:tentative="1">
      <w:start w:val="1"/>
      <w:numFmt w:val="lowerRoman"/>
      <w:lvlText w:val="%9."/>
      <w:lvlJc w:val="right"/>
      <w:pPr>
        <w:ind w:left="6177" w:hanging="180"/>
      </w:pPr>
    </w:lvl>
  </w:abstractNum>
  <w:abstractNum w:abstractNumId="10" w15:restartNumberingAfterBreak="0">
    <w:nsid w:val="24324162"/>
    <w:multiLevelType w:val="hybridMultilevel"/>
    <w:tmpl w:val="A1C46FD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48F2B31"/>
    <w:multiLevelType w:val="hybridMultilevel"/>
    <w:tmpl w:val="F3A6DBF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6A719E6"/>
    <w:multiLevelType w:val="hybridMultilevel"/>
    <w:tmpl w:val="323C7618"/>
    <w:lvl w:ilvl="0" w:tplc="1D7C938E">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6DD1FAE"/>
    <w:multiLevelType w:val="hybridMultilevel"/>
    <w:tmpl w:val="14267622"/>
    <w:lvl w:ilvl="0" w:tplc="55B0A3A2">
      <w:start w:val="1"/>
      <w:numFmt w:val="lowerLetter"/>
      <w:lvlText w:val="%1)"/>
      <w:lvlJc w:val="left"/>
      <w:pPr>
        <w:ind w:left="417" w:hanging="360"/>
      </w:pPr>
      <w:rPr>
        <w:rFonts w:hint="default"/>
      </w:rPr>
    </w:lvl>
    <w:lvl w:ilvl="1" w:tplc="04050019" w:tentative="1">
      <w:start w:val="1"/>
      <w:numFmt w:val="lowerLetter"/>
      <w:lvlText w:val="%2."/>
      <w:lvlJc w:val="left"/>
      <w:pPr>
        <w:ind w:left="1137" w:hanging="360"/>
      </w:pPr>
    </w:lvl>
    <w:lvl w:ilvl="2" w:tplc="0405001B" w:tentative="1">
      <w:start w:val="1"/>
      <w:numFmt w:val="lowerRoman"/>
      <w:lvlText w:val="%3."/>
      <w:lvlJc w:val="right"/>
      <w:pPr>
        <w:ind w:left="1857" w:hanging="180"/>
      </w:pPr>
    </w:lvl>
    <w:lvl w:ilvl="3" w:tplc="0405000F" w:tentative="1">
      <w:start w:val="1"/>
      <w:numFmt w:val="decimal"/>
      <w:lvlText w:val="%4."/>
      <w:lvlJc w:val="left"/>
      <w:pPr>
        <w:ind w:left="2577" w:hanging="360"/>
      </w:pPr>
    </w:lvl>
    <w:lvl w:ilvl="4" w:tplc="04050019" w:tentative="1">
      <w:start w:val="1"/>
      <w:numFmt w:val="lowerLetter"/>
      <w:lvlText w:val="%5."/>
      <w:lvlJc w:val="left"/>
      <w:pPr>
        <w:ind w:left="3297" w:hanging="360"/>
      </w:pPr>
    </w:lvl>
    <w:lvl w:ilvl="5" w:tplc="0405001B" w:tentative="1">
      <w:start w:val="1"/>
      <w:numFmt w:val="lowerRoman"/>
      <w:lvlText w:val="%6."/>
      <w:lvlJc w:val="right"/>
      <w:pPr>
        <w:ind w:left="4017" w:hanging="180"/>
      </w:pPr>
    </w:lvl>
    <w:lvl w:ilvl="6" w:tplc="0405000F" w:tentative="1">
      <w:start w:val="1"/>
      <w:numFmt w:val="decimal"/>
      <w:lvlText w:val="%7."/>
      <w:lvlJc w:val="left"/>
      <w:pPr>
        <w:ind w:left="4737" w:hanging="360"/>
      </w:pPr>
    </w:lvl>
    <w:lvl w:ilvl="7" w:tplc="04050019" w:tentative="1">
      <w:start w:val="1"/>
      <w:numFmt w:val="lowerLetter"/>
      <w:lvlText w:val="%8."/>
      <w:lvlJc w:val="left"/>
      <w:pPr>
        <w:ind w:left="5457" w:hanging="360"/>
      </w:pPr>
    </w:lvl>
    <w:lvl w:ilvl="8" w:tplc="0405001B" w:tentative="1">
      <w:start w:val="1"/>
      <w:numFmt w:val="lowerRoman"/>
      <w:lvlText w:val="%9."/>
      <w:lvlJc w:val="right"/>
      <w:pPr>
        <w:ind w:left="6177" w:hanging="180"/>
      </w:pPr>
    </w:lvl>
  </w:abstractNum>
  <w:abstractNum w:abstractNumId="14" w15:restartNumberingAfterBreak="0">
    <w:nsid w:val="26E85E83"/>
    <w:multiLevelType w:val="multilevel"/>
    <w:tmpl w:val="9856868E"/>
    <w:lvl w:ilvl="0">
      <w:start w:val="1"/>
      <w:numFmt w:val="none"/>
      <w:pStyle w:val="Paragraf"/>
      <w:isLgl/>
      <w:suff w:val="nothing"/>
      <w:lvlText w:val=""/>
      <w:lvlJc w:val="left"/>
      <w:pPr>
        <w:ind w:left="0" w:firstLine="0"/>
      </w:pPr>
      <w:rPr>
        <w:rFonts w:hint="default"/>
      </w:rPr>
    </w:lvl>
    <w:lvl w:ilvl="1">
      <w:start w:val="1"/>
      <w:numFmt w:val="none"/>
      <w:lvlRestart w:val="0"/>
      <w:pStyle w:val="lnek"/>
      <w:suff w:val="nothing"/>
      <w:lvlText w:val=""/>
      <w:lvlJc w:val="left"/>
      <w:pPr>
        <w:ind w:left="0" w:firstLine="0"/>
      </w:pPr>
      <w:rPr>
        <w:rFonts w:hint="default"/>
      </w:rPr>
    </w:lvl>
    <w:lvl w:ilvl="2">
      <w:start w:val="1"/>
      <w:numFmt w:val="decimal"/>
      <w:pStyle w:val="Textodstavce"/>
      <w:isLgl/>
      <w:lvlText w:val="(%3)"/>
      <w:lvlJc w:val="left"/>
      <w:pPr>
        <w:tabs>
          <w:tab w:val="num" w:pos="1634"/>
        </w:tabs>
        <w:ind w:left="852" w:firstLine="425"/>
      </w:pPr>
      <w:rPr>
        <w:rFonts w:ascii="Times New Roman" w:hAnsi="Times New Roman" w:cs="Times New Roman" w:hint="default"/>
        <w:b w:val="0"/>
        <w:i w:val="0"/>
        <w:color w:val="auto"/>
        <w:sz w:val="20"/>
        <w:szCs w:val="24"/>
      </w:rPr>
    </w:lvl>
    <w:lvl w:ilvl="3">
      <w:start w:val="1"/>
      <w:numFmt w:val="lowerLetter"/>
      <w:pStyle w:val="Textpsmene"/>
      <w:lvlText w:val="%4)"/>
      <w:lvlJc w:val="left"/>
      <w:pPr>
        <w:tabs>
          <w:tab w:val="num" w:pos="425"/>
        </w:tabs>
        <w:ind w:left="425" w:hanging="425"/>
      </w:pPr>
      <w:rPr>
        <w:rFonts w:hint="default"/>
      </w:rPr>
    </w:lvl>
    <w:lvl w:ilvl="4">
      <w:start w:val="1"/>
      <w:numFmt w:val="decimal"/>
      <w:pStyle w:val="Textbodu"/>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15" w15:restartNumberingAfterBreak="0">
    <w:nsid w:val="283C2FE4"/>
    <w:multiLevelType w:val="hybridMultilevel"/>
    <w:tmpl w:val="DD4EA65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93B74C9"/>
    <w:multiLevelType w:val="hybridMultilevel"/>
    <w:tmpl w:val="D5D0181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B0526DC"/>
    <w:multiLevelType w:val="hybridMultilevel"/>
    <w:tmpl w:val="D0EA5D34"/>
    <w:lvl w:ilvl="0" w:tplc="CA8AC276">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3FE423D"/>
    <w:multiLevelType w:val="hybridMultilevel"/>
    <w:tmpl w:val="1E9A7E6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46D7C90"/>
    <w:multiLevelType w:val="hybridMultilevel"/>
    <w:tmpl w:val="0312076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1" w15:restartNumberingAfterBreak="0">
    <w:nsid w:val="37364EF8"/>
    <w:multiLevelType w:val="hybridMultilevel"/>
    <w:tmpl w:val="2214D2A8"/>
    <w:lvl w:ilvl="0" w:tplc="57EA01E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CE730A1"/>
    <w:multiLevelType w:val="hybridMultilevel"/>
    <w:tmpl w:val="6E96DC7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D9A6EDB"/>
    <w:multiLevelType w:val="hybridMultilevel"/>
    <w:tmpl w:val="E0B29D7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37477B2"/>
    <w:multiLevelType w:val="hybridMultilevel"/>
    <w:tmpl w:val="8548C4E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3D742E6"/>
    <w:multiLevelType w:val="hybridMultilevel"/>
    <w:tmpl w:val="E9E6DBD6"/>
    <w:lvl w:ilvl="0" w:tplc="01D007D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A8F2242"/>
    <w:multiLevelType w:val="hybridMultilevel"/>
    <w:tmpl w:val="4BEC2216"/>
    <w:lvl w:ilvl="0" w:tplc="1C58D51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4CA04FA"/>
    <w:multiLevelType w:val="hybridMultilevel"/>
    <w:tmpl w:val="74FC62D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9207345"/>
    <w:multiLevelType w:val="hybridMultilevel"/>
    <w:tmpl w:val="37D444E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9C47A78"/>
    <w:multiLevelType w:val="hybridMultilevel"/>
    <w:tmpl w:val="E802199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CEF08DE"/>
    <w:multiLevelType w:val="hybridMultilevel"/>
    <w:tmpl w:val="721AE4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9232F5D"/>
    <w:multiLevelType w:val="multilevel"/>
    <w:tmpl w:val="EBDA8F54"/>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6B114C66"/>
    <w:multiLevelType w:val="hybridMultilevel"/>
    <w:tmpl w:val="C4BACB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E185538"/>
    <w:multiLevelType w:val="multilevel"/>
    <w:tmpl w:val="AB88135A"/>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lvlText w:val="(%3)"/>
      <w:lvlJc w:val="left"/>
      <w:pPr>
        <w:tabs>
          <w:tab w:val="num" w:pos="782"/>
        </w:tabs>
        <w:ind w:left="0" w:firstLine="425"/>
      </w:pPr>
    </w:lvl>
    <w:lvl w:ilvl="3">
      <w:start w:val="1"/>
      <w:numFmt w:val="lowerLetter"/>
      <w:lvlText w:val="%4)"/>
      <w:lvlJc w:val="left"/>
      <w:pPr>
        <w:tabs>
          <w:tab w:val="num" w:pos="425"/>
        </w:tabs>
        <w:ind w:left="425" w:hanging="425"/>
      </w:pPr>
    </w:lvl>
    <w:lvl w:ilvl="4">
      <w:start w:val="1"/>
      <w:numFmt w:val="decimal"/>
      <w:lvlText w:val="%5."/>
      <w:lvlJc w:val="left"/>
      <w:pPr>
        <w:tabs>
          <w:tab w:val="num" w:pos="851"/>
        </w:tabs>
        <w:ind w:left="851" w:hanging="426"/>
      </w:p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6E712C44"/>
    <w:multiLevelType w:val="hybridMultilevel"/>
    <w:tmpl w:val="6CA2DF2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0FD6A48"/>
    <w:multiLevelType w:val="hybridMultilevel"/>
    <w:tmpl w:val="8B3C0626"/>
    <w:lvl w:ilvl="0" w:tplc="F74E1762">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E53160A"/>
    <w:multiLevelType w:val="hybridMultilevel"/>
    <w:tmpl w:val="3CB8E97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EC470D1"/>
    <w:multiLevelType w:val="hybridMultilevel"/>
    <w:tmpl w:val="D5581C2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14"/>
  </w:num>
  <w:num w:numId="3">
    <w:abstractNumId w:val="20"/>
  </w:num>
  <w:num w:numId="4">
    <w:abstractNumId w:val="13"/>
  </w:num>
  <w:num w:numId="5">
    <w:abstractNumId w:val="18"/>
  </w:num>
  <w:num w:numId="6">
    <w:abstractNumId w:val="7"/>
  </w:num>
  <w:num w:numId="7">
    <w:abstractNumId w:val="29"/>
  </w:num>
  <w:num w:numId="8">
    <w:abstractNumId w:val="17"/>
  </w:num>
  <w:num w:numId="9">
    <w:abstractNumId w:val="8"/>
  </w:num>
  <w:num w:numId="10">
    <w:abstractNumId w:val="19"/>
  </w:num>
  <w:num w:numId="11">
    <w:abstractNumId w:val="10"/>
  </w:num>
  <w:num w:numId="12">
    <w:abstractNumId w:val="22"/>
  </w:num>
  <w:num w:numId="13">
    <w:abstractNumId w:val="23"/>
  </w:num>
  <w:num w:numId="14">
    <w:abstractNumId w:val="5"/>
  </w:num>
  <w:num w:numId="15">
    <w:abstractNumId w:val="27"/>
  </w:num>
  <w:num w:numId="16">
    <w:abstractNumId w:val="16"/>
  </w:num>
  <w:num w:numId="17">
    <w:abstractNumId w:val="32"/>
  </w:num>
  <w:num w:numId="18">
    <w:abstractNumId w:val="26"/>
  </w:num>
  <w:num w:numId="19">
    <w:abstractNumId w:val="2"/>
  </w:num>
  <w:num w:numId="20">
    <w:abstractNumId w:val="11"/>
  </w:num>
  <w:num w:numId="21">
    <w:abstractNumId w:val="15"/>
  </w:num>
  <w:num w:numId="22">
    <w:abstractNumId w:val="25"/>
  </w:num>
  <w:num w:numId="23">
    <w:abstractNumId w:val="36"/>
  </w:num>
  <w:num w:numId="24">
    <w:abstractNumId w:val="12"/>
  </w:num>
  <w:num w:numId="25">
    <w:abstractNumId w:val="35"/>
  </w:num>
  <w:num w:numId="26">
    <w:abstractNumId w:val="3"/>
  </w:num>
  <w:num w:numId="27">
    <w:abstractNumId w:val="9"/>
  </w:num>
  <w:num w:numId="28">
    <w:abstractNumId w:val="1"/>
  </w:num>
  <w:num w:numId="29">
    <w:abstractNumId w:val="0"/>
  </w:num>
  <w:num w:numId="30">
    <w:abstractNumId w:val="34"/>
  </w:num>
  <w:num w:numId="31">
    <w:abstractNumId w:val="21"/>
  </w:num>
  <w:num w:numId="32">
    <w:abstractNumId w:val="6"/>
  </w:num>
  <w:num w:numId="33">
    <w:abstractNumId w:val="30"/>
  </w:num>
  <w:num w:numId="34">
    <w:abstractNumId w:val="28"/>
  </w:num>
  <w:num w:numId="35">
    <w:abstractNumId w:val="24"/>
  </w:num>
  <w:num w:numId="36">
    <w:abstractNumId w:val="37"/>
  </w:num>
  <w:num w:numId="37">
    <w:abstractNumId w:val="14"/>
    <w:lvlOverride w:ilvl="0">
      <w:startOverride w:val="3"/>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60"/>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6F8"/>
    <w:rsid w:val="000001EA"/>
    <w:rsid w:val="00000831"/>
    <w:rsid w:val="00001C61"/>
    <w:rsid w:val="00002CD2"/>
    <w:rsid w:val="00004A98"/>
    <w:rsid w:val="00007936"/>
    <w:rsid w:val="00012380"/>
    <w:rsid w:val="00015EE0"/>
    <w:rsid w:val="00022471"/>
    <w:rsid w:val="00022984"/>
    <w:rsid w:val="00022A0A"/>
    <w:rsid w:val="00022BD9"/>
    <w:rsid w:val="00023218"/>
    <w:rsid w:val="00023946"/>
    <w:rsid w:val="00023E03"/>
    <w:rsid w:val="0002496E"/>
    <w:rsid w:val="00025680"/>
    <w:rsid w:val="000257F7"/>
    <w:rsid w:val="000259DB"/>
    <w:rsid w:val="00032773"/>
    <w:rsid w:val="0003656A"/>
    <w:rsid w:val="000407DB"/>
    <w:rsid w:val="000417E8"/>
    <w:rsid w:val="00044182"/>
    <w:rsid w:val="00046256"/>
    <w:rsid w:val="0004632C"/>
    <w:rsid w:val="00047DAB"/>
    <w:rsid w:val="000518DA"/>
    <w:rsid w:val="0005211A"/>
    <w:rsid w:val="000545E9"/>
    <w:rsid w:val="00054789"/>
    <w:rsid w:val="000623FF"/>
    <w:rsid w:val="000633C8"/>
    <w:rsid w:val="00064471"/>
    <w:rsid w:val="00064EDF"/>
    <w:rsid w:val="00065E51"/>
    <w:rsid w:val="0006614A"/>
    <w:rsid w:val="00067336"/>
    <w:rsid w:val="0007246E"/>
    <w:rsid w:val="00075089"/>
    <w:rsid w:val="0007593A"/>
    <w:rsid w:val="00075F38"/>
    <w:rsid w:val="00080B07"/>
    <w:rsid w:val="0008109D"/>
    <w:rsid w:val="00081B34"/>
    <w:rsid w:val="0008258A"/>
    <w:rsid w:val="000832DB"/>
    <w:rsid w:val="00083363"/>
    <w:rsid w:val="00083A7C"/>
    <w:rsid w:val="000842BD"/>
    <w:rsid w:val="00086D1A"/>
    <w:rsid w:val="00093523"/>
    <w:rsid w:val="00095EC3"/>
    <w:rsid w:val="000A009F"/>
    <w:rsid w:val="000A2F35"/>
    <w:rsid w:val="000A4826"/>
    <w:rsid w:val="000A4A30"/>
    <w:rsid w:val="000B0AEA"/>
    <w:rsid w:val="000B1EA4"/>
    <w:rsid w:val="000B45CD"/>
    <w:rsid w:val="000B54C9"/>
    <w:rsid w:val="000B7D46"/>
    <w:rsid w:val="000C4C0D"/>
    <w:rsid w:val="000C4F85"/>
    <w:rsid w:val="000C6186"/>
    <w:rsid w:val="000C6BCF"/>
    <w:rsid w:val="000C7544"/>
    <w:rsid w:val="000C7BF9"/>
    <w:rsid w:val="000D059E"/>
    <w:rsid w:val="000D19A8"/>
    <w:rsid w:val="000D3C70"/>
    <w:rsid w:val="000D4293"/>
    <w:rsid w:val="000D53EA"/>
    <w:rsid w:val="000D70D3"/>
    <w:rsid w:val="000E2AFE"/>
    <w:rsid w:val="000E66FA"/>
    <w:rsid w:val="000F1602"/>
    <w:rsid w:val="000F35E6"/>
    <w:rsid w:val="000F3622"/>
    <w:rsid w:val="000F4D38"/>
    <w:rsid w:val="000F7443"/>
    <w:rsid w:val="00102F73"/>
    <w:rsid w:val="001038D5"/>
    <w:rsid w:val="00104FAE"/>
    <w:rsid w:val="00104FDF"/>
    <w:rsid w:val="00105B3B"/>
    <w:rsid w:val="001063E0"/>
    <w:rsid w:val="0011012B"/>
    <w:rsid w:val="001106DA"/>
    <w:rsid w:val="00112971"/>
    <w:rsid w:val="00112A19"/>
    <w:rsid w:val="00113B98"/>
    <w:rsid w:val="0011442A"/>
    <w:rsid w:val="00115597"/>
    <w:rsid w:val="001173EF"/>
    <w:rsid w:val="00124580"/>
    <w:rsid w:val="00124813"/>
    <w:rsid w:val="00124C35"/>
    <w:rsid w:val="00126B61"/>
    <w:rsid w:val="00130138"/>
    <w:rsid w:val="00133DDF"/>
    <w:rsid w:val="00134D54"/>
    <w:rsid w:val="001356C6"/>
    <w:rsid w:val="0013581E"/>
    <w:rsid w:val="00135AC1"/>
    <w:rsid w:val="00141F4A"/>
    <w:rsid w:val="00142AD4"/>
    <w:rsid w:val="001443A3"/>
    <w:rsid w:val="00145629"/>
    <w:rsid w:val="00150D9C"/>
    <w:rsid w:val="00151429"/>
    <w:rsid w:val="00155F48"/>
    <w:rsid w:val="001573F8"/>
    <w:rsid w:val="00157FC1"/>
    <w:rsid w:val="00160AD8"/>
    <w:rsid w:val="00160BA9"/>
    <w:rsid w:val="00160DAF"/>
    <w:rsid w:val="00160DF0"/>
    <w:rsid w:val="00161448"/>
    <w:rsid w:val="00162517"/>
    <w:rsid w:val="00164148"/>
    <w:rsid w:val="00164C37"/>
    <w:rsid w:val="00165E18"/>
    <w:rsid w:val="001716C6"/>
    <w:rsid w:val="001720A6"/>
    <w:rsid w:val="00173A38"/>
    <w:rsid w:val="0017504A"/>
    <w:rsid w:val="00175474"/>
    <w:rsid w:val="001756DE"/>
    <w:rsid w:val="00175C0C"/>
    <w:rsid w:val="001764F2"/>
    <w:rsid w:val="0017668B"/>
    <w:rsid w:val="001779C8"/>
    <w:rsid w:val="00180548"/>
    <w:rsid w:val="001835E3"/>
    <w:rsid w:val="0018495D"/>
    <w:rsid w:val="001879C8"/>
    <w:rsid w:val="001919D6"/>
    <w:rsid w:val="0019256A"/>
    <w:rsid w:val="0019485D"/>
    <w:rsid w:val="00194961"/>
    <w:rsid w:val="001A1014"/>
    <w:rsid w:val="001A1D1C"/>
    <w:rsid w:val="001A2044"/>
    <w:rsid w:val="001A55FA"/>
    <w:rsid w:val="001A59B1"/>
    <w:rsid w:val="001B00ED"/>
    <w:rsid w:val="001B05CD"/>
    <w:rsid w:val="001B0D36"/>
    <w:rsid w:val="001B1968"/>
    <w:rsid w:val="001B3023"/>
    <w:rsid w:val="001B4B5B"/>
    <w:rsid w:val="001B721B"/>
    <w:rsid w:val="001B7350"/>
    <w:rsid w:val="001B7D9C"/>
    <w:rsid w:val="001C08FC"/>
    <w:rsid w:val="001C1F38"/>
    <w:rsid w:val="001C583D"/>
    <w:rsid w:val="001C69F0"/>
    <w:rsid w:val="001D16E1"/>
    <w:rsid w:val="001D7B39"/>
    <w:rsid w:val="001E0222"/>
    <w:rsid w:val="001E0862"/>
    <w:rsid w:val="001E2CA0"/>
    <w:rsid w:val="001E4007"/>
    <w:rsid w:val="001E4871"/>
    <w:rsid w:val="001E530B"/>
    <w:rsid w:val="001E5648"/>
    <w:rsid w:val="001E58E9"/>
    <w:rsid w:val="001E5CD0"/>
    <w:rsid w:val="001E7145"/>
    <w:rsid w:val="001F3B64"/>
    <w:rsid w:val="001F4200"/>
    <w:rsid w:val="001F5DC7"/>
    <w:rsid w:val="001F6885"/>
    <w:rsid w:val="001F78F5"/>
    <w:rsid w:val="002039BE"/>
    <w:rsid w:val="0020407C"/>
    <w:rsid w:val="00206477"/>
    <w:rsid w:val="00207D7A"/>
    <w:rsid w:val="00210549"/>
    <w:rsid w:val="00211F0F"/>
    <w:rsid w:val="002144D0"/>
    <w:rsid w:val="0022337F"/>
    <w:rsid w:val="002249DD"/>
    <w:rsid w:val="002261D0"/>
    <w:rsid w:val="002267DB"/>
    <w:rsid w:val="00227462"/>
    <w:rsid w:val="002274E0"/>
    <w:rsid w:val="0023534C"/>
    <w:rsid w:val="00236281"/>
    <w:rsid w:val="002407F3"/>
    <w:rsid w:val="002430DC"/>
    <w:rsid w:val="00245AC4"/>
    <w:rsid w:val="002510E7"/>
    <w:rsid w:val="00251437"/>
    <w:rsid w:val="00252551"/>
    <w:rsid w:val="00252919"/>
    <w:rsid w:val="0025410D"/>
    <w:rsid w:val="00257B27"/>
    <w:rsid w:val="00260B84"/>
    <w:rsid w:val="00260F9D"/>
    <w:rsid w:val="00262184"/>
    <w:rsid w:val="0026259D"/>
    <w:rsid w:val="00266947"/>
    <w:rsid w:val="002711A9"/>
    <w:rsid w:val="002715CB"/>
    <w:rsid w:val="00271FFE"/>
    <w:rsid w:val="0027259F"/>
    <w:rsid w:val="00272DA5"/>
    <w:rsid w:val="002751A1"/>
    <w:rsid w:val="002832B2"/>
    <w:rsid w:val="0029100B"/>
    <w:rsid w:val="002923B1"/>
    <w:rsid w:val="00292D0B"/>
    <w:rsid w:val="002945F5"/>
    <w:rsid w:val="00295CA1"/>
    <w:rsid w:val="002970A7"/>
    <w:rsid w:val="002A123D"/>
    <w:rsid w:val="002A1A56"/>
    <w:rsid w:val="002A1E80"/>
    <w:rsid w:val="002A344C"/>
    <w:rsid w:val="002A34BC"/>
    <w:rsid w:val="002A49BB"/>
    <w:rsid w:val="002A5273"/>
    <w:rsid w:val="002A72D1"/>
    <w:rsid w:val="002B045A"/>
    <w:rsid w:val="002B225E"/>
    <w:rsid w:val="002B298D"/>
    <w:rsid w:val="002B3CD7"/>
    <w:rsid w:val="002B3EC1"/>
    <w:rsid w:val="002B4540"/>
    <w:rsid w:val="002B63AC"/>
    <w:rsid w:val="002B79A2"/>
    <w:rsid w:val="002B7C41"/>
    <w:rsid w:val="002B7E5F"/>
    <w:rsid w:val="002C070D"/>
    <w:rsid w:val="002C098F"/>
    <w:rsid w:val="002C2C32"/>
    <w:rsid w:val="002C4805"/>
    <w:rsid w:val="002C4B81"/>
    <w:rsid w:val="002C66CD"/>
    <w:rsid w:val="002C6F67"/>
    <w:rsid w:val="002C7F74"/>
    <w:rsid w:val="002D0264"/>
    <w:rsid w:val="002D242B"/>
    <w:rsid w:val="002D4CAD"/>
    <w:rsid w:val="002D5677"/>
    <w:rsid w:val="002D6ED2"/>
    <w:rsid w:val="002E0990"/>
    <w:rsid w:val="002E1138"/>
    <w:rsid w:val="002E4AD2"/>
    <w:rsid w:val="002F1FCD"/>
    <w:rsid w:val="002F4A37"/>
    <w:rsid w:val="002F5556"/>
    <w:rsid w:val="002F5E39"/>
    <w:rsid w:val="00302180"/>
    <w:rsid w:val="003040BA"/>
    <w:rsid w:val="00304152"/>
    <w:rsid w:val="00305FC2"/>
    <w:rsid w:val="0031043C"/>
    <w:rsid w:val="00310AE6"/>
    <w:rsid w:val="0031167C"/>
    <w:rsid w:val="0031409F"/>
    <w:rsid w:val="00321CAB"/>
    <w:rsid w:val="00322956"/>
    <w:rsid w:val="00324AEC"/>
    <w:rsid w:val="003266D4"/>
    <w:rsid w:val="00327F06"/>
    <w:rsid w:val="003311CF"/>
    <w:rsid w:val="00332D60"/>
    <w:rsid w:val="00335DB1"/>
    <w:rsid w:val="0033732F"/>
    <w:rsid w:val="00341339"/>
    <w:rsid w:val="00347FED"/>
    <w:rsid w:val="0035129C"/>
    <w:rsid w:val="00352D33"/>
    <w:rsid w:val="00353BDC"/>
    <w:rsid w:val="0035577B"/>
    <w:rsid w:val="00356384"/>
    <w:rsid w:val="00356706"/>
    <w:rsid w:val="00360109"/>
    <w:rsid w:val="0036022D"/>
    <w:rsid w:val="00365244"/>
    <w:rsid w:val="00366367"/>
    <w:rsid w:val="003675A7"/>
    <w:rsid w:val="00367C03"/>
    <w:rsid w:val="00370000"/>
    <w:rsid w:val="003721D1"/>
    <w:rsid w:val="0037311D"/>
    <w:rsid w:val="00380700"/>
    <w:rsid w:val="00380C11"/>
    <w:rsid w:val="00381CED"/>
    <w:rsid w:val="0038223E"/>
    <w:rsid w:val="00383AF7"/>
    <w:rsid w:val="003841BF"/>
    <w:rsid w:val="00391F25"/>
    <w:rsid w:val="0039481E"/>
    <w:rsid w:val="003948BD"/>
    <w:rsid w:val="00396B2E"/>
    <w:rsid w:val="003970E4"/>
    <w:rsid w:val="00397287"/>
    <w:rsid w:val="00397E60"/>
    <w:rsid w:val="003A01A2"/>
    <w:rsid w:val="003A18E3"/>
    <w:rsid w:val="003A4A95"/>
    <w:rsid w:val="003B1662"/>
    <w:rsid w:val="003B2D2C"/>
    <w:rsid w:val="003B42F0"/>
    <w:rsid w:val="003B6BBC"/>
    <w:rsid w:val="003C1C23"/>
    <w:rsid w:val="003C331E"/>
    <w:rsid w:val="003C4898"/>
    <w:rsid w:val="003C60BA"/>
    <w:rsid w:val="003D2C96"/>
    <w:rsid w:val="003D3845"/>
    <w:rsid w:val="003D4339"/>
    <w:rsid w:val="003D7999"/>
    <w:rsid w:val="003E075E"/>
    <w:rsid w:val="003E07F4"/>
    <w:rsid w:val="003E2C41"/>
    <w:rsid w:val="003E5BD1"/>
    <w:rsid w:val="003E62D0"/>
    <w:rsid w:val="003E7DEA"/>
    <w:rsid w:val="003F23C4"/>
    <w:rsid w:val="003F3AAB"/>
    <w:rsid w:val="003F4759"/>
    <w:rsid w:val="003F656E"/>
    <w:rsid w:val="0040006D"/>
    <w:rsid w:val="00400928"/>
    <w:rsid w:val="00401306"/>
    <w:rsid w:val="00401E60"/>
    <w:rsid w:val="0040438A"/>
    <w:rsid w:val="00404BB8"/>
    <w:rsid w:val="004067D1"/>
    <w:rsid w:val="00406D05"/>
    <w:rsid w:val="00407670"/>
    <w:rsid w:val="004077F9"/>
    <w:rsid w:val="00407808"/>
    <w:rsid w:val="00407919"/>
    <w:rsid w:val="00407E1C"/>
    <w:rsid w:val="00410EA6"/>
    <w:rsid w:val="00412F00"/>
    <w:rsid w:val="00413C5D"/>
    <w:rsid w:val="00414ABF"/>
    <w:rsid w:val="00414B84"/>
    <w:rsid w:val="00414C21"/>
    <w:rsid w:val="004150F2"/>
    <w:rsid w:val="0041638F"/>
    <w:rsid w:val="00417B80"/>
    <w:rsid w:val="00417D14"/>
    <w:rsid w:val="00420C6A"/>
    <w:rsid w:val="0042144E"/>
    <w:rsid w:val="00421C17"/>
    <w:rsid w:val="004262D7"/>
    <w:rsid w:val="00427E5F"/>
    <w:rsid w:val="00430543"/>
    <w:rsid w:val="00432F22"/>
    <w:rsid w:val="004361AE"/>
    <w:rsid w:val="00437AE0"/>
    <w:rsid w:val="004402C4"/>
    <w:rsid w:val="00441EEA"/>
    <w:rsid w:val="00443943"/>
    <w:rsid w:val="004563A6"/>
    <w:rsid w:val="00457F31"/>
    <w:rsid w:val="004634A2"/>
    <w:rsid w:val="004653C3"/>
    <w:rsid w:val="0046571D"/>
    <w:rsid w:val="00467932"/>
    <w:rsid w:val="004722F7"/>
    <w:rsid w:val="00472A03"/>
    <w:rsid w:val="00472BB7"/>
    <w:rsid w:val="004802CB"/>
    <w:rsid w:val="0048145F"/>
    <w:rsid w:val="00483D8E"/>
    <w:rsid w:val="004842D0"/>
    <w:rsid w:val="0048451A"/>
    <w:rsid w:val="00492FF2"/>
    <w:rsid w:val="00493F81"/>
    <w:rsid w:val="00494F62"/>
    <w:rsid w:val="0049601D"/>
    <w:rsid w:val="00496EA1"/>
    <w:rsid w:val="004A0435"/>
    <w:rsid w:val="004A4836"/>
    <w:rsid w:val="004A5A33"/>
    <w:rsid w:val="004A73F4"/>
    <w:rsid w:val="004B09E1"/>
    <w:rsid w:val="004B14F3"/>
    <w:rsid w:val="004B1512"/>
    <w:rsid w:val="004B1B49"/>
    <w:rsid w:val="004B341B"/>
    <w:rsid w:val="004B4C5E"/>
    <w:rsid w:val="004B4C70"/>
    <w:rsid w:val="004B6302"/>
    <w:rsid w:val="004C0771"/>
    <w:rsid w:val="004C10B7"/>
    <w:rsid w:val="004C1D1C"/>
    <w:rsid w:val="004C23FC"/>
    <w:rsid w:val="004C3698"/>
    <w:rsid w:val="004C3DDE"/>
    <w:rsid w:val="004C3F2E"/>
    <w:rsid w:val="004C57E8"/>
    <w:rsid w:val="004C620E"/>
    <w:rsid w:val="004D30CF"/>
    <w:rsid w:val="004D32D3"/>
    <w:rsid w:val="004D3F6E"/>
    <w:rsid w:val="004D52F5"/>
    <w:rsid w:val="004D7771"/>
    <w:rsid w:val="004E2352"/>
    <w:rsid w:val="004E46B5"/>
    <w:rsid w:val="004E4E77"/>
    <w:rsid w:val="004E5FD9"/>
    <w:rsid w:val="004E64B1"/>
    <w:rsid w:val="004F09FB"/>
    <w:rsid w:val="004F0A15"/>
    <w:rsid w:val="004F24BE"/>
    <w:rsid w:val="004F2778"/>
    <w:rsid w:val="004F2995"/>
    <w:rsid w:val="004F42E0"/>
    <w:rsid w:val="004F618B"/>
    <w:rsid w:val="004F7EB5"/>
    <w:rsid w:val="00502156"/>
    <w:rsid w:val="00502364"/>
    <w:rsid w:val="005036F6"/>
    <w:rsid w:val="0051089D"/>
    <w:rsid w:val="00511B46"/>
    <w:rsid w:val="00513103"/>
    <w:rsid w:val="00513623"/>
    <w:rsid w:val="00513BC8"/>
    <w:rsid w:val="0051452C"/>
    <w:rsid w:val="00514648"/>
    <w:rsid w:val="00514A8A"/>
    <w:rsid w:val="00515EB9"/>
    <w:rsid w:val="00515FAD"/>
    <w:rsid w:val="00516808"/>
    <w:rsid w:val="00516D9D"/>
    <w:rsid w:val="00517018"/>
    <w:rsid w:val="0051788B"/>
    <w:rsid w:val="00517B36"/>
    <w:rsid w:val="005225A4"/>
    <w:rsid w:val="005229E5"/>
    <w:rsid w:val="0052370E"/>
    <w:rsid w:val="00524FE5"/>
    <w:rsid w:val="00526EF0"/>
    <w:rsid w:val="0052793A"/>
    <w:rsid w:val="00533905"/>
    <w:rsid w:val="00533AE3"/>
    <w:rsid w:val="00534D46"/>
    <w:rsid w:val="00536EC9"/>
    <w:rsid w:val="005405F9"/>
    <w:rsid w:val="00540F32"/>
    <w:rsid w:val="00542FCF"/>
    <w:rsid w:val="00546AEF"/>
    <w:rsid w:val="00550159"/>
    <w:rsid w:val="0055031C"/>
    <w:rsid w:val="005504EA"/>
    <w:rsid w:val="005508A4"/>
    <w:rsid w:val="005533A9"/>
    <w:rsid w:val="00554A39"/>
    <w:rsid w:val="00555A17"/>
    <w:rsid w:val="00556559"/>
    <w:rsid w:val="005618F1"/>
    <w:rsid w:val="00563758"/>
    <w:rsid w:val="005647CC"/>
    <w:rsid w:val="00566DA7"/>
    <w:rsid w:val="00570846"/>
    <w:rsid w:val="00570C94"/>
    <w:rsid w:val="005719CC"/>
    <w:rsid w:val="00573348"/>
    <w:rsid w:val="00573D5A"/>
    <w:rsid w:val="005745E3"/>
    <w:rsid w:val="00582871"/>
    <w:rsid w:val="00583909"/>
    <w:rsid w:val="005839AA"/>
    <w:rsid w:val="005840D5"/>
    <w:rsid w:val="005857A2"/>
    <w:rsid w:val="0059167E"/>
    <w:rsid w:val="00592B1B"/>
    <w:rsid w:val="0059531D"/>
    <w:rsid w:val="00595966"/>
    <w:rsid w:val="0059693A"/>
    <w:rsid w:val="00597D60"/>
    <w:rsid w:val="005A544A"/>
    <w:rsid w:val="005A5870"/>
    <w:rsid w:val="005B1439"/>
    <w:rsid w:val="005B1D82"/>
    <w:rsid w:val="005B1DE8"/>
    <w:rsid w:val="005B2350"/>
    <w:rsid w:val="005B2BB3"/>
    <w:rsid w:val="005B454A"/>
    <w:rsid w:val="005B5A14"/>
    <w:rsid w:val="005B6492"/>
    <w:rsid w:val="005B64B4"/>
    <w:rsid w:val="005B763E"/>
    <w:rsid w:val="005C0031"/>
    <w:rsid w:val="005C12DA"/>
    <w:rsid w:val="005C1604"/>
    <w:rsid w:val="005C200E"/>
    <w:rsid w:val="005C26DD"/>
    <w:rsid w:val="005C4F08"/>
    <w:rsid w:val="005C53FD"/>
    <w:rsid w:val="005C629D"/>
    <w:rsid w:val="005D250C"/>
    <w:rsid w:val="005D2FB6"/>
    <w:rsid w:val="005D771D"/>
    <w:rsid w:val="005E2D5F"/>
    <w:rsid w:val="005E4625"/>
    <w:rsid w:val="005F3968"/>
    <w:rsid w:val="005F44C4"/>
    <w:rsid w:val="005F58C7"/>
    <w:rsid w:val="005F75B2"/>
    <w:rsid w:val="005F762D"/>
    <w:rsid w:val="006012B6"/>
    <w:rsid w:val="006017D2"/>
    <w:rsid w:val="00601883"/>
    <w:rsid w:val="00603265"/>
    <w:rsid w:val="00604DE3"/>
    <w:rsid w:val="00604EED"/>
    <w:rsid w:val="00605B6F"/>
    <w:rsid w:val="00607C63"/>
    <w:rsid w:val="00612212"/>
    <w:rsid w:val="00613886"/>
    <w:rsid w:val="0061401F"/>
    <w:rsid w:val="0061441D"/>
    <w:rsid w:val="006202B8"/>
    <w:rsid w:val="00620795"/>
    <w:rsid w:val="00622BD2"/>
    <w:rsid w:val="00627814"/>
    <w:rsid w:val="00630FA6"/>
    <w:rsid w:val="0063139F"/>
    <w:rsid w:val="006321A1"/>
    <w:rsid w:val="00632897"/>
    <w:rsid w:val="00633025"/>
    <w:rsid w:val="00633435"/>
    <w:rsid w:val="00633726"/>
    <w:rsid w:val="00633B48"/>
    <w:rsid w:val="00634C82"/>
    <w:rsid w:val="0063509F"/>
    <w:rsid w:val="00640624"/>
    <w:rsid w:val="0064145C"/>
    <w:rsid w:val="006436F8"/>
    <w:rsid w:val="00645525"/>
    <w:rsid w:val="00647E26"/>
    <w:rsid w:val="00647E3A"/>
    <w:rsid w:val="00647FDB"/>
    <w:rsid w:val="00650581"/>
    <w:rsid w:val="006532B5"/>
    <w:rsid w:val="00654180"/>
    <w:rsid w:val="00654CAD"/>
    <w:rsid w:val="006569D7"/>
    <w:rsid w:val="0065786D"/>
    <w:rsid w:val="006612A2"/>
    <w:rsid w:val="00661EA3"/>
    <w:rsid w:val="00667721"/>
    <w:rsid w:val="00670687"/>
    <w:rsid w:val="006744C1"/>
    <w:rsid w:val="0067538A"/>
    <w:rsid w:val="00675767"/>
    <w:rsid w:val="0068562F"/>
    <w:rsid w:val="00691B37"/>
    <w:rsid w:val="00694783"/>
    <w:rsid w:val="00696613"/>
    <w:rsid w:val="006A0CA6"/>
    <w:rsid w:val="006A20B1"/>
    <w:rsid w:val="006A33D9"/>
    <w:rsid w:val="006A43A2"/>
    <w:rsid w:val="006A5968"/>
    <w:rsid w:val="006A5DEE"/>
    <w:rsid w:val="006A72EF"/>
    <w:rsid w:val="006A7D11"/>
    <w:rsid w:val="006B1992"/>
    <w:rsid w:val="006B330A"/>
    <w:rsid w:val="006B389E"/>
    <w:rsid w:val="006B4100"/>
    <w:rsid w:val="006B7746"/>
    <w:rsid w:val="006B7D0F"/>
    <w:rsid w:val="006C13ED"/>
    <w:rsid w:val="006C3C0E"/>
    <w:rsid w:val="006C3DE3"/>
    <w:rsid w:val="006C4EFB"/>
    <w:rsid w:val="006C5C90"/>
    <w:rsid w:val="006C6E30"/>
    <w:rsid w:val="006D0AD5"/>
    <w:rsid w:val="006D218E"/>
    <w:rsid w:val="006D3158"/>
    <w:rsid w:val="006D50F7"/>
    <w:rsid w:val="006D59A3"/>
    <w:rsid w:val="006D5B0F"/>
    <w:rsid w:val="006E02D7"/>
    <w:rsid w:val="006E11F8"/>
    <w:rsid w:val="006E177B"/>
    <w:rsid w:val="006E461B"/>
    <w:rsid w:val="006E4C32"/>
    <w:rsid w:val="006E6E1B"/>
    <w:rsid w:val="006F0736"/>
    <w:rsid w:val="006F1D41"/>
    <w:rsid w:val="006F1F0E"/>
    <w:rsid w:val="006F2F63"/>
    <w:rsid w:val="006F31A3"/>
    <w:rsid w:val="006F42FF"/>
    <w:rsid w:val="006F4847"/>
    <w:rsid w:val="006F62B2"/>
    <w:rsid w:val="006F6F09"/>
    <w:rsid w:val="006F7A7B"/>
    <w:rsid w:val="006F7E77"/>
    <w:rsid w:val="00700296"/>
    <w:rsid w:val="00702AA7"/>
    <w:rsid w:val="00703BA3"/>
    <w:rsid w:val="00704E4F"/>
    <w:rsid w:val="007062A3"/>
    <w:rsid w:val="00706DB6"/>
    <w:rsid w:val="00710AE1"/>
    <w:rsid w:val="00711C31"/>
    <w:rsid w:val="00712AEE"/>
    <w:rsid w:val="00713EEB"/>
    <w:rsid w:val="007155BB"/>
    <w:rsid w:val="00715CA3"/>
    <w:rsid w:val="007161A2"/>
    <w:rsid w:val="00716566"/>
    <w:rsid w:val="00720C83"/>
    <w:rsid w:val="007226EC"/>
    <w:rsid w:val="007243EE"/>
    <w:rsid w:val="00726A90"/>
    <w:rsid w:val="0072761F"/>
    <w:rsid w:val="007309D9"/>
    <w:rsid w:val="00730DAA"/>
    <w:rsid w:val="0073403B"/>
    <w:rsid w:val="00734923"/>
    <w:rsid w:val="00735029"/>
    <w:rsid w:val="0073676C"/>
    <w:rsid w:val="007377CF"/>
    <w:rsid w:val="00737B6B"/>
    <w:rsid w:val="00740048"/>
    <w:rsid w:val="00740EF7"/>
    <w:rsid w:val="00750BD8"/>
    <w:rsid w:val="00753198"/>
    <w:rsid w:val="00756AAD"/>
    <w:rsid w:val="007570F8"/>
    <w:rsid w:val="00757DD7"/>
    <w:rsid w:val="007601B1"/>
    <w:rsid w:val="007615BE"/>
    <w:rsid w:val="00761CA0"/>
    <w:rsid w:val="00764AC5"/>
    <w:rsid w:val="00772288"/>
    <w:rsid w:val="007722F4"/>
    <w:rsid w:val="00772D04"/>
    <w:rsid w:val="0077367F"/>
    <w:rsid w:val="0077492D"/>
    <w:rsid w:val="0078092B"/>
    <w:rsid w:val="00780E99"/>
    <w:rsid w:val="007835EE"/>
    <w:rsid w:val="007855B3"/>
    <w:rsid w:val="007879C8"/>
    <w:rsid w:val="00787D2B"/>
    <w:rsid w:val="00790C56"/>
    <w:rsid w:val="00791232"/>
    <w:rsid w:val="00791E29"/>
    <w:rsid w:val="00792FF1"/>
    <w:rsid w:val="007936DA"/>
    <w:rsid w:val="00793EB2"/>
    <w:rsid w:val="00793F87"/>
    <w:rsid w:val="007942AF"/>
    <w:rsid w:val="007A01FF"/>
    <w:rsid w:val="007A06B9"/>
    <w:rsid w:val="007A2FF1"/>
    <w:rsid w:val="007A30B3"/>
    <w:rsid w:val="007A4508"/>
    <w:rsid w:val="007A686B"/>
    <w:rsid w:val="007B1545"/>
    <w:rsid w:val="007B67FC"/>
    <w:rsid w:val="007B7EEF"/>
    <w:rsid w:val="007C0FC1"/>
    <w:rsid w:val="007C1E38"/>
    <w:rsid w:val="007C38C9"/>
    <w:rsid w:val="007C395A"/>
    <w:rsid w:val="007C3BAA"/>
    <w:rsid w:val="007C41DA"/>
    <w:rsid w:val="007C4A51"/>
    <w:rsid w:val="007C4FEC"/>
    <w:rsid w:val="007C66C4"/>
    <w:rsid w:val="007C6A1B"/>
    <w:rsid w:val="007D14DB"/>
    <w:rsid w:val="007D2C70"/>
    <w:rsid w:val="007D3EF7"/>
    <w:rsid w:val="007D66FA"/>
    <w:rsid w:val="007E0B41"/>
    <w:rsid w:val="007E31D2"/>
    <w:rsid w:val="007E4CD3"/>
    <w:rsid w:val="007E4F83"/>
    <w:rsid w:val="007F2A10"/>
    <w:rsid w:val="007F3065"/>
    <w:rsid w:val="007F5080"/>
    <w:rsid w:val="007F5EA4"/>
    <w:rsid w:val="0080131D"/>
    <w:rsid w:val="00801DBD"/>
    <w:rsid w:val="0080244D"/>
    <w:rsid w:val="008034B0"/>
    <w:rsid w:val="00803E73"/>
    <w:rsid w:val="008045AF"/>
    <w:rsid w:val="0080560A"/>
    <w:rsid w:val="00805A59"/>
    <w:rsid w:val="00805EA1"/>
    <w:rsid w:val="00806505"/>
    <w:rsid w:val="0080673A"/>
    <w:rsid w:val="00810F00"/>
    <w:rsid w:val="00813017"/>
    <w:rsid w:val="008135C7"/>
    <w:rsid w:val="00814FB7"/>
    <w:rsid w:val="0081704D"/>
    <w:rsid w:val="008203C4"/>
    <w:rsid w:val="00820CA3"/>
    <w:rsid w:val="00821EEB"/>
    <w:rsid w:val="00824D9A"/>
    <w:rsid w:val="00824DAD"/>
    <w:rsid w:val="00827267"/>
    <w:rsid w:val="00827806"/>
    <w:rsid w:val="00827A99"/>
    <w:rsid w:val="008314D8"/>
    <w:rsid w:val="00831704"/>
    <w:rsid w:val="0083202F"/>
    <w:rsid w:val="00832A9C"/>
    <w:rsid w:val="00833C9D"/>
    <w:rsid w:val="00840C40"/>
    <w:rsid w:val="008415E5"/>
    <w:rsid w:val="008420BA"/>
    <w:rsid w:val="008432FD"/>
    <w:rsid w:val="00843CFF"/>
    <w:rsid w:val="00844011"/>
    <w:rsid w:val="00844D2C"/>
    <w:rsid w:val="00847363"/>
    <w:rsid w:val="008505C3"/>
    <w:rsid w:val="008521BB"/>
    <w:rsid w:val="00855B2C"/>
    <w:rsid w:val="008569EB"/>
    <w:rsid w:val="00856D32"/>
    <w:rsid w:val="008573DF"/>
    <w:rsid w:val="00860696"/>
    <w:rsid w:val="0086103E"/>
    <w:rsid w:val="00861F74"/>
    <w:rsid w:val="00862E71"/>
    <w:rsid w:val="00865B7F"/>
    <w:rsid w:val="00865EFC"/>
    <w:rsid w:val="008736CE"/>
    <w:rsid w:val="00873C1A"/>
    <w:rsid w:val="00874399"/>
    <w:rsid w:val="008744AE"/>
    <w:rsid w:val="008811C8"/>
    <w:rsid w:val="0088153A"/>
    <w:rsid w:val="00886302"/>
    <w:rsid w:val="00886642"/>
    <w:rsid w:val="00887641"/>
    <w:rsid w:val="008878E9"/>
    <w:rsid w:val="00890579"/>
    <w:rsid w:val="00891EAF"/>
    <w:rsid w:val="00892EED"/>
    <w:rsid w:val="00894CBC"/>
    <w:rsid w:val="00897544"/>
    <w:rsid w:val="008A09C8"/>
    <w:rsid w:val="008A0D99"/>
    <w:rsid w:val="008A2A2F"/>
    <w:rsid w:val="008A7168"/>
    <w:rsid w:val="008B21B8"/>
    <w:rsid w:val="008B27EA"/>
    <w:rsid w:val="008B3DC2"/>
    <w:rsid w:val="008B606F"/>
    <w:rsid w:val="008B7095"/>
    <w:rsid w:val="008C0A04"/>
    <w:rsid w:val="008C0B09"/>
    <w:rsid w:val="008C0C50"/>
    <w:rsid w:val="008C1781"/>
    <w:rsid w:val="008C502F"/>
    <w:rsid w:val="008C62C1"/>
    <w:rsid w:val="008C68D4"/>
    <w:rsid w:val="008D02E5"/>
    <w:rsid w:val="008D1D48"/>
    <w:rsid w:val="008D230A"/>
    <w:rsid w:val="008D3B86"/>
    <w:rsid w:val="008D406E"/>
    <w:rsid w:val="008D60DC"/>
    <w:rsid w:val="008D6187"/>
    <w:rsid w:val="008D66DC"/>
    <w:rsid w:val="008E1683"/>
    <w:rsid w:val="008E1DD1"/>
    <w:rsid w:val="008E4929"/>
    <w:rsid w:val="008E6C00"/>
    <w:rsid w:val="008E6EC6"/>
    <w:rsid w:val="008F14FD"/>
    <w:rsid w:val="008F1DEF"/>
    <w:rsid w:val="008F2184"/>
    <w:rsid w:val="008F359A"/>
    <w:rsid w:val="008F3AE1"/>
    <w:rsid w:val="008F62B5"/>
    <w:rsid w:val="00900093"/>
    <w:rsid w:val="009014D6"/>
    <w:rsid w:val="00902EF6"/>
    <w:rsid w:val="0090528E"/>
    <w:rsid w:val="0090566E"/>
    <w:rsid w:val="00910DB9"/>
    <w:rsid w:val="00913032"/>
    <w:rsid w:val="009148A5"/>
    <w:rsid w:val="00914D56"/>
    <w:rsid w:val="00920618"/>
    <w:rsid w:val="00924AA4"/>
    <w:rsid w:val="0092774E"/>
    <w:rsid w:val="00933585"/>
    <w:rsid w:val="009352D8"/>
    <w:rsid w:val="00935BA5"/>
    <w:rsid w:val="00940BDA"/>
    <w:rsid w:val="00941BBF"/>
    <w:rsid w:val="00942EBF"/>
    <w:rsid w:val="009438FC"/>
    <w:rsid w:val="00946AA1"/>
    <w:rsid w:val="009473F3"/>
    <w:rsid w:val="009518BC"/>
    <w:rsid w:val="00952351"/>
    <w:rsid w:val="009539E1"/>
    <w:rsid w:val="00955754"/>
    <w:rsid w:val="00955902"/>
    <w:rsid w:val="00956850"/>
    <w:rsid w:val="00957155"/>
    <w:rsid w:val="00960298"/>
    <w:rsid w:val="009617C9"/>
    <w:rsid w:val="00964280"/>
    <w:rsid w:val="00964BBC"/>
    <w:rsid w:val="009659AC"/>
    <w:rsid w:val="00966654"/>
    <w:rsid w:val="00967D7E"/>
    <w:rsid w:val="00971EAD"/>
    <w:rsid w:val="0097268B"/>
    <w:rsid w:val="00972AD2"/>
    <w:rsid w:val="00974F36"/>
    <w:rsid w:val="00975959"/>
    <w:rsid w:val="009760EB"/>
    <w:rsid w:val="00980F5B"/>
    <w:rsid w:val="00981DBE"/>
    <w:rsid w:val="00984E8F"/>
    <w:rsid w:val="00985BCE"/>
    <w:rsid w:val="00985F3B"/>
    <w:rsid w:val="00986045"/>
    <w:rsid w:val="009908D6"/>
    <w:rsid w:val="00991969"/>
    <w:rsid w:val="00992A9A"/>
    <w:rsid w:val="00993D51"/>
    <w:rsid w:val="0099618A"/>
    <w:rsid w:val="009968A1"/>
    <w:rsid w:val="009968A9"/>
    <w:rsid w:val="009975CC"/>
    <w:rsid w:val="00997C50"/>
    <w:rsid w:val="00997CFF"/>
    <w:rsid w:val="009A17F1"/>
    <w:rsid w:val="009A19BC"/>
    <w:rsid w:val="009B1321"/>
    <w:rsid w:val="009B2430"/>
    <w:rsid w:val="009B24F9"/>
    <w:rsid w:val="009B4253"/>
    <w:rsid w:val="009B59A1"/>
    <w:rsid w:val="009B60AE"/>
    <w:rsid w:val="009B6A33"/>
    <w:rsid w:val="009C08CC"/>
    <w:rsid w:val="009C111F"/>
    <w:rsid w:val="009C2C5D"/>
    <w:rsid w:val="009C4B7B"/>
    <w:rsid w:val="009C59BE"/>
    <w:rsid w:val="009C74B5"/>
    <w:rsid w:val="009D35D8"/>
    <w:rsid w:val="009D37E6"/>
    <w:rsid w:val="009D3EF2"/>
    <w:rsid w:val="009D550E"/>
    <w:rsid w:val="009D7F85"/>
    <w:rsid w:val="009E29E5"/>
    <w:rsid w:val="009E3451"/>
    <w:rsid w:val="009E39BF"/>
    <w:rsid w:val="009E4609"/>
    <w:rsid w:val="009E4704"/>
    <w:rsid w:val="009E4787"/>
    <w:rsid w:val="009E47F6"/>
    <w:rsid w:val="009E62B9"/>
    <w:rsid w:val="009E7BB3"/>
    <w:rsid w:val="009E7C90"/>
    <w:rsid w:val="009F058D"/>
    <w:rsid w:val="009F20F8"/>
    <w:rsid w:val="009F326E"/>
    <w:rsid w:val="009F374C"/>
    <w:rsid w:val="009F6A0B"/>
    <w:rsid w:val="00A0154D"/>
    <w:rsid w:val="00A02C8B"/>
    <w:rsid w:val="00A03BB4"/>
    <w:rsid w:val="00A03EC9"/>
    <w:rsid w:val="00A048A8"/>
    <w:rsid w:val="00A04ECA"/>
    <w:rsid w:val="00A059EB"/>
    <w:rsid w:val="00A10E6B"/>
    <w:rsid w:val="00A13062"/>
    <w:rsid w:val="00A13AD5"/>
    <w:rsid w:val="00A20855"/>
    <w:rsid w:val="00A21927"/>
    <w:rsid w:val="00A24302"/>
    <w:rsid w:val="00A261AD"/>
    <w:rsid w:val="00A311DB"/>
    <w:rsid w:val="00A34E1F"/>
    <w:rsid w:val="00A35D54"/>
    <w:rsid w:val="00A37185"/>
    <w:rsid w:val="00A419DF"/>
    <w:rsid w:val="00A42065"/>
    <w:rsid w:val="00A42384"/>
    <w:rsid w:val="00A42A15"/>
    <w:rsid w:val="00A445E0"/>
    <w:rsid w:val="00A461DC"/>
    <w:rsid w:val="00A46A98"/>
    <w:rsid w:val="00A476D9"/>
    <w:rsid w:val="00A5075A"/>
    <w:rsid w:val="00A525D6"/>
    <w:rsid w:val="00A536A4"/>
    <w:rsid w:val="00A5632B"/>
    <w:rsid w:val="00A65BBC"/>
    <w:rsid w:val="00A66125"/>
    <w:rsid w:val="00A67EB9"/>
    <w:rsid w:val="00A70327"/>
    <w:rsid w:val="00A7045B"/>
    <w:rsid w:val="00A71674"/>
    <w:rsid w:val="00A73A81"/>
    <w:rsid w:val="00A75FEE"/>
    <w:rsid w:val="00A77CEE"/>
    <w:rsid w:val="00A87F31"/>
    <w:rsid w:val="00A902B5"/>
    <w:rsid w:val="00A92C3E"/>
    <w:rsid w:val="00A939F7"/>
    <w:rsid w:val="00A94ADC"/>
    <w:rsid w:val="00A94C60"/>
    <w:rsid w:val="00A94FF0"/>
    <w:rsid w:val="00A95209"/>
    <w:rsid w:val="00A958AD"/>
    <w:rsid w:val="00A9605A"/>
    <w:rsid w:val="00A960AB"/>
    <w:rsid w:val="00AA2A54"/>
    <w:rsid w:val="00AA2E72"/>
    <w:rsid w:val="00AA441D"/>
    <w:rsid w:val="00AA452F"/>
    <w:rsid w:val="00AA552D"/>
    <w:rsid w:val="00AA76F5"/>
    <w:rsid w:val="00AB170F"/>
    <w:rsid w:val="00AB3920"/>
    <w:rsid w:val="00AB55AB"/>
    <w:rsid w:val="00AB5A3F"/>
    <w:rsid w:val="00AB6163"/>
    <w:rsid w:val="00AB627C"/>
    <w:rsid w:val="00AB662C"/>
    <w:rsid w:val="00AB72FB"/>
    <w:rsid w:val="00AB76CA"/>
    <w:rsid w:val="00AC16B1"/>
    <w:rsid w:val="00AC3CE8"/>
    <w:rsid w:val="00AC67BA"/>
    <w:rsid w:val="00AC6A2F"/>
    <w:rsid w:val="00AD2196"/>
    <w:rsid w:val="00AD3A30"/>
    <w:rsid w:val="00AE205C"/>
    <w:rsid w:val="00AE2314"/>
    <w:rsid w:val="00AE25E2"/>
    <w:rsid w:val="00AE552F"/>
    <w:rsid w:val="00AE5563"/>
    <w:rsid w:val="00AE6824"/>
    <w:rsid w:val="00AF3210"/>
    <w:rsid w:val="00AF37B5"/>
    <w:rsid w:val="00AF4A76"/>
    <w:rsid w:val="00AF5EC9"/>
    <w:rsid w:val="00AF70B9"/>
    <w:rsid w:val="00AF75E2"/>
    <w:rsid w:val="00B003EC"/>
    <w:rsid w:val="00B011E3"/>
    <w:rsid w:val="00B01484"/>
    <w:rsid w:val="00B02C55"/>
    <w:rsid w:val="00B0315E"/>
    <w:rsid w:val="00B04A62"/>
    <w:rsid w:val="00B05518"/>
    <w:rsid w:val="00B06D29"/>
    <w:rsid w:val="00B1159F"/>
    <w:rsid w:val="00B13282"/>
    <w:rsid w:val="00B13419"/>
    <w:rsid w:val="00B15E04"/>
    <w:rsid w:val="00B1678D"/>
    <w:rsid w:val="00B2017B"/>
    <w:rsid w:val="00B20E46"/>
    <w:rsid w:val="00B22C11"/>
    <w:rsid w:val="00B3201D"/>
    <w:rsid w:val="00B33B67"/>
    <w:rsid w:val="00B34503"/>
    <w:rsid w:val="00B34992"/>
    <w:rsid w:val="00B34AB4"/>
    <w:rsid w:val="00B34D55"/>
    <w:rsid w:val="00B37EDB"/>
    <w:rsid w:val="00B4391F"/>
    <w:rsid w:val="00B4484B"/>
    <w:rsid w:val="00B4619D"/>
    <w:rsid w:val="00B4697D"/>
    <w:rsid w:val="00B469DA"/>
    <w:rsid w:val="00B47090"/>
    <w:rsid w:val="00B52BB3"/>
    <w:rsid w:val="00B5331C"/>
    <w:rsid w:val="00B53BFA"/>
    <w:rsid w:val="00B53F0D"/>
    <w:rsid w:val="00B55055"/>
    <w:rsid w:val="00B55C27"/>
    <w:rsid w:val="00B61E12"/>
    <w:rsid w:val="00B62BF7"/>
    <w:rsid w:val="00B641E5"/>
    <w:rsid w:val="00B650D4"/>
    <w:rsid w:val="00B65199"/>
    <w:rsid w:val="00B6594B"/>
    <w:rsid w:val="00B66BA7"/>
    <w:rsid w:val="00B675F5"/>
    <w:rsid w:val="00B67B25"/>
    <w:rsid w:val="00B72882"/>
    <w:rsid w:val="00B73134"/>
    <w:rsid w:val="00B75731"/>
    <w:rsid w:val="00B76266"/>
    <w:rsid w:val="00B856EF"/>
    <w:rsid w:val="00B90087"/>
    <w:rsid w:val="00B93062"/>
    <w:rsid w:val="00B94E57"/>
    <w:rsid w:val="00B965FF"/>
    <w:rsid w:val="00BA41EE"/>
    <w:rsid w:val="00BA5C5B"/>
    <w:rsid w:val="00BA5CF6"/>
    <w:rsid w:val="00BB0767"/>
    <w:rsid w:val="00BB0FA5"/>
    <w:rsid w:val="00BB2FDB"/>
    <w:rsid w:val="00BB50A1"/>
    <w:rsid w:val="00BB5741"/>
    <w:rsid w:val="00BB7DB4"/>
    <w:rsid w:val="00BC552D"/>
    <w:rsid w:val="00BC5E60"/>
    <w:rsid w:val="00BC750B"/>
    <w:rsid w:val="00BC757F"/>
    <w:rsid w:val="00BD24D3"/>
    <w:rsid w:val="00BD568C"/>
    <w:rsid w:val="00BD57BE"/>
    <w:rsid w:val="00BD6CE0"/>
    <w:rsid w:val="00BE1774"/>
    <w:rsid w:val="00BE35AA"/>
    <w:rsid w:val="00BE41BB"/>
    <w:rsid w:val="00BE4A16"/>
    <w:rsid w:val="00BE4FA4"/>
    <w:rsid w:val="00BE57EF"/>
    <w:rsid w:val="00BE5969"/>
    <w:rsid w:val="00BF2EB3"/>
    <w:rsid w:val="00BF4426"/>
    <w:rsid w:val="00BF44A3"/>
    <w:rsid w:val="00BF4A71"/>
    <w:rsid w:val="00BF63B8"/>
    <w:rsid w:val="00C0110C"/>
    <w:rsid w:val="00C03790"/>
    <w:rsid w:val="00C0571B"/>
    <w:rsid w:val="00C07CD8"/>
    <w:rsid w:val="00C10495"/>
    <w:rsid w:val="00C14365"/>
    <w:rsid w:val="00C14A3F"/>
    <w:rsid w:val="00C157D8"/>
    <w:rsid w:val="00C15C22"/>
    <w:rsid w:val="00C164F0"/>
    <w:rsid w:val="00C17D5B"/>
    <w:rsid w:val="00C24787"/>
    <w:rsid w:val="00C24D45"/>
    <w:rsid w:val="00C25619"/>
    <w:rsid w:val="00C26D57"/>
    <w:rsid w:val="00C308EB"/>
    <w:rsid w:val="00C313BB"/>
    <w:rsid w:val="00C3332F"/>
    <w:rsid w:val="00C372A5"/>
    <w:rsid w:val="00C372DB"/>
    <w:rsid w:val="00C37E8F"/>
    <w:rsid w:val="00C37F20"/>
    <w:rsid w:val="00C41E1E"/>
    <w:rsid w:val="00C41F54"/>
    <w:rsid w:val="00C44376"/>
    <w:rsid w:val="00C503D0"/>
    <w:rsid w:val="00C51304"/>
    <w:rsid w:val="00C55BA2"/>
    <w:rsid w:val="00C604B6"/>
    <w:rsid w:val="00C62007"/>
    <w:rsid w:val="00C63E10"/>
    <w:rsid w:val="00C65F14"/>
    <w:rsid w:val="00C661E5"/>
    <w:rsid w:val="00C668D9"/>
    <w:rsid w:val="00C670B6"/>
    <w:rsid w:val="00C707BF"/>
    <w:rsid w:val="00C714D1"/>
    <w:rsid w:val="00C73037"/>
    <w:rsid w:val="00C7372A"/>
    <w:rsid w:val="00C74B62"/>
    <w:rsid w:val="00C74EFB"/>
    <w:rsid w:val="00C75A8B"/>
    <w:rsid w:val="00C76715"/>
    <w:rsid w:val="00C76CFC"/>
    <w:rsid w:val="00C77318"/>
    <w:rsid w:val="00C84FFB"/>
    <w:rsid w:val="00C864DB"/>
    <w:rsid w:val="00C86FD0"/>
    <w:rsid w:val="00C874E9"/>
    <w:rsid w:val="00C87C86"/>
    <w:rsid w:val="00C90692"/>
    <w:rsid w:val="00C907B8"/>
    <w:rsid w:val="00C9192C"/>
    <w:rsid w:val="00C96978"/>
    <w:rsid w:val="00CA004F"/>
    <w:rsid w:val="00CA163D"/>
    <w:rsid w:val="00CA3B20"/>
    <w:rsid w:val="00CA40C4"/>
    <w:rsid w:val="00CB03CD"/>
    <w:rsid w:val="00CB03CF"/>
    <w:rsid w:val="00CB20B9"/>
    <w:rsid w:val="00CB2BE6"/>
    <w:rsid w:val="00CB6DAC"/>
    <w:rsid w:val="00CB6E4D"/>
    <w:rsid w:val="00CC10FB"/>
    <w:rsid w:val="00CC53AB"/>
    <w:rsid w:val="00CC5F64"/>
    <w:rsid w:val="00CC6B52"/>
    <w:rsid w:val="00CC7AB7"/>
    <w:rsid w:val="00CC7CB7"/>
    <w:rsid w:val="00CD13C2"/>
    <w:rsid w:val="00CD2081"/>
    <w:rsid w:val="00CD2E51"/>
    <w:rsid w:val="00CD3523"/>
    <w:rsid w:val="00CD5597"/>
    <w:rsid w:val="00CD662E"/>
    <w:rsid w:val="00CD75B7"/>
    <w:rsid w:val="00CE09F2"/>
    <w:rsid w:val="00CE1B79"/>
    <w:rsid w:val="00CE395E"/>
    <w:rsid w:val="00CE4C9A"/>
    <w:rsid w:val="00CE7A7B"/>
    <w:rsid w:val="00CF11F3"/>
    <w:rsid w:val="00CF1485"/>
    <w:rsid w:val="00CF1DD6"/>
    <w:rsid w:val="00CF30A9"/>
    <w:rsid w:val="00CF457D"/>
    <w:rsid w:val="00CF53DD"/>
    <w:rsid w:val="00CF581E"/>
    <w:rsid w:val="00CF5E23"/>
    <w:rsid w:val="00CF7566"/>
    <w:rsid w:val="00D01B36"/>
    <w:rsid w:val="00D025E9"/>
    <w:rsid w:val="00D037A1"/>
    <w:rsid w:val="00D04116"/>
    <w:rsid w:val="00D05624"/>
    <w:rsid w:val="00D06539"/>
    <w:rsid w:val="00D06AEE"/>
    <w:rsid w:val="00D10B27"/>
    <w:rsid w:val="00D11688"/>
    <w:rsid w:val="00D12D09"/>
    <w:rsid w:val="00D13CF5"/>
    <w:rsid w:val="00D14815"/>
    <w:rsid w:val="00D15303"/>
    <w:rsid w:val="00D2079C"/>
    <w:rsid w:val="00D2176C"/>
    <w:rsid w:val="00D27BD6"/>
    <w:rsid w:val="00D27E9D"/>
    <w:rsid w:val="00D30F49"/>
    <w:rsid w:val="00D32F74"/>
    <w:rsid w:val="00D3311D"/>
    <w:rsid w:val="00D33197"/>
    <w:rsid w:val="00D3455F"/>
    <w:rsid w:val="00D3587A"/>
    <w:rsid w:val="00D40038"/>
    <w:rsid w:val="00D40D52"/>
    <w:rsid w:val="00D41B1F"/>
    <w:rsid w:val="00D42843"/>
    <w:rsid w:val="00D4308C"/>
    <w:rsid w:val="00D442A6"/>
    <w:rsid w:val="00D4452F"/>
    <w:rsid w:val="00D4467D"/>
    <w:rsid w:val="00D44C6E"/>
    <w:rsid w:val="00D54A56"/>
    <w:rsid w:val="00D56165"/>
    <w:rsid w:val="00D564F3"/>
    <w:rsid w:val="00D61813"/>
    <w:rsid w:val="00D62659"/>
    <w:rsid w:val="00D63472"/>
    <w:rsid w:val="00D63B70"/>
    <w:rsid w:val="00D64B37"/>
    <w:rsid w:val="00D668DC"/>
    <w:rsid w:val="00D67D8D"/>
    <w:rsid w:val="00D7373E"/>
    <w:rsid w:val="00D76643"/>
    <w:rsid w:val="00D77316"/>
    <w:rsid w:val="00D806E8"/>
    <w:rsid w:val="00D81926"/>
    <w:rsid w:val="00D82C5C"/>
    <w:rsid w:val="00D83DBF"/>
    <w:rsid w:val="00D85A74"/>
    <w:rsid w:val="00D869FC"/>
    <w:rsid w:val="00D87857"/>
    <w:rsid w:val="00D903E3"/>
    <w:rsid w:val="00D90555"/>
    <w:rsid w:val="00D90C04"/>
    <w:rsid w:val="00D912E0"/>
    <w:rsid w:val="00D93945"/>
    <w:rsid w:val="00D9485D"/>
    <w:rsid w:val="00D96F4F"/>
    <w:rsid w:val="00D970C1"/>
    <w:rsid w:val="00D97CD6"/>
    <w:rsid w:val="00DA16A3"/>
    <w:rsid w:val="00DA4AF3"/>
    <w:rsid w:val="00DA6310"/>
    <w:rsid w:val="00DA6D81"/>
    <w:rsid w:val="00DA7A33"/>
    <w:rsid w:val="00DB093D"/>
    <w:rsid w:val="00DB0966"/>
    <w:rsid w:val="00DB0DD2"/>
    <w:rsid w:val="00DB200B"/>
    <w:rsid w:val="00DB41F9"/>
    <w:rsid w:val="00DB623E"/>
    <w:rsid w:val="00DC0260"/>
    <w:rsid w:val="00DC3388"/>
    <w:rsid w:val="00DC36BB"/>
    <w:rsid w:val="00DC3F40"/>
    <w:rsid w:val="00DC40A0"/>
    <w:rsid w:val="00DC51A7"/>
    <w:rsid w:val="00DC6393"/>
    <w:rsid w:val="00DC6F2E"/>
    <w:rsid w:val="00DD0A27"/>
    <w:rsid w:val="00DD1350"/>
    <w:rsid w:val="00DD1F68"/>
    <w:rsid w:val="00DD2083"/>
    <w:rsid w:val="00DD47B6"/>
    <w:rsid w:val="00DD5361"/>
    <w:rsid w:val="00DD5438"/>
    <w:rsid w:val="00DD5C84"/>
    <w:rsid w:val="00DD6F5C"/>
    <w:rsid w:val="00DD75B0"/>
    <w:rsid w:val="00DE189A"/>
    <w:rsid w:val="00DE2786"/>
    <w:rsid w:val="00DE3CC1"/>
    <w:rsid w:val="00DE47AF"/>
    <w:rsid w:val="00DE4BEC"/>
    <w:rsid w:val="00DE7477"/>
    <w:rsid w:val="00DF0E70"/>
    <w:rsid w:val="00DF0F38"/>
    <w:rsid w:val="00DF3B59"/>
    <w:rsid w:val="00DF431F"/>
    <w:rsid w:val="00DF5F42"/>
    <w:rsid w:val="00E02F13"/>
    <w:rsid w:val="00E03B72"/>
    <w:rsid w:val="00E04C00"/>
    <w:rsid w:val="00E07F61"/>
    <w:rsid w:val="00E1688E"/>
    <w:rsid w:val="00E16DF8"/>
    <w:rsid w:val="00E202F8"/>
    <w:rsid w:val="00E207B3"/>
    <w:rsid w:val="00E21779"/>
    <w:rsid w:val="00E23374"/>
    <w:rsid w:val="00E2361E"/>
    <w:rsid w:val="00E25A65"/>
    <w:rsid w:val="00E25D36"/>
    <w:rsid w:val="00E26C4A"/>
    <w:rsid w:val="00E3143C"/>
    <w:rsid w:val="00E316C2"/>
    <w:rsid w:val="00E32095"/>
    <w:rsid w:val="00E33892"/>
    <w:rsid w:val="00E342D6"/>
    <w:rsid w:val="00E34E8F"/>
    <w:rsid w:val="00E353BE"/>
    <w:rsid w:val="00E35FA6"/>
    <w:rsid w:val="00E40DE0"/>
    <w:rsid w:val="00E44C15"/>
    <w:rsid w:val="00E46543"/>
    <w:rsid w:val="00E4680D"/>
    <w:rsid w:val="00E47B46"/>
    <w:rsid w:val="00E501C2"/>
    <w:rsid w:val="00E53391"/>
    <w:rsid w:val="00E542CE"/>
    <w:rsid w:val="00E56027"/>
    <w:rsid w:val="00E6024F"/>
    <w:rsid w:val="00E60F71"/>
    <w:rsid w:val="00E6230F"/>
    <w:rsid w:val="00E628F2"/>
    <w:rsid w:val="00E634DD"/>
    <w:rsid w:val="00E64CAD"/>
    <w:rsid w:val="00E65206"/>
    <w:rsid w:val="00E65E96"/>
    <w:rsid w:val="00E66853"/>
    <w:rsid w:val="00E70641"/>
    <w:rsid w:val="00E7375D"/>
    <w:rsid w:val="00E75219"/>
    <w:rsid w:val="00E75809"/>
    <w:rsid w:val="00E813BD"/>
    <w:rsid w:val="00E8208A"/>
    <w:rsid w:val="00E82973"/>
    <w:rsid w:val="00E836F5"/>
    <w:rsid w:val="00E85444"/>
    <w:rsid w:val="00E93699"/>
    <w:rsid w:val="00E94952"/>
    <w:rsid w:val="00E957C4"/>
    <w:rsid w:val="00EA102A"/>
    <w:rsid w:val="00EA2CC9"/>
    <w:rsid w:val="00EA469B"/>
    <w:rsid w:val="00EB1F4F"/>
    <w:rsid w:val="00EB2E24"/>
    <w:rsid w:val="00EB33E6"/>
    <w:rsid w:val="00EB752A"/>
    <w:rsid w:val="00EC023C"/>
    <w:rsid w:val="00EC053A"/>
    <w:rsid w:val="00EC605A"/>
    <w:rsid w:val="00EC7935"/>
    <w:rsid w:val="00ED0556"/>
    <w:rsid w:val="00ED13CC"/>
    <w:rsid w:val="00ED1DBA"/>
    <w:rsid w:val="00ED32AE"/>
    <w:rsid w:val="00ED7FB4"/>
    <w:rsid w:val="00EE0A5D"/>
    <w:rsid w:val="00EE0E18"/>
    <w:rsid w:val="00EE0EFF"/>
    <w:rsid w:val="00EE3564"/>
    <w:rsid w:val="00EF0BFE"/>
    <w:rsid w:val="00EF247F"/>
    <w:rsid w:val="00EF2898"/>
    <w:rsid w:val="00EF2DD8"/>
    <w:rsid w:val="00EF46B9"/>
    <w:rsid w:val="00EF4B8C"/>
    <w:rsid w:val="00EF5E9D"/>
    <w:rsid w:val="00EF5FAB"/>
    <w:rsid w:val="00EF62FF"/>
    <w:rsid w:val="00EF64E5"/>
    <w:rsid w:val="00F00E99"/>
    <w:rsid w:val="00F06D80"/>
    <w:rsid w:val="00F11DB2"/>
    <w:rsid w:val="00F1207E"/>
    <w:rsid w:val="00F13E6D"/>
    <w:rsid w:val="00F16A9D"/>
    <w:rsid w:val="00F17F25"/>
    <w:rsid w:val="00F20E8C"/>
    <w:rsid w:val="00F212F4"/>
    <w:rsid w:val="00F234B4"/>
    <w:rsid w:val="00F23868"/>
    <w:rsid w:val="00F25400"/>
    <w:rsid w:val="00F25B53"/>
    <w:rsid w:val="00F261CE"/>
    <w:rsid w:val="00F27C9D"/>
    <w:rsid w:val="00F30FFF"/>
    <w:rsid w:val="00F31565"/>
    <w:rsid w:val="00F33047"/>
    <w:rsid w:val="00F33357"/>
    <w:rsid w:val="00F34A46"/>
    <w:rsid w:val="00F34BD2"/>
    <w:rsid w:val="00F3703E"/>
    <w:rsid w:val="00F37E4D"/>
    <w:rsid w:val="00F41800"/>
    <w:rsid w:val="00F47FE8"/>
    <w:rsid w:val="00F53C3A"/>
    <w:rsid w:val="00F5694B"/>
    <w:rsid w:val="00F56B9B"/>
    <w:rsid w:val="00F56CFB"/>
    <w:rsid w:val="00F57A05"/>
    <w:rsid w:val="00F6075B"/>
    <w:rsid w:val="00F6354A"/>
    <w:rsid w:val="00F63B5A"/>
    <w:rsid w:val="00F63BB1"/>
    <w:rsid w:val="00F650F5"/>
    <w:rsid w:val="00F672A0"/>
    <w:rsid w:val="00F67F9F"/>
    <w:rsid w:val="00F72915"/>
    <w:rsid w:val="00F74607"/>
    <w:rsid w:val="00F774EF"/>
    <w:rsid w:val="00F77D00"/>
    <w:rsid w:val="00F80FA6"/>
    <w:rsid w:val="00F81300"/>
    <w:rsid w:val="00F835D7"/>
    <w:rsid w:val="00F83C4C"/>
    <w:rsid w:val="00F90AF2"/>
    <w:rsid w:val="00F94671"/>
    <w:rsid w:val="00F95E6B"/>
    <w:rsid w:val="00F9600A"/>
    <w:rsid w:val="00F96013"/>
    <w:rsid w:val="00F96AE5"/>
    <w:rsid w:val="00F96CEF"/>
    <w:rsid w:val="00FA17E5"/>
    <w:rsid w:val="00FA37F3"/>
    <w:rsid w:val="00FA4EF9"/>
    <w:rsid w:val="00FB04FF"/>
    <w:rsid w:val="00FB1DC5"/>
    <w:rsid w:val="00FB4DDE"/>
    <w:rsid w:val="00FC3985"/>
    <w:rsid w:val="00FC4BA0"/>
    <w:rsid w:val="00FC52EA"/>
    <w:rsid w:val="00FC583E"/>
    <w:rsid w:val="00FC6D10"/>
    <w:rsid w:val="00FC70B3"/>
    <w:rsid w:val="00FC7747"/>
    <w:rsid w:val="00FC77E7"/>
    <w:rsid w:val="00FC7D20"/>
    <w:rsid w:val="00FD03E3"/>
    <w:rsid w:val="00FD3507"/>
    <w:rsid w:val="00FD62FC"/>
    <w:rsid w:val="00FD7E00"/>
    <w:rsid w:val="00FE02EF"/>
    <w:rsid w:val="00FE3C59"/>
    <w:rsid w:val="00FE5C72"/>
    <w:rsid w:val="00FE61EA"/>
    <w:rsid w:val="00FE7B05"/>
    <w:rsid w:val="00FE7CD0"/>
    <w:rsid w:val="00FE7DC2"/>
    <w:rsid w:val="00FF144D"/>
    <w:rsid w:val="00FF3445"/>
    <w:rsid w:val="00FF543B"/>
    <w:rsid w:val="00FF63CC"/>
    <w:rsid w:val="00FF77F2"/>
    <w:rsid w:val="00FF7FA3"/>
    <w:rsid w:val="57FCA24A"/>
    <w:rsid w:val="66471E40"/>
    <w:rsid w:val="6FBFEB7E"/>
    <w:rsid w:val="70BC0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E1A2D"/>
  <w15:docId w15:val="{53BF1EED-11B3-4986-AA3E-A6F529368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436F8"/>
    <w:pPr>
      <w:spacing w:after="0" w:line="240" w:lineRule="auto"/>
    </w:pPr>
    <w:rPr>
      <w:rFonts w:ascii="Times New Roman" w:eastAsia="Times New Roman" w:hAnsi="Times New Roman" w:cs="Times New Roman"/>
      <w:sz w:val="24"/>
      <w:szCs w:val="24"/>
      <w:lang w:val="cs-CZ" w:eastAsia="cs-CZ"/>
    </w:rPr>
  </w:style>
  <w:style w:type="paragraph" w:styleId="Nadpis7">
    <w:name w:val="heading 7"/>
    <w:basedOn w:val="Normln"/>
    <w:next w:val="Normln"/>
    <w:link w:val="Nadpis7Char"/>
    <w:uiPriority w:val="9"/>
    <w:unhideWhenUsed/>
    <w:qFormat/>
    <w:rsid w:val="00414C21"/>
    <w:pPr>
      <w:keepNext/>
      <w:keepLines/>
      <w:numPr>
        <w:ilvl w:val="6"/>
        <w:numId w:val="2"/>
      </w:numPr>
      <w:spacing w:before="40"/>
      <w:jc w:val="both"/>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unhideWhenUsed/>
    <w:qFormat/>
    <w:rsid w:val="00414C21"/>
    <w:pPr>
      <w:keepNext/>
      <w:keepLines/>
      <w:numPr>
        <w:ilvl w:val="7"/>
        <w:numId w:val="2"/>
      </w:numPr>
      <w:spacing w:before="40"/>
      <w:jc w:val="both"/>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414C21"/>
    <w:pPr>
      <w:keepNext/>
      <w:keepLines/>
      <w:numPr>
        <w:ilvl w:val="8"/>
        <w:numId w:val="2"/>
      </w:numPr>
      <w:spacing w:before="40"/>
      <w:jc w:val="both"/>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velizanbod">
    <w:name w:val="Novelizační bod"/>
    <w:basedOn w:val="Normln"/>
    <w:next w:val="Normln"/>
    <w:link w:val="NovelizanbodChar"/>
    <w:rsid w:val="006436F8"/>
    <w:pPr>
      <w:keepNext/>
      <w:keepLines/>
      <w:numPr>
        <w:numId w:val="1"/>
      </w:numPr>
      <w:tabs>
        <w:tab w:val="left" w:pos="851"/>
      </w:tabs>
      <w:spacing w:before="480" w:after="120"/>
      <w:jc w:val="both"/>
    </w:pPr>
    <w:rPr>
      <w:szCs w:val="20"/>
    </w:rPr>
  </w:style>
  <w:style w:type="character" w:customStyle="1" w:styleId="NovelizanbodChar">
    <w:name w:val="Novelizační bod Char"/>
    <w:link w:val="Novelizanbod"/>
    <w:locked/>
    <w:rsid w:val="006436F8"/>
    <w:rPr>
      <w:rFonts w:ascii="Times New Roman" w:eastAsia="Times New Roman" w:hAnsi="Times New Roman" w:cs="Times New Roman"/>
      <w:sz w:val="24"/>
      <w:szCs w:val="20"/>
      <w:lang w:val="cs-CZ" w:eastAsia="cs-CZ"/>
    </w:rPr>
  </w:style>
  <w:style w:type="paragraph" w:styleId="Odstavecseseznamem">
    <w:name w:val="List Paragraph"/>
    <w:aliases w:val="Odstavec_muj,Conclusion de partie,References,Odstavec se seznamem2,Nad,Odstavec cíl se seznamem,Odstavec se seznamem1,List Paragraph,Odstavec_muj1,Odstavec_muj2,Odstavec_muj3,Nad1,List Paragraph1,Odstavec_muj4,Nad2,List Paragraph2"/>
    <w:basedOn w:val="Normln"/>
    <w:link w:val="OdstavecseseznamemChar"/>
    <w:uiPriority w:val="34"/>
    <w:qFormat/>
    <w:rsid w:val="006436F8"/>
    <w:pPr>
      <w:ind w:left="720"/>
      <w:contextualSpacing/>
    </w:pPr>
  </w:style>
  <w:style w:type="paragraph" w:customStyle="1" w:styleId="CELEX">
    <w:name w:val="CELEX"/>
    <w:basedOn w:val="Normln"/>
    <w:next w:val="Normln"/>
    <w:rsid w:val="006436F8"/>
    <w:pPr>
      <w:spacing w:before="60"/>
      <w:jc w:val="both"/>
    </w:pPr>
    <w:rPr>
      <w:i/>
      <w:sz w:val="20"/>
      <w:szCs w:val="20"/>
    </w:rPr>
  </w:style>
  <w:style w:type="paragraph" w:styleId="Textbubliny">
    <w:name w:val="Balloon Text"/>
    <w:basedOn w:val="Normln"/>
    <w:link w:val="TextbublinyChar"/>
    <w:uiPriority w:val="99"/>
    <w:semiHidden/>
    <w:unhideWhenUsed/>
    <w:rsid w:val="00D2176C"/>
    <w:rPr>
      <w:rFonts w:ascii="Tahoma" w:hAnsi="Tahoma" w:cs="Tahoma"/>
      <w:sz w:val="16"/>
      <w:szCs w:val="16"/>
    </w:rPr>
  </w:style>
  <w:style w:type="character" w:customStyle="1" w:styleId="TextbublinyChar">
    <w:name w:val="Text bubliny Char"/>
    <w:basedOn w:val="Standardnpsmoodstavce"/>
    <w:link w:val="Textbubliny"/>
    <w:uiPriority w:val="99"/>
    <w:semiHidden/>
    <w:rsid w:val="00D2176C"/>
    <w:rPr>
      <w:rFonts w:ascii="Tahoma" w:eastAsia="Times New Roman" w:hAnsi="Tahoma" w:cs="Tahoma"/>
      <w:sz w:val="16"/>
      <w:szCs w:val="16"/>
      <w:lang w:val="cs-CZ" w:eastAsia="cs-CZ"/>
    </w:rPr>
  </w:style>
  <w:style w:type="paragraph" w:styleId="Zhlav">
    <w:name w:val="header"/>
    <w:basedOn w:val="Normln"/>
    <w:link w:val="ZhlavChar"/>
    <w:uiPriority w:val="99"/>
    <w:unhideWhenUsed/>
    <w:rsid w:val="00F53C3A"/>
    <w:pPr>
      <w:tabs>
        <w:tab w:val="center" w:pos="4536"/>
        <w:tab w:val="right" w:pos="9072"/>
      </w:tabs>
    </w:pPr>
  </w:style>
  <w:style w:type="character" w:customStyle="1" w:styleId="ZhlavChar">
    <w:name w:val="Záhlaví Char"/>
    <w:basedOn w:val="Standardnpsmoodstavce"/>
    <w:link w:val="Zhlav"/>
    <w:uiPriority w:val="99"/>
    <w:rsid w:val="00F53C3A"/>
    <w:rPr>
      <w:rFonts w:ascii="Times New Roman" w:eastAsia="Times New Roman" w:hAnsi="Times New Roman" w:cs="Times New Roman"/>
      <w:sz w:val="24"/>
      <w:szCs w:val="24"/>
      <w:lang w:val="cs-CZ" w:eastAsia="cs-CZ"/>
    </w:rPr>
  </w:style>
  <w:style w:type="paragraph" w:styleId="Zpat">
    <w:name w:val="footer"/>
    <w:basedOn w:val="Normln"/>
    <w:link w:val="ZpatChar"/>
    <w:uiPriority w:val="99"/>
    <w:unhideWhenUsed/>
    <w:rsid w:val="00F53C3A"/>
    <w:pPr>
      <w:tabs>
        <w:tab w:val="center" w:pos="4536"/>
        <w:tab w:val="right" w:pos="9072"/>
      </w:tabs>
    </w:pPr>
  </w:style>
  <w:style w:type="character" w:customStyle="1" w:styleId="ZpatChar">
    <w:name w:val="Zápatí Char"/>
    <w:basedOn w:val="Standardnpsmoodstavce"/>
    <w:link w:val="Zpat"/>
    <w:uiPriority w:val="99"/>
    <w:rsid w:val="00F53C3A"/>
    <w:rPr>
      <w:rFonts w:ascii="Times New Roman" w:eastAsia="Times New Roman" w:hAnsi="Times New Roman" w:cs="Times New Roman"/>
      <w:sz w:val="24"/>
      <w:szCs w:val="24"/>
      <w:lang w:val="cs-CZ" w:eastAsia="cs-CZ"/>
    </w:rPr>
  </w:style>
  <w:style w:type="paragraph" w:styleId="Textkomente">
    <w:name w:val="annotation text"/>
    <w:basedOn w:val="Normln"/>
    <w:link w:val="TextkomenteChar"/>
    <w:uiPriority w:val="99"/>
    <w:unhideWhenUsed/>
    <w:qFormat/>
    <w:rsid w:val="00BE4A16"/>
    <w:rPr>
      <w:rFonts w:eastAsia="Calibri"/>
      <w:sz w:val="16"/>
      <w:szCs w:val="20"/>
      <w:lang w:val="en-GB" w:eastAsia="en-US"/>
    </w:rPr>
  </w:style>
  <w:style w:type="character" w:customStyle="1" w:styleId="TextkomenteChar">
    <w:name w:val="Text komentáře Char"/>
    <w:basedOn w:val="Standardnpsmoodstavce"/>
    <w:link w:val="Textkomente"/>
    <w:uiPriority w:val="99"/>
    <w:qFormat/>
    <w:rsid w:val="00BE4A16"/>
    <w:rPr>
      <w:rFonts w:ascii="Times New Roman" w:eastAsia="Calibri" w:hAnsi="Times New Roman" w:cs="Times New Roman"/>
      <w:sz w:val="16"/>
      <w:szCs w:val="20"/>
      <w:lang w:val="en-GB"/>
    </w:rPr>
  </w:style>
  <w:style w:type="character" w:styleId="Odkaznakoment">
    <w:name w:val="annotation reference"/>
    <w:basedOn w:val="Standardnpsmoodstavce"/>
    <w:uiPriority w:val="99"/>
    <w:unhideWhenUsed/>
    <w:qFormat/>
    <w:rsid w:val="00BE4A16"/>
    <w:rPr>
      <w:sz w:val="16"/>
      <w:szCs w:val="16"/>
    </w:rPr>
  </w:style>
  <w:style w:type="paragraph" w:styleId="Pedmtkomente">
    <w:name w:val="annotation subject"/>
    <w:basedOn w:val="Textkomente"/>
    <w:next w:val="Textkomente"/>
    <w:link w:val="PedmtkomenteChar"/>
    <w:uiPriority w:val="99"/>
    <w:semiHidden/>
    <w:unhideWhenUsed/>
    <w:rsid w:val="00902EF6"/>
    <w:rPr>
      <w:rFonts w:eastAsia="Times New Roman"/>
      <w:b/>
      <w:bCs/>
      <w:sz w:val="20"/>
      <w:lang w:val="cs-CZ" w:eastAsia="cs-CZ"/>
    </w:rPr>
  </w:style>
  <w:style w:type="character" w:customStyle="1" w:styleId="PedmtkomenteChar">
    <w:name w:val="Předmět komentáře Char"/>
    <w:basedOn w:val="TextkomenteChar"/>
    <w:link w:val="Pedmtkomente"/>
    <w:uiPriority w:val="99"/>
    <w:semiHidden/>
    <w:rsid w:val="00902EF6"/>
    <w:rPr>
      <w:rFonts w:ascii="Times New Roman" w:eastAsia="Times New Roman" w:hAnsi="Times New Roman" w:cs="Times New Roman"/>
      <w:b/>
      <w:bCs/>
      <w:sz w:val="20"/>
      <w:szCs w:val="20"/>
      <w:lang w:val="cs-CZ" w:eastAsia="cs-CZ"/>
    </w:rPr>
  </w:style>
  <w:style w:type="paragraph" w:styleId="Revize">
    <w:name w:val="Revision"/>
    <w:hidden/>
    <w:uiPriority w:val="99"/>
    <w:semiHidden/>
    <w:rsid w:val="00902EF6"/>
    <w:pPr>
      <w:spacing w:after="0" w:line="240" w:lineRule="auto"/>
    </w:pPr>
    <w:rPr>
      <w:rFonts w:ascii="Times New Roman" w:eastAsia="Times New Roman" w:hAnsi="Times New Roman" w:cs="Times New Roman"/>
      <w:sz w:val="24"/>
      <w:szCs w:val="24"/>
      <w:lang w:val="cs-CZ" w:eastAsia="cs-CZ"/>
    </w:rPr>
  </w:style>
  <w:style w:type="character" w:customStyle="1" w:styleId="Nadpis7Char">
    <w:name w:val="Nadpis 7 Char"/>
    <w:basedOn w:val="Standardnpsmoodstavce"/>
    <w:link w:val="Nadpis7"/>
    <w:uiPriority w:val="9"/>
    <w:rsid w:val="00414C21"/>
    <w:rPr>
      <w:rFonts w:asciiTheme="majorHAnsi" w:eastAsiaTheme="majorEastAsia" w:hAnsiTheme="majorHAnsi" w:cstheme="majorBidi"/>
      <w:i/>
      <w:iCs/>
      <w:color w:val="243F60" w:themeColor="accent1" w:themeShade="7F"/>
      <w:sz w:val="24"/>
      <w:szCs w:val="24"/>
      <w:lang w:val="cs-CZ" w:eastAsia="cs-CZ"/>
    </w:rPr>
  </w:style>
  <w:style w:type="character" w:customStyle="1" w:styleId="Nadpis8Char">
    <w:name w:val="Nadpis 8 Char"/>
    <w:basedOn w:val="Standardnpsmoodstavce"/>
    <w:link w:val="Nadpis8"/>
    <w:uiPriority w:val="9"/>
    <w:rsid w:val="00414C21"/>
    <w:rPr>
      <w:rFonts w:asciiTheme="majorHAnsi" w:eastAsiaTheme="majorEastAsia" w:hAnsiTheme="majorHAnsi" w:cstheme="majorBidi"/>
      <w:color w:val="272727" w:themeColor="text1" w:themeTint="D8"/>
      <w:sz w:val="21"/>
      <w:szCs w:val="21"/>
      <w:lang w:val="cs-CZ" w:eastAsia="cs-CZ"/>
    </w:rPr>
  </w:style>
  <w:style w:type="character" w:customStyle="1" w:styleId="Nadpis9Char">
    <w:name w:val="Nadpis 9 Char"/>
    <w:basedOn w:val="Standardnpsmoodstavce"/>
    <w:link w:val="Nadpis9"/>
    <w:uiPriority w:val="9"/>
    <w:rsid w:val="00414C21"/>
    <w:rPr>
      <w:rFonts w:asciiTheme="majorHAnsi" w:eastAsiaTheme="majorEastAsia" w:hAnsiTheme="majorHAnsi" w:cstheme="majorBidi"/>
      <w:i/>
      <w:iCs/>
      <w:color w:val="272727" w:themeColor="text1" w:themeTint="D8"/>
      <w:sz w:val="21"/>
      <w:szCs w:val="21"/>
      <w:lang w:val="cs-CZ" w:eastAsia="cs-CZ"/>
    </w:rPr>
  </w:style>
  <w:style w:type="paragraph" w:customStyle="1" w:styleId="Paragraf">
    <w:name w:val="Paragraf"/>
    <w:basedOn w:val="Normln"/>
    <w:next w:val="Textodstavce"/>
    <w:link w:val="ParagrafChar"/>
    <w:qFormat/>
    <w:rsid w:val="00414C21"/>
    <w:pPr>
      <w:keepNext/>
      <w:keepLines/>
      <w:numPr>
        <w:numId w:val="2"/>
      </w:numPr>
      <w:spacing w:before="240"/>
      <w:jc w:val="center"/>
      <w:outlineLvl w:val="5"/>
    </w:pPr>
  </w:style>
  <w:style w:type="paragraph" w:customStyle="1" w:styleId="lnek">
    <w:name w:val="Článek"/>
    <w:basedOn w:val="Normln"/>
    <w:next w:val="Textodstavce"/>
    <w:rsid w:val="00414C21"/>
    <w:pPr>
      <w:keepNext/>
      <w:keepLines/>
      <w:numPr>
        <w:ilvl w:val="1"/>
        <w:numId w:val="2"/>
      </w:numPr>
      <w:spacing w:before="240"/>
      <w:jc w:val="center"/>
      <w:outlineLvl w:val="5"/>
    </w:pPr>
  </w:style>
  <w:style w:type="paragraph" w:customStyle="1" w:styleId="Textbodu">
    <w:name w:val="Text bodu"/>
    <w:basedOn w:val="Normln"/>
    <w:rsid w:val="00414C21"/>
    <w:pPr>
      <w:numPr>
        <w:ilvl w:val="4"/>
        <w:numId w:val="2"/>
      </w:numPr>
      <w:spacing w:before="120"/>
      <w:jc w:val="both"/>
      <w:outlineLvl w:val="8"/>
    </w:pPr>
  </w:style>
  <w:style w:type="paragraph" w:customStyle="1" w:styleId="Textpsmene">
    <w:name w:val="Text písmene"/>
    <w:basedOn w:val="Normln"/>
    <w:link w:val="TextpsmeneChar"/>
    <w:rsid w:val="00414C21"/>
    <w:pPr>
      <w:numPr>
        <w:ilvl w:val="3"/>
        <w:numId w:val="2"/>
      </w:numPr>
      <w:spacing w:before="120"/>
      <w:jc w:val="both"/>
      <w:outlineLvl w:val="7"/>
    </w:pPr>
  </w:style>
  <w:style w:type="paragraph" w:customStyle="1" w:styleId="Textodstavce">
    <w:name w:val="Text odstavce"/>
    <w:basedOn w:val="Normln"/>
    <w:link w:val="TextodstavceChar"/>
    <w:qFormat/>
    <w:rsid w:val="00414C21"/>
    <w:pPr>
      <w:numPr>
        <w:ilvl w:val="2"/>
        <w:numId w:val="2"/>
      </w:numPr>
      <w:tabs>
        <w:tab w:val="left" w:pos="851"/>
      </w:tabs>
      <w:spacing w:before="120" w:after="120"/>
      <w:jc w:val="both"/>
      <w:outlineLvl w:val="6"/>
    </w:pPr>
  </w:style>
  <w:style w:type="character" w:customStyle="1" w:styleId="TextodstavceChar">
    <w:name w:val="Text odstavce Char"/>
    <w:link w:val="Textodstavce"/>
    <w:rsid w:val="00414C21"/>
    <w:rPr>
      <w:rFonts w:ascii="Times New Roman" w:eastAsia="Times New Roman" w:hAnsi="Times New Roman" w:cs="Times New Roman"/>
      <w:sz w:val="24"/>
      <w:szCs w:val="24"/>
      <w:lang w:val="cs-CZ" w:eastAsia="cs-CZ"/>
    </w:rPr>
  </w:style>
  <w:style w:type="character" w:customStyle="1" w:styleId="TextpsmeneChar">
    <w:name w:val="Text písmene Char"/>
    <w:link w:val="Textpsmene"/>
    <w:rsid w:val="00414C21"/>
    <w:rPr>
      <w:rFonts w:ascii="Times New Roman" w:eastAsia="Times New Roman" w:hAnsi="Times New Roman" w:cs="Times New Roman"/>
      <w:sz w:val="24"/>
      <w:szCs w:val="24"/>
      <w:lang w:val="cs-CZ" w:eastAsia="cs-CZ"/>
    </w:rPr>
  </w:style>
  <w:style w:type="paragraph" w:customStyle="1" w:styleId="norm">
    <w:name w:val="norm"/>
    <w:basedOn w:val="Normln"/>
    <w:rsid w:val="001C69F0"/>
    <w:pPr>
      <w:spacing w:before="100" w:beforeAutospacing="1" w:after="100" w:afterAutospacing="1"/>
    </w:pPr>
  </w:style>
  <w:style w:type="paragraph" w:customStyle="1" w:styleId="Textparagrafu">
    <w:name w:val="Text paragrafu"/>
    <w:basedOn w:val="Normln"/>
    <w:rsid w:val="00E6230F"/>
    <w:pPr>
      <w:spacing w:before="240"/>
      <w:ind w:firstLine="425"/>
      <w:jc w:val="both"/>
      <w:outlineLvl w:val="5"/>
    </w:pPr>
  </w:style>
  <w:style w:type="character" w:customStyle="1" w:styleId="no-parag">
    <w:name w:val="no-parag"/>
    <w:basedOn w:val="Standardnpsmoodstavce"/>
    <w:rsid w:val="00AD3A30"/>
  </w:style>
  <w:style w:type="character" w:customStyle="1" w:styleId="italics">
    <w:name w:val="italics"/>
    <w:basedOn w:val="Standardnpsmoodstavce"/>
    <w:rsid w:val="00AD3A30"/>
  </w:style>
  <w:style w:type="paragraph" w:customStyle="1" w:styleId="Seznam1">
    <w:name w:val="Seznam1"/>
    <w:basedOn w:val="Normln"/>
    <w:rsid w:val="003040BA"/>
    <w:pPr>
      <w:spacing w:before="100" w:beforeAutospacing="1" w:after="100" w:afterAutospacing="1"/>
    </w:pPr>
  </w:style>
  <w:style w:type="paragraph" w:customStyle="1" w:styleId="Seznam2">
    <w:name w:val="Seznam2"/>
    <w:basedOn w:val="Normln"/>
    <w:rsid w:val="00A24302"/>
    <w:pPr>
      <w:spacing w:before="100" w:beforeAutospacing="1" w:after="100" w:afterAutospacing="1"/>
    </w:pPr>
  </w:style>
  <w:style w:type="character" w:styleId="Hypertextovodkaz">
    <w:name w:val="Hyperlink"/>
    <w:basedOn w:val="Standardnpsmoodstavce"/>
    <w:uiPriority w:val="99"/>
    <w:unhideWhenUsed/>
    <w:rsid w:val="00A21927"/>
    <w:rPr>
      <w:color w:val="0000FF"/>
      <w:u w:val="single"/>
    </w:rPr>
  </w:style>
  <w:style w:type="character" w:customStyle="1" w:styleId="superscript">
    <w:name w:val="superscript"/>
    <w:basedOn w:val="Standardnpsmoodstavce"/>
    <w:rsid w:val="00A21927"/>
  </w:style>
  <w:style w:type="paragraph" w:customStyle="1" w:styleId="Novelizanbodvpozmn">
    <w:name w:val="Novelizační bod v pozm.n."/>
    <w:basedOn w:val="Normln"/>
    <w:next w:val="Normln"/>
    <w:rsid w:val="00FD7E00"/>
    <w:pPr>
      <w:keepNext/>
      <w:keepLines/>
      <w:numPr>
        <w:numId w:val="3"/>
      </w:numPr>
      <w:tabs>
        <w:tab w:val="clear" w:pos="851"/>
        <w:tab w:val="left" w:pos="1418"/>
      </w:tabs>
      <w:spacing w:before="240"/>
      <w:ind w:left="1418" w:hanging="567"/>
      <w:jc w:val="both"/>
    </w:pPr>
  </w:style>
  <w:style w:type="paragraph" w:customStyle="1" w:styleId="celex0">
    <w:name w:val="celex"/>
    <w:basedOn w:val="Normln"/>
    <w:qFormat/>
    <w:rsid w:val="00AB5A3F"/>
    <w:pPr>
      <w:spacing w:before="120"/>
      <w:jc w:val="both"/>
    </w:pPr>
    <w:rPr>
      <w:i/>
      <w:sz w:val="20"/>
    </w:rPr>
  </w:style>
  <w:style w:type="paragraph" w:customStyle="1" w:styleId="Textlnku">
    <w:name w:val="Text článku"/>
    <w:basedOn w:val="Normln"/>
    <w:rsid w:val="008744AE"/>
    <w:pPr>
      <w:spacing w:before="240"/>
      <w:ind w:firstLine="425"/>
      <w:jc w:val="both"/>
      <w:outlineLvl w:val="5"/>
    </w:pPr>
  </w:style>
  <w:style w:type="paragraph" w:customStyle="1" w:styleId="title-doc-first">
    <w:name w:val="title-doc-first"/>
    <w:basedOn w:val="Normln"/>
    <w:rsid w:val="00EA102A"/>
    <w:pPr>
      <w:spacing w:before="100" w:beforeAutospacing="1" w:after="100" w:afterAutospacing="1"/>
    </w:pPr>
  </w:style>
  <w:style w:type="paragraph" w:customStyle="1" w:styleId="title-doc-last">
    <w:name w:val="title-doc-last"/>
    <w:basedOn w:val="Normln"/>
    <w:rsid w:val="00AC3CE8"/>
    <w:pPr>
      <w:spacing w:before="100" w:beforeAutospacing="1" w:after="100" w:afterAutospacing="1"/>
    </w:pPr>
  </w:style>
  <w:style w:type="paragraph" w:customStyle="1" w:styleId="doc-ti">
    <w:name w:val="doc-ti"/>
    <w:basedOn w:val="Normln"/>
    <w:rsid w:val="00AC3CE8"/>
    <w:pPr>
      <w:spacing w:before="100" w:beforeAutospacing="1" w:after="100" w:afterAutospacing="1"/>
    </w:pPr>
  </w:style>
  <w:style w:type="paragraph" w:customStyle="1" w:styleId="Default">
    <w:name w:val="Default"/>
    <w:rsid w:val="00A75FEE"/>
    <w:pPr>
      <w:autoSpaceDE w:val="0"/>
      <w:autoSpaceDN w:val="0"/>
      <w:adjustRightInd w:val="0"/>
      <w:spacing w:after="0" w:line="240" w:lineRule="auto"/>
    </w:pPr>
    <w:rPr>
      <w:rFonts w:ascii="EUAlbertina" w:eastAsia="Times New Roman" w:hAnsi="EUAlbertina" w:cs="EUAlbertina"/>
      <w:color w:val="000000"/>
      <w:sz w:val="24"/>
      <w:szCs w:val="24"/>
      <w:lang w:val="cs-CZ" w:eastAsia="cs-CZ"/>
    </w:rPr>
  </w:style>
  <w:style w:type="character" w:customStyle="1" w:styleId="OdstavecseseznamemChar">
    <w:name w:val="Odstavec se seznamem Char"/>
    <w:aliases w:val="Odstavec_muj Char,Conclusion de partie Char,References Char,Odstavec se seznamem2 Char,Nad Char,Odstavec cíl se seznamem Char,Odstavec se seznamem1 Char,List Paragraph Char,Odstavec_muj1 Char,Odstavec_muj2 Char,Nad1 Char"/>
    <w:link w:val="Odstavecseseznamem"/>
    <w:uiPriority w:val="34"/>
    <w:qFormat/>
    <w:rsid w:val="00546AEF"/>
    <w:rPr>
      <w:rFonts w:ascii="Times New Roman" w:eastAsia="Times New Roman" w:hAnsi="Times New Roman" w:cs="Times New Roman"/>
      <w:sz w:val="24"/>
      <w:szCs w:val="24"/>
      <w:lang w:val="cs-CZ" w:eastAsia="cs-CZ"/>
    </w:rPr>
  </w:style>
  <w:style w:type="character" w:customStyle="1" w:styleId="eop">
    <w:name w:val="eop"/>
    <w:basedOn w:val="Standardnpsmoodstavce"/>
    <w:rsid w:val="00914D56"/>
  </w:style>
  <w:style w:type="table" w:styleId="Mkatabulky">
    <w:name w:val="Table Grid"/>
    <w:basedOn w:val="Normlntabulka"/>
    <w:uiPriority w:val="59"/>
    <w:rsid w:val="00B55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ZTextpsmene">
    <w:name w:val="PZ Text písmene"/>
    <w:basedOn w:val="Textpsmene"/>
    <w:qFormat/>
    <w:rsid w:val="009F20F8"/>
    <w:pPr>
      <w:numPr>
        <w:ilvl w:val="0"/>
        <w:numId w:val="0"/>
      </w:numPr>
      <w:spacing w:before="0"/>
      <w:ind w:left="425" w:hanging="425"/>
    </w:pPr>
    <w:rPr>
      <w:szCs w:val="20"/>
    </w:rPr>
  </w:style>
  <w:style w:type="paragraph" w:customStyle="1" w:styleId="PZTextbodu">
    <w:name w:val="PZ Text bodu"/>
    <w:basedOn w:val="Textbodu"/>
    <w:qFormat/>
    <w:rsid w:val="009F20F8"/>
    <w:pPr>
      <w:numPr>
        <w:ilvl w:val="0"/>
        <w:numId w:val="0"/>
      </w:numPr>
      <w:tabs>
        <w:tab w:val="left" w:pos="851"/>
      </w:tabs>
      <w:spacing w:before="0"/>
      <w:ind w:left="850" w:hanging="425"/>
    </w:pPr>
    <w:rPr>
      <w:szCs w:val="20"/>
    </w:rPr>
  </w:style>
  <w:style w:type="character" w:customStyle="1" w:styleId="TextpsmeneChar1">
    <w:name w:val="Text písmene Char1"/>
    <w:locked/>
    <w:rsid w:val="002261D0"/>
    <w:rPr>
      <w:sz w:val="24"/>
    </w:rPr>
  </w:style>
  <w:style w:type="character" w:customStyle="1" w:styleId="ParagrafChar">
    <w:name w:val="Paragraf Char"/>
    <w:link w:val="Paragraf"/>
    <w:qFormat/>
    <w:rsid w:val="00AE2314"/>
    <w:rPr>
      <w:rFonts w:ascii="Times New Roman" w:eastAsia="Times New Roman" w:hAnsi="Times New Roman" w:cs="Times New Roman"/>
      <w:sz w:val="24"/>
      <w:szCs w:val="24"/>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4253">
      <w:bodyDiv w:val="1"/>
      <w:marLeft w:val="0"/>
      <w:marRight w:val="0"/>
      <w:marTop w:val="0"/>
      <w:marBottom w:val="0"/>
      <w:divBdr>
        <w:top w:val="none" w:sz="0" w:space="0" w:color="auto"/>
        <w:left w:val="none" w:sz="0" w:space="0" w:color="auto"/>
        <w:bottom w:val="none" w:sz="0" w:space="0" w:color="auto"/>
        <w:right w:val="none" w:sz="0" w:space="0" w:color="auto"/>
      </w:divBdr>
      <w:divsChild>
        <w:div w:id="266616816">
          <w:marLeft w:val="0"/>
          <w:marRight w:val="0"/>
          <w:marTop w:val="0"/>
          <w:marBottom w:val="0"/>
          <w:divBdr>
            <w:top w:val="none" w:sz="0" w:space="0" w:color="auto"/>
            <w:left w:val="none" w:sz="0" w:space="0" w:color="auto"/>
            <w:bottom w:val="none" w:sz="0" w:space="0" w:color="auto"/>
            <w:right w:val="none" w:sz="0" w:space="0" w:color="auto"/>
          </w:divBdr>
          <w:divsChild>
            <w:div w:id="194761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2129">
      <w:bodyDiv w:val="1"/>
      <w:marLeft w:val="0"/>
      <w:marRight w:val="0"/>
      <w:marTop w:val="0"/>
      <w:marBottom w:val="0"/>
      <w:divBdr>
        <w:top w:val="none" w:sz="0" w:space="0" w:color="auto"/>
        <w:left w:val="none" w:sz="0" w:space="0" w:color="auto"/>
        <w:bottom w:val="none" w:sz="0" w:space="0" w:color="auto"/>
        <w:right w:val="none" w:sz="0" w:space="0" w:color="auto"/>
      </w:divBdr>
    </w:div>
    <w:div w:id="19356815">
      <w:bodyDiv w:val="1"/>
      <w:marLeft w:val="0"/>
      <w:marRight w:val="0"/>
      <w:marTop w:val="0"/>
      <w:marBottom w:val="0"/>
      <w:divBdr>
        <w:top w:val="none" w:sz="0" w:space="0" w:color="auto"/>
        <w:left w:val="none" w:sz="0" w:space="0" w:color="auto"/>
        <w:bottom w:val="none" w:sz="0" w:space="0" w:color="auto"/>
        <w:right w:val="none" w:sz="0" w:space="0" w:color="auto"/>
      </w:divBdr>
      <w:divsChild>
        <w:div w:id="1807164545">
          <w:marLeft w:val="0"/>
          <w:marRight w:val="0"/>
          <w:marTop w:val="0"/>
          <w:marBottom w:val="0"/>
          <w:divBdr>
            <w:top w:val="none" w:sz="0" w:space="0" w:color="auto"/>
            <w:left w:val="none" w:sz="0" w:space="0" w:color="auto"/>
            <w:bottom w:val="none" w:sz="0" w:space="0" w:color="auto"/>
            <w:right w:val="none" w:sz="0" w:space="0" w:color="auto"/>
          </w:divBdr>
          <w:divsChild>
            <w:div w:id="11336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01663">
      <w:bodyDiv w:val="1"/>
      <w:marLeft w:val="0"/>
      <w:marRight w:val="0"/>
      <w:marTop w:val="0"/>
      <w:marBottom w:val="0"/>
      <w:divBdr>
        <w:top w:val="none" w:sz="0" w:space="0" w:color="auto"/>
        <w:left w:val="none" w:sz="0" w:space="0" w:color="auto"/>
        <w:bottom w:val="none" w:sz="0" w:space="0" w:color="auto"/>
        <w:right w:val="none" w:sz="0" w:space="0" w:color="auto"/>
      </w:divBdr>
      <w:divsChild>
        <w:div w:id="717629982">
          <w:marLeft w:val="0"/>
          <w:marRight w:val="0"/>
          <w:marTop w:val="120"/>
          <w:marBottom w:val="0"/>
          <w:divBdr>
            <w:top w:val="none" w:sz="0" w:space="0" w:color="auto"/>
            <w:left w:val="none" w:sz="0" w:space="0" w:color="auto"/>
            <w:bottom w:val="none" w:sz="0" w:space="0" w:color="auto"/>
            <w:right w:val="none" w:sz="0" w:space="0" w:color="auto"/>
          </w:divBdr>
        </w:div>
        <w:div w:id="1357196258">
          <w:marLeft w:val="0"/>
          <w:marRight w:val="0"/>
          <w:marTop w:val="0"/>
          <w:marBottom w:val="0"/>
          <w:divBdr>
            <w:top w:val="none" w:sz="0" w:space="0" w:color="auto"/>
            <w:left w:val="none" w:sz="0" w:space="0" w:color="auto"/>
            <w:bottom w:val="none" w:sz="0" w:space="0" w:color="auto"/>
            <w:right w:val="none" w:sz="0" w:space="0" w:color="auto"/>
          </w:divBdr>
        </w:div>
      </w:divsChild>
    </w:div>
    <w:div w:id="26419961">
      <w:bodyDiv w:val="1"/>
      <w:marLeft w:val="0"/>
      <w:marRight w:val="0"/>
      <w:marTop w:val="0"/>
      <w:marBottom w:val="0"/>
      <w:divBdr>
        <w:top w:val="none" w:sz="0" w:space="0" w:color="auto"/>
        <w:left w:val="none" w:sz="0" w:space="0" w:color="auto"/>
        <w:bottom w:val="none" w:sz="0" w:space="0" w:color="auto"/>
        <w:right w:val="none" w:sz="0" w:space="0" w:color="auto"/>
      </w:divBdr>
      <w:divsChild>
        <w:div w:id="587277938">
          <w:marLeft w:val="0"/>
          <w:marRight w:val="0"/>
          <w:marTop w:val="0"/>
          <w:marBottom w:val="0"/>
          <w:divBdr>
            <w:top w:val="none" w:sz="0" w:space="0" w:color="auto"/>
            <w:left w:val="none" w:sz="0" w:space="0" w:color="auto"/>
            <w:bottom w:val="none" w:sz="0" w:space="0" w:color="auto"/>
            <w:right w:val="none" w:sz="0" w:space="0" w:color="auto"/>
          </w:divBdr>
        </w:div>
        <w:div w:id="1699700923">
          <w:marLeft w:val="0"/>
          <w:marRight w:val="0"/>
          <w:marTop w:val="0"/>
          <w:marBottom w:val="0"/>
          <w:divBdr>
            <w:top w:val="none" w:sz="0" w:space="0" w:color="auto"/>
            <w:left w:val="none" w:sz="0" w:space="0" w:color="auto"/>
            <w:bottom w:val="none" w:sz="0" w:space="0" w:color="auto"/>
            <w:right w:val="none" w:sz="0" w:space="0" w:color="auto"/>
          </w:divBdr>
        </w:div>
        <w:div w:id="2073306962">
          <w:marLeft w:val="0"/>
          <w:marRight w:val="0"/>
          <w:marTop w:val="0"/>
          <w:marBottom w:val="0"/>
          <w:divBdr>
            <w:top w:val="none" w:sz="0" w:space="0" w:color="auto"/>
            <w:left w:val="none" w:sz="0" w:space="0" w:color="auto"/>
            <w:bottom w:val="none" w:sz="0" w:space="0" w:color="auto"/>
            <w:right w:val="none" w:sz="0" w:space="0" w:color="auto"/>
          </w:divBdr>
        </w:div>
      </w:divsChild>
    </w:div>
    <w:div w:id="40833683">
      <w:bodyDiv w:val="1"/>
      <w:marLeft w:val="0"/>
      <w:marRight w:val="0"/>
      <w:marTop w:val="0"/>
      <w:marBottom w:val="0"/>
      <w:divBdr>
        <w:top w:val="none" w:sz="0" w:space="0" w:color="auto"/>
        <w:left w:val="none" w:sz="0" w:space="0" w:color="auto"/>
        <w:bottom w:val="none" w:sz="0" w:space="0" w:color="auto"/>
        <w:right w:val="none" w:sz="0" w:space="0" w:color="auto"/>
      </w:divBdr>
    </w:div>
    <w:div w:id="44723306">
      <w:bodyDiv w:val="1"/>
      <w:marLeft w:val="0"/>
      <w:marRight w:val="0"/>
      <w:marTop w:val="0"/>
      <w:marBottom w:val="0"/>
      <w:divBdr>
        <w:top w:val="none" w:sz="0" w:space="0" w:color="auto"/>
        <w:left w:val="none" w:sz="0" w:space="0" w:color="auto"/>
        <w:bottom w:val="none" w:sz="0" w:space="0" w:color="auto"/>
        <w:right w:val="none" w:sz="0" w:space="0" w:color="auto"/>
      </w:divBdr>
      <w:divsChild>
        <w:div w:id="225846061">
          <w:marLeft w:val="0"/>
          <w:marRight w:val="0"/>
          <w:marTop w:val="0"/>
          <w:marBottom w:val="0"/>
          <w:divBdr>
            <w:top w:val="none" w:sz="0" w:space="0" w:color="auto"/>
            <w:left w:val="none" w:sz="0" w:space="0" w:color="auto"/>
            <w:bottom w:val="none" w:sz="0" w:space="0" w:color="auto"/>
            <w:right w:val="none" w:sz="0" w:space="0" w:color="auto"/>
          </w:divBdr>
          <w:divsChild>
            <w:div w:id="1495993867">
              <w:marLeft w:val="0"/>
              <w:marRight w:val="0"/>
              <w:marTop w:val="120"/>
              <w:marBottom w:val="0"/>
              <w:divBdr>
                <w:top w:val="none" w:sz="0" w:space="0" w:color="auto"/>
                <w:left w:val="none" w:sz="0" w:space="0" w:color="auto"/>
                <w:bottom w:val="none" w:sz="0" w:space="0" w:color="auto"/>
                <w:right w:val="none" w:sz="0" w:space="0" w:color="auto"/>
              </w:divBdr>
            </w:div>
            <w:div w:id="1192916640">
              <w:marLeft w:val="0"/>
              <w:marRight w:val="0"/>
              <w:marTop w:val="0"/>
              <w:marBottom w:val="0"/>
              <w:divBdr>
                <w:top w:val="none" w:sz="0" w:space="0" w:color="auto"/>
                <w:left w:val="none" w:sz="0" w:space="0" w:color="auto"/>
                <w:bottom w:val="none" w:sz="0" w:space="0" w:color="auto"/>
                <w:right w:val="none" w:sz="0" w:space="0" w:color="auto"/>
              </w:divBdr>
            </w:div>
          </w:divsChild>
        </w:div>
        <w:div w:id="797262025">
          <w:marLeft w:val="0"/>
          <w:marRight w:val="0"/>
          <w:marTop w:val="0"/>
          <w:marBottom w:val="0"/>
          <w:divBdr>
            <w:top w:val="none" w:sz="0" w:space="0" w:color="auto"/>
            <w:left w:val="none" w:sz="0" w:space="0" w:color="auto"/>
            <w:bottom w:val="none" w:sz="0" w:space="0" w:color="auto"/>
            <w:right w:val="none" w:sz="0" w:space="0" w:color="auto"/>
          </w:divBdr>
          <w:divsChild>
            <w:div w:id="396977884">
              <w:marLeft w:val="0"/>
              <w:marRight w:val="0"/>
              <w:marTop w:val="120"/>
              <w:marBottom w:val="0"/>
              <w:divBdr>
                <w:top w:val="none" w:sz="0" w:space="0" w:color="auto"/>
                <w:left w:val="none" w:sz="0" w:space="0" w:color="auto"/>
                <w:bottom w:val="none" w:sz="0" w:space="0" w:color="auto"/>
                <w:right w:val="none" w:sz="0" w:space="0" w:color="auto"/>
              </w:divBdr>
            </w:div>
            <w:div w:id="57843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218">
      <w:bodyDiv w:val="1"/>
      <w:marLeft w:val="0"/>
      <w:marRight w:val="0"/>
      <w:marTop w:val="0"/>
      <w:marBottom w:val="0"/>
      <w:divBdr>
        <w:top w:val="none" w:sz="0" w:space="0" w:color="auto"/>
        <w:left w:val="none" w:sz="0" w:space="0" w:color="auto"/>
        <w:bottom w:val="none" w:sz="0" w:space="0" w:color="auto"/>
        <w:right w:val="none" w:sz="0" w:space="0" w:color="auto"/>
      </w:divBdr>
    </w:div>
    <w:div w:id="86389194">
      <w:bodyDiv w:val="1"/>
      <w:marLeft w:val="0"/>
      <w:marRight w:val="0"/>
      <w:marTop w:val="0"/>
      <w:marBottom w:val="0"/>
      <w:divBdr>
        <w:top w:val="none" w:sz="0" w:space="0" w:color="auto"/>
        <w:left w:val="none" w:sz="0" w:space="0" w:color="auto"/>
        <w:bottom w:val="none" w:sz="0" w:space="0" w:color="auto"/>
        <w:right w:val="none" w:sz="0" w:space="0" w:color="auto"/>
      </w:divBdr>
      <w:divsChild>
        <w:div w:id="1097676040">
          <w:marLeft w:val="0"/>
          <w:marRight w:val="0"/>
          <w:marTop w:val="0"/>
          <w:marBottom w:val="0"/>
          <w:divBdr>
            <w:top w:val="none" w:sz="0" w:space="0" w:color="auto"/>
            <w:left w:val="none" w:sz="0" w:space="0" w:color="auto"/>
            <w:bottom w:val="none" w:sz="0" w:space="0" w:color="auto"/>
            <w:right w:val="none" w:sz="0" w:space="0" w:color="auto"/>
          </w:divBdr>
          <w:divsChild>
            <w:div w:id="958298993">
              <w:marLeft w:val="0"/>
              <w:marRight w:val="0"/>
              <w:marTop w:val="0"/>
              <w:marBottom w:val="0"/>
              <w:divBdr>
                <w:top w:val="none" w:sz="0" w:space="0" w:color="auto"/>
                <w:left w:val="none" w:sz="0" w:space="0" w:color="auto"/>
                <w:bottom w:val="none" w:sz="0" w:space="0" w:color="auto"/>
                <w:right w:val="none" w:sz="0" w:space="0" w:color="auto"/>
              </w:divBdr>
              <w:divsChild>
                <w:div w:id="598682071">
                  <w:marLeft w:val="0"/>
                  <w:marRight w:val="0"/>
                  <w:marTop w:val="0"/>
                  <w:marBottom w:val="0"/>
                  <w:divBdr>
                    <w:top w:val="none" w:sz="0" w:space="0" w:color="auto"/>
                    <w:left w:val="none" w:sz="0" w:space="0" w:color="auto"/>
                    <w:bottom w:val="none" w:sz="0" w:space="0" w:color="auto"/>
                    <w:right w:val="none" w:sz="0" w:space="0" w:color="auto"/>
                  </w:divBdr>
                  <w:divsChild>
                    <w:div w:id="2030176626">
                      <w:marLeft w:val="0"/>
                      <w:marRight w:val="0"/>
                      <w:marTop w:val="120"/>
                      <w:marBottom w:val="0"/>
                      <w:divBdr>
                        <w:top w:val="none" w:sz="0" w:space="0" w:color="auto"/>
                        <w:left w:val="none" w:sz="0" w:space="0" w:color="auto"/>
                        <w:bottom w:val="none" w:sz="0" w:space="0" w:color="auto"/>
                        <w:right w:val="none" w:sz="0" w:space="0" w:color="auto"/>
                      </w:divBdr>
                    </w:div>
                    <w:div w:id="1899972067">
                      <w:marLeft w:val="0"/>
                      <w:marRight w:val="0"/>
                      <w:marTop w:val="0"/>
                      <w:marBottom w:val="0"/>
                      <w:divBdr>
                        <w:top w:val="none" w:sz="0" w:space="0" w:color="auto"/>
                        <w:left w:val="none" w:sz="0" w:space="0" w:color="auto"/>
                        <w:bottom w:val="none" w:sz="0" w:space="0" w:color="auto"/>
                        <w:right w:val="none" w:sz="0" w:space="0" w:color="auto"/>
                      </w:divBdr>
                    </w:div>
                  </w:divsChild>
                </w:div>
                <w:div w:id="2003924022">
                  <w:marLeft w:val="0"/>
                  <w:marRight w:val="0"/>
                  <w:marTop w:val="0"/>
                  <w:marBottom w:val="0"/>
                  <w:divBdr>
                    <w:top w:val="none" w:sz="0" w:space="0" w:color="auto"/>
                    <w:left w:val="none" w:sz="0" w:space="0" w:color="auto"/>
                    <w:bottom w:val="none" w:sz="0" w:space="0" w:color="auto"/>
                    <w:right w:val="none" w:sz="0" w:space="0" w:color="auto"/>
                  </w:divBdr>
                  <w:divsChild>
                    <w:div w:id="715663277">
                      <w:marLeft w:val="0"/>
                      <w:marRight w:val="0"/>
                      <w:marTop w:val="120"/>
                      <w:marBottom w:val="0"/>
                      <w:divBdr>
                        <w:top w:val="none" w:sz="0" w:space="0" w:color="auto"/>
                        <w:left w:val="none" w:sz="0" w:space="0" w:color="auto"/>
                        <w:bottom w:val="none" w:sz="0" w:space="0" w:color="auto"/>
                        <w:right w:val="none" w:sz="0" w:space="0" w:color="auto"/>
                      </w:divBdr>
                    </w:div>
                    <w:div w:id="577985162">
                      <w:marLeft w:val="0"/>
                      <w:marRight w:val="0"/>
                      <w:marTop w:val="0"/>
                      <w:marBottom w:val="0"/>
                      <w:divBdr>
                        <w:top w:val="none" w:sz="0" w:space="0" w:color="auto"/>
                        <w:left w:val="none" w:sz="0" w:space="0" w:color="auto"/>
                        <w:bottom w:val="none" w:sz="0" w:space="0" w:color="auto"/>
                        <w:right w:val="none" w:sz="0" w:space="0" w:color="auto"/>
                      </w:divBdr>
                    </w:div>
                  </w:divsChild>
                </w:div>
                <w:div w:id="1039864001">
                  <w:marLeft w:val="0"/>
                  <w:marRight w:val="0"/>
                  <w:marTop w:val="0"/>
                  <w:marBottom w:val="0"/>
                  <w:divBdr>
                    <w:top w:val="none" w:sz="0" w:space="0" w:color="auto"/>
                    <w:left w:val="none" w:sz="0" w:space="0" w:color="auto"/>
                    <w:bottom w:val="none" w:sz="0" w:space="0" w:color="auto"/>
                    <w:right w:val="none" w:sz="0" w:space="0" w:color="auto"/>
                  </w:divBdr>
                  <w:divsChild>
                    <w:div w:id="1934626042">
                      <w:marLeft w:val="0"/>
                      <w:marRight w:val="0"/>
                      <w:marTop w:val="120"/>
                      <w:marBottom w:val="0"/>
                      <w:divBdr>
                        <w:top w:val="none" w:sz="0" w:space="0" w:color="auto"/>
                        <w:left w:val="none" w:sz="0" w:space="0" w:color="auto"/>
                        <w:bottom w:val="none" w:sz="0" w:space="0" w:color="auto"/>
                        <w:right w:val="none" w:sz="0" w:space="0" w:color="auto"/>
                      </w:divBdr>
                    </w:div>
                    <w:div w:id="140961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40248">
          <w:marLeft w:val="0"/>
          <w:marRight w:val="0"/>
          <w:marTop w:val="0"/>
          <w:marBottom w:val="0"/>
          <w:divBdr>
            <w:top w:val="none" w:sz="0" w:space="0" w:color="auto"/>
            <w:left w:val="none" w:sz="0" w:space="0" w:color="auto"/>
            <w:bottom w:val="none" w:sz="0" w:space="0" w:color="auto"/>
            <w:right w:val="none" w:sz="0" w:space="0" w:color="auto"/>
          </w:divBdr>
          <w:divsChild>
            <w:div w:id="870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43769">
      <w:bodyDiv w:val="1"/>
      <w:marLeft w:val="0"/>
      <w:marRight w:val="0"/>
      <w:marTop w:val="0"/>
      <w:marBottom w:val="0"/>
      <w:divBdr>
        <w:top w:val="none" w:sz="0" w:space="0" w:color="auto"/>
        <w:left w:val="none" w:sz="0" w:space="0" w:color="auto"/>
        <w:bottom w:val="none" w:sz="0" w:space="0" w:color="auto"/>
        <w:right w:val="none" w:sz="0" w:space="0" w:color="auto"/>
      </w:divBdr>
      <w:divsChild>
        <w:div w:id="358699557">
          <w:marLeft w:val="0"/>
          <w:marRight w:val="0"/>
          <w:marTop w:val="0"/>
          <w:marBottom w:val="0"/>
          <w:divBdr>
            <w:top w:val="none" w:sz="0" w:space="0" w:color="auto"/>
            <w:left w:val="none" w:sz="0" w:space="0" w:color="auto"/>
            <w:bottom w:val="none" w:sz="0" w:space="0" w:color="auto"/>
            <w:right w:val="none" w:sz="0" w:space="0" w:color="auto"/>
          </w:divBdr>
          <w:divsChild>
            <w:div w:id="638923981">
              <w:marLeft w:val="0"/>
              <w:marRight w:val="0"/>
              <w:marTop w:val="120"/>
              <w:marBottom w:val="0"/>
              <w:divBdr>
                <w:top w:val="none" w:sz="0" w:space="0" w:color="auto"/>
                <w:left w:val="none" w:sz="0" w:space="0" w:color="auto"/>
                <w:bottom w:val="none" w:sz="0" w:space="0" w:color="auto"/>
                <w:right w:val="none" w:sz="0" w:space="0" w:color="auto"/>
              </w:divBdr>
            </w:div>
            <w:div w:id="91809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1605">
      <w:bodyDiv w:val="1"/>
      <w:marLeft w:val="0"/>
      <w:marRight w:val="0"/>
      <w:marTop w:val="0"/>
      <w:marBottom w:val="0"/>
      <w:divBdr>
        <w:top w:val="none" w:sz="0" w:space="0" w:color="auto"/>
        <w:left w:val="none" w:sz="0" w:space="0" w:color="auto"/>
        <w:bottom w:val="none" w:sz="0" w:space="0" w:color="auto"/>
        <w:right w:val="none" w:sz="0" w:space="0" w:color="auto"/>
      </w:divBdr>
      <w:divsChild>
        <w:div w:id="657538469">
          <w:marLeft w:val="0"/>
          <w:marRight w:val="0"/>
          <w:marTop w:val="120"/>
          <w:marBottom w:val="0"/>
          <w:divBdr>
            <w:top w:val="none" w:sz="0" w:space="0" w:color="auto"/>
            <w:left w:val="none" w:sz="0" w:space="0" w:color="auto"/>
            <w:bottom w:val="none" w:sz="0" w:space="0" w:color="auto"/>
            <w:right w:val="none" w:sz="0" w:space="0" w:color="auto"/>
          </w:divBdr>
        </w:div>
        <w:div w:id="1930502693">
          <w:marLeft w:val="0"/>
          <w:marRight w:val="0"/>
          <w:marTop w:val="0"/>
          <w:marBottom w:val="0"/>
          <w:divBdr>
            <w:top w:val="none" w:sz="0" w:space="0" w:color="auto"/>
            <w:left w:val="none" w:sz="0" w:space="0" w:color="auto"/>
            <w:bottom w:val="none" w:sz="0" w:space="0" w:color="auto"/>
            <w:right w:val="none" w:sz="0" w:space="0" w:color="auto"/>
          </w:divBdr>
        </w:div>
      </w:divsChild>
    </w:div>
    <w:div w:id="102459811">
      <w:bodyDiv w:val="1"/>
      <w:marLeft w:val="0"/>
      <w:marRight w:val="0"/>
      <w:marTop w:val="0"/>
      <w:marBottom w:val="0"/>
      <w:divBdr>
        <w:top w:val="none" w:sz="0" w:space="0" w:color="auto"/>
        <w:left w:val="none" w:sz="0" w:space="0" w:color="auto"/>
        <w:bottom w:val="none" w:sz="0" w:space="0" w:color="auto"/>
        <w:right w:val="none" w:sz="0" w:space="0" w:color="auto"/>
      </w:divBdr>
      <w:divsChild>
        <w:div w:id="2054112795">
          <w:marLeft w:val="0"/>
          <w:marRight w:val="0"/>
          <w:marTop w:val="120"/>
          <w:marBottom w:val="0"/>
          <w:divBdr>
            <w:top w:val="none" w:sz="0" w:space="0" w:color="auto"/>
            <w:left w:val="none" w:sz="0" w:space="0" w:color="auto"/>
            <w:bottom w:val="none" w:sz="0" w:space="0" w:color="auto"/>
            <w:right w:val="none" w:sz="0" w:space="0" w:color="auto"/>
          </w:divBdr>
        </w:div>
        <w:div w:id="217009811">
          <w:marLeft w:val="0"/>
          <w:marRight w:val="0"/>
          <w:marTop w:val="0"/>
          <w:marBottom w:val="0"/>
          <w:divBdr>
            <w:top w:val="none" w:sz="0" w:space="0" w:color="auto"/>
            <w:left w:val="none" w:sz="0" w:space="0" w:color="auto"/>
            <w:bottom w:val="none" w:sz="0" w:space="0" w:color="auto"/>
            <w:right w:val="none" w:sz="0" w:space="0" w:color="auto"/>
          </w:divBdr>
        </w:div>
      </w:divsChild>
    </w:div>
    <w:div w:id="104741050">
      <w:bodyDiv w:val="1"/>
      <w:marLeft w:val="0"/>
      <w:marRight w:val="0"/>
      <w:marTop w:val="0"/>
      <w:marBottom w:val="0"/>
      <w:divBdr>
        <w:top w:val="none" w:sz="0" w:space="0" w:color="auto"/>
        <w:left w:val="none" w:sz="0" w:space="0" w:color="auto"/>
        <w:bottom w:val="none" w:sz="0" w:space="0" w:color="auto"/>
        <w:right w:val="none" w:sz="0" w:space="0" w:color="auto"/>
      </w:divBdr>
      <w:divsChild>
        <w:div w:id="160659301">
          <w:marLeft w:val="0"/>
          <w:marRight w:val="0"/>
          <w:marTop w:val="0"/>
          <w:marBottom w:val="0"/>
          <w:divBdr>
            <w:top w:val="none" w:sz="0" w:space="0" w:color="auto"/>
            <w:left w:val="none" w:sz="0" w:space="0" w:color="auto"/>
            <w:bottom w:val="none" w:sz="0" w:space="0" w:color="auto"/>
            <w:right w:val="none" w:sz="0" w:space="0" w:color="auto"/>
          </w:divBdr>
          <w:divsChild>
            <w:div w:id="112762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25268">
      <w:bodyDiv w:val="1"/>
      <w:marLeft w:val="0"/>
      <w:marRight w:val="0"/>
      <w:marTop w:val="0"/>
      <w:marBottom w:val="0"/>
      <w:divBdr>
        <w:top w:val="none" w:sz="0" w:space="0" w:color="auto"/>
        <w:left w:val="none" w:sz="0" w:space="0" w:color="auto"/>
        <w:bottom w:val="none" w:sz="0" w:space="0" w:color="auto"/>
        <w:right w:val="none" w:sz="0" w:space="0" w:color="auto"/>
      </w:divBdr>
      <w:divsChild>
        <w:div w:id="521089449">
          <w:marLeft w:val="0"/>
          <w:marRight w:val="0"/>
          <w:marTop w:val="0"/>
          <w:marBottom w:val="0"/>
          <w:divBdr>
            <w:top w:val="none" w:sz="0" w:space="0" w:color="auto"/>
            <w:left w:val="none" w:sz="0" w:space="0" w:color="auto"/>
            <w:bottom w:val="none" w:sz="0" w:space="0" w:color="auto"/>
            <w:right w:val="none" w:sz="0" w:space="0" w:color="auto"/>
          </w:divBdr>
        </w:div>
        <w:div w:id="1981420793">
          <w:marLeft w:val="0"/>
          <w:marRight w:val="0"/>
          <w:marTop w:val="0"/>
          <w:marBottom w:val="0"/>
          <w:divBdr>
            <w:top w:val="none" w:sz="0" w:space="0" w:color="auto"/>
            <w:left w:val="none" w:sz="0" w:space="0" w:color="auto"/>
            <w:bottom w:val="none" w:sz="0" w:space="0" w:color="auto"/>
            <w:right w:val="none" w:sz="0" w:space="0" w:color="auto"/>
          </w:divBdr>
        </w:div>
        <w:div w:id="1888057662">
          <w:marLeft w:val="0"/>
          <w:marRight w:val="0"/>
          <w:marTop w:val="0"/>
          <w:marBottom w:val="0"/>
          <w:divBdr>
            <w:top w:val="none" w:sz="0" w:space="0" w:color="auto"/>
            <w:left w:val="none" w:sz="0" w:space="0" w:color="auto"/>
            <w:bottom w:val="none" w:sz="0" w:space="0" w:color="auto"/>
            <w:right w:val="none" w:sz="0" w:space="0" w:color="auto"/>
          </w:divBdr>
        </w:div>
        <w:div w:id="1707095814">
          <w:marLeft w:val="0"/>
          <w:marRight w:val="0"/>
          <w:marTop w:val="0"/>
          <w:marBottom w:val="0"/>
          <w:divBdr>
            <w:top w:val="none" w:sz="0" w:space="0" w:color="auto"/>
            <w:left w:val="none" w:sz="0" w:space="0" w:color="auto"/>
            <w:bottom w:val="none" w:sz="0" w:space="0" w:color="auto"/>
            <w:right w:val="none" w:sz="0" w:space="0" w:color="auto"/>
          </w:divBdr>
        </w:div>
        <w:div w:id="11341258">
          <w:marLeft w:val="0"/>
          <w:marRight w:val="0"/>
          <w:marTop w:val="0"/>
          <w:marBottom w:val="0"/>
          <w:divBdr>
            <w:top w:val="none" w:sz="0" w:space="0" w:color="auto"/>
            <w:left w:val="none" w:sz="0" w:space="0" w:color="auto"/>
            <w:bottom w:val="none" w:sz="0" w:space="0" w:color="auto"/>
            <w:right w:val="none" w:sz="0" w:space="0" w:color="auto"/>
          </w:divBdr>
        </w:div>
      </w:divsChild>
    </w:div>
    <w:div w:id="153031428">
      <w:bodyDiv w:val="1"/>
      <w:marLeft w:val="0"/>
      <w:marRight w:val="0"/>
      <w:marTop w:val="0"/>
      <w:marBottom w:val="0"/>
      <w:divBdr>
        <w:top w:val="none" w:sz="0" w:space="0" w:color="auto"/>
        <w:left w:val="none" w:sz="0" w:space="0" w:color="auto"/>
        <w:bottom w:val="none" w:sz="0" w:space="0" w:color="auto"/>
        <w:right w:val="none" w:sz="0" w:space="0" w:color="auto"/>
      </w:divBdr>
      <w:divsChild>
        <w:div w:id="153298523">
          <w:marLeft w:val="0"/>
          <w:marRight w:val="0"/>
          <w:marTop w:val="0"/>
          <w:marBottom w:val="0"/>
          <w:divBdr>
            <w:top w:val="none" w:sz="0" w:space="0" w:color="auto"/>
            <w:left w:val="none" w:sz="0" w:space="0" w:color="auto"/>
            <w:bottom w:val="none" w:sz="0" w:space="0" w:color="auto"/>
            <w:right w:val="none" w:sz="0" w:space="0" w:color="auto"/>
          </w:divBdr>
          <w:divsChild>
            <w:div w:id="694430032">
              <w:marLeft w:val="0"/>
              <w:marRight w:val="0"/>
              <w:marTop w:val="0"/>
              <w:marBottom w:val="0"/>
              <w:divBdr>
                <w:top w:val="none" w:sz="0" w:space="0" w:color="auto"/>
                <w:left w:val="none" w:sz="0" w:space="0" w:color="auto"/>
                <w:bottom w:val="none" w:sz="0" w:space="0" w:color="auto"/>
                <w:right w:val="none" w:sz="0" w:space="0" w:color="auto"/>
              </w:divBdr>
            </w:div>
          </w:divsChild>
        </w:div>
        <w:div w:id="1786195004">
          <w:marLeft w:val="0"/>
          <w:marRight w:val="0"/>
          <w:marTop w:val="0"/>
          <w:marBottom w:val="0"/>
          <w:divBdr>
            <w:top w:val="none" w:sz="0" w:space="0" w:color="auto"/>
            <w:left w:val="none" w:sz="0" w:space="0" w:color="auto"/>
            <w:bottom w:val="none" w:sz="0" w:space="0" w:color="auto"/>
            <w:right w:val="none" w:sz="0" w:space="0" w:color="auto"/>
          </w:divBdr>
          <w:divsChild>
            <w:div w:id="2049916306">
              <w:marLeft w:val="0"/>
              <w:marRight w:val="0"/>
              <w:marTop w:val="120"/>
              <w:marBottom w:val="0"/>
              <w:divBdr>
                <w:top w:val="none" w:sz="0" w:space="0" w:color="auto"/>
                <w:left w:val="none" w:sz="0" w:space="0" w:color="auto"/>
                <w:bottom w:val="none" w:sz="0" w:space="0" w:color="auto"/>
                <w:right w:val="none" w:sz="0" w:space="0" w:color="auto"/>
              </w:divBdr>
            </w:div>
            <w:div w:id="1272275417">
              <w:marLeft w:val="0"/>
              <w:marRight w:val="0"/>
              <w:marTop w:val="0"/>
              <w:marBottom w:val="0"/>
              <w:divBdr>
                <w:top w:val="none" w:sz="0" w:space="0" w:color="auto"/>
                <w:left w:val="none" w:sz="0" w:space="0" w:color="auto"/>
                <w:bottom w:val="none" w:sz="0" w:space="0" w:color="auto"/>
                <w:right w:val="none" w:sz="0" w:space="0" w:color="auto"/>
              </w:divBdr>
              <w:divsChild>
                <w:div w:id="788092364">
                  <w:marLeft w:val="0"/>
                  <w:marRight w:val="0"/>
                  <w:marTop w:val="0"/>
                  <w:marBottom w:val="0"/>
                  <w:divBdr>
                    <w:top w:val="none" w:sz="0" w:space="0" w:color="auto"/>
                    <w:left w:val="none" w:sz="0" w:space="0" w:color="auto"/>
                    <w:bottom w:val="none" w:sz="0" w:space="0" w:color="auto"/>
                    <w:right w:val="none" w:sz="0" w:space="0" w:color="auto"/>
                  </w:divBdr>
                  <w:divsChild>
                    <w:div w:id="433021040">
                      <w:marLeft w:val="0"/>
                      <w:marRight w:val="0"/>
                      <w:marTop w:val="120"/>
                      <w:marBottom w:val="0"/>
                      <w:divBdr>
                        <w:top w:val="none" w:sz="0" w:space="0" w:color="auto"/>
                        <w:left w:val="none" w:sz="0" w:space="0" w:color="auto"/>
                        <w:bottom w:val="none" w:sz="0" w:space="0" w:color="auto"/>
                        <w:right w:val="none" w:sz="0" w:space="0" w:color="auto"/>
                      </w:divBdr>
                    </w:div>
                    <w:div w:id="1518882656">
                      <w:marLeft w:val="0"/>
                      <w:marRight w:val="0"/>
                      <w:marTop w:val="0"/>
                      <w:marBottom w:val="0"/>
                      <w:divBdr>
                        <w:top w:val="none" w:sz="0" w:space="0" w:color="auto"/>
                        <w:left w:val="none" w:sz="0" w:space="0" w:color="auto"/>
                        <w:bottom w:val="none" w:sz="0" w:space="0" w:color="auto"/>
                        <w:right w:val="none" w:sz="0" w:space="0" w:color="auto"/>
                      </w:divBdr>
                    </w:div>
                  </w:divsChild>
                </w:div>
                <w:div w:id="2007131699">
                  <w:marLeft w:val="0"/>
                  <w:marRight w:val="0"/>
                  <w:marTop w:val="0"/>
                  <w:marBottom w:val="0"/>
                  <w:divBdr>
                    <w:top w:val="none" w:sz="0" w:space="0" w:color="auto"/>
                    <w:left w:val="none" w:sz="0" w:space="0" w:color="auto"/>
                    <w:bottom w:val="none" w:sz="0" w:space="0" w:color="auto"/>
                    <w:right w:val="none" w:sz="0" w:space="0" w:color="auto"/>
                  </w:divBdr>
                  <w:divsChild>
                    <w:div w:id="242689280">
                      <w:marLeft w:val="0"/>
                      <w:marRight w:val="0"/>
                      <w:marTop w:val="120"/>
                      <w:marBottom w:val="0"/>
                      <w:divBdr>
                        <w:top w:val="none" w:sz="0" w:space="0" w:color="auto"/>
                        <w:left w:val="none" w:sz="0" w:space="0" w:color="auto"/>
                        <w:bottom w:val="none" w:sz="0" w:space="0" w:color="auto"/>
                        <w:right w:val="none" w:sz="0" w:space="0" w:color="auto"/>
                      </w:divBdr>
                    </w:div>
                    <w:div w:id="26858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500623">
          <w:marLeft w:val="0"/>
          <w:marRight w:val="0"/>
          <w:marTop w:val="0"/>
          <w:marBottom w:val="0"/>
          <w:divBdr>
            <w:top w:val="none" w:sz="0" w:space="0" w:color="auto"/>
            <w:left w:val="none" w:sz="0" w:space="0" w:color="auto"/>
            <w:bottom w:val="none" w:sz="0" w:space="0" w:color="auto"/>
            <w:right w:val="none" w:sz="0" w:space="0" w:color="auto"/>
          </w:divBdr>
          <w:divsChild>
            <w:div w:id="330333139">
              <w:marLeft w:val="0"/>
              <w:marRight w:val="0"/>
              <w:marTop w:val="120"/>
              <w:marBottom w:val="0"/>
              <w:divBdr>
                <w:top w:val="none" w:sz="0" w:space="0" w:color="auto"/>
                <w:left w:val="none" w:sz="0" w:space="0" w:color="auto"/>
                <w:bottom w:val="none" w:sz="0" w:space="0" w:color="auto"/>
                <w:right w:val="none" w:sz="0" w:space="0" w:color="auto"/>
              </w:divBdr>
            </w:div>
            <w:div w:id="1802306732">
              <w:marLeft w:val="0"/>
              <w:marRight w:val="0"/>
              <w:marTop w:val="0"/>
              <w:marBottom w:val="0"/>
              <w:divBdr>
                <w:top w:val="none" w:sz="0" w:space="0" w:color="auto"/>
                <w:left w:val="none" w:sz="0" w:space="0" w:color="auto"/>
                <w:bottom w:val="none" w:sz="0" w:space="0" w:color="auto"/>
                <w:right w:val="none" w:sz="0" w:space="0" w:color="auto"/>
              </w:divBdr>
            </w:div>
          </w:divsChild>
        </w:div>
        <w:div w:id="788739620">
          <w:marLeft w:val="0"/>
          <w:marRight w:val="0"/>
          <w:marTop w:val="0"/>
          <w:marBottom w:val="0"/>
          <w:divBdr>
            <w:top w:val="none" w:sz="0" w:space="0" w:color="auto"/>
            <w:left w:val="none" w:sz="0" w:space="0" w:color="auto"/>
            <w:bottom w:val="none" w:sz="0" w:space="0" w:color="auto"/>
            <w:right w:val="none" w:sz="0" w:space="0" w:color="auto"/>
          </w:divBdr>
          <w:divsChild>
            <w:div w:id="1719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32521">
      <w:bodyDiv w:val="1"/>
      <w:marLeft w:val="0"/>
      <w:marRight w:val="0"/>
      <w:marTop w:val="0"/>
      <w:marBottom w:val="0"/>
      <w:divBdr>
        <w:top w:val="none" w:sz="0" w:space="0" w:color="auto"/>
        <w:left w:val="none" w:sz="0" w:space="0" w:color="auto"/>
        <w:bottom w:val="none" w:sz="0" w:space="0" w:color="auto"/>
        <w:right w:val="none" w:sz="0" w:space="0" w:color="auto"/>
      </w:divBdr>
      <w:divsChild>
        <w:div w:id="2121026659">
          <w:marLeft w:val="0"/>
          <w:marRight w:val="0"/>
          <w:marTop w:val="0"/>
          <w:marBottom w:val="0"/>
          <w:divBdr>
            <w:top w:val="none" w:sz="0" w:space="0" w:color="auto"/>
            <w:left w:val="none" w:sz="0" w:space="0" w:color="auto"/>
            <w:bottom w:val="none" w:sz="0" w:space="0" w:color="auto"/>
            <w:right w:val="none" w:sz="0" w:space="0" w:color="auto"/>
          </w:divBdr>
          <w:divsChild>
            <w:div w:id="1395278425">
              <w:marLeft w:val="0"/>
              <w:marRight w:val="0"/>
              <w:marTop w:val="0"/>
              <w:marBottom w:val="0"/>
              <w:divBdr>
                <w:top w:val="none" w:sz="0" w:space="0" w:color="auto"/>
                <w:left w:val="none" w:sz="0" w:space="0" w:color="auto"/>
                <w:bottom w:val="none" w:sz="0" w:space="0" w:color="auto"/>
                <w:right w:val="none" w:sz="0" w:space="0" w:color="auto"/>
              </w:divBdr>
              <w:divsChild>
                <w:div w:id="318507919">
                  <w:marLeft w:val="0"/>
                  <w:marRight w:val="0"/>
                  <w:marTop w:val="0"/>
                  <w:marBottom w:val="0"/>
                  <w:divBdr>
                    <w:top w:val="none" w:sz="0" w:space="0" w:color="auto"/>
                    <w:left w:val="none" w:sz="0" w:space="0" w:color="auto"/>
                    <w:bottom w:val="none" w:sz="0" w:space="0" w:color="auto"/>
                    <w:right w:val="none" w:sz="0" w:space="0" w:color="auto"/>
                  </w:divBdr>
                  <w:divsChild>
                    <w:div w:id="1470200078">
                      <w:marLeft w:val="0"/>
                      <w:marRight w:val="0"/>
                      <w:marTop w:val="120"/>
                      <w:marBottom w:val="0"/>
                      <w:divBdr>
                        <w:top w:val="none" w:sz="0" w:space="0" w:color="auto"/>
                        <w:left w:val="none" w:sz="0" w:space="0" w:color="auto"/>
                        <w:bottom w:val="none" w:sz="0" w:space="0" w:color="auto"/>
                        <w:right w:val="none" w:sz="0" w:space="0" w:color="auto"/>
                      </w:divBdr>
                    </w:div>
                    <w:div w:id="1278636240">
                      <w:marLeft w:val="0"/>
                      <w:marRight w:val="0"/>
                      <w:marTop w:val="0"/>
                      <w:marBottom w:val="0"/>
                      <w:divBdr>
                        <w:top w:val="none" w:sz="0" w:space="0" w:color="auto"/>
                        <w:left w:val="none" w:sz="0" w:space="0" w:color="auto"/>
                        <w:bottom w:val="none" w:sz="0" w:space="0" w:color="auto"/>
                        <w:right w:val="none" w:sz="0" w:space="0" w:color="auto"/>
                      </w:divBdr>
                    </w:div>
                  </w:divsChild>
                </w:div>
                <w:div w:id="945161113">
                  <w:marLeft w:val="0"/>
                  <w:marRight w:val="0"/>
                  <w:marTop w:val="0"/>
                  <w:marBottom w:val="0"/>
                  <w:divBdr>
                    <w:top w:val="none" w:sz="0" w:space="0" w:color="auto"/>
                    <w:left w:val="none" w:sz="0" w:space="0" w:color="auto"/>
                    <w:bottom w:val="none" w:sz="0" w:space="0" w:color="auto"/>
                    <w:right w:val="none" w:sz="0" w:space="0" w:color="auto"/>
                  </w:divBdr>
                  <w:divsChild>
                    <w:div w:id="1806462896">
                      <w:marLeft w:val="0"/>
                      <w:marRight w:val="0"/>
                      <w:marTop w:val="120"/>
                      <w:marBottom w:val="0"/>
                      <w:divBdr>
                        <w:top w:val="none" w:sz="0" w:space="0" w:color="auto"/>
                        <w:left w:val="none" w:sz="0" w:space="0" w:color="auto"/>
                        <w:bottom w:val="none" w:sz="0" w:space="0" w:color="auto"/>
                        <w:right w:val="none" w:sz="0" w:space="0" w:color="auto"/>
                      </w:divBdr>
                    </w:div>
                    <w:div w:id="1330594812">
                      <w:marLeft w:val="0"/>
                      <w:marRight w:val="0"/>
                      <w:marTop w:val="0"/>
                      <w:marBottom w:val="0"/>
                      <w:divBdr>
                        <w:top w:val="none" w:sz="0" w:space="0" w:color="auto"/>
                        <w:left w:val="none" w:sz="0" w:space="0" w:color="auto"/>
                        <w:bottom w:val="none" w:sz="0" w:space="0" w:color="auto"/>
                        <w:right w:val="none" w:sz="0" w:space="0" w:color="auto"/>
                      </w:divBdr>
                    </w:div>
                  </w:divsChild>
                </w:div>
                <w:div w:id="258177069">
                  <w:marLeft w:val="0"/>
                  <w:marRight w:val="0"/>
                  <w:marTop w:val="0"/>
                  <w:marBottom w:val="0"/>
                  <w:divBdr>
                    <w:top w:val="none" w:sz="0" w:space="0" w:color="auto"/>
                    <w:left w:val="none" w:sz="0" w:space="0" w:color="auto"/>
                    <w:bottom w:val="none" w:sz="0" w:space="0" w:color="auto"/>
                    <w:right w:val="none" w:sz="0" w:space="0" w:color="auto"/>
                  </w:divBdr>
                  <w:divsChild>
                    <w:div w:id="547959748">
                      <w:marLeft w:val="0"/>
                      <w:marRight w:val="0"/>
                      <w:marTop w:val="120"/>
                      <w:marBottom w:val="0"/>
                      <w:divBdr>
                        <w:top w:val="none" w:sz="0" w:space="0" w:color="auto"/>
                        <w:left w:val="none" w:sz="0" w:space="0" w:color="auto"/>
                        <w:bottom w:val="none" w:sz="0" w:space="0" w:color="auto"/>
                        <w:right w:val="none" w:sz="0" w:space="0" w:color="auto"/>
                      </w:divBdr>
                    </w:div>
                    <w:div w:id="99569610">
                      <w:marLeft w:val="0"/>
                      <w:marRight w:val="0"/>
                      <w:marTop w:val="0"/>
                      <w:marBottom w:val="0"/>
                      <w:divBdr>
                        <w:top w:val="none" w:sz="0" w:space="0" w:color="auto"/>
                        <w:left w:val="none" w:sz="0" w:space="0" w:color="auto"/>
                        <w:bottom w:val="none" w:sz="0" w:space="0" w:color="auto"/>
                        <w:right w:val="none" w:sz="0" w:space="0" w:color="auto"/>
                      </w:divBdr>
                    </w:div>
                  </w:divsChild>
                </w:div>
                <w:div w:id="1699044465">
                  <w:marLeft w:val="0"/>
                  <w:marRight w:val="0"/>
                  <w:marTop w:val="0"/>
                  <w:marBottom w:val="0"/>
                  <w:divBdr>
                    <w:top w:val="none" w:sz="0" w:space="0" w:color="auto"/>
                    <w:left w:val="none" w:sz="0" w:space="0" w:color="auto"/>
                    <w:bottom w:val="none" w:sz="0" w:space="0" w:color="auto"/>
                    <w:right w:val="none" w:sz="0" w:space="0" w:color="auto"/>
                  </w:divBdr>
                  <w:divsChild>
                    <w:div w:id="52317171">
                      <w:marLeft w:val="0"/>
                      <w:marRight w:val="0"/>
                      <w:marTop w:val="120"/>
                      <w:marBottom w:val="0"/>
                      <w:divBdr>
                        <w:top w:val="none" w:sz="0" w:space="0" w:color="auto"/>
                        <w:left w:val="none" w:sz="0" w:space="0" w:color="auto"/>
                        <w:bottom w:val="none" w:sz="0" w:space="0" w:color="auto"/>
                        <w:right w:val="none" w:sz="0" w:space="0" w:color="auto"/>
                      </w:divBdr>
                    </w:div>
                    <w:div w:id="926496935">
                      <w:marLeft w:val="0"/>
                      <w:marRight w:val="0"/>
                      <w:marTop w:val="0"/>
                      <w:marBottom w:val="0"/>
                      <w:divBdr>
                        <w:top w:val="none" w:sz="0" w:space="0" w:color="auto"/>
                        <w:left w:val="none" w:sz="0" w:space="0" w:color="auto"/>
                        <w:bottom w:val="none" w:sz="0" w:space="0" w:color="auto"/>
                        <w:right w:val="none" w:sz="0" w:space="0" w:color="auto"/>
                      </w:divBdr>
                    </w:div>
                  </w:divsChild>
                </w:div>
                <w:div w:id="1697384644">
                  <w:marLeft w:val="0"/>
                  <w:marRight w:val="0"/>
                  <w:marTop w:val="0"/>
                  <w:marBottom w:val="0"/>
                  <w:divBdr>
                    <w:top w:val="none" w:sz="0" w:space="0" w:color="auto"/>
                    <w:left w:val="none" w:sz="0" w:space="0" w:color="auto"/>
                    <w:bottom w:val="none" w:sz="0" w:space="0" w:color="auto"/>
                    <w:right w:val="none" w:sz="0" w:space="0" w:color="auto"/>
                  </w:divBdr>
                  <w:divsChild>
                    <w:div w:id="232467665">
                      <w:marLeft w:val="0"/>
                      <w:marRight w:val="0"/>
                      <w:marTop w:val="120"/>
                      <w:marBottom w:val="0"/>
                      <w:divBdr>
                        <w:top w:val="none" w:sz="0" w:space="0" w:color="auto"/>
                        <w:left w:val="none" w:sz="0" w:space="0" w:color="auto"/>
                        <w:bottom w:val="none" w:sz="0" w:space="0" w:color="auto"/>
                        <w:right w:val="none" w:sz="0" w:space="0" w:color="auto"/>
                      </w:divBdr>
                    </w:div>
                    <w:div w:id="192918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28144">
      <w:bodyDiv w:val="1"/>
      <w:marLeft w:val="0"/>
      <w:marRight w:val="0"/>
      <w:marTop w:val="0"/>
      <w:marBottom w:val="0"/>
      <w:divBdr>
        <w:top w:val="none" w:sz="0" w:space="0" w:color="auto"/>
        <w:left w:val="none" w:sz="0" w:space="0" w:color="auto"/>
        <w:bottom w:val="none" w:sz="0" w:space="0" w:color="auto"/>
        <w:right w:val="none" w:sz="0" w:space="0" w:color="auto"/>
      </w:divBdr>
      <w:divsChild>
        <w:div w:id="829635475">
          <w:marLeft w:val="0"/>
          <w:marRight w:val="0"/>
          <w:marTop w:val="0"/>
          <w:marBottom w:val="0"/>
          <w:divBdr>
            <w:top w:val="none" w:sz="0" w:space="0" w:color="auto"/>
            <w:left w:val="none" w:sz="0" w:space="0" w:color="auto"/>
            <w:bottom w:val="none" w:sz="0" w:space="0" w:color="auto"/>
            <w:right w:val="none" w:sz="0" w:space="0" w:color="auto"/>
          </w:divBdr>
          <w:divsChild>
            <w:div w:id="194179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48413">
      <w:bodyDiv w:val="1"/>
      <w:marLeft w:val="0"/>
      <w:marRight w:val="0"/>
      <w:marTop w:val="0"/>
      <w:marBottom w:val="0"/>
      <w:divBdr>
        <w:top w:val="none" w:sz="0" w:space="0" w:color="auto"/>
        <w:left w:val="none" w:sz="0" w:space="0" w:color="auto"/>
        <w:bottom w:val="none" w:sz="0" w:space="0" w:color="auto"/>
        <w:right w:val="none" w:sz="0" w:space="0" w:color="auto"/>
      </w:divBdr>
    </w:div>
    <w:div w:id="236674524">
      <w:bodyDiv w:val="1"/>
      <w:marLeft w:val="0"/>
      <w:marRight w:val="0"/>
      <w:marTop w:val="0"/>
      <w:marBottom w:val="0"/>
      <w:divBdr>
        <w:top w:val="none" w:sz="0" w:space="0" w:color="auto"/>
        <w:left w:val="none" w:sz="0" w:space="0" w:color="auto"/>
        <w:bottom w:val="none" w:sz="0" w:space="0" w:color="auto"/>
        <w:right w:val="none" w:sz="0" w:space="0" w:color="auto"/>
      </w:divBdr>
    </w:div>
    <w:div w:id="267196615">
      <w:bodyDiv w:val="1"/>
      <w:marLeft w:val="0"/>
      <w:marRight w:val="0"/>
      <w:marTop w:val="0"/>
      <w:marBottom w:val="0"/>
      <w:divBdr>
        <w:top w:val="none" w:sz="0" w:space="0" w:color="auto"/>
        <w:left w:val="none" w:sz="0" w:space="0" w:color="auto"/>
        <w:bottom w:val="none" w:sz="0" w:space="0" w:color="auto"/>
        <w:right w:val="none" w:sz="0" w:space="0" w:color="auto"/>
      </w:divBdr>
      <w:divsChild>
        <w:div w:id="1085298053">
          <w:marLeft w:val="0"/>
          <w:marRight w:val="0"/>
          <w:marTop w:val="120"/>
          <w:marBottom w:val="0"/>
          <w:divBdr>
            <w:top w:val="none" w:sz="0" w:space="0" w:color="auto"/>
            <w:left w:val="none" w:sz="0" w:space="0" w:color="auto"/>
            <w:bottom w:val="none" w:sz="0" w:space="0" w:color="auto"/>
            <w:right w:val="none" w:sz="0" w:space="0" w:color="auto"/>
          </w:divBdr>
        </w:div>
        <w:div w:id="2027899192">
          <w:marLeft w:val="0"/>
          <w:marRight w:val="0"/>
          <w:marTop w:val="0"/>
          <w:marBottom w:val="0"/>
          <w:divBdr>
            <w:top w:val="none" w:sz="0" w:space="0" w:color="auto"/>
            <w:left w:val="none" w:sz="0" w:space="0" w:color="auto"/>
            <w:bottom w:val="none" w:sz="0" w:space="0" w:color="auto"/>
            <w:right w:val="none" w:sz="0" w:space="0" w:color="auto"/>
          </w:divBdr>
        </w:div>
      </w:divsChild>
    </w:div>
    <w:div w:id="287931404">
      <w:bodyDiv w:val="1"/>
      <w:marLeft w:val="0"/>
      <w:marRight w:val="0"/>
      <w:marTop w:val="0"/>
      <w:marBottom w:val="0"/>
      <w:divBdr>
        <w:top w:val="none" w:sz="0" w:space="0" w:color="auto"/>
        <w:left w:val="none" w:sz="0" w:space="0" w:color="auto"/>
        <w:bottom w:val="none" w:sz="0" w:space="0" w:color="auto"/>
        <w:right w:val="none" w:sz="0" w:space="0" w:color="auto"/>
      </w:divBdr>
    </w:div>
    <w:div w:id="294142797">
      <w:bodyDiv w:val="1"/>
      <w:marLeft w:val="0"/>
      <w:marRight w:val="0"/>
      <w:marTop w:val="0"/>
      <w:marBottom w:val="0"/>
      <w:divBdr>
        <w:top w:val="none" w:sz="0" w:space="0" w:color="auto"/>
        <w:left w:val="none" w:sz="0" w:space="0" w:color="auto"/>
        <w:bottom w:val="none" w:sz="0" w:space="0" w:color="auto"/>
        <w:right w:val="none" w:sz="0" w:space="0" w:color="auto"/>
      </w:divBdr>
    </w:div>
    <w:div w:id="319432707">
      <w:bodyDiv w:val="1"/>
      <w:marLeft w:val="0"/>
      <w:marRight w:val="0"/>
      <w:marTop w:val="0"/>
      <w:marBottom w:val="0"/>
      <w:divBdr>
        <w:top w:val="none" w:sz="0" w:space="0" w:color="auto"/>
        <w:left w:val="none" w:sz="0" w:space="0" w:color="auto"/>
        <w:bottom w:val="none" w:sz="0" w:space="0" w:color="auto"/>
        <w:right w:val="none" w:sz="0" w:space="0" w:color="auto"/>
      </w:divBdr>
      <w:divsChild>
        <w:div w:id="55588311">
          <w:marLeft w:val="0"/>
          <w:marRight w:val="0"/>
          <w:marTop w:val="0"/>
          <w:marBottom w:val="0"/>
          <w:divBdr>
            <w:top w:val="none" w:sz="0" w:space="0" w:color="auto"/>
            <w:left w:val="none" w:sz="0" w:space="0" w:color="auto"/>
            <w:bottom w:val="none" w:sz="0" w:space="0" w:color="auto"/>
            <w:right w:val="none" w:sz="0" w:space="0" w:color="auto"/>
          </w:divBdr>
          <w:divsChild>
            <w:div w:id="484014435">
              <w:marLeft w:val="0"/>
              <w:marRight w:val="0"/>
              <w:marTop w:val="0"/>
              <w:marBottom w:val="0"/>
              <w:divBdr>
                <w:top w:val="none" w:sz="0" w:space="0" w:color="auto"/>
                <w:left w:val="none" w:sz="0" w:space="0" w:color="auto"/>
                <w:bottom w:val="none" w:sz="0" w:space="0" w:color="auto"/>
                <w:right w:val="none" w:sz="0" w:space="0" w:color="auto"/>
              </w:divBdr>
              <w:divsChild>
                <w:div w:id="87584532">
                  <w:marLeft w:val="0"/>
                  <w:marRight w:val="0"/>
                  <w:marTop w:val="0"/>
                  <w:marBottom w:val="0"/>
                  <w:divBdr>
                    <w:top w:val="none" w:sz="0" w:space="0" w:color="auto"/>
                    <w:left w:val="none" w:sz="0" w:space="0" w:color="auto"/>
                    <w:bottom w:val="none" w:sz="0" w:space="0" w:color="auto"/>
                    <w:right w:val="none" w:sz="0" w:space="0" w:color="auto"/>
                  </w:divBdr>
                  <w:divsChild>
                    <w:div w:id="100422312">
                      <w:marLeft w:val="0"/>
                      <w:marRight w:val="0"/>
                      <w:marTop w:val="120"/>
                      <w:marBottom w:val="0"/>
                      <w:divBdr>
                        <w:top w:val="none" w:sz="0" w:space="0" w:color="auto"/>
                        <w:left w:val="none" w:sz="0" w:space="0" w:color="auto"/>
                        <w:bottom w:val="none" w:sz="0" w:space="0" w:color="auto"/>
                        <w:right w:val="none" w:sz="0" w:space="0" w:color="auto"/>
                      </w:divBdr>
                    </w:div>
                    <w:div w:id="353189616">
                      <w:marLeft w:val="0"/>
                      <w:marRight w:val="0"/>
                      <w:marTop w:val="0"/>
                      <w:marBottom w:val="0"/>
                      <w:divBdr>
                        <w:top w:val="none" w:sz="0" w:space="0" w:color="auto"/>
                        <w:left w:val="none" w:sz="0" w:space="0" w:color="auto"/>
                        <w:bottom w:val="none" w:sz="0" w:space="0" w:color="auto"/>
                        <w:right w:val="none" w:sz="0" w:space="0" w:color="auto"/>
                      </w:divBdr>
                    </w:div>
                  </w:divsChild>
                </w:div>
                <w:div w:id="184175936">
                  <w:marLeft w:val="0"/>
                  <w:marRight w:val="0"/>
                  <w:marTop w:val="0"/>
                  <w:marBottom w:val="0"/>
                  <w:divBdr>
                    <w:top w:val="none" w:sz="0" w:space="0" w:color="auto"/>
                    <w:left w:val="none" w:sz="0" w:space="0" w:color="auto"/>
                    <w:bottom w:val="none" w:sz="0" w:space="0" w:color="auto"/>
                    <w:right w:val="none" w:sz="0" w:space="0" w:color="auto"/>
                  </w:divBdr>
                  <w:divsChild>
                    <w:div w:id="1981037675">
                      <w:marLeft w:val="0"/>
                      <w:marRight w:val="0"/>
                      <w:marTop w:val="120"/>
                      <w:marBottom w:val="0"/>
                      <w:divBdr>
                        <w:top w:val="none" w:sz="0" w:space="0" w:color="auto"/>
                        <w:left w:val="none" w:sz="0" w:space="0" w:color="auto"/>
                        <w:bottom w:val="none" w:sz="0" w:space="0" w:color="auto"/>
                        <w:right w:val="none" w:sz="0" w:space="0" w:color="auto"/>
                      </w:divBdr>
                    </w:div>
                    <w:div w:id="188822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688012">
      <w:bodyDiv w:val="1"/>
      <w:marLeft w:val="0"/>
      <w:marRight w:val="0"/>
      <w:marTop w:val="0"/>
      <w:marBottom w:val="0"/>
      <w:divBdr>
        <w:top w:val="none" w:sz="0" w:space="0" w:color="auto"/>
        <w:left w:val="none" w:sz="0" w:space="0" w:color="auto"/>
        <w:bottom w:val="none" w:sz="0" w:space="0" w:color="auto"/>
        <w:right w:val="none" w:sz="0" w:space="0" w:color="auto"/>
      </w:divBdr>
      <w:divsChild>
        <w:div w:id="754084612">
          <w:marLeft w:val="0"/>
          <w:marRight w:val="0"/>
          <w:marTop w:val="0"/>
          <w:marBottom w:val="0"/>
          <w:divBdr>
            <w:top w:val="none" w:sz="0" w:space="0" w:color="auto"/>
            <w:left w:val="none" w:sz="0" w:space="0" w:color="auto"/>
            <w:bottom w:val="none" w:sz="0" w:space="0" w:color="auto"/>
            <w:right w:val="none" w:sz="0" w:space="0" w:color="auto"/>
          </w:divBdr>
          <w:divsChild>
            <w:div w:id="268052689">
              <w:marLeft w:val="0"/>
              <w:marRight w:val="0"/>
              <w:marTop w:val="120"/>
              <w:marBottom w:val="0"/>
              <w:divBdr>
                <w:top w:val="none" w:sz="0" w:space="0" w:color="auto"/>
                <w:left w:val="none" w:sz="0" w:space="0" w:color="auto"/>
                <w:bottom w:val="none" w:sz="0" w:space="0" w:color="auto"/>
                <w:right w:val="none" w:sz="0" w:space="0" w:color="auto"/>
              </w:divBdr>
            </w:div>
            <w:div w:id="1836843349">
              <w:marLeft w:val="0"/>
              <w:marRight w:val="0"/>
              <w:marTop w:val="0"/>
              <w:marBottom w:val="0"/>
              <w:divBdr>
                <w:top w:val="none" w:sz="0" w:space="0" w:color="auto"/>
                <w:left w:val="none" w:sz="0" w:space="0" w:color="auto"/>
                <w:bottom w:val="none" w:sz="0" w:space="0" w:color="auto"/>
                <w:right w:val="none" w:sz="0" w:space="0" w:color="auto"/>
              </w:divBdr>
            </w:div>
          </w:divsChild>
        </w:div>
        <w:div w:id="2079011371">
          <w:marLeft w:val="0"/>
          <w:marRight w:val="0"/>
          <w:marTop w:val="0"/>
          <w:marBottom w:val="0"/>
          <w:divBdr>
            <w:top w:val="none" w:sz="0" w:space="0" w:color="auto"/>
            <w:left w:val="none" w:sz="0" w:space="0" w:color="auto"/>
            <w:bottom w:val="none" w:sz="0" w:space="0" w:color="auto"/>
            <w:right w:val="none" w:sz="0" w:space="0" w:color="auto"/>
          </w:divBdr>
          <w:divsChild>
            <w:div w:id="858199748">
              <w:marLeft w:val="0"/>
              <w:marRight w:val="0"/>
              <w:marTop w:val="120"/>
              <w:marBottom w:val="0"/>
              <w:divBdr>
                <w:top w:val="none" w:sz="0" w:space="0" w:color="auto"/>
                <w:left w:val="none" w:sz="0" w:space="0" w:color="auto"/>
                <w:bottom w:val="none" w:sz="0" w:space="0" w:color="auto"/>
                <w:right w:val="none" w:sz="0" w:space="0" w:color="auto"/>
              </w:divBdr>
            </w:div>
            <w:div w:id="1616861360">
              <w:marLeft w:val="0"/>
              <w:marRight w:val="0"/>
              <w:marTop w:val="0"/>
              <w:marBottom w:val="0"/>
              <w:divBdr>
                <w:top w:val="none" w:sz="0" w:space="0" w:color="auto"/>
                <w:left w:val="none" w:sz="0" w:space="0" w:color="auto"/>
                <w:bottom w:val="none" w:sz="0" w:space="0" w:color="auto"/>
                <w:right w:val="none" w:sz="0" w:space="0" w:color="auto"/>
              </w:divBdr>
            </w:div>
          </w:divsChild>
        </w:div>
        <w:div w:id="1220827706">
          <w:marLeft w:val="0"/>
          <w:marRight w:val="0"/>
          <w:marTop w:val="0"/>
          <w:marBottom w:val="0"/>
          <w:divBdr>
            <w:top w:val="none" w:sz="0" w:space="0" w:color="auto"/>
            <w:left w:val="none" w:sz="0" w:space="0" w:color="auto"/>
            <w:bottom w:val="none" w:sz="0" w:space="0" w:color="auto"/>
            <w:right w:val="none" w:sz="0" w:space="0" w:color="auto"/>
          </w:divBdr>
          <w:divsChild>
            <w:div w:id="865337842">
              <w:marLeft w:val="0"/>
              <w:marRight w:val="0"/>
              <w:marTop w:val="120"/>
              <w:marBottom w:val="0"/>
              <w:divBdr>
                <w:top w:val="none" w:sz="0" w:space="0" w:color="auto"/>
                <w:left w:val="none" w:sz="0" w:space="0" w:color="auto"/>
                <w:bottom w:val="none" w:sz="0" w:space="0" w:color="auto"/>
                <w:right w:val="none" w:sz="0" w:space="0" w:color="auto"/>
              </w:divBdr>
            </w:div>
            <w:div w:id="42415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88216">
      <w:bodyDiv w:val="1"/>
      <w:marLeft w:val="0"/>
      <w:marRight w:val="0"/>
      <w:marTop w:val="0"/>
      <w:marBottom w:val="0"/>
      <w:divBdr>
        <w:top w:val="none" w:sz="0" w:space="0" w:color="auto"/>
        <w:left w:val="none" w:sz="0" w:space="0" w:color="auto"/>
        <w:bottom w:val="none" w:sz="0" w:space="0" w:color="auto"/>
        <w:right w:val="none" w:sz="0" w:space="0" w:color="auto"/>
      </w:divBdr>
    </w:div>
    <w:div w:id="331958670">
      <w:bodyDiv w:val="1"/>
      <w:marLeft w:val="0"/>
      <w:marRight w:val="0"/>
      <w:marTop w:val="0"/>
      <w:marBottom w:val="0"/>
      <w:divBdr>
        <w:top w:val="none" w:sz="0" w:space="0" w:color="auto"/>
        <w:left w:val="none" w:sz="0" w:space="0" w:color="auto"/>
        <w:bottom w:val="none" w:sz="0" w:space="0" w:color="auto"/>
        <w:right w:val="none" w:sz="0" w:space="0" w:color="auto"/>
      </w:divBdr>
      <w:divsChild>
        <w:div w:id="1158300229">
          <w:marLeft w:val="0"/>
          <w:marRight w:val="0"/>
          <w:marTop w:val="0"/>
          <w:marBottom w:val="0"/>
          <w:divBdr>
            <w:top w:val="none" w:sz="0" w:space="0" w:color="auto"/>
            <w:left w:val="none" w:sz="0" w:space="0" w:color="auto"/>
            <w:bottom w:val="none" w:sz="0" w:space="0" w:color="auto"/>
            <w:right w:val="none" w:sz="0" w:space="0" w:color="auto"/>
          </w:divBdr>
          <w:divsChild>
            <w:div w:id="451942530">
              <w:marLeft w:val="0"/>
              <w:marRight w:val="0"/>
              <w:marTop w:val="0"/>
              <w:marBottom w:val="0"/>
              <w:divBdr>
                <w:top w:val="none" w:sz="0" w:space="0" w:color="auto"/>
                <w:left w:val="none" w:sz="0" w:space="0" w:color="auto"/>
                <w:bottom w:val="none" w:sz="0" w:space="0" w:color="auto"/>
                <w:right w:val="none" w:sz="0" w:space="0" w:color="auto"/>
              </w:divBdr>
            </w:div>
          </w:divsChild>
        </w:div>
        <w:div w:id="430902086">
          <w:marLeft w:val="0"/>
          <w:marRight w:val="0"/>
          <w:marTop w:val="0"/>
          <w:marBottom w:val="0"/>
          <w:divBdr>
            <w:top w:val="none" w:sz="0" w:space="0" w:color="auto"/>
            <w:left w:val="none" w:sz="0" w:space="0" w:color="auto"/>
            <w:bottom w:val="none" w:sz="0" w:space="0" w:color="auto"/>
            <w:right w:val="none" w:sz="0" w:space="0" w:color="auto"/>
          </w:divBdr>
          <w:divsChild>
            <w:div w:id="178206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172548">
      <w:bodyDiv w:val="1"/>
      <w:marLeft w:val="0"/>
      <w:marRight w:val="0"/>
      <w:marTop w:val="0"/>
      <w:marBottom w:val="0"/>
      <w:divBdr>
        <w:top w:val="none" w:sz="0" w:space="0" w:color="auto"/>
        <w:left w:val="none" w:sz="0" w:space="0" w:color="auto"/>
        <w:bottom w:val="none" w:sz="0" w:space="0" w:color="auto"/>
        <w:right w:val="none" w:sz="0" w:space="0" w:color="auto"/>
      </w:divBdr>
      <w:divsChild>
        <w:div w:id="1954750669">
          <w:marLeft w:val="0"/>
          <w:marRight w:val="0"/>
          <w:marTop w:val="120"/>
          <w:marBottom w:val="0"/>
          <w:divBdr>
            <w:top w:val="none" w:sz="0" w:space="0" w:color="auto"/>
            <w:left w:val="none" w:sz="0" w:space="0" w:color="auto"/>
            <w:bottom w:val="none" w:sz="0" w:space="0" w:color="auto"/>
            <w:right w:val="none" w:sz="0" w:space="0" w:color="auto"/>
          </w:divBdr>
        </w:div>
        <w:div w:id="2059042585">
          <w:marLeft w:val="0"/>
          <w:marRight w:val="0"/>
          <w:marTop w:val="0"/>
          <w:marBottom w:val="0"/>
          <w:divBdr>
            <w:top w:val="none" w:sz="0" w:space="0" w:color="auto"/>
            <w:left w:val="none" w:sz="0" w:space="0" w:color="auto"/>
            <w:bottom w:val="none" w:sz="0" w:space="0" w:color="auto"/>
            <w:right w:val="none" w:sz="0" w:space="0" w:color="auto"/>
          </w:divBdr>
        </w:div>
      </w:divsChild>
    </w:div>
    <w:div w:id="358358367">
      <w:bodyDiv w:val="1"/>
      <w:marLeft w:val="0"/>
      <w:marRight w:val="0"/>
      <w:marTop w:val="0"/>
      <w:marBottom w:val="0"/>
      <w:divBdr>
        <w:top w:val="none" w:sz="0" w:space="0" w:color="auto"/>
        <w:left w:val="none" w:sz="0" w:space="0" w:color="auto"/>
        <w:bottom w:val="none" w:sz="0" w:space="0" w:color="auto"/>
        <w:right w:val="none" w:sz="0" w:space="0" w:color="auto"/>
      </w:divBdr>
      <w:divsChild>
        <w:div w:id="1810397687">
          <w:marLeft w:val="0"/>
          <w:marRight w:val="0"/>
          <w:marTop w:val="0"/>
          <w:marBottom w:val="0"/>
          <w:divBdr>
            <w:top w:val="none" w:sz="0" w:space="0" w:color="auto"/>
            <w:left w:val="none" w:sz="0" w:space="0" w:color="auto"/>
            <w:bottom w:val="none" w:sz="0" w:space="0" w:color="auto"/>
            <w:right w:val="none" w:sz="0" w:space="0" w:color="auto"/>
          </w:divBdr>
        </w:div>
      </w:divsChild>
    </w:div>
    <w:div w:id="361638286">
      <w:bodyDiv w:val="1"/>
      <w:marLeft w:val="0"/>
      <w:marRight w:val="0"/>
      <w:marTop w:val="0"/>
      <w:marBottom w:val="0"/>
      <w:divBdr>
        <w:top w:val="none" w:sz="0" w:space="0" w:color="auto"/>
        <w:left w:val="none" w:sz="0" w:space="0" w:color="auto"/>
        <w:bottom w:val="none" w:sz="0" w:space="0" w:color="auto"/>
        <w:right w:val="none" w:sz="0" w:space="0" w:color="auto"/>
      </w:divBdr>
    </w:div>
    <w:div w:id="405492460">
      <w:bodyDiv w:val="1"/>
      <w:marLeft w:val="0"/>
      <w:marRight w:val="0"/>
      <w:marTop w:val="0"/>
      <w:marBottom w:val="0"/>
      <w:divBdr>
        <w:top w:val="none" w:sz="0" w:space="0" w:color="auto"/>
        <w:left w:val="none" w:sz="0" w:space="0" w:color="auto"/>
        <w:bottom w:val="none" w:sz="0" w:space="0" w:color="auto"/>
        <w:right w:val="none" w:sz="0" w:space="0" w:color="auto"/>
      </w:divBdr>
      <w:divsChild>
        <w:div w:id="461778197">
          <w:marLeft w:val="0"/>
          <w:marRight w:val="0"/>
          <w:marTop w:val="120"/>
          <w:marBottom w:val="0"/>
          <w:divBdr>
            <w:top w:val="none" w:sz="0" w:space="0" w:color="auto"/>
            <w:left w:val="none" w:sz="0" w:space="0" w:color="auto"/>
            <w:bottom w:val="none" w:sz="0" w:space="0" w:color="auto"/>
            <w:right w:val="none" w:sz="0" w:space="0" w:color="auto"/>
          </w:divBdr>
        </w:div>
        <w:div w:id="598608824">
          <w:marLeft w:val="0"/>
          <w:marRight w:val="0"/>
          <w:marTop w:val="0"/>
          <w:marBottom w:val="0"/>
          <w:divBdr>
            <w:top w:val="none" w:sz="0" w:space="0" w:color="auto"/>
            <w:left w:val="none" w:sz="0" w:space="0" w:color="auto"/>
            <w:bottom w:val="none" w:sz="0" w:space="0" w:color="auto"/>
            <w:right w:val="none" w:sz="0" w:space="0" w:color="auto"/>
          </w:divBdr>
        </w:div>
      </w:divsChild>
    </w:div>
    <w:div w:id="411856074">
      <w:bodyDiv w:val="1"/>
      <w:marLeft w:val="0"/>
      <w:marRight w:val="0"/>
      <w:marTop w:val="0"/>
      <w:marBottom w:val="0"/>
      <w:divBdr>
        <w:top w:val="none" w:sz="0" w:space="0" w:color="auto"/>
        <w:left w:val="none" w:sz="0" w:space="0" w:color="auto"/>
        <w:bottom w:val="none" w:sz="0" w:space="0" w:color="auto"/>
        <w:right w:val="none" w:sz="0" w:space="0" w:color="auto"/>
      </w:divBdr>
      <w:divsChild>
        <w:div w:id="1729377167">
          <w:marLeft w:val="0"/>
          <w:marRight w:val="0"/>
          <w:marTop w:val="0"/>
          <w:marBottom w:val="0"/>
          <w:divBdr>
            <w:top w:val="none" w:sz="0" w:space="0" w:color="auto"/>
            <w:left w:val="none" w:sz="0" w:space="0" w:color="auto"/>
            <w:bottom w:val="none" w:sz="0" w:space="0" w:color="auto"/>
            <w:right w:val="none" w:sz="0" w:space="0" w:color="auto"/>
          </w:divBdr>
          <w:divsChild>
            <w:div w:id="1604144680">
              <w:marLeft w:val="0"/>
              <w:marRight w:val="0"/>
              <w:marTop w:val="120"/>
              <w:marBottom w:val="0"/>
              <w:divBdr>
                <w:top w:val="none" w:sz="0" w:space="0" w:color="auto"/>
                <w:left w:val="none" w:sz="0" w:space="0" w:color="auto"/>
                <w:bottom w:val="none" w:sz="0" w:space="0" w:color="auto"/>
                <w:right w:val="none" w:sz="0" w:space="0" w:color="auto"/>
              </w:divBdr>
            </w:div>
            <w:div w:id="2077780375">
              <w:marLeft w:val="0"/>
              <w:marRight w:val="0"/>
              <w:marTop w:val="0"/>
              <w:marBottom w:val="0"/>
              <w:divBdr>
                <w:top w:val="none" w:sz="0" w:space="0" w:color="auto"/>
                <w:left w:val="none" w:sz="0" w:space="0" w:color="auto"/>
                <w:bottom w:val="none" w:sz="0" w:space="0" w:color="auto"/>
                <w:right w:val="none" w:sz="0" w:space="0" w:color="auto"/>
              </w:divBdr>
            </w:div>
          </w:divsChild>
        </w:div>
        <w:div w:id="800225596">
          <w:marLeft w:val="0"/>
          <w:marRight w:val="0"/>
          <w:marTop w:val="0"/>
          <w:marBottom w:val="0"/>
          <w:divBdr>
            <w:top w:val="none" w:sz="0" w:space="0" w:color="auto"/>
            <w:left w:val="none" w:sz="0" w:space="0" w:color="auto"/>
            <w:bottom w:val="none" w:sz="0" w:space="0" w:color="auto"/>
            <w:right w:val="none" w:sz="0" w:space="0" w:color="auto"/>
          </w:divBdr>
          <w:divsChild>
            <w:div w:id="2068188666">
              <w:marLeft w:val="0"/>
              <w:marRight w:val="0"/>
              <w:marTop w:val="120"/>
              <w:marBottom w:val="0"/>
              <w:divBdr>
                <w:top w:val="none" w:sz="0" w:space="0" w:color="auto"/>
                <w:left w:val="none" w:sz="0" w:space="0" w:color="auto"/>
                <w:bottom w:val="none" w:sz="0" w:space="0" w:color="auto"/>
                <w:right w:val="none" w:sz="0" w:space="0" w:color="auto"/>
              </w:divBdr>
            </w:div>
            <w:div w:id="82000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201929">
      <w:bodyDiv w:val="1"/>
      <w:marLeft w:val="0"/>
      <w:marRight w:val="0"/>
      <w:marTop w:val="0"/>
      <w:marBottom w:val="0"/>
      <w:divBdr>
        <w:top w:val="none" w:sz="0" w:space="0" w:color="auto"/>
        <w:left w:val="none" w:sz="0" w:space="0" w:color="auto"/>
        <w:bottom w:val="none" w:sz="0" w:space="0" w:color="auto"/>
        <w:right w:val="none" w:sz="0" w:space="0" w:color="auto"/>
      </w:divBdr>
      <w:divsChild>
        <w:div w:id="37826806">
          <w:marLeft w:val="0"/>
          <w:marRight w:val="0"/>
          <w:marTop w:val="0"/>
          <w:marBottom w:val="0"/>
          <w:divBdr>
            <w:top w:val="none" w:sz="0" w:space="0" w:color="auto"/>
            <w:left w:val="none" w:sz="0" w:space="0" w:color="auto"/>
            <w:bottom w:val="none" w:sz="0" w:space="0" w:color="auto"/>
            <w:right w:val="none" w:sz="0" w:space="0" w:color="auto"/>
          </w:divBdr>
          <w:divsChild>
            <w:div w:id="113184872">
              <w:marLeft w:val="0"/>
              <w:marRight w:val="0"/>
              <w:marTop w:val="0"/>
              <w:marBottom w:val="0"/>
              <w:divBdr>
                <w:top w:val="none" w:sz="0" w:space="0" w:color="auto"/>
                <w:left w:val="none" w:sz="0" w:space="0" w:color="auto"/>
                <w:bottom w:val="none" w:sz="0" w:space="0" w:color="auto"/>
                <w:right w:val="none" w:sz="0" w:space="0" w:color="auto"/>
              </w:divBdr>
            </w:div>
          </w:divsChild>
        </w:div>
        <w:div w:id="1724594575">
          <w:marLeft w:val="0"/>
          <w:marRight w:val="0"/>
          <w:marTop w:val="0"/>
          <w:marBottom w:val="0"/>
          <w:divBdr>
            <w:top w:val="none" w:sz="0" w:space="0" w:color="auto"/>
            <w:left w:val="none" w:sz="0" w:space="0" w:color="auto"/>
            <w:bottom w:val="none" w:sz="0" w:space="0" w:color="auto"/>
            <w:right w:val="none" w:sz="0" w:space="0" w:color="auto"/>
          </w:divBdr>
          <w:divsChild>
            <w:div w:id="1582837559">
              <w:marLeft w:val="0"/>
              <w:marRight w:val="0"/>
              <w:marTop w:val="120"/>
              <w:marBottom w:val="0"/>
              <w:divBdr>
                <w:top w:val="none" w:sz="0" w:space="0" w:color="auto"/>
                <w:left w:val="none" w:sz="0" w:space="0" w:color="auto"/>
                <w:bottom w:val="none" w:sz="0" w:space="0" w:color="auto"/>
                <w:right w:val="none" w:sz="0" w:space="0" w:color="auto"/>
              </w:divBdr>
            </w:div>
            <w:div w:id="1649244334">
              <w:marLeft w:val="0"/>
              <w:marRight w:val="0"/>
              <w:marTop w:val="0"/>
              <w:marBottom w:val="0"/>
              <w:divBdr>
                <w:top w:val="none" w:sz="0" w:space="0" w:color="auto"/>
                <w:left w:val="none" w:sz="0" w:space="0" w:color="auto"/>
                <w:bottom w:val="none" w:sz="0" w:space="0" w:color="auto"/>
                <w:right w:val="none" w:sz="0" w:space="0" w:color="auto"/>
              </w:divBdr>
            </w:div>
          </w:divsChild>
        </w:div>
        <w:div w:id="48307035">
          <w:marLeft w:val="0"/>
          <w:marRight w:val="0"/>
          <w:marTop w:val="0"/>
          <w:marBottom w:val="0"/>
          <w:divBdr>
            <w:top w:val="none" w:sz="0" w:space="0" w:color="auto"/>
            <w:left w:val="none" w:sz="0" w:space="0" w:color="auto"/>
            <w:bottom w:val="none" w:sz="0" w:space="0" w:color="auto"/>
            <w:right w:val="none" w:sz="0" w:space="0" w:color="auto"/>
          </w:divBdr>
          <w:divsChild>
            <w:div w:id="1037243330">
              <w:marLeft w:val="0"/>
              <w:marRight w:val="0"/>
              <w:marTop w:val="120"/>
              <w:marBottom w:val="0"/>
              <w:divBdr>
                <w:top w:val="none" w:sz="0" w:space="0" w:color="auto"/>
                <w:left w:val="none" w:sz="0" w:space="0" w:color="auto"/>
                <w:bottom w:val="none" w:sz="0" w:space="0" w:color="auto"/>
                <w:right w:val="none" w:sz="0" w:space="0" w:color="auto"/>
              </w:divBdr>
            </w:div>
            <w:div w:id="151725542">
              <w:marLeft w:val="0"/>
              <w:marRight w:val="0"/>
              <w:marTop w:val="0"/>
              <w:marBottom w:val="0"/>
              <w:divBdr>
                <w:top w:val="none" w:sz="0" w:space="0" w:color="auto"/>
                <w:left w:val="none" w:sz="0" w:space="0" w:color="auto"/>
                <w:bottom w:val="none" w:sz="0" w:space="0" w:color="auto"/>
                <w:right w:val="none" w:sz="0" w:space="0" w:color="auto"/>
              </w:divBdr>
            </w:div>
          </w:divsChild>
        </w:div>
        <w:div w:id="1020817273">
          <w:marLeft w:val="0"/>
          <w:marRight w:val="0"/>
          <w:marTop w:val="0"/>
          <w:marBottom w:val="0"/>
          <w:divBdr>
            <w:top w:val="none" w:sz="0" w:space="0" w:color="auto"/>
            <w:left w:val="none" w:sz="0" w:space="0" w:color="auto"/>
            <w:bottom w:val="none" w:sz="0" w:space="0" w:color="auto"/>
            <w:right w:val="none" w:sz="0" w:space="0" w:color="auto"/>
          </w:divBdr>
          <w:divsChild>
            <w:div w:id="295644173">
              <w:marLeft w:val="0"/>
              <w:marRight w:val="0"/>
              <w:marTop w:val="120"/>
              <w:marBottom w:val="0"/>
              <w:divBdr>
                <w:top w:val="none" w:sz="0" w:space="0" w:color="auto"/>
                <w:left w:val="none" w:sz="0" w:space="0" w:color="auto"/>
                <w:bottom w:val="none" w:sz="0" w:space="0" w:color="auto"/>
                <w:right w:val="none" w:sz="0" w:space="0" w:color="auto"/>
              </w:divBdr>
            </w:div>
            <w:div w:id="37153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321523">
      <w:bodyDiv w:val="1"/>
      <w:marLeft w:val="0"/>
      <w:marRight w:val="0"/>
      <w:marTop w:val="0"/>
      <w:marBottom w:val="0"/>
      <w:divBdr>
        <w:top w:val="none" w:sz="0" w:space="0" w:color="auto"/>
        <w:left w:val="none" w:sz="0" w:space="0" w:color="auto"/>
        <w:bottom w:val="none" w:sz="0" w:space="0" w:color="auto"/>
        <w:right w:val="none" w:sz="0" w:space="0" w:color="auto"/>
      </w:divBdr>
    </w:div>
    <w:div w:id="474495164">
      <w:bodyDiv w:val="1"/>
      <w:marLeft w:val="0"/>
      <w:marRight w:val="0"/>
      <w:marTop w:val="0"/>
      <w:marBottom w:val="0"/>
      <w:divBdr>
        <w:top w:val="none" w:sz="0" w:space="0" w:color="auto"/>
        <w:left w:val="none" w:sz="0" w:space="0" w:color="auto"/>
        <w:bottom w:val="none" w:sz="0" w:space="0" w:color="auto"/>
        <w:right w:val="none" w:sz="0" w:space="0" w:color="auto"/>
      </w:divBdr>
      <w:divsChild>
        <w:div w:id="106705331">
          <w:marLeft w:val="0"/>
          <w:marRight w:val="0"/>
          <w:marTop w:val="0"/>
          <w:marBottom w:val="0"/>
          <w:divBdr>
            <w:top w:val="none" w:sz="0" w:space="0" w:color="auto"/>
            <w:left w:val="none" w:sz="0" w:space="0" w:color="auto"/>
            <w:bottom w:val="none" w:sz="0" w:space="0" w:color="auto"/>
            <w:right w:val="none" w:sz="0" w:space="0" w:color="auto"/>
          </w:divBdr>
          <w:divsChild>
            <w:div w:id="1250850794">
              <w:marLeft w:val="0"/>
              <w:marRight w:val="0"/>
              <w:marTop w:val="0"/>
              <w:marBottom w:val="0"/>
              <w:divBdr>
                <w:top w:val="none" w:sz="0" w:space="0" w:color="auto"/>
                <w:left w:val="none" w:sz="0" w:space="0" w:color="auto"/>
                <w:bottom w:val="none" w:sz="0" w:space="0" w:color="auto"/>
                <w:right w:val="none" w:sz="0" w:space="0" w:color="auto"/>
              </w:divBdr>
            </w:div>
          </w:divsChild>
        </w:div>
        <w:div w:id="1440028190">
          <w:marLeft w:val="0"/>
          <w:marRight w:val="0"/>
          <w:marTop w:val="0"/>
          <w:marBottom w:val="0"/>
          <w:divBdr>
            <w:top w:val="none" w:sz="0" w:space="0" w:color="auto"/>
            <w:left w:val="none" w:sz="0" w:space="0" w:color="auto"/>
            <w:bottom w:val="none" w:sz="0" w:space="0" w:color="auto"/>
            <w:right w:val="none" w:sz="0" w:space="0" w:color="auto"/>
          </w:divBdr>
          <w:divsChild>
            <w:div w:id="1482572767">
              <w:marLeft w:val="0"/>
              <w:marRight w:val="0"/>
              <w:marTop w:val="0"/>
              <w:marBottom w:val="0"/>
              <w:divBdr>
                <w:top w:val="none" w:sz="0" w:space="0" w:color="auto"/>
                <w:left w:val="none" w:sz="0" w:space="0" w:color="auto"/>
                <w:bottom w:val="none" w:sz="0" w:space="0" w:color="auto"/>
                <w:right w:val="none" w:sz="0" w:space="0" w:color="auto"/>
              </w:divBdr>
              <w:divsChild>
                <w:div w:id="874076598">
                  <w:marLeft w:val="0"/>
                  <w:marRight w:val="0"/>
                  <w:marTop w:val="0"/>
                  <w:marBottom w:val="0"/>
                  <w:divBdr>
                    <w:top w:val="none" w:sz="0" w:space="0" w:color="auto"/>
                    <w:left w:val="none" w:sz="0" w:space="0" w:color="auto"/>
                    <w:bottom w:val="none" w:sz="0" w:space="0" w:color="auto"/>
                    <w:right w:val="none" w:sz="0" w:space="0" w:color="auto"/>
                  </w:divBdr>
                  <w:divsChild>
                    <w:div w:id="1108548521">
                      <w:marLeft w:val="0"/>
                      <w:marRight w:val="0"/>
                      <w:marTop w:val="120"/>
                      <w:marBottom w:val="0"/>
                      <w:divBdr>
                        <w:top w:val="none" w:sz="0" w:space="0" w:color="auto"/>
                        <w:left w:val="none" w:sz="0" w:space="0" w:color="auto"/>
                        <w:bottom w:val="none" w:sz="0" w:space="0" w:color="auto"/>
                        <w:right w:val="none" w:sz="0" w:space="0" w:color="auto"/>
                      </w:divBdr>
                    </w:div>
                    <w:div w:id="660085720">
                      <w:marLeft w:val="0"/>
                      <w:marRight w:val="0"/>
                      <w:marTop w:val="0"/>
                      <w:marBottom w:val="0"/>
                      <w:divBdr>
                        <w:top w:val="none" w:sz="0" w:space="0" w:color="auto"/>
                        <w:left w:val="none" w:sz="0" w:space="0" w:color="auto"/>
                        <w:bottom w:val="none" w:sz="0" w:space="0" w:color="auto"/>
                        <w:right w:val="none" w:sz="0" w:space="0" w:color="auto"/>
                      </w:divBdr>
                    </w:div>
                  </w:divsChild>
                </w:div>
                <w:div w:id="67725769">
                  <w:marLeft w:val="0"/>
                  <w:marRight w:val="0"/>
                  <w:marTop w:val="0"/>
                  <w:marBottom w:val="0"/>
                  <w:divBdr>
                    <w:top w:val="none" w:sz="0" w:space="0" w:color="auto"/>
                    <w:left w:val="none" w:sz="0" w:space="0" w:color="auto"/>
                    <w:bottom w:val="none" w:sz="0" w:space="0" w:color="auto"/>
                    <w:right w:val="none" w:sz="0" w:space="0" w:color="auto"/>
                  </w:divBdr>
                  <w:divsChild>
                    <w:div w:id="1230920573">
                      <w:marLeft w:val="0"/>
                      <w:marRight w:val="0"/>
                      <w:marTop w:val="120"/>
                      <w:marBottom w:val="0"/>
                      <w:divBdr>
                        <w:top w:val="none" w:sz="0" w:space="0" w:color="auto"/>
                        <w:left w:val="none" w:sz="0" w:space="0" w:color="auto"/>
                        <w:bottom w:val="none" w:sz="0" w:space="0" w:color="auto"/>
                        <w:right w:val="none" w:sz="0" w:space="0" w:color="auto"/>
                      </w:divBdr>
                    </w:div>
                    <w:div w:id="1729961806">
                      <w:marLeft w:val="0"/>
                      <w:marRight w:val="0"/>
                      <w:marTop w:val="0"/>
                      <w:marBottom w:val="0"/>
                      <w:divBdr>
                        <w:top w:val="none" w:sz="0" w:space="0" w:color="auto"/>
                        <w:left w:val="none" w:sz="0" w:space="0" w:color="auto"/>
                        <w:bottom w:val="none" w:sz="0" w:space="0" w:color="auto"/>
                        <w:right w:val="none" w:sz="0" w:space="0" w:color="auto"/>
                      </w:divBdr>
                    </w:div>
                  </w:divsChild>
                </w:div>
                <w:div w:id="143787044">
                  <w:marLeft w:val="0"/>
                  <w:marRight w:val="0"/>
                  <w:marTop w:val="0"/>
                  <w:marBottom w:val="0"/>
                  <w:divBdr>
                    <w:top w:val="none" w:sz="0" w:space="0" w:color="auto"/>
                    <w:left w:val="none" w:sz="0" w:space="0" w:color="auto"/>
                    <w:bottom w:val="none" w:sz="0" w:space="0" w:color="auto"/>
                    <w:right w:val="none" w:sz="0" w:space="0" w:color="auto"/>
                  </w:divBdr>
                  <w:divsChild>
                    <w:div w:id="1794136693">
                      <w:marLeft w:val="0"/>
                      <w:marRight w:val="0"/>
                      <w:marTop w:val="120"/>
                      <w:marBottom w:val="0"/>
                      <w:divBdr>
                        <w:top w:val="none" w:sz="0" w:space="0" w:color="auto"/>
                        <w:left w:val="none" w:sz="0" w:space="0" w:color="auto"/>
                        <w:bottom w:val="none" w:sz="0" w:space="0" w:color="auto"/>
                        <w:right w:val="none" w:sz="0" w:space="0" w:color="auto"/>
                      </w:divBdr>
                    </w:div>
                    <w:div w:id="176024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976689">
          <w:marLeft w:val="0"/>
          <w:marRight w:val="0"/>
          <w:marTop w:val="0"/>
          <w:marBottom w:val="0"/>
          <w:divBdr>
            <w:top w:val="none" w:sz="0" w:space="0" w:color="auto"/>
            <w:left w:val="none" w:sz="0" w:space="0" w:color="auto"/>
            <w:bottom w:val="none" w:sz="0" w:space="0" w:color="auto"/>
            <w:right w:val="none" w:sz="0" w:space="0" w:color="auto"/>
          </w:divBdr>
          <w:divsChild>
            <w:div w:id="292179573">
              <w:marLeft w:val="0"/>
              <w:marRight w:val="0"/>
              <w:marTop w:val="0"/>
              <w:marBottom w:val="0"/>
              <w:divBdr>
                <w:top w:val="none" w:sz="0" w:space="0" w:color="auto"/>
                <w:left w:val="none" w:sz="0" w:space="0" w:color="auto"/>
                <w:bottom w:val="none" w:sz="0" w:space="0" w:color="auto"/>
                <w:right w:val="none" w:sz="0" w:space="0" w:color="auto"/>
              </w:divBdr>
            </w:div>
          </w:divsChild>
        </w:div>
        <w:div w:id="929195449">
          <w:marLeft w:val="0"/>
          <w:marRight w:val="0"/>
          <w:marTop w:val="0"/>
          <w:marBottom w:val="0"/>
          <w:divBdr>
            <w:top w:val="none" w:sz="0" w:space="0" w:color="auto"/>
            <w:left w:val="none" w:sz="0" w:space="0" w:color="auto"/>
            <w:bottom w:val="none" w:sz="0" w:space="0" w:color="auto"/>
            <w:right w:val="none" w:sz="0" w:space="0" w:color="auto"/>
          </w:divBdr>
          <w:divsChild>
            <w:div w:id="72668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97559">
      <w:bodyDiv w:val="1"/>
      <w:marLeft w:val="0"/>
      <w:marRight w:val="0"/>
      <w:marTop w:val="0"/>
      <w:marBottom w:val="0"/>
      <w:divBdr>
        <w:top w:val="none" w:sz="0" w:space="0" w:color="auto"/>
        <w:left w:val="none" w:sz="0" w:space="0" w:color="auto"/>
        <w:bottom w:val="none" w:sz="0" w:space="0" w:color="auto"/>
        <w:right w:val="none" w:sz="0" w:space="0" w:color="auto"/>
      </w:divBdr>
      <w:divsChild>
        <w:div w:id="446892353">
          <w:marLeft w:val="0"/>
          <w:marRight w:val="0"/>
          <w:marTop w:val="0"/>
          <w:marBottom w:val="0"/>
          <w:divBdr>
            <w:top w:val="none" w:sz="0" w:space="0" w:color="auto"/>
            <w:left w:val="none" w:sz="0" w:space="0" w:color="auto"/>
            <w:bottom w:val="none" w:sz="0" w:space="0" w:color="auto"/>
            <w:right w:val="none" w:sz="0" w:space="0" w:color="auto"/>
          </w:divBdr>
          <w:divsChild>
            <w:div w:id="149718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461804">
      <w:bodyDiv w:val="1"/>
      <w:marLeft w:val="0"/>
      <w:marRight w:val="0"/>
      <w:marTop w:val="0"/>
      <w:marBottom w:val="0"/>
      <w:divBdr>
        <w:top w:val="none" w:sz="0" w:space="0" w:color="auto"/>
        <w:left w:val="none" w:sz="0" w:space="0" w:color="auto"/>
        <w:bottom w:val="none" w:sz="0" w:space="0" w:color="auto"/>
        <w:right w:val="none" w:sz="0" w:space="0" w:color="auto"/>
      </w:divBdr>
    </w:div>
    <w:div w:id="504519507">
      <w:bodyDiv w:val="1"/>
      <w:marLeft w:val="0"/>
      <w:marRight w:val="0"/>
      <w:marTop w:val="0"/>
      <w:marBottom w:val="0"/>
      <w:divBdr>
        <w:top w:val="none" w:sz="0" w:space="0" w:color="auto"/>
        <w:left w:val="none" w:sz="0" w:space="0" w:color="auto"/>
        <w:bottom w:val="none" w:sz="0" w:space="0" w:color="auto"/>
        <w:right w:val="none" w:sz="0" w:space="0" w:color="auto"/>
      </w:divBdr>
      <w:divsChild>
        <w:div w:id="640884882">
          <w:marLeft w:val="0"/>
          <w:marRight w:val="0"/>
          <w:marTop w:val="0"/>
          <w:marBottom w:val="0"/>
          <w:divBdr>
            <w:top w:val="none" w:sz="0" w:space="0" w:color="auto"/>
            <w:left w:val="none" w:sz="0" w:space="0" w:color="auto"/>
            <w:bottom w:val="none" w:sz="0" w:space="0" w:color="auto"/>
            <w:right w:val="none" w:sz="0" w:space="0" w:color="auto"/>
          </w:divBdr>
        </w:div>
        <w:div w:id="185219567">
          <w:marLeft w:val="0"/>
          <w:marRight w:val="0"/>
          <w:marTop w:val="0"/>
          <w:marBottom w:val="0"/>
          <w:divBdr>
            <w:top w:val="none" w:sz="0" w:space="0" w:color="auto"/>
            <w:left w:val="none" w:sz="0" w:space="0" w:color="auto"/>
            <w:bottom w:val="none" w:sz="0" w:space="0" w:color="auto"/>
            <w:right w:val="none" w:sz="0" w:space="0" w:color="auto"/>
          </w:divBdr>
        </w:div>
        <w:div w:id="555703143">
          <w:marLeft w:val="0"/>
          <w:marRight w:val="0"/>
          <w:marTop w:val="0"/>
          <w:marBottom w:val="0"/>
          <w:divBdr>
            <w:top w:val="none" w:sz="0" w:space="0" w:color="auto"/>
            <w:left w:val="none" w:sz="0" w:space="0" w:color="auto"/>
            <w:bottom w:val="none" w:sz="0" w:space="0" w:color="auto"/>
            <w:right w:val="none" w:sz="0" w:space="0" w:color="auto"/>
          </w:divBdr>
        </w:div>
        <w:div w:id="521478440">
          <w:marLeft w:val="0"/>
          <w:marRight w:val="0"/>
          <w:marTop w:val="0"/>
          <w:marBottom w:val="0"/>
          <w:divBdr>
            <w:top w:val="none" w:sz="0" w:space="0" w:color="auto"/>
            <w:left w:val="none" w:sz="0" w:space="0" w:color="auto"/>
            <w:bottom w:val="none" w:sz="0" w:space="0" w:color="auto"/>
            <w:right w:val="none" w:sz="0" w:space="0" w:color="auto"/>
          </w:divBdr>
        </w:div>
        <w:div w:id="2144274280">
          <w:marLeft w:val="0"/>
          <w:marRight w:val="0"/>
          <w:marTop w:val="0"/>
          <w:marBottom w:val="0"/>
          <w:divBdr>
            <w:top w:val="none" w:sz="0" w:space="0" w:color="auto"/>
            <w:left w:val="none" w:sz="0" w:space="0" w:color="auto"/>
            <w:bottom w:val="none" w:sz="0" w:space="0" w:color="auto"/>
            <w:right w:val="none" w:sz="0" w:space="0" w:color="auto"/>
          </w:divBdr>
        </w:div>
      </w:divsChild>
    </w:div>
    <w:div w:id="505092328">
      <w:bodyDiv w:val="1"/>
      <w:marLeft w:val="0"/>
      <w:marRight w:val="0"/>
      <w:marTop w:val="0"/>
      <w:marBottom w:val="0"/>
      <w:divBdr>
        <w:top w:val="none" w:sz="0" w:space="0" w:color="auto"/>
        <w:left w:val="none" w:sz="0" w:space="0" w:color="auto"/>
        <w:bottom w:val="none" w:sz="0" w:space="0" w:color="auto"/>
        <w:right w:val="none" w:sz="0" w:space="0" w:color="auto"/>
      </w:divBdr>
      <w:divsChild>
        <w:div w:id="1647661610">
          <w:marLeft w:val="0"/>
          <w:marRight w:val="0"/>
          <w:marTop w:val="0"/>
          <w:marBottom w:val="0"/>
          <w:divBdr>
            <w:top w:val="none" w:sz="0" w:space="0" w:color="auto"/>
            <w:left w:val="none" w:sz="0" w:space="0" w:color="auto"/>
            <w:bottom w:val="none" w:sz="0" w:space="0" w:color="auto"/>
            <w:right w:val="none" w:sz="0" w:space="0" w:color="auto"/>
          </w:divBdr>
          <w:divsChild>
            <w:div w:id="98839832">
              <w:marLeft w:val="0"/>
              <w:marRight w:val="0"/>
              <w:marTop w:val="120"/>
              <w:marBottom w:val="0"/>
              <w:divBdr>
                <w:top w:val="none" w:sz="0" w:space="0" w:color="auto"/>
                <w:left w:val="none" w:sz="0" w:space="0" w:color="auto"/>
                <w:bottom w:val="none" w:sz="0" w:space="0" w:color="auto"/>
                <w:right w:val="none" w:sz="0" w:space="0" w:color="auto"/>
              </w:divBdr>
            </w:div>
            <w:div w:id="295332794">
              <w:marLeft w:val="0"/>
              <w:marRight w:val="0"/>
              <w:marTop w:val="0"/>
              <w:marBottom w:val="0"/>
              <w:divBdr>
                <w:top w:val="none" w:sz="0" w:space="0" w:color="auto"/>
                <w:left w:val="none" w:sz="0" w:space="0" w:color="auto"/>
                <w:bottom w:val="none" w:sz="0" w:space="0" w:color="auto"/>
                <w:right w:val="none" w:sz="0" w:space="0" w:color="auto"/>
              </w:divBdr>
            </w:div>
          </w:divsChild>
        </w:div>
        <w:div w:id="1791897861">
          <w:marLeft w:val="0"/>
          <w:marRight w:val="0"/>
          <w:marTop w:val="0"/>
          <w:marBottom w:val="0"/>
          <w:divBdr>
            <w:top w:val="none" w:sz="0" w:space="0" w:color="auto"/>
            <w:left w:val="none" w:sz="0" w:space="0" w:color="auto"/>
            <w:bottom w:val="none" w:sz="0" w:space="0" w:color="auto"/>
            <w:right w:val="none" w:sz="0" w:space="0" w:color="auto"/>
          </w:divBdr>
          <w:divsChild>
            <w:div w:id="828136266">
              <w:marLeft w:val="0"/>
              <w:marRight w:val="0"/>
              <w:marTop w:val="120"/>
              <w:marBottom w:val="0"/>
              <w:divBdr>
                <w:top w:val="none" w:sz="0" w:space="0" w:color="auto"/>
                <w:left w:val="none" w:sz="0" w:space="0" w:color="auto"/>
                <w:bottom w:val="none" w:sz="0" w:space="0" w:color="auto"/>
                <w:right w:val="none" w:sz="0" w:space="0" w:color="auto"/>
              </w:divBdr>
            </w:div>
            <w:div w:id="113036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217094">
      <w:bodyDiv w:val="1"/>
      <w:marLeft w:val="0"/>
      <w:marRight w:val="0"/>
      <w:marTop w:val="0"/>
      <w:marBottom w:val="0"/>
      <w:divBdr>
        <w:top w:val="none" w:sz="0" w:space="0" w:color="auto"/>
        <w:left w:val="none" w:sz="0" w:space="0" w:color="auto"/>
        <w:bottom w:val="none" w:sz="0" w:space="0" w:color="auto"/>
        <w:right w:val="none" w:sz="0" w:space="0" w:color="auto"/>
      </w:divBdr>
      <w:divsChild>
        <w:div w:id="926159697">
          <w:marLeft w:val="0"/>
          <w:marRight w:val="0"/>
          <w:marTop w:val="0"/>
          <w:marBottom w:val="0"/>
          <w:divBdr>
            <w:top w:val="none" w:sz="0" w:space="0" w:color="auto"/>
            <w:left w:val="none" w:sz="0" w:space="0" w:color="auto"/>
            <w:bottom w:val="none" w:sz="0" w:space="0" w:color="auto"/>
            <w:right w:val="none" w:sz="0" w:space="0" w:color="auto"/>
          </w:divBdr>
        </w:div>
      </w:divsChild>
    </w:div>
    <w:div w:id="513762378">
      <w:bodyDiv w:val="1"/>
      <w:marLeft w:val="0"/>
      <w:marRight w:val="0"/>
      <w:marTop w:val="0"/>
      <w:marBottom w:val="0"/>
      <w:divBdr>
        <w:top w:val="none" w:sz="0" w:space="0" w:color="auto"/>
        <w:left w:val="none" w:sz="0" w:space="0" w:color="auto"/>
        <w:bottom w:val="none" w:sz="0" w:space="0" w:color="auto"/>
        <w:right w:val="none" w:sz="0" w:space="0" w:color="auto"/>
      </w:divBdr>
      <w:divsChild>
        <w:div w:id="462969761">
          <w:marLeft w:val="0"/>
          <w:marRight w:val="0"/>
          <w:marTop w:val="0"/>
          <w:marBottom w:val="0"/>
          <w:divBdr>
            <w:top w:val="none" w:sz="0" w:space="0" w:color="auto"/>
            <w:left w:val="none" w:sz="0" w:space="0" w:color="auto"/>
            <w:bottom w:val="none" w:sz="0" w:space="0" w:color="auto"/>
            <w:right w:val="none" w:sz="0" w:space="0" w:color="auto"/>
          </w:divBdr>
          <w:divsChild>
            <w:div w:id="118924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480983">
      <w:bodyDiv w:val="1"/>
      <w:marLeft w:val="0"/>
      <w:marRight w:val="0"/>
      <w:marTop w:val="0"/>
      <w:marBottom w:val="0"/>
      <w:divBdr>
        <w:top w:val="none" w:sz="0" w:space="0" w:color="auto"/>
        <w:left w:val="none" w:sz="0" w:space="0" w:color="auto"/>
        <w:bottom w:val="none" w:sz="0" w:space="0" w:color="auto"/>
        <w:right w:val="none" w:sz="0" w:space="0" w:color="auto"/>
      </w:divBdr>
      <w:divsChild>
        <w:div w:id="1946570267">
          <w:marLeft w:val="0"/>
          <w:marRight w:val="0"/>
          <w:marTop w:val="0"/>
          <w:marBottom w:val="0"/>
          <w:divBdr>
            <w:top w:val="none" w:sz="0" w:space="0" w:color="auto"/>
            <w:left w:val="none" w:sz="0" w:space="0" w:color="auto"/>
            <w:bottom w:val="none" w:sz="0" w:space="0" w:color="auto"/>
            <w:right w:val="none" w:sz="0" w:space="0" w:color="auto"/>
          </w:divBdr>
        </w:div>
        <w:div w:id="1902515489">
          <w:marLeft w:val="0"/>
          <w:marRight w:val="0"/>
          <w:marTop w:val="0"/>
          <w:marBottom w:val="0"/>
          <w:divBdr>
            <w:top w:val="none" w:sz="0" w:space="0" w:color="auto"/>
            <w:left w:val="none" w:sz="0" w:space="0" w:color="auto"/>
            <w:bottom w:val="none" w:sz="0" w:space="0" w:color="auto"/>
            <w:right w:val="none" w:sz="0" w:space="0" w:color="auto"/>
          </w:divBdr>
        </w:div>
        <w:div w:id="490827688">
          <w:marLeft w:val="0"/>
          <w:marRight w:val="0"/>
          <w:marTop w:val="0"/>
          <w:marBottom w:val="0"/>
          <w:divBdr>
            <w:top w:val="none" w:sz="0" w:space="0" w:color="auto"/>
            <w:left w:val="none" w:sz="0" w:space="0" w:color="auto"/>
            <w:bottom w:val="none" w:sz="0" w:space="0" w:color="auto"/>
            <w:right w:val="none" w:sz="0" w:space="0" w:color="auto"/>
          </w:divBdr>
        </w:div>
        <w:div w:id="830946928">
          <w:marLeft w:val="0"/>
          <w:marRight w:val="0"/>
          <w:marTop w:val="0"/>
          <w:marBottom w:val="0"/>
          <w:divBdr>
            <w:top w:val="none" w:sz="0" w:space="0" w:color="auto"/>
            <w:left w:val="none" w:sz="0" w:space="0" w:color="auto"/>
            <w:bottom w:val="none" w:sz="0" w:space="0" w:color="auto"/>
            <w:right w:val="none" w:sz="0" w:space="0" w:color="auto"/>
          </w:divBdr>
        </w:div>
        <w:div w:id="1493259686">
          <w:marLeft w:val="0"/>
          <w:marRight w:val="0"/>
          <w:marTop w:val="0"/>
          <w:marBottom w:val="0"/>
          <w:divBdr>
            <w:top w:val="none" w:sz="0" w:space="0" w:color="auto"/>
            <w:left w:val="none" w:sz="0" w:space="0" w:color="auto"/>
            <w:bottom w:val="none" w:sz="0" w:space="0" w:color="auto"/>
            <w:right w:val="none" w:sz="0" w:space="0" w:color="auto"/>
          </w:divBdr>
        </w:div>
        <w:div w:id="910700639">
          <w:marLeft w:val="0"/>
          <w:marRight w:val="0"/>
          <w:marTop w:val="0"/>
          <w:marBottom w:val="0"/>
          <w:divBdr>
            <w:top w:val="none" w:sz="0" w:space="0" w:color="auto"/>
            <w:left w:val="none" w:sz="0" w:space="0" w:color="auto"/>
            <w:bottom w:val="none" w:sz="0" w:space="0" w:color="auto"/>
            <w:right w:val="none" w:sz="0" w:space="0" w:color="auto"/>
          </w:divBdr>
        </w:div>
        <w:div w:id="1115710825">
          <w:marLeft w:val="0"/>
          <w:marRight w:val="0"/>
          <w:marTop w:val="0"/>
          <w:marBottom w:val="0"/>
          <w:divBdr>
            <w:top w:val="none" w:sz="0" w:space="0" w:color="auto"/>
            <w:left w:val="none" w:sz="0" w:space="0" w:color="auto"/>
            <w:bottom w:val="none" w:sz="0" w:space="0" w:color="auto"/>
            <w:right w:val="none" w:sz="0" w:space="0" w:color="auto"/>
          </w:divBdr>
        </w:div>
      </w:divsChild>
    </w:div>
    <w:div w:id="578054666">
      <w:bodyDiv w:val="1"/>
      <w:marLeft w:val="0"/>
      <w:marRight w:val="0"/>
      <w:marTop w:val="0"/>
      <w:marBottom w:val="0"/>
      <w:divBdr>
        <w:top w:val="none" w:sz="0" w:space="0" w:color="auto"/>
        <w:left w:val="none" w:sz="0" w:space="0" w:color="auto"/>
        <w:bottom w:val="none" w:sz="0" w:space="0" w:color="auto"/>
        <w:right w:val="none" w:sz="0" w:space="0" w:color="auto"/>
      </w:divBdr>
      <w:divsChild>
        <w:div w:id="1804039143">
          <w:marLeft w:val="0"/>
          <w:marRight w:val="0"/>
          <w:marTop w:val="0"/>
          <w:marBottom w:val="0"/>
          <w:divBdr>
            <w:top w:val="none" w:sz="0" w:space="0" w:color="auto"/>
            <w:left w:val="none" w:sz="0" w:space="0" w:color="auto"/>
            <w:bottom w:val="none" w:sz="0" w:space="0" w:color="auto"/>
            <w:right w:val="none" w:sz="0" w:space="0" w:color="auto"/>
          </w:divBdr>
          <w:divsChild>
            <w:div w:id="616255592">
              <w:marLeft w:val="0"/>
              <w:marRight w:val="0"/>
              <w:marTop w:val="120"/>
              <w:marBottom w:val="0"/>
              <w:divBdr>
                <w:top w:val="none" w:sz="0" w:space="0" w:color="auto"/>
                <w:left w:val="none" w:sz="0" w:space="0" w:color="auto"/>
                <w:bottom w:val="none" w:sz="0" w:space="0" w:color="auto"/>
                <w:right w:val="none" w:sz="0" w:space="0" w:color="auto"/>
              </w:divBdr>
            </w:div>
            <w:div w:id="1337462568">
              <w:marLeft w:val="0"/>
              <w:marRight w:val="0"/>
              <w:marTop w:val="0"/>
              <w:marBottom w:val="0"/>
              <w:divBdr>
                <w:top w:val="none" w:sz="0" w:space="0" w:color="auto"/>
                <w:left w:val="none" w:sz="0" w:space="0" w:color="auto"/>
                <w:bottom w:val="none" w:sz="0" w:space="0" w:color="auto"/>
                <w:right w:val="none" w:sz="0" w:space="0" w:color="auto"/>
              </w:divBdr>
            </w:div>
          </w:divsChild>
        </w:div>
        <w:div w:id="1063941262">
          <w:marLeft w:val="0"/>
          <w:marRight w:val="0"/>
          <w:marTop w:val="0"/>
          <w:marBottom w:val="0"/>
          <w:divBdr>
            <w:top w:val="none" w:sz="0" w:space="0" w:color="auto"/>
            <w:left w:val="none" w:sz="0" w:space="0" w:color="auto"/>
            <w:bottom w:val="none" w:sz="0" w:space="0" w:color="auto"/>
            <w:right w:val="none" w:sz="0" w:space="0" w:color="auto"/>
          </w:divBdr>
          <w:divsChild>
            <w:div w:id="182548577">
              <w:marLeft w:val="0"/>
              <w:marRight w:val="0"/>
              <w:marTop w:val="120"/>
              <w:marBottom w:val="0"/>
              <w:divBdr>
                <w:top w:val="none" w:sz="0" w:space="0" w:color="auto"/>
                <w:left w:val="none" w:sz="0" w:space="0" w:color="auto"/>
                <w:bottom w:val="none" w:sz="0" w:space="0" w:color="auto"/>
                <w:right w:val="none" w:sz="0" w:space="0" w:color="auto"/>
              </w:divBdr>
            </w:div>
            <w:div w:id="133113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647682">
      <w:bodyDiv w:val="1"/>
      <w:marLeft w:val="0"/>
      <w:marRight w:val="0"/>
      <w:marTop w:val="0"/>
      <w:marBottom w:val="0"/>
      <w:divBdr>
        <w:top w:val="none" w:sz="0" w:space="0" w:color="auto"/>
        <w:left w:val="none" w:sz="0" w:space="0" w:color="auto"/>
        <w:bottom w:val="none" w:sz="0" w:space="0" w:color="auto"/>
        <w:right w:val="none" w:sz="0" w:space="0" w:color="auto"/>
      </w:divBdr>
    </w:div>
    <w:div w:id="621157024">
      <w:bodyDiv w:val="1"/>
      <w:marLeft w:val="0"/>
      <w:marRight w:val="0"/>
      <w:marTop w:val="0"/>
      <w:marBottom w:val="0"/>
      <w:divBdr>
        <w:top w:val="none" w:sz="0" w:space="0" w:color="auto"/>
        <w:left w:val="none" w:sz="0" w:space="0" w:color="auto"/>
        <w:bottom w:val="none" w:sz="0" w:space="0" w:color="auto"/>
        <w:right w:val="none" w:sz="0" w:space="0" w:color="auto"/>
      </w:divBdr>
      <w:divsChild>
        <w:div w:id="544605338">
          <w:marLeft w:val="0"/>
          <w:marRight w:val="0"/>
          <w:marTop w:val="120"/>
          <w:marBottom w:val="0"/>
          <w:divBdr>
            <w:top w:val="none" w:sz="0" w:space="0" w:color="auto"/>
            <w:left w:val="none" w:sz="0" w:space="0" w:color="auto"/>
            <w:bottom w:val="none" w:sz="0" w:space="0" w:color="auto"/>
            <w:right w:val="none" w:sz="0" w:space="0" w:color="auto"/>
          </w:divBdr>
        </w:div>
        <w:div w:id="495272138">
          <w:marLeft w:val="0"/>
          <w:marRight w:val="0"/>
          <w:marTop w:val="0"/>
          <w:marBottom w:val="0"/>
          <w:divBdr>
            <w:top w:val="none" w:sz="0" w:space="0" w:color="auto"/>
            <w:left w:val="none" w:sz="0" w:space="0" w:color="auto"/>
            <w:bottom w:val="none" w:sz="0" w:space="0" w:color="auto"/>
            <w:right w:val="none" w:sz="0" w:space="0" w:color="auto"/>
          </w:divBdr>
        </w:div>
      </w:divsChild>
    </w:div>
    <w:div w:id="640616951">
      <w:bodyDiv w:val="1"/>
      <w:marLeft w:val="0"/>
      <w:marRight w:val="0"/>
      <w:marTop w:val="0"/>
      <w:marBottom w:val="0"/>
      <w:divBdr>
        <w:top w:val="none" w:sz="0" w:space="0" w:color="auto"/>
        <w:left w:val="none" w:sz="0" w:space="0" w:color="auto"/>
        <w:bottom w:val="none" w:sz="0" w:space="0" w:color="auto"/>
        <w:right w:val="none" w:sz="0" w:space="0" w:color="auto"/>
      </w:divBdr>
      <w:divsChild>
        <w:div w:id="1652100124">
          <w:marLeft w:val="0"/>
          <w:marRight w:val="0"/>
          <w:marTop w:val="0"/>
          <w:marBottom w:val="0"/>
          <w:divBdr>
            <w:top w:val="none" w:sz="0" w:space="0" w:color="auto"/>
            <w:left w:val="none" w:sz="0" w:space="0" w:color="auto"/>
            <w:bottom w:val="none" w:sz="0" w:space="0" w:color="auto"/>
            <w:right w:val="none" w:sz="0" w:space="0" w:color="auto"/>
          </w:divBdr>
          <w:divsChild>
            <w:div w:id="18383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603744">
      <w:bodyDiv w:val="1"/>
      <w:marLeft w:val="0"/>
      <w:marRight w:val="0"/>
      <w:marTop w:val="0"/>
      <w:marBottom w:val="0"/>
      <w:divBdr>
        <w:top w:val="none" w:sz="0" w:space="0" w:color="auto"/>
        <w:left w:val="none" w:sz="0" w:space="0" w:color="auto"/>
        <w:bottom w:val="none" w:sz="0" w:space="0" w:color="auto"/>
        <w:right w:val="none" w:sz="0" w:space="0" w:color="auto"/>
      </w:divBdr>
      <w:divsChild>
        <w:div w:id="19549510">
          <w:marLeft w:val="0"/>
          <w:marRight w:val="0"/>
          <w:marTop w:val="0"/>
          <w:marBottom w:val="0"/>
          <w:divBdr>
            <w:top w:val="none" w:sz="0" w:space="0" w:color="auto"/>
            <w:left w:val="none" w:sz="0" w:space="0" w:color="auto"/>
            <w:bottom w:val="none" w:sz="0" w:space="0" w:color="auto"/>
            <w:right w:val="none" w:sz="0" w:space="0" w:color="auto"/>
          </w:divBdr>
          <w:divsChild>
            <w:div w:id="1417433731">
              <w:marLeft w:val="0"/>
              <w:marRight w:val="0"/>
              <w:marTop w:val="0"/>
              <w:marBottom w:val="0"/>
              <w:divBdr>
                <w:top w:val="none" w:sz="0" w:space="0" w:color="auto"/>
                <w:left w:val="none" w:sz="0" w:space="0" w:color="auto"/>
                <w:bottom w:val="none" w:sz="0" w:space="0" w:color="auto"/>
                <w:right w:val="none" w:sz="0" w:space="0" w:color="auto"/>
              </w:divBdr>
            </w:div>
          </w:divsChild>
        </w:div>
        <w:div w:id="293486184">
          <w:marLeft w:val="0"/>
          <w:marRight w:val="0"/>
          <w:marTop w:val="0"/>
          <w:marBottom w:val="0"/>
          <w:divBdr>
            <w:top w:val="none" w:sz="0" w:space="0" w:color="auto"/>
            <w:left w:val="none" w:sz="0" w:space="0" w:color="auto"/>
            <w:bottom w:val="none" w:sz="0" w:space="0" w:color="auto"/>
            <w:right w:val="none" w:sz="0" w:space="0" w:color="auto"/>
          </w:divBdr>
          <w:divsChild>
            <w:div w:id="1651668767">
              <w:marLeft w:val="0"/>
              <w:marRight w:val="0"/>
              <w:marTop w:val="0"/>
              <w:marBottom w:val="0"/>
              <w:divBdr>
                <w:top w:val="none" w:sz="0" w:space="0" w:color="auto"/>
                <w:left w:val="none" w:sz="0" w:space="0" w:color="auto"/>
                <w:bottom w:val="none" w:sz="0" w:space="0" w:color="auto"/>
                <w:right w:val="none" w:sz="0" w:space="0" w:color="auto"/>
              </w:divBdr>
              <w:divsChild>
                <w:div w:id="153037133">
                  <w:marLeft w:val="0"/>
                  <w:marRight w:val="0"/>
                  <w:marTop w:val="0"/>
                  <w:marBottom w:val="0"/>
                  <w:divBdr>
                    <w:top w:val="none" w:sz="0" w:space="0" w:color="auto"/>
                    <w:left w:val="none" w:sz="0" w:space="0" w:color="auto"/>
                    <w:bottom w:val="none" w:sz="0" w:space="0" w:color="auto"/>
                    <w:right w:val="none" w:sz="0" w:space="0" w:color="auto"/>
                  </w:divBdr>
                  <w:divsChild>
                    <w:div w:id="58335211">
                      <w:marLeft w:val="0"/>
                      <w:marRight w:val="0"/>
                      <w:marTop w:val="120"/>
                      <w:marBottom w:val="0"/>
                      <w:divBdr>
                        <w:top w:val="none" w:sz="0" w:space="0" w:color="auto"/>
                        <w:left w:val="none" w:sz="0" w:space="0" w:color="auto"/>
                        <w:bottom w:val="none" w:sz="0" w:space="0" w:color="auto"/>
                        <w:right w:val="none" w:sz="0" w:space="0" w:color="auto"/>
                      </w:divBdr>
                    </w:div>
                    <w:div w:id="382947567">
                      <w:marLeft w:val="0"/>
                      <w:marRight w:val="0"/>
                      <w:marTop w:val="0"/>
                      <w:marBottom w:val="0"/>
                      <w:divBdr>
                        <w:top w:val="none" w:sz="0" w:space="0" w:color="auto"/>
                        <w:left w:val="none" w:sz="0" w:space="0" w:color="auto"/>
                        <w:bottom w:val="none" w:sz="0" w:space="0" w:color="auto"/>
                        <w:right w:val="none" w:sz="0" w:space="0" w:color="auto"/>
                      </w:divBdr>
                    </w:div>
                  </w:divsChild>
                </w:div>
                <w:div w:id="2011910439">
                  <w:marLeft w:val="0"/>
                  <w:marRight w:val="0"/>
                  <w:marTop w:val="0"/>
                  <w:marBottom w:val="0"/>
                  <w:divBdr>
                    <w:top w:val="none" w:sz="0" w:space="0" w:color="auto"/>
                    <w:left w:val="none" w:sz="0" w:space="0" w:color="auto"/>
                    <w:bottom w:val="none" w:sz="0" w:space="0" w:color="auto"/>
                    <w:right w:val="none" w:sz="0" w:space="0" w:color="auto"/>
                  </w:divBdr>
                  <w:divsChild>
                    <w:div w:id="1925407214">
                      <w:marLeft w:val="0"/>
                      <w:marRight w:val="0"/>
                      <w:marTop w:val="120"/>
                      <w:marBottom w:val="0"/>
                      <w:divBdr>
                        <w:top w:val="none" w:sz="0" w:space="0" w:color="auto"/>
                        <w:left w:val="none" w:sz="0" w:space="0" w:color="auto"/>
                        <w:bottom w:val="none" w:sz="0" w:space="0" w:color="auto"/>
                        <w:right w:val="none" w:sz="0" w:space="0" w:color="auto"/>
                      </w:divBdr>
                    </w:div>
                    <w:div w:id="231044207">
                      <w:marLeft w:val="0"/>
                      <w:marRight w:val="0"/>
                      <w:marTop w:val="0"/>
                      <w:marBottom w:val="0"/>
                      <w:divBdr>
                        <w:top w:val="none" w:sz="0" w:space="0" w:color="auto"/>
                        <w:left w:val="none" w:sz="0" w:space="0" w:color="auto"/>
                        <w:bottom w:val="none" w:sz="0" w:space="0" w:color="auto"/>
                        <w:right w:val="none" w:sz="0" w:space="0" w:color="auto"/>
                      </w:divBdr>
                    </w:div>
                  </w:divsChild>
                </w:div>
                <w:div w:id="623003142">
                  <w:marLeft w:val="0"/>
                  <w:marRight w:val="0"/>
                  <w:marTop w:val="0"/>
                  <w:marBottom w:val="0"/>
                  <w:divBdr>
                    <w:top w:val="none" w:sz="0" w:space="0" w:color="auto"/>
                    <w:left w:val="none" w:sz="0" w:space="0" w:color="auto"/>
                    <w:bottom w:val="none" w:sz="0" w:space="0" w:color="auto"/>
                    <w:right w:val="none" w:sz="0" w:space="0" w:color="auto"/>
                  </w:divBdr>
                  <w:divsChild>
                    <w:div w:id="1676611455">
                      <w:marLeft w:val="0"/>
                      <w:marRight w:val="0"/>
                      <w:marTop w:val="120"/>
                      <w:marBottom w:val="0"/>
                      <w:divBdr>
                        <w:top w:val="none" w:sz="0" w:space="0" w:color="auto"/>
                        <w:left w:val="none" w:sz="0" w:space="0" w:color="auto"/>
                        <w:bottom w:val="none" w:sz="0" w:space="0" w:color="auto"/>
                        <w:right w:val="none" w:sz="0" w:space="0" w:color="auto"/>
                      </w:divBdr>
                    </w:div>
                    <w:div w:id="7874247">
                      <w:marLeft w:val="0"/>
                      <w:marRight w:val="0"/>
                      <w:marTop w:val="0"/>
                      <w:marBottom w:val="0"/>
                      <w:divBdr>
                        <w:top w:val="none" w:sz="0" w:space="0" w:color="auto"/>
                        <w:left w:val="none" w:sz="0" w:space="0" w:color="auto"/>
                        <w:bottom w:val="none" w:sz="0" w:space="0" w:color="auto"/>
                        <w:right w:val="none" w:sz="0" w:space="0" w:color="auto"/>
                      </w:divBdr>
                    </w:div>
                  </w:divsChild>
                </w:div>
                <w:div w:id="1536771066">
                  <w:marLeft w:val="0"/>
                  <w:marRight w:val="0"/>
                  <w:marTop w:val="0"/>
                  <w:marBottom w:val="0"/>
                  <w:divBdr>
                    <w:top w:val="none" w:sz="0" w:space="0" w:color="auto"/>
                    <w:left w:val="none" w:sz="0" w:space="0" w:color="auto"/>
                    <w:bottom w:val="none" w:sz="0" w:space="0" w:color="auto"/>
                    <w:right w:val="none" w:sz="0" w:space="0" w:color="auto"/>
                  </w:divBdr>
                  <w:divsChild>
                    <w:div w:id="1804620881">
                      <w:marLeft w:val="0"/>
                      <w:marRight w:val="0"/>
                      <w:marTop w:val="120"/>
                      <w:marBottom w:val="0"/>
                      <w:divBdr>
                        <w:top w:val="none" w:sz="0" w:space="0" w:color="auto"/>
                        <w:left w:val="none" w:sz="0" w:space="0" w:color="auto"/>
                        <w:bottom w:val="none" w:sz="0" w:space="0" w:color="auto"/>
                        <w:right w:val="none" w:sz="0" w:space="0" w:color="auto"/>
                      </w:divBdr>
                    </w:div>
                    <w:div w:id="1776288837">
                      <w:marLeft w:val="0"/>
                      <w:marRight w:val="0"/>
                      <w:marTop w:val="0"/>
                      <w:marBottom w:val="0"/>
                      <w:divBdr>
                        <w:top w:val="none" w:sz="0" w:space="0" w:color="auto"/>
                        <w:left w:val="none" w:sz="0" w:space="0" w:color="auto"/>
                        <w:bottom w:val="none" w:sz="0" w:space="0" w:color="auto"/>
                        <w:right w:val="none" w:sz="0" w:space="0" w:color="auto"/>
                      </w:divBdr>
                      <w:divsChild>
                        <w:div w:id="1560436051">
                          <w:marLeft w:val="0"/>
                          <w:marRight w:val="0"/>
                          <w:marTop w:val="0"/>
                          <w:marBottom w:val="0"/>
                          <w:divBdr>
                            <w:top w:val="none" w:sz="0" w:space="0" w:color="auto"/>
                            <w:left w:val="none" w:sz="0" w:space="0" w:color="auto"/>
                            <w:bottom w:val="none" w:sz="0" w:space="0" w:color="auto"/>
                            <w:right w:val="none" w:sz="0" w:space="0" w:color="auto"/>
                          </w:divBdr>
                          <w:divsChild>
                            <w:div w:id="946548329">
                              <w:marLeft w:val="0"/>
                              <w:marRight w:val="0"/>
                              <w:marTop w:val="120"/>
                              <w:marBottom w:val="0"/>
                              <w:divBdr>
                                <w:top w:val="none" w:sz="0" w:space="0" w:color="auto"/>
                                <w:left w:val="none" w:sz="0" w:space="0" w:color="auto"/>
                                <w:bottom w:val="none" w:sz="0" w:space="0" w:color="auto"/>
                                <w:right w:val="none" w:sz="0" w:space="0" w:color="auto"/>
                              </w:divBdr>
                            </w:div>
                            <w:div w:id="401102780">
                              <w:marLeft w:val="0"/>
                              <w:marRight w:val="0"/>
                              <w:marTop w:val="0"/>
                              <w:marBottom w:val="0"/>
                              <w:divBdr>
                                <w:top w:val="none" w:sz="0" w:space="0" w:color="auto"/>
                                <w:left w:val="none" w:sz="0" w:space="0" w:color="auto"/>
                                <w:bottom w:val="none" w:sz="0" w:space="0" w:color="auto"/>
                                <w:right w:val="none" w:sz="0" w:space="0" w:color="auto"/>
                              </w:divBdr>
                            </w:div>
                          </w:divsChild>
                        </w:div>
                        <w:div w:id="851067351">
                          <w:marLeft w:val="0"/>
                          <w:marRight w:val="0"/>
                          <w:marTop w:val="0"/>
                          <w:marBottom w:val="0"/>
                          <w:divBdr>
                            <w:top w:val="none" w:sz="0" w:space="0" w:color="auto"/>
                            <w:left w:val="none" w:sz="0" w:space="0" w:color="auto"/>
                            <w:bottom w:val="none" w:sz="0" w:space="0" w:color="auto"/>
                            <w:right w:val="none" w:sz="0" w:space="0" w:color="auto"/>
                          </w:divBdr>
                          <w:divsChild>
                            <w:div w:id="1441142413">
                              <w:marLeft w:val="0"/>
                              <w:marRight w:val="0"/>
                              <w:marTop w:val="120"/>
                              <w:marBottom w:val="0"/>
                              <w:divBdr>
                                <w:top w:val="none" w:sz="0" w:space="0" w:color="auto"/>
                                <w:left w:val="none" w:sz="0" w:space="0" w:color="auto"/>
                                <w:bottom w:val="none" w:sz="0" w:space="0" w:color="auto"/>
                                <w:right w:val="none" w:sz="0" w:space="0" w:color="auto"/>
                              </w:divBdr>
                            </w:div>
                            <w:div w:id="79016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526011">
                  <w:marLeft w:val="0"/>
                  <w:marRight w:val="0"/>
                  <w:marTop w:val="0"/>
                  <w:marBottom w:val="0"/>
                  <w:divBdr>
                    <w:top w:val="none" w:sz="0" w:space="0" w:color="auto"/>
                    <w:left w:val="none" w:sz="0" w:space="0" w:color="auto"/>
                    <w:bottom w:val="none" w:sz="0" w:space="0" w:color="auto"/>
                    <w:right w:val="none" w:sz="0" w:space="0" w:color="auto"/>
                  </w:divBdr>
                  <w:divsChild>
                    <w:div w:id="2063868842">
                      <w:marLeft w:val="0"/>
                      <w:marRight w:val="0"/>
                      <w:marTop w:val="120"/>
                      <w:marBottom w:val="0"/>
                      <w:divBdr>
                        <w:top w:val="none" w:sz="0" w:space="0" w:color="auto"/>
                        <w:left w:val="none" w:sz="0" w:space="0" w:color="auto"/>
                        <w:bottom w:val="none" w:sz="0" w:space="0" w:color="auto"/>
                        <w:right w:val="none" w:sz="0" w:space="0" w:color="auto"/>
                      </w:divBdr>
                    </w:div>
                    <w:div w:id="1257639019">
                      <w:marLeft w:val="0"/>
                      <w:marRight w:val="0"/>
                      <w:marTop w:val="0"/>
                      <w:marBottom w:val="0"/>
                      <w:divBdr>
                        <w:top w:val="none" w:sz="0" w:space="0" w:color="auto"/>
                        <w:left w:val="none" w:sz="0" w:space="0" w:color="auto"/>
                        <w:bottom w:val="none" w:sz="0" w:space="0" w:color="auto"/>
                        <w:right w:val="none" w:sz="0" w:space="0" w:color="auto"/>
                      </w:divBdr>
                    </w:div>
                  </w:divsChild>
                </w:div>
                <w:div w:id="1061489874">
                  <w:marLeft w:val="0"/>
                  <w:marRight w:val="0"/>
                  <w:marTop w:val="0"/>
                  <w:marBottom w:val="0"/>
                  <w:divBdr>
                    <w:top w:val="none" w:sz="0" w:space="0" w:color="auto"/>
                    <w:left w:val="none" w:sz="0" w:space="0" w:color="auto"/>
                    <w:bottom w:val="none" w:sz="0" w:space="0" w:color="auto"/>
                    <w:right w:val="none" w:sz="0" w:space="0" w:color="auto"/>
                  </w:divBdr>
                  <w:divsChild>
                    <w:div w:id="1427388881">
                      <w:marLeft w:val="0"/>
                      <w:marRight w:val="0"/>
                      <w:marTop w:val="120"/>
                      <w:marBottom w:val="0"/>
                      <w:divBdr>
                        <w:top w:val="none" w:sz="0" w:space="0" w:color="auto"/>
                        <w:left w:val="none" w:sz="0" w:space="0" w:color="auto"/>
                        <w:bottom w:val="none" w:sz="0" w:space="0" w:color="auto"/>
                        <w:right w:val="none" w:sz="0" w:space="0" w:color="auto"/>
                      </w:divBdr>
                    </w:div>
                    <w:div w:id="252785582">
                      <w:marLeft w:val="0"/>
                      <w:marRight w:val="0"/>
                      <w:marTop w:val="0"/>
                      <w:marBottom w:val="0"/>
                      <w:divBdr>
                        <w:top w:val="none" w:sz="0" w:space="0" w:color="auto"/>
                        <w:left w:val="none" w:sz="0" w:space="0" w:color="auto"/>
                        <w:bottom w:val="none" w:sz="0" w:space="0" w:color="auto"/>
                        <w:right w:val="none" w:sz="0" w:space="0" w:color="auto"/>
                      </w:divBdr>
                    </w:div>
                  </w:divsChild>
                </w:div>
                <w:div w:id="729572871">
                  <w:marLeft w:val="0"/>
                  <w:marRight w:val="0"/>
                  <w:marTop w:val="0"/>
                  <w:marBottom w:val="0"/>
                  <w:divBdr>
                    <w:top w:val="none" w:sz="0" w:space="0" w:color="auto"/>
                    <w:left w:val="none" w:sz="0" w:space="0" w:color="auto"/>
                    <w:bottom w:val="none" w:sz="0" w:space="0" w:color="auto"/>
                    <w:right w:val="none" w:sz="0" w:space="0" w:color="auto"/>
                  </w:divBdr>
                  <w:divsChild>
                    <w:div w:id="1293096607">
                      <w:marLeft w:val="0"/>
                      <w:marRight w:val="0"/>
                      <w:marTop w:val="120"/>
                      <w:marBottom w:val="0"/>
                      <w:divBdr>
                        <w:top w:val="none" w:sz="0" w:space="0" w:color="auto"/>
                        <w:left w:val="none" w:sz="0" w:space="0" w:color="auto"/>
                        <w:bottom w:val="none" w:sz="0" w:space="0" w:color="auto"/>
                        <w:right w:val="none" w:sz="0" w:space="0" w:color="auto"/>
                      </w:divBdr>
                    </w:div>
                    <w:div w:id="1773470641">
                      <w:marLeft w:val="0"/>
                      <w:marRight w:val="0"/>
                      <w:marTop w:val="0"/>
                      <w:marBottom w:val="0"/>
                      <w:divBdr>
                        <w:top w:val="none" w:sz="0" w:space="0" w:color="auto"/>
                        <w:left w:val="none" w:sz="0" w:space="0" w:color="auto"/>
                        <w:bottom w:val="none" w:sz="0" w:space="0" w:color="auto"/>
                        <w:right w:val="none" w:sz="0" w:space="0" w:color="auto"/>
                      </w:divBdr>
                    </w:div>
                  </w:divsChild>
                </w:div>
                <w:div w:id="1750232184">
                  <w:marLeft w:val="0"/>
                  <w:marRight w:val="0"/>
                  <w:marTop w:val="0"/>
                  <w:marBottom w:val="0"/>
                  <w:divBdr>
                    <w:top w:val="none" w:sz="0" w:space="0" w:color="auto"/>
                    <w:left w:val="none" w:sz="0" w:space="0" w:color="auto"/>
                    <w:bottom w:val="none" w:sz="0" w:space="0" w:color="auto"/>
                    <w:right w:val="none" w:sz="0" w:space="0" w:color="auto"/>
                  </w:divBdr>
                  <w:divsChild>
                    <w:div w:id="1066302757">
                      <w:marLeft w:val="0"/>
                      <w:marRight w:val="0"/>
                      <w:marTop w:val="120"/>
                      <w:marBottom w:val="0"/>
                      <w:divBdr>
                        <w:top w:val="none" w:sz="0" w:space="0" w:color="auto"/>
                        <w:left w:val="none" w:sz="0" w:space="0" w:color="auto"/>
                        <w:bottom w:val="none" w:sz="0" w:space="0" w:color="auto"/>
                        <w:right w:val="none" w:sz="0" w:space="0" w:color="auto"/>
                      </w:divBdr>
                    </w:div>
                    <w:div w:id="79240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9354623">
      <w:bodyDiv w:val="1"/>
      <w:marLeft w:val="0"/>
      <w:marRight w:val="0"/>
      <w:marTop w:val="0"/>
      <w:marBottom w:val="0"/>
      <w:divBdr>
        <w:top w:val="none" w:sz="0" w:space="0" w:color="auto"/>
        <w:left w:val="none" w:sz="0" w:space="0" w:color="auto"/>
        <w:bottom w:val="none" w:sz="0" w:space="0" w:color="auto"/>
        <w:right w:val="none" w:sz="0" w:space="0" w:color="auto"/>
      </w:divBdr>
      <w:divsChild>
        <w:div w:id="2005935246">
          <w:marLeft w:val="0"/>
          <w:marRight w:val="0"/>
          <w:marTop w:val="0"/>
          <w:marBottom w:val="0"/>
          <w:divBdr>
            <w:top w:val="none" w:sz="0" w:space="0" w:color="auto"/>
            <w:left w:val="none" w:sz="0" w:space="0" w:color="auto"/>
            <w:bottom w:val="none" w:sz="0" w:space="0" w:color="auto"/>
            <w:right w:val="none" w:sz="0" w:space="0" w:color="auto"/>
          </w:divBdr>
        </w:div>
        <w:div w:id="1461191668">
          <w:marLeft w:val="0"/>
          <w:marRight w:val="0"/>
          <w:marTop w:val="0"/>
          <w:marBottom w:val="0"/>
          <w:divBdr>
            <w:top w:val="none" w:sz="0" w:space="0" w:color="auto"/>
            <w:left w:val="none" w:sz="0" w:space="0" w:color="auto"/>
            <w:bottom w:val="none" w:sz="0" w:space="0" w:color="auto"/>
            <w:right w:val="none" w:sz="0" w:space="0" w:color="auto"/>
          </w:divBdr>
        </w:div>
        <w:div w:id="590817063">
          <w:marLeft w:val="0"/>
          <w:marRight w:val="0"/>
          <w:marTop w:val="0"/>
          <w:marBottom w:val="0"/>
          <w:divBdr>
            <w:top w:val="none" w:sz="0" w:space="0" w:color="auto"/>
            <w:left w:val="none" w:sz="0" w:space="0" w:color="auto"/>
            <w:bottom w:val="none" w:sz="0" w:space="0" w:color="auto"/>
            <w:right w:val="none" w:sz="0" w:space="0" w:color="auto"/>
          </w:divBdr>
        </w:div>
      </w:divsChild>
    </w:div>
    <w:div w:id="69214697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67">
          <w:marLeft w:val="0"/>
          <w:marRight w:val="0"/>
          <w:marTop w:val="0"/>
          <w:marBottom w:val="0"/>
          <w:divBdr>
            <w:top w:val="none" w:sz="0" w:space="0" w:color="auto"/>
            <w:left w:val="none" w:sz="0" w:space="0" w:color="auto"/>
            <w:bottom w:val="none" w:sz="0" w:space="0" w:color="auto"/>
            <w:right w:val="none" w:sz="0" w:space="0" w:color="auto"/>
          </w:divBdr>
          <w:divsChild>
            <w:div w:id="788863123">
              <w:marLeft w:val="0"/>
              <w:marRight w:val="0"/>
              <w:marTop w:val="0"/>
              <w:marBottom w:val="0"/>
              <w:divBdr>
                <w:top w:val="none" w:sz="0" w:space="0" w:color="auto"/>
                <w:left w:val="none" w:sz="0" w:space="0" w:color="auto"/>
                <w:bottom w:val="none" w:sz="0" w:space="0" w:color="auto"/>
                <w:right w:val="none" w:sz="0" w:space="0" w:color="auto"/>
              </w:divBdr>
              <w:divsChild>
                <w:div w:id="251276648">
                  <w:marLeft w:val="0"/>
                  <w:marRight w:val="0"/>
                  <w:marTop w:val="0"/>
                  <w:marBottom w:val="0"/>
                  <w:divBdr>
                    <w:top w:val="none" w:sz="0" w:space="0" w:color="auto"/>
                    <w:left w:val="none" w:sz="0" w:space="0" w:color="auto"/>
                    <w:bottom w:val="none" w:sz="0" w:space="0" w:color="auto"/>
                    <w:right w:val="none" w:sz="0" w:space="0" w:color="auto"/>
                  </w:divBdr>
                  <w:divsChild>
                    <w:div w:id="1201044791">
                      <w:marLeft w:val="0"/>
                      <w:marRight w:val="0"/>
                      <w:marTop w:val="120"/>
                      <w:marBottom w:val="0"/>
                      <w:divBdr>
                        <w:top w:val="none" w:sz="0" w:space="0" w:color="auto"/>
                        <w:left w:val="none" w:sz="0" w:space="0" w:color="auto"/>
                        <w:bottom w:val="none" w:sz="0" w:space="0" w:color="auto"/>
                        <w:right w:val="none" w:sz="0" w:space="0" w:color="auto"/>
                      </w:divBdr>
                    </w:div>
                    <w:div w:id="1382633228">
                      <w:marLeft w:val="0"/>
                      <w:marRight w:val="0"/>
                      <w:marTop w:val="0"/>
                      <w:marBottom w:val="0"/>
                      <w:divBdr>
                        <w:top w:val="none" w:sz="0" w:space="0" w:color="auto"/>
                        <w:left w:val="none" w:sz="0" w:space="0" w:color="auto"/>
                        <w:bottom w:val="none" w:sz="0" w:space="0" w:color="auto"/>
                        <w:right w:val="none" w:sz="0" w:space="0" w:color="auto"/>
                      </w:divBdr>
                    </w:div>
                  </w:divsChild>
                </w:div>
                <w:div w:id="1313216160">
                  <w:marLeft w:val="0"/>
                  <w:marRight w:val="0"/>
                  <w:marTop w:val="0"/>
                  <w:marBottom w:val="0"/>
                  <w:divBdr>
                    <w:top w:val="none" w:sz="0" w:space="0" w:color="auto"/>
                    <w:left w:val="none" w:sz="0" w:space="0" w:color="auto"/>
                    <w:bottom w:val="none" w:sz="0" w:space="0" w:color="auto"/>
                    <w:right w:val="none" w:sz="0" w:space="0" w:color="auto"/>
                  </w:divBdr>
                  <w:divsChild>
                    <w:div w:id="2136755810">
                      <w:marLeft w:val="0"/>
                      <w:marRight w:val="0"/>
                      <w:marTop w:val="120"/>
                      <w:marBottom w:val="0"/>
                      <w:divBdr>
                        <w:top w:val="none" w:sz="0" w:space="0" w:color="auto"/>
                        <w:left w:val="none" w:sz="0" w:space="0" w:color="auto"/>
                        <w:bottom w:val="none" w:sz="0" w:space="0" w:color="auto"/>
                        <w:right w:val="none" w:sz="0" w:space="0" w:color="auto"/>
                      </w:divBdr>
                    </w:div>
                    <w:div w:id="509836365">
                      <w:marLeft w:val="0"/>
                      <w:marRight w:val="0"/>
                      <w:marTop w:val="0"/>
                      <w:marBottom w:val="0"/>
                      <w:divBdr>
                        <w:top w:val="none" w:sz="0" w:space="0" w:color="auto"/>
                        <w:left w:val="none" w:sz="0" w:space="0" w:color="auto"/>
                        <w:bottom w:val="none" w:sz="0" w:space="0" w:color="auto"/>
                        <w:right w:val="none" w:sz="0" w:space="0" w:color="auto"/>
                      </w:divBdr>
                    </w:div>
                  </w:divsChild>
                </w:div>
                <w:div w:id="834564939">
                  <w:marLeft w:val="0"/>
                  <w:marRight w:val="0"/>
                  <w:marTop w:val="0"/>
                  <w:marBottom w:val="0"/>
                  <w:divBdr>
                    <w:top w:val="none" w:sz="0" w:space="0" w:color="auto"/>
                    <w:left w:val="none" w:sz="0" w:space="0" w:color="auto"/>
                    <w:bottom w:val="none" w:sz="0" w:space="0" w:color="auto"/>
                    <w:right w:val="none" w:sz="0" w:space="0" w:color="auto"/>
                  </w:divBdr>
                  <w:divsChild>
                    <w:div w:id="356541738">
                      <w:marLeft w:val="0"/>
                      <w:marRight w:val="0"/>
                      <w:marTop w:val="120"/>
                      <w:marBottom w:val="0"/>
                      <w:divBdr>
                        <w:top w:val="none" w:sz="0" w:space="0" w:color="auto"/>
                        <w:left w:val="none" w:sz="0" w:space="0" w:color="auto"/>
                        <w:bottom w:val="none" w:sz="0" w:space="0" w:color="auto"/>
                        <w:right w:val="none" w:sz="0" w:space="0" w:color="auto"/>
                      </w:divBdr>
                    </w:div>
                    <w:div w:id="3464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983036">
      <w:bodyDiv w:val="1"/>
      <w:marLeft w:val="0"/>
      <w:marRight w:val="0"/>
      <w:marTop w:val="0"/>
      <w:marBottom w:val="0"/>
      <w:divBdr>
        <w:top w:val="none" w:sz="0" w:space="0" w:color="auto"/>
        <w:left w:val="none" w:sz="0" w:space="0" w:color="auto"/>
        <w:bottom w:val="none" w:sz="0" w:space="0" w:color="auto"/>
        <w:right w:val="none" w:sz="0" w:space="0" w:color="auto"/>
      </w:divBdr>
      <w:divsChild>
        <w:div w:id="127434522">
          <w:marLeft w:val="0"/>
          <w:marRight w:val="0"/>
          <w:marTop w:val="0"/>
          <w:marBottom w:val="0"/>
          <w:divBdr>
            <w:top w:val="none" w:sz="0" w:space="0" w:color="auto"/>
            <w:left w:val="none" w:sz="0" w:space="0" w:color="auto"/>
            <w:bottom w:val="none" w:sz="0" w:space="0" w:color="auto"/>
            <w:right w:val="none" w:sz="0" w:space="0" w:color="auto"/>
          </w:divBdr>
          <w:divsChild>
            <w:div w:id="882794259">
              <w:marLeft w:val="0"/>
              <w:marRight w:val="0"/>
              <w:marTop w:val="0"/>
              <w:marBottom w:val="0"/>
              <w:divBdr>
                <w:top w:val="none" w:sz="0" w:space="0" w:color="auto"/>
                <w:left w:val="none" w:sz="0" w:space="0" w:color="auto"/>
                <w:bottom w:val="none" w:sz="0" w:space="0" w:color="auto"/>
                <w:right w:val="none" w:sz="0" w:space="0" w:color="auto"/>
              </w:divBdr>
              <w:divsChild>
                <w:div w:id="1925142671">
                  <w:marLeft w:val="0"/>
                  <w:marRight w:val="0"/>
                  <w:marTop w:val="0"/>
                  <w:marBottom w:val="0"/>
                  <w:divBdr>
                    <w:top w:val="none" w:sz="0" w:space="0" w:color="auto"/>
                    <w:left w:val="none" w:sz="0" w:space="0" w:color="auto"/>
                    <w:bottom w:val="none" w:sz="0" w:space="0" w:color="auto"/>
                    <w:right w:val="none" w:sz="0" w:space="0" w:color="auto"/>
                  </w:divBdr>
                  <w:divsChild>
                    <w:div w:id="1621643989">
                      <w:marLeft w:val="0"/>
                      <w:marRight w:val="0"/>
                      <w:marTop w:val="120"/>
                      <w:marBottom w:val="0"/>
                      <w:divBdr>
                        <w:top w:val="none" w:sz="0" w:space="0" w:color="auto"/>
                        <w:left w:val="none" w:sz="0" w:space="0" w:color="auto"/>
                        <w:bottom w:val="none" w:sz="0" w:space="0" w:color="auto"/>
                        <w:right w:val="none" w:sz="0" w:space="0" w:color="auto"/>
                      </w:divBdr>
                    </w:div>
                    <w:div w:id="1424570725">
                      <w:marLeft w:val="0"/>
                      <w:marRight w:val="0"/>
                      <w:marTop w:val="0"/>
                      <w:marBottom w:val="0"/>
                      <w:divBdr>
                        <w:top w:val="none" w:sz="0" w:space="0" w:color="auto"/>
                        <w:left w:val="none" w:sz="0" w:space="0" w:color="auto"/>
                        <w:bottom w:val="none" w:sz="0" w:space="0" w:color="auto"/>
                        <w:right w:val="none" w:sz="0" w:space="0" w:color="auto"/>
                      </w:divBdr>
                    </w:div>
                  </w:divsChild>
                </w:div>
                <w:div w:id="231700908">
                  <w:marLeft w:val="0"/>
                  <w:marRight w:val="0"/>
                  <w:marTop w:val="0"/>
                  <w:marBottom w:val="0"/>
                  <w:divBdr>
                    <w:top w:val="none" w:sz="0" w:space="0" w:color="auto"/>
                    <w:left w:val="none" w:sz="0" w:space="0" w:color="auto"/>
                    <w:bottom w:val="none" w:sz="0" w:space="0" w:color="auto"/>
                    <w:right w:val="none" w:sz="0" w:space="0" w:color="auto"/>
                  </w:divBdr>
                  <w:divsChild>
                    <w:div w:id="365521001">
                      <w:marLeft w:val="0"/>
                      <w:marRight w:val="0"/>
                      <w:marTop w:val="120"/>
                      <w:marBottom w:val="0"/>
                      <w:divBdr>
                        <w:top w:val="none" w:sz="0" w:space="0" w:color="auto"/>
                        <w:left w:val="none" w:sz="0" w:space="0" w:color="auto"/>
                        <w:bottom w:val="none" w:sz="0" w:space="0" w:color="auto"/>
                        <w:right w:val="none" w:sz="0" w:space="0" w:color="auto"/>
                      </w:divBdr>
                    </w:div>
                    <w:div w:id="839733090">
                      <w:marLeft w:val="0"/>
                      <w:marRight w:val="0"/>
                      <w:marTop w:val="0"/>
                      <w:marBottom w:val="0"/>
                      <w:divBdr>
                        <w:top w:val="none" w:sz="0" w:space="0" w:color="auto"/>
                        <w:left w:val="none" w:sz="0" w:space="0" w:color="auto"/>
                        <w:bottom w:val="none" w:sz="0" w:space="0" w:color="auto"/>
                        <w:right w:val="none" w:sz="0" w:space="0" w:color="auto"/>
                      </w:divBdr>
                    </w:div>
                  </w:divsChild>
                </w:div>
                <w:div w:id="1330986213">
                  <w:marLeft w:val="0"/>
                  <w:marRight w:val="0"/>
                  <w:marTop w:val="0"/>
                  <w:marBottom w:val="0"/>
                  <w:divBdr>
                    <w:top w:val="none" w:sz="0" w:space="0" w:color="auto"/>
                    <w:left w:val="none" w:sz="0" w:space="0" w:color="auto"/>
                    <w:bottom w:val="none" w:sz="0" w:space="0" w:color="auto"/>
                    <w:right w:val="none" w:sz="0" w:space="0" w:color="auto"/>
                  </w:divBdr>
                  <w:divsChild>
                    <w:div w:id="1733313833">
                      <w:marLeft w:val="0"/>
                      <w:marRight w:val="0"/>
                      <w:marTop w:val="120"/>
                      <w:marBottom w:val="0"/>
                      <w:divBdr>
                        <w:top w:val="none" w:sz="0" w:space="0" w:color="auto"/>
                        <w:left w:val="none" w:sz="0" w:space="0" w:color="auto"/>
                        <w:bottom w:val="none" w:sz="0" w:space="0" w:color="auto"/>
                        <w:right w:val="none" w:sz="0" w:space="0" w:color="auto"/>
                      </w:divBdr>
                    </w:div>
                    <w:div w:id="151356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625305">
          <w:marLeft w:val="0"/>
          <w:marRight w:val="0"/>
          <w:marTop w:val="0"/>
          <w:marBottom w:val="0"/>
          <w:divBdr>
            <w:top w:val="none" w:sz="0" w:space="0" w:color="auto"/>
            <w:left w:val="none" w:sz="0" w:space="0" w:color="auto"/>
            <w:bottom w:val="none" w:sz="0" w:space="0" w:color="auto"/>
            <w:right w:val="none" w:sz="0" w:space="0" w:color="auto"/>
          </w:divBdr>
          <w:divsChild>
            <w:div w:id="662704638">
              <w:marLeft w:val="0"/>
              <w:marRight w:val="0"/>
              <w:marTop w:val="0"/>
              <w:marBottom w:val="0"/>
              <w:divBdr>
                <w:top w:val="none" w:sz="0" w:space="0" w:color="auto"/>
                <w:left w:val="none" w:sz="0" w:space="0" w:color="auto"/>
                <w:bottom w:val="none" w:sz="0" w:space="0" w:color="auto"/>
                <w:right w:val="none" w:sz="0" w:space="0" w:color="auto"/>
              </w:divBdr>
              <w:divsChild>
                <w:div w:id="1018851232">
                  <w:marLeft w:val="0"/>
                  <w:marRight w:val="0"/>
                  <w:marTop w:val="0"/>
                  <w:marBottom w:val="0"/>
                  <w:divBdr>
                    <w:top w:val="none" w:sz="0" w:space="0" w:color="auto"/>
                    <w:left w:val="none" w:sz="0" w:space="0" w:color="auto"/>
                    <w:bottom w:val="none" w:sz="0" w:space="0" w:color="auto"/>
                    <w:right w:val="none" w:sz="0" w:space="0" w:color="auto"/>
                  </w:divBdr>
                  <w:divsChild>
                    <w:div w:id="721363296">
                      <w:marLeft w:val="0"/>
                      <w:marRight w:val="0"/>
                      <w:marTop w:val="120"/>
                      <w:marBottom w:val="0"/>
                      <w:divBdr>
                        <w:top w:val="none" w:sz="0" w:space="0" w:color="auto"/>
                        <w:left w:val="none" w:sz="0" w:space="0" w:color="auto"/>
                        <w:bottom w:val="none" w:sz="0" w:space="0" w:color="auto"/>
                        <w:right w:val="none" w:sz="0" w:space="0" w:color="auto"/>
                      </w:divBdr>
                    </w:div>
                    <w:div w:id="2037197418">
                      <w:marLeft w:val="0"/>
                      <w:marRight w:val="0"/>
                      <w:marTop w:val="0"/>
                      <w:marBottom w:val="0"/>
                      <w:divBdr>
                        <w:top w:val="none" w:sz="0" w:space="0" w:color="auto"/>
                        <w:left w:val="none" w:sz="0" w:space="0" w:color="auto"/>
                        <w:bottom w:val="none" w:sz="0" w:space="0" w:color="auto"/>
                        <w:right w:val="none" w:sz="0" w:space="0" w:color="auto"/>
                      </w:divBdr>
                    </w:div>
                  </w:divsChild>
                </w:div>
                <w:div w:id="976109677">
                  <w:marLeft w:val="0"/>
                  <w:marRight w:val="0"/>
                  <w:marTop w:val="0"/>
                  <w:marBottom w:val="0"/>
                  <w:divBdr>
                    <w:top w:val="none" w:sz="0" w:space="0" w:color="auto"/>
                    <w:left w:val="none" w:sz="0" w:space="0" w:color="auto"/>
                    <w:bottom w:val="none" w:sz="0" w:space="0" w:color="auto"/>
                    <w:right w:val="none" w:sz="0" w:space="0" w:color="auto"/>
                  </w:divBdr>
                  <w:divsChild>
                    <w:div w:id="1982416793">
                      <w:marLeft w:val="0"/>
                      <w:marRight w:val="0"/>
                      <w:marTop w:val="120"/>
                      <w:marBottom w:val="0"/>
                      <w:divBdr>
                        <w:top w:val="none" w:sz="0" w:space="0" w:color="auto"/>
                        <w:left w:val="none" w:sz="0" w:space="0" w:color="auto"/>
                        <w:bottom w:val="none" w:sz="0" w:space="0" w:color="auto"/>
                        <w:right w:val="none" w:sz="0" w:space="0" w:color="auto"/>
                      </w:divBdr>
                    </w:div>
                    <w:div w:id="1194540975">
                      <w:marLeft w:val="0"/>
                      <w:marRight w:val="0"/>
                      <w:marTop w:val="0"/>
                      <w:marBottom w:val="0"/>
                      <w:divBdr>
                        <w:top w:val="none" w:sz="0" w:space="0" w:color="auto"/>
                        <w:left w:val="none" w:sz="0" w:space="0" w:color="auto"/>
                        <w:bottom w:val="none" w:sz="0" w:space="0" w:color="auto"/>
                        <w:right w:val="none" w:sz="0" w:space="0" w:color="auto"/>
                      </w:divBdr>
                    </w:div>
                  </w:divsChild>
                </w:div>
                <w:div w:id="448815042">
                  <w:marLeft w:val="0"/>
                  <w:marRight w:val="0"/>
                  <w:marTop w:val="0"/>
                  <w:marBottom w:val="0"/>
                  <w:divBdr>
                    <w:top w:val="none" w:sz="0" w:space="0" w:color="auto"/>
                    <w:left w:val="none" w:sz="0" w:space="0" w:color="auto"/>
                    <w:bottom w:val="none" w:sz="0" w:space="0" w:color="auto"/>
                    <w:right w:val="none" w:sz="0" w:space="0" w:color="auto"/>
                  </w:divBdr>
                  <w:divsChild>
                    <w:div w:id="1113750596">
                      <w:marLeft w:val="0"/>
                      <w:marRight w:val="0"/>
                      <w:marTop w:val="120"/>
                      <w:marBottom w:val="0"/>
                      <w:divBdr>
                        <w:top w:val="none" w:sz="0" w:space="0" w:color="auto"/>
                        <w:left w:val="none" w:sz="0" w:space="0" w:color="auto"/>
                        <w:bottom w:val="none" w:sz="0" w:space="0" w:color="auto"/>
                        <w:right w:val="none" w:sz="0" w:space="0" w:color="auto"/>
                      </w:divBdr>
                    </w:div>
                    <w:div w:id="185318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078140">
          <w:marLeft w:val="0"/>
          <w:marRight w:val="0"/>
          <w:marTop w:val="0"/>
          <w:marBottom w:val="0"/>
          <w:divBdr>
            <w:top w:val="none" w:sz="0" w:space="0" w:color="auto"/>
            <w:left w:val="none" w:sz="0" w:space="0" w:color="auto"/>
            <w:bottom w:val="none" w:sz="0" w:space="0" w:color="auto"/>
            <w:right w:val="none" w:sz="0" w:space="0" w:color="auto"/>
          </w:divBdr>
          <w:divsChild>
            <w:div w:id="1993947484">
              <w:marLeft w:val="0"/>
              <w:marRight w:val="0"/>
              <w:marTop w:val="0"/>
              <w:marBottom w:val="0"/>
              <w:divBdr>
                <w:top w:val="none" w:sz="0" w:space="0" w:color="auto"/>
                <w:left w:val="none" w:sz="0" w:space="0" w:color="auto"/>
                <w:bottom w:val="none" w:sz="0" w:space="0" w:color="auto"/>
                <w:right w:val="none" w:sz="0" w:space="0" w:color="auto"/>
              </w:divBdr>
              <w:divsChild>
                <w:div w:id="1762557697">
                  <w:marLeft w:val="0"/>
                  <w:marRight w:val="0"/>
                  <w:marTop w:val="0"/>
                  <w:marBottom w:val="0"/>
                  <w:divBdr>
                    <w:top w:val="none" w:sz="0" w:space="0" w:color="auto"/>
                    <w:left w:val="none" w:sz="0" w:space="0" w:color="auto"/>
                    <w:bottom w:val="none" w:sz="0" w:space="0" w:color="auto"/>
                    <w:right w:val="none" w:sz="0" w:space="0" w:color="auto"/>
                  </w:divBdr>
                  <w:divsChild>
                    <w:div w:id="1310666514">
                      <w:marLeft w:val="0"/>
                      <w:marRight w:val="0"/>
                      <w:marTop w:val="120"/>
                      <w:marBottom w:val="0"/>
                      <w:divBdr>
                        <w:top w:val="none" w:sz="0" w:space="0" w:color="auto"/>
                        <w:left w:val="none" w:sz="0" w:space="0" w:color="auto"/>
                        <w:bottom w:val="none" w:sz="0" w:space="0" w:color="auto"/>
                        <w:right w:val="none" w:sz="0" w:space="0" w:color="auto"/>
                      </w:divBdr>
                    </w:div>
                    <w:div w:id="1766219422">
                      <w:marLeft w:val="0"/>
                      <w:marRight w:val="0"/>
                      <w:marTop w:val="0"/>
                      <w:marBottom w:val="0"/>
                      <w:divBdr>
                        <w:top w:val="none" w:sz="0" w:space="0" w:color="auto"/>
                        <w:left w:val="none" w:sz="0" w:space="0" w:color="auto"/>
                        <w:bottom w:val="none" w:sz="0" w:space="0" w:color="auto"/>
                        <w:right w:val="none" w:sz="0" w:space="0" w:color="auto"/>
                      </w:divBdr>
                    </w:div>
                  </w:divsChild>
                </w:div>
                <w:div w:id="159589614">
                  <w:marLeft w:val="0"/>
                  <w:marRight w:val="0"/>
                  <w:marTop w:val="0"/>
                  <w:marBottom w:val="0"/>
                  <w:divBdr>
                    <w:top w:val="none" w:sz="0" w:space="0" w:color="auto"/>
                    <w:left w:val="none" w:sz="0" w:space="0" w:color="auto"/>
                    <w:bottom w:val="none" w:sz="0" w:space="0" w:color="auto"/>
                    <w:right w:val="none" w:sz="0" w:space="0" w:color="auto"/>
                  </w:divBdr>
                  <w:divsChild>
                    <w:div w:id="105856519">
                      <w:marLeft w:val="0"/>
                      <w:marRight w:val="0"/>
                      <w:marTop w:val="120"/>
                      <w:marBottom w:val="0"/>
                      <w:divBdr>
                        <w:top w:val="none" w:sz="0" w:space="0" w:color="auto"/>
                        <w:left w:val="none" w:sz="0" w:space="0" w:color="auto"/>
                        <w:bottom w:val="none" w:sz="0" w:space="0" w:color="auto"/>
                        <w:right w:val="none" w:sz="0" w:space="0" w:color="auto"/>
                      </w:divBdr>
                    </w:div>
                    <w:div w:id="710150512">
                      <w:marLeft w:val="0"/>
                      <w:marRight w:val="0"/>
                      <w:marTop w:val="0"/>
                      <w:marBottom w:val="0"/>
                      <w:divBdr>
                        <w:top w:val="none" w:sz="0" w:space="0" w:color="auto"/>
                        <w:left w:val="none" w:sz="0" w:space="0" w:color="auto"/>
                        <w:bottom w:val="none" w:sz="0" w:space="0" w:color="auto"/>
                        <w:right w:val="none" w:sz="0" w:space="0" w:color="auto"/>
                      </w:divBdr>
                    </w:div>
                  </w:divsChild>
                </w:div>
                <w:div w:id="2020347227">
                  <w:marLeft w:val="0"/>
                  <w:marRight w:val="0"/>
                  <w:marTop w:val="0"/>
                  <w:marBottom w:val="0"/>
                  <w:divBdr>
                    <w:top w:val="none" w:sz="0" w:space="0" w:color="auto"/>
                    <w:left w:val="none" w:sz="0" w:space="0" w:color="auto"/>
                    <w:bottom w:val="none" w:sz="0" w:space="0" w:color="auto"/>
                    <w:right w:val="none" w:sz="0" w:space="0" w:color="auto"/>
                  </w:divBdr>
                  <w:divsChild>
                    <w:div w:id="1506019135">
                      <w:marLeft w:val="0"/>
                      <w:marRight w:val="0"/>
                      <w:marTop w:val="120"/>
                      <w:marBottom w:val="0"/>
                      <w:divBdr>
                        <w:top w:val="none" w:sz="0" w:space="0" w:color="auto"/>
                        <w:left w:val="none" w:sz="0" w:space="0" w:color="auto"/>
                        <w:bottom w:val="none" w:sz="0" w:space="0" w:color="auto"/>
                        <w:right w:val="none" w:sz="0" w:space="0" w:color="auto"/>
                      </w:divBdr>
                    </w:div>
                    <w:div w:id="40352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760485">
          <w:marLeft w:val="0"/>
          <w:marRight w:val="0"/>
          <w:marTop w:val="0"/>
          <w:marBottom w:val="0"/>
          <w:divBdr>
            <w:top w:val="none" w:sz="0" w:space="0" w:color="auto"/>
            <w:left w:val="none" w:sz="0" w:space="0" w:color="auto"/>
            <w:bottom w:val="none" w:sz="0" w:space="0" w:color="auto"/>
            <w:right w:val="none" w:sz="0" w:space="0" w:color="auto"/>
          </w:divBdr>
          <w:divsChild>
            <w:div w:id="118528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697898">
      <w:bodyDiv w:val="1"/>
      <w:marLeft w:val="0"/>
      <w:marRight w:val="0"/>
      <w:marTop w:val="0"/>
      <w:marBottom w:val="0"/>
      <w:divBdr>
        <w:top w:val="none" w:sz="0" w:space="0" w:color="auto"/>
        <w:left w:val="none" w:sz="0" w:space="0" w:color="auto"/>
        <w:bottom w:val="none" w:sz="0" w:space="0" w:color="auto"/>
        <w:right w:val="none" w:sz="0" w:space="0" w:color="auto"/>
      </w:divBdr>
      <w:divsChild>
        <w:div w:id="274291874">
          <w:marLeft w:val="0"/>
          <w:marRight w:val="0"/>
          <w:marTop w:val="0"/>
          <w:marBottom w:val="0"/>
          <w:divBdr>
            <w:top w:val="none" w:sz="0" w:space="0" w:color="auto"/>
            <w:left w:val="none" w:sz="0" w:space="0" w:color="auto"/>
            <w:bottom w:val="none" w:sz="0" w:space="0" w:color="auto"/>
            <w:right w:val="none" w:sz="0" w:space="0" w:color="auto"/>
          </w:divBdr>
        </w:div>
        <w:div w:id="1199313519">
          <w:marLeft w:val="0"/>
          <w:marRight w:val="0"/>
          <w:marTop w:val="0"/>
          <w:marBottom w:val="0"/>
          <w:divBdr>
            <w:top w:val="none" w:sz="0" w:space="0" w:color="auto"/>
            <w:left w:val="none" w:sz="0" w:space="0" w:color="auto"/>
            <w:bottom w:val="none" w:sz="0" w:space="0" w:color="auto"/>
            <w:right w:val="none" w:sz="0" w:space="0" w:color="auto"/>
          </w:divBdr>
        </w:div>
        <w:div w:id="2032954646">
          <w:marLeft w:val="0"/>
          <w:marRight w:val="0"/>
          <w:marTop w:val="0"/>
          <w:marBottom w:val="0"/>
          <w:divBdr>
            <w:top w:val="none" w:sz="0" w:space="0" w:color="auto"/>
            <w:left w:val="none" w:sz="0" w:space="0" w:color="auto"/>
            <w:bottom w:val="none" w:sz="0" w:space="0" w:color="auto"/>
            <w:right w:val="none" w:sz="0" w:space="0" w:color="auto"/>
          </w:divBdr>
        </w:div>
      </w:divsChild>
    </w:div>
    <w:div w:id="729378380">
      <w:bodyDiv w:val="1"/>
      <w:marLeft w:val="0"/>
      <w:marRight w:val="0"/>
      <w:marTop w:val="0"/>
      <w:marBottom w:val="0"/>
      <w:divBdr>
        <w:top w:val="none" w:sz="0" w:space="0" w:color="auto"/>
        <w:left w:val="none" w:sz="0" w:space="0" w:color="auto"/>
        <w:bottom w:val="none" w:sz="0" w:space="0" w:color="auto"/>
        <w:right w:val="none" w:sz="0" w:space="0" w:color="auto"/>
      </w:divBdr>
      <w:divsChild>
        <w:div w:id="1979994584">
          <w:marLeft w:val="0"/>
          <w:marRight w:val="0"/>
          <w:marTop w:val="120"/>
          <w:marBottom w:val="0"/>
          <w:divBdr>
            <w:top w:val="none" w:sz="0" w:space="0" w:color="auto"/>
            <w:left w:val="none" w:sz="0" w:space="0" w:color="auto"/>
            <w:bottom w:val="none" w:sz="0" w:space="0" w:color="auto"/>
            <w:right w:val="none" w:sz="0" w:space="0" w:color="auto"/>
          </w:divBdr>
        </w:div>
        <w:div w:id="2111004206">
          <w:marLeft w:val="0"/>
          <w:marRight w:val="0"/>
          <w:marTop w:val="0"/>
          <w:marBottom w:val="0"/>
          <w:divBdr>
            <w:top w:val="none" w:sz="0" w:space="0" w:color="auto"/>
            <w:left w:val="none" w:sz="0" w:space="0" w:color="auto"/>
            <w:bottom w:val="none" w:sz="0" w:space="0" w:color="auto"/>
            <w:right w:val="none" w:sz="0" w:space="0" w:color="auto"/>
          </w:divBdr>
        </w:div>
      </w:divsChild>
    </w:div>
    <w:div w:id="738020650">
      <w:bodyDiv w:val="1"/>
      <w:marLeft w:val="0"/>
      <w:marRight w:val="0"/>
      <w:marTop w:val="0"/>
      <w:marBottom w:val="0"/>
      <w:divBdr>
        <w:top w:val="none" w:sz="0" w:space="0" w:color="auto"/>
        <w:left w:val="none" w:sz="0" w:space="0" w:color="auto"/>
        <w:bottom w:val="none" w:sz="0" w:space="0" w:color="auto"/>
        <w:right w:val="none" w:sz="0" w:space="0" w:color="auto"/>
      </w:divBdr>
      <w:divsChild>
        <w:div w:id="326708068">
          <w:marLeft w:val="0"/>
          <w:marRight w:val="0"/>
          <w:marTop w:val="0"/>
          <w:marBottom w:val="0"/>
          <w:divBdr>
            <w:top w:val="none" w:sz="0" w:space="0" w:color="auto"/>
            <w:left w:val="none" w:sz="0" w:space="0" w:color="auto"/>
            <w:bottom w:val="none" w:sz="0" w:space="0" w:color="auto"/>
            <w:right w:val="none" w:sz="0" w:space="0" w:color="auto"/>
          </w:divBdr>
          <w:divsChild>
            <w:div w:id="1592276875">
              <w:marLeft w:val="0"/>
              <w:marRight w:val="0"/>
              <w:marTop w:val="0"/>
              <w:marBottom w:val="0"/>
              <w:divBdr>
                <w:top w:val="none" w:sz="0" w:space="0" w:color="auto"/>
                <w:left w:val="none" w:sz="0" w:space="0" w:color="auto"/>
                <w:bottom w:val="none" w:sz="0" w:space="0" w:color="auto"/>
                <w:right w:val="none" w:sz="0" w:space="0" w:color="auto"/>
              </w:divBdr>
              <w:divsChild>
                <w:div w:id="1666712585">
                  <w:marLeft w:val="0"/>
                  <w:marRight w:val="0"/>
                  <w:marTop w:val="120"/>
                  <w:marBottom w:val="0"/>
                  <w:divBdr>
                    <w:top w:val="none" w:sz="0" w:space="0" w:color="auto"/>
                    <w:left w:val="none" w:sz="0" w:space="0" w:color="auto"/>
                    <w:bottom w:val="none" w:sz="0" w:space="0" w:color="auto"/>
                    <w:right w:val="none" w:sz="0" w:space="0" w:color="auto"/>
                  </w:divBdr>
                </w:div>
                <w:div w:id="1214316603">
                  <w:marLeft w:val="0"/>
                  <w:marRight w:val="0"/>
                  <w:marTop w:val="0"/>
                  <w:marBottom w:val="0"/>
                  <w:divBdr>
                    <w:top w:val="none" w:sz="0" w:space="0" w:color="auto"/>
                    <w:left w:val="none" w:sz="0" w:space="0" w:color="auto"/>
                    <w:bottom w:val="none" w:sz="0" w:space="0" w:color="auto"/>
                    <w:right w:val="none" w:sz="0" w:space="0" w:color="auto"/>
                  </w:divBdr>
                </w:div>
              </w:divsChild>
            </w:div>
            <w:div w:id="1863519166">
              <w:marLeft w:val="0"/>
              <w:marRight w:val="0"/>
              <w:marTop w:val="0"/>
              <w:marBottom w:val="0"/>
              <w:divBdr>
                <w:top w:val="none" w:sz="0" w:space="0" w:color="auto"/>
                <w:left w:val="none" w:sz="0" w:space="0" w:color="auto"/>
                <w:bottom w:val="none" w:sz="0" w:space="0" w:color="auto"/>
                <w:right w:val="none" w:sz="0" w:space="0" w:color="auto"/>
              </w:divBdr>
              <w:divsChild>
                <w:div w:id="1492990944">
                  <w:marLeft w:val="0"/>
                  <w:marRight w:val="0"/>
                  <w:marTop w:val="120"/>
                  <w:marBottom w:val="0"/>
                  <w:divBdr>
                    <w:top w:val="none" w:sz="0" w:space="0" w:color="auto"/>
                    <w:left w:val="none" w:sz="0" w:space="0" w:color="auto"/>
                    <w:bottom w:val="none" w:sz="0" w:space="0" w:color="auto"/>
                    <w:right w:val="none" w:sz="0" w:space="0" w:color="auto"/>
                  </w:divBdr>
                </w:div>
                <w:div w:id="7054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67044">
      <w:bodyDiv w:val="1"/>
      <w:marLeft w:val="0"/>
      <w:marRight w:val="0"/>
      <w:marTop w:val="0"/>
      <w:marBottom w:val="0"/>
      <w:divBdr>
        <w:top w:val="none" w:sz="0" w:space="0" w:color="auto"/>
        <w:left w:val="none" w:sz="0" w:space="0" w:color="auto"/>
        <w:bottom w:val="none" w:sz="0" w:space="0" w:color="auto"/>
        <w:right w:val="none" w:sz="0" w:space="0" w:color="auto"/>
      </w:divBdr>
      <w:divsChild>
        <w:div w:id="1514298192">
          <w:marLeft w:val="0"/>
          <w:marRight w:val="0"/>
          <w:marTop w:val="120"/>
          <w:marBottom w:val="0"/>
          <w:divBdr>
            <w:top w:val="none" w:sz="0" w:space="0" w:color="auto"/>
            <w:left w:val="none" w:sz="0" w:space="0" w:color="auto"/>
            <w:bottom w:val="none" w:sz="0" w:space="0" w:color="auto"/>
            <w:right w:val="none" w:sz="0" w:space="0" w:color="auto"/>
          </w:divBdr>
        </w:div>
        <w:div w:id="745807495">
          <w:marLeft w:val="0"/>
          <w:marRight w:val="0"/>
          <w:marTop w:val="0"/>
          <w:marBottom w:val="0"/>
          <w:divBdr>
            <w:top w:val="none" w:sz="0" w:space="0" w:color="auto"/>
            <w:left w:val="none" w:sz="0" w:space="0" w:color="auto"/>
            <w:bottom w:val="none" w:sz="0" w:space="0" w:color="auto"/>
            <w:right w:val="none" w:sz="0" w:space="0" w:color="auto"/>
          </w:divBdr>
        </w:div>
      </w:divsChild>
    </w:div>
    <w:div w:id="781264217">
      <w:bodyDiv w:val="1"/>
      <w:marLeft w:val="0"/>
      <w:marRight w:val="0"/>
      <w:marTop w:val="0"/>
      <w:marBottom w:val="0"/>
      <w:divBdr>
        <w:top w:val="none" w:sz="0" w:space="0" w:color="auto"/>
        <w:left w:val="none" w:sz="0" w:space="0" w:color="auto"/>
        <w:bottom w:val="none" w:sz="0" w:space="0" w:color="auto"/>
        <w:right w:val="none" w:sz="0" w:space="0" w:color="auto"/>
      </w:divBdr>
      <w:divsChild>
        <w:div w:id="335503488">
          <w:marLeft w:val="0"/>
          <w:marRight w:val="0"/>
          <w:marTop w:val="0"/>
          <w:marBottom w:val="0"/>
          <w:divBdr>
            <w:top w:val="none" w:sz="0" w:space="0" w:color="auto"/>
            <w:left w:val="none" w:sz="0" w:space="0" w:color="auto"/>
            <w:bottom w:val="none" w:sz="0" w:space="0" w:color="auto"/>
            <w:right w:val="none" w:sz="0" w:space="0" w:color="auto"/>
          </w:divBdr>
          <w:divsChild>
            <w:div w:id="212835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394630">
      <w:bodyDiv w:val="1"/>
      <w:marLeft w:val="0"/>
      <w:marRight w:val="0"/>
      <w:marTop w:val="0"/>
      <w:marBottom w:val="0"/>
      <w:divBdr>
        <w:top w:val="none" w:sz="0" w:space="0" w:color="auto"/>
        <w:left w:val="none" w:sz="0" w:space="0" w:color="auto"/>
        <w:bottom w:val="none" w:sz="0" w:space="0" w:color="auto"/>
        <w:right w:val="none" w:sz="0" w:space="0" w:color="auto"/>
      </w:divBdr>
      <w:divsChild>
        <w:div w:id="2145190847">
          <w:marLeft w:val="0"/>
          <w:marRight w:val="0"/>
          <w:marTop w:val="0"/>
          <w:marBottom w:val="0"/>
          <w:divBdr>
            <w:top w:val="none" w:sz="0" w:space="0" w:color="auto"/>
            <w:left w:val="none" w:sz="0" w:space="0" w:color="auto"/>
            <w:bottom w:val="none" w:sz="0" w:space="0" w:color="auto"/>
            <w:right w:val="none" w:sz="0" w:space="0" w:color="auto"/>
          </w:divBdr>
          <w:divsChild>
            <w:div w:id="1844127860">
              <w:marLeft w:val="0"/>
              <w:marRight w:val="0"/>
              <w:marTop w:val="0"/>
              <w:marBottom w:val="0"/>
              <w:divBdr>
                <w:top w:val="none" w:sz="0" w:space="0" w:color="auto"/>
                <w:left w:val="none" w:sz="0" w:space="0" w:color="auto"/>
                <w:bottom w:val="none" w:sz="0" w:space="0" w:color="auto"/>
                <w:right w:val="none" w:sz="0" w:space="0" w:color="auto"/>
              </w:divBdr>
              <w:divsChild>
                <w:div w:id="369115524">
                  <w:marLeft w:val="0"/>
                  <w:marRight w:val="0"/>
                  <w:marTop w:val="120"/>
                  <w:marBottom w:val="0"/>
                  <w:divBdr>
                    <w:top w:val="none" w:sz="0" w:space="0" w:color="auto"/>
                    <w:left w:val="none" w:sz="0" w:space="0" w:color="auto"/>
                    <w:bottom w:val="none" w:sz="0" w:space="0" w:color="auto"/>
                    <w:right w:val="none" w:sz="0" w:space="0" w:color="auto"/>
                  </w:divBdr>
                </w:div>
                <w:div w:id="189839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7566">
      <w:bodyDiv w:val="1"/>
      <w:marLeft w:val="0"/>
      <w:marRight w:val="0"/>
      <w:marTop w:val="0"/>
      <w:marBottom w:val="0"/>
      <w:divBdr>
        <w:top w:val="none" w:sz="0" w:space="0" w:color="auto"/>
        <w:left w:val="none" w:sz="0" w:space="0" w:color="auto"/>
        <w:bottom w:val="none" w:sz="0" w:space="0" w:color="auto"/>
        <w:right w:val="none" w:sz="0" w:space="0" w:color="auto"/>
      </w:divBdr>
      <w:divsChild>
        <w:div w:id="1338996611">
          <w:marLeft w:val="0"/>
          <w:marRight w:val="0"/>
          <w:marTop w:val="0"/>
          <w:marBottom w:val="0"/>
          <w:divBdr>
            <w:top w:val="none" w:sz="0" w:space="0" w:color="auto"/>
            <w:left w:val="none" w:sz="0" w:space="0" w:color="auto"/>
            <w:bottom w:val="none" w:sz="0" w:space="0" w:color="auto"/>
            <w:right w:val="none" w:sz="0" w:space="0" w:color="auto"/>
          </w:divBdr>
          <w:divsChild>
            <w:div w:id="1105686498">
              <w:marLeft w:val="0"/>
              <w:marRight w:val="0"/>
              <w:marTop w:val="0"/>
              <w:marBottom w:val="0"/>
              <w:divBdr>
                <w:top w:val="none" w:sz="0" w:space="0" w:color="auto"/>
                <w:left w:val="none" w:sz="0" w:space="0" w:color="auto"/>
                <w:bottom w:val="none" w:sz="0" w:space="0" w:color="auto"/>
                <w:right w:val="none" w:sz="0" w:space="0" w:color="auto"/>
              </w:divBdr>
            </w:div>
          </w:divsChild>
        </w:div>
        <w:div w:id="1003121099">
          <w:marLeft w:val="0"/>
          <w:marRight w:val="0"/>
          <w:marTop w:val="0"/>
          <w:marBottom w:val="0"/>
          <w:divBdr>
            <w:top w:val="none" w:sz="0" w:space="0" w:color="auto"/>
            <w:left w:val="none" w:sz="0" w:space="0" w:color="auto"/>
            <w:bottom w:val="none" w:sz="0" w:space="0" w:color="auto"/>
            <w:right w:val="none" w:sz="0" w:space="0" w:color="auto"/>
          </w:divBdr>
          <w:divsChild>
            <w:div w:id="39053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566720">
      <w:bodyDiv w:val="1"/>
      <w:marLeft w:val="0"/>
      <w:marRight w:val="0"/>
      <w:marTop w:val="0"/>
      <w:marBottom w:val="0"/>
      <w:divBdr>
        <w:top w:val="none" w:sz="0" w:space="0" w:color="auto"/>
        <w:left w:val="none" w:sz="0" w:space="0" w:color="auto"/>
        <w:bottom w:val="none" w:sz="0" w:space="0" w:color="auto"/>
        <w:right w:val="none" w:sz="0" w:space="0" w:color="auto"/>
      </w:divBdr>
    </w:div>
    <w:div w:id="837160378">
      <w:bodyDiv w:val="1"/>
      <w:marLeft w:val="0"/>
      <w:marRight w:val="0"/>
      <w:marTop w:val="0"/>
      <w:marBottom w:val="0"/>
      <w:divBdr>
        <w:top w:val="none" w:sz="0" w:space="0" w:color="auto"/>
        <w:left w:val="none" w:sz="0" w:space="0" w:color="auto"/>
        <w:bottom w:val="none" w:sz="0" w:space="0" w:color="auto"/>
        <w:right w:val="none" w:sz="0" w:space="0" w:color="auto"/>
      </w:divBdr>
    </w:div>
    <w:div w:id="840122215">
      <w:bodyDiv w:val="1"/>
      <w:marLeft w:val="0"/>
      <w:marRight w:val="0"/>
      <w:marTop w:val="0"/>
      <w:marBottom w:val="0"/>
      <w:divBdr>
        <w:top w:val="none" w:sz="0" w:space="0" w:color="auto"/>
        <w:left w:val="none" w:sz="0" w:space="0" w:color="auto"/>
        <w:bottom w:val="none" w:sz="0" w:space="0" w:color="auto"/>
        <w:right w:val="none" w:sz="0" w:space="0" w:color="auto"/>
      </w:divBdr>
      <w:divsChild>
        <w:div w:id="982395505">
          <w:marLeft w:val="0"/>
          <w:marRight w:val="0"/>
          <w:marTop w:val="0"/>
          <w:marBottom w:val="0"/>
          <w:divBdr>
            <w:top w:val="none" w:sz="0" w:space="0" w:color="auto"/>
            <w:left w:val="none" w:sz="0" w:space="0" w:color="auto"/>
            <w:bottom w:val="none" w:sz="0" w:space="0" w:color="auto"/>
            <w:right w:val="none" w:sz="0" w:space="0" w:color="auto"/>
          </w:divBdr>
          <w:divsChild>
            <w:div w:id="851528691">
              <w:marLeft w:val="0"/>
              <w:marRight w:val="0"/>
              <w:marTop w:val="0"/>
              <w:marBottom w:val="0"/>
              <w:divBdr>
                <w:top w:val="none" w:sz="0" w:space="0" w:color="auto"/>
                <w:left w:val="none" w:sz="0" w:space="0" w:color="auto"/>
                <w:bottom w:val="none" w:sz="0" w:space="0" w:color="auto"/>
                <w:right w:val="none" w:sz="0" w:space="0" w:color="auto"/>
              </w:divBdr>
              <w:divsChild>
                <w:div w:id="951210780">
                  <w:marLeft w:val="0"/>
                  <w:marRight w:val="0"/>
                  <w:marTop w:val="0"/>
                  <w:marBottom w:val="0"/>
                  <w:divBdr>
                    <w:top w:val="none" w:sz="0" w:space="0" w:color="auto"/>
                    <w:left w:val="none" w:sz="0" w:space="0" w:color="auto"/>
                    <w:bottom w:val="none" w:sz="0" w:space="0" w:color="auto"/>
                    <w:right w:val="none" w:sz="0" w:space="0" w:color="auto"/>
                  </w:divBdr>
                  <w:divsChild>
                    <w:div w:id="1433165582">
                      <w:marLeft w:val="0"/>
                      <w:marRight w:val="0"/>
                      <w:marTop w:val="120"/>
                      <w:marBottom w:val="0"/>
                      <w:divBdr>
                        <w:top w:val="none" w:sz="0" w:space="0" w:color="auto"/>
                        <w:left w:val="none" w:sz="0" w:space="0" w:color="auto"/>
                        <w:bottom w:val="none" w:sz="0" w:space="0" w:color="auto"/>
                        <w:right w:val="none" w:sz="0" w:space="0" w:color="auto"/>
                      </w:divBdr>
                    </w:div>
                    <w:div w:id="882256123">
                      <w:marLeft w:val="0"/>
                      <w:marRight w:val="0"/>
                      <w:marTop w:val="0"/>
                      <w:marBottom w:val="0"/>
                      <w:divBdr>
                        <w:top w:val="none" w:sz="0" w:space="0" w:color="auto"/>
                        <w:left w:val="none" w:sz="0" w:space="0" w:color="auto"/>
                        <w:bottom w:val="none" w:sz="0" w:space="0" w:color="auto"/>
                        <w:right w:val="none" w:sz="0" w:space="0" w:color="auto"/>
                      </w:divBdr>
                    </w:div>
                  </w:divsChild>
                </w:div>
                <w:div w:id="1247963283">
                  <w:marLeft w:val="0"/>
                  <w:marRight w:val="0"/>
                  <w:marTop w:val="0"/>
                  <w:marBottom w:val="0"/>
                  <w:divBdr>
                    <w:top w:val="none" w:sz="0" w:space="0" w:color="auto"/>
                    <w:left w:val="none" w:sz="0" w:space="0" w:color="auto"/>
                    <w:bottom w:val="none" w:sz="0" w:space="0" w:color="auto"/>
                    <w:right w:val="none" w:sz="0" w:space="0" w:color="auto"/>
                  </w:divBdr>
                  <w:divsChild>
                    <w:div w:id="105853715">
                      <w:marLeft w:val="0"/>
                      <w:marRight w:val="0"/>
                      <w:marTop w:val="120"/>
                      <w:marBottom w:val="0"/>
                      <w:divBdr>
                        <w:top w:val="none" w:sz="0" w:space="0" w:color="auto"/>
                        <w:left w:val="none" w:sz="0" w:space="0" w:color="auto"/>
                        <w:bottom w:val="none" w:sz="0" w:space="0" w:color="auto"/>
                        <w:right w:val="none" w:sz="0" w:space="0" w:color="auto"/>
                      </w:divBdr>
                    </w:div>
                    <w:div w:id="2319252">
                      <w:marLeft w:val="0"/>
                      <w:marRight w:val="0"/>
                      <w:marTop w:val="0"/>
                      <w:marBottom w:val="0"/>
                      <w:divBdr>
                        <w:top w:val="none" w:sz="0" w:space="0" w:color="auto"/>
                        <w:left w:val="none" w:sz="0" w:space="0" w:color="auto"/>
                        <w:bottom w:val="none" w:sz="0" w:space="0" w:color="auto"/>
                        <w:right w:val="none" w:sz="0" w:space="0" w:color="auto"/>
                      </w:divBdr>
                    </w:div>
                  </w:divsChild>
                </w:div>
                <w:div w:id="1064333668">
                  <w:marLeft w:val="0"/>
                  <w:marRight w:val="0"/>
                  <w:marTop w:val="0"/>
                  <w:marBottom w:val="0"/>
                  <w:divBdr>
                    <w:top w:val="none" w:sz="0" w:space="0" w:color="auto"/>
                    <w:left w:val="none" w:sz="0" w:space="0" w:color="auto"/>
                    <w:bottom w:val="none" w:sz="0" w:space="0" w:color="auto"/>
                    <w:right w:val="none" w:sz="0" w:space="0" w:color="auto"/>
                  </w:divBdr>
                  <w:divsChild>
                    <w:div w:id="2047094173">
                      <w:marLeft w:val="0"/>
                      <w:marRight w:val="0"/>
                      <w:marTop w:val="120"/>
                      <w:marBottom w:val="0"/>
                      <w:divBdr>
                        <w:top w:val="none" w:sz="0" w:space="0" w:color="auto"/>
                        <w:left w:val="none" w:sz="0" w:space="0" w:color="auto"/>
                        <w:bottom w:val="none" w:sz="0" w:space="0" w:color="auto"/>
                        <w:right w:val="none" w:sz="0" w:space="0" w:color="auto"/>
                      </w:divBdr>
                    </w:div>
                    <w:div w:id="173547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726332">
          <w:marLeft w:val="0"/>
          <w:marRight w:val="0"/>
          <w:marTop w:val="0"/>
          <w:marBottom w:val="0"/>
          <w:divBdr>
            <w:top w:val="none" w:sz="0" w:space="0" w:color="auto"/>
            <w:left w:val="none" w:sz="0" w:space="0" w:color="auto"/>
            <w:bottom w:val="none" w:sz="0" w:space="0" w:color="auto"/>
            <w:right w:val="none" w:sz="0" w:space="0" w:color="auto"/>
          </w:divBdr>
          <w:divsChild>
            <w:div w:id="873351467">
              <w:marLeft w:val="0"/>
              <w:marRight w:val="0"/>
              <w:marTop w:val="0"/>
              <w:marBottom w:val="0"/>
              <w:divBdr>
                <w:top w:val="none" w:sz="0" w:space="0" w:color="auto"/>
                <w:left w:val="none" w:sz="0" w:space="0" w:color="auto"/>
                <w:bottom w:val="none" w:sz="0" w:space="0" w:color="auto"/>
                <w:right w:val="none" w:sz="0" w:space="0" w:color="auto"/>
              </w:divBdr>
              <w:divsChild>
                <w:div w:id="498275991">
                  <w:marLeft w:val="0"/>
                  <w:marRight w:val="0"/>
                  <w:marTop w:val="0"/>
                  <w:marBottom w:val="0"/>
                  <w:divBdr>
                    <w:top w:val="none" w:sz="0" w:space="0" w:color="auto"/>
                    <w:left w:val="none" w:sz="0" w:space="0" w:color="auto"/>
                    <w:bottom w:val="none" w:sz="0" w:space="0" w:color="auto"/>
                    <w:right w:val="none" w:sz="0" w:space="0" w:color="auto"/>
                  </w:divBdr>
                  <w:divsChild>
                    <w:div w:id="1120614233">
                      <w:marLeft w:val="0"/>
                      <w:marRight w:val="0"/>
                      <w:marTop w:val="120"/>
                      <w:marBottom w:val="0"/>
                      <w:divBdr>
                        <w:top w:val="none" w:sz="0" w:space="0" w:color="auto"/>
                        <w:left w:val="none" w:sz="0" w:space="0" w:color="auto"/>
                        <w:bottom w:val="none" w:sz="0" w:space="0" w:color="auto"/>
                        <w:right w:val="none" w:sz="0" w:space="0" w:color="auto"/>
                      </w:divBdr>
                    </w:div>
                    <w:div w:id="1870096308">
                      <w:marLeft w:val="0"/>
                      <w:marRight w:val="0"/>
                      <w:marTop w:val="0"/>
                      <w:marBottom w:val="0"/>
                      <w:divBdr>
                        <w:top w:val="none" w:sz="0" w:space="0" w:color="auto"/>
                        <w:left w:val="none" w:sz="0" w:space="0" w:color="auto"/>
                        <w:bottom w:val="none" w:sz="0" w:space="0" w:color="auto"/>
                        <w:right w:val="none" w:sz="0" w:space="0" w:color="auto"/>
                      </w:divBdr>
                    </w:div>
                  </w:divsChild>
                </w:div>
                <w:div w:id="1809662949">
                  <w:marLeft w:val="0"/>
                  <w:marRight w:val="0"/>
                  <w:marTop w:val="0"/>
                  <w:marBottom w:val="0"/>
                  <w:divBdr>
                    <w:top w:val="none" w:sz="0" w:space="0" w:color="auto"/>
                    <w:left w:val="none" w:sz="0" w:space="0" w:color="auto"/>
                    <w:bottom w:val="none" w:sz="0" w:space="0" w:color="auto"/>
                    <w:right w:val="none" w:sz="0" w:space="0" w:color="auto"/>
                  </w:divBdr>
                  <w:divsChild>
                    <w:div w:id="897712324">
                      <w:marLeft w:val="0"/>
                      <w:marRight w:val="0"/>
                      <w:marTop w:val="120"/>
                      <w:marBottom w:val="0"/>
                      <w:divBdr>
                        <w:top w:val="none" w:sz="0" w:space="0" w:color="auto"/>
                        <w:left w:val="none" w:sz="0" w:space="0" w:color="auto"/>
                        <w:bottom w:val="none" w:sz="0" w:space="0" w:color="auto"/>
                        <w:right w:val="none" w:sz="0" w:space="0" w:color="auto"/>
                      </w:divBdr>
                    </w:div>
                    <w:div w:id="1547176400">
                      <w:marLeft w:val="0"/>
                      <w:marRight w:val="0"/>
                      <w:marTop w:val="0"/>
                      <w:marBottom w:val="0"/>
                      <w:divBdr>
                        <w:top w:val="none" w:sz="0" w:space="0" w:color="auto"/>
                        <w:left w:val="none" w:sz="0" w:space="0" w:color="auto"/>
                        <w:bottom w:val="none" w:sz="0" w:space="0" w:color="auto"/>
                        <w:right w:val="none" w:sz="0" w:space="0" w:color="auto"/>
                      </w:divBdr>
                    </w:div>
                  </w:divsChild>
                </w:div>
                <w:div w:id="1824079247">
                  <w:marLeft w:val="0"/>
                  <w:marRight w:val="0"/>
                  <w:marTop w:val="0"/>
                  <w:marBottom w:val="0"/>
                  <w:divBdr>
                    <w:top w:val="none" w:sz="0" w:space="0" w:color="auto"/>
                    <w:left w:val="none" w:sz="0" w:space="0" w:color="auto"/>
                    <w:bottom w:val="none" w:sz="0" w:space="0" w:color="auto"/>
                    <w:right w:val="none" w:sz="0" w:space="0" w:color="auto"/>
                  </w:divBdr>
                  <w:divsChild>
                    <w:div w:id="1075393600">
                      <w:marLeft w:val="0"/>
                      <w:marRight w:val="0"/>
                      <w:marTop w:val="120"/>
                      <w:marBottom w:val="0"/>
                      <w:divBdr>
                        <w:top w:val="none" w:sz="0" w:space="0" w:color="auto"/>
                        <w:left w:val="none" w:sz="0" w:space="0" w:color="auto"/>
                        <w:bottom w:val="none" w:sz="0" w:space="0" w:color="auto"/>
                        <w:right w:val="none" w:sz="0" w:space="0" w:color="auto"/>
                      </w:divBdr>
                    </w:div>
                    <w:div w:id="28666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477401">
          <w:marLeft w:val="0"/>
          <w:marRight w:val="0"/>
          <w:marTop w:val="0"/>
          <w:marBottom w:val="0"/>
          <w:divBdr>
            <w:top w:val="none" w:sz="0" w:space="0" w:color="auto"/>
            <w:left w:val="none" w:sz="0" w:space="0" w:color="auto"/>
            <w:bottom w:val="none" w:sz="0" w:space="0" w:color="auto"/>
            <w:right w:val="none" w:sz="0" w:space="0" w:color="auto"/>
          </w:divBdr>
          <w:divsChild>
            <w:div w:id="2003466486">
              <w:marLeft w:val="0"/>
              <w:marRight w:val="0"/>
              <w:marTop w:val="0"/>
              <w:marBottom w:val="0"/>
              <w:divBdr>
                <w:top w:val="none" w:sz="0" w:space="0" w:color="auto"/>
                <w:left w:val="none" w:sz="0" w:space="0" w:color="auto"/>
                <w:bottom w:val="none" w:sz="0" w:space="0" w:color="auto"/>
                <w:right w:val="none" w:sz="0" w:space="0" w:color="auto"/>
              </w:divBdr>
              <w:divsChild>
                <w:div w:id="587930723">
                  <w:marLeft w:val="0"/>
                  <w:marRight w:val="0"/>
                  <w:marTop w:val="0"/>
                  <w:marBottom w:val="0"/>
                  <w:divBdr>
                    <w:top w:val="none" w:sz="0" w:space="0" w:color="auto"/>
                    <w:left w:val="none" w:sz="0" w:space="0" w:color="auto"/>
                    <w:bottom w:val="none" w:sz="0" w:space="0" w:color="auto"/>
                    <w:right w:val="none" w:sz="0" w:space="0" w:color="auto"/>
                  </w:divBdr>
                  <w:divsChild>
                    <w:div w:id="1377584533">
                      <w:marLeft w:val="0"/>
                      <w:marRight w:val="0"/>
                      <w:marTop w:val="120"/>
                      <w:marBottom w:val="0"/>
                      <w:divBdr>
                        <w:top w:val="none" w:sz="0" w:space="0" w:color="auto"/>
                        <w:left w:val="none" w:sz="0" w:space="0" w:color="auto"/>
                        <w:bottom w:val="none" w:sz="0" w:space="0" w:color="auto"/>
                        <w:right w:val="none" w:sz="0" w:space="0" w:color="auto"/>
                      </w:divBdr>
                    </w:div>
                    <w:div w:id="150289947">
                      <w:marLeft w:val="0"/>
                      <w:marRight w:val="0"/>
                      <w:marTop w:val="0"/>
                      <w:marBottom w:val="0"/>
                      <w:divBdr>
                        <w:top w:val="none" w:sz="0" w:space="0" w:color="auto"/>
                        <w:left w:val="none" w:sz="0" w:space="0" w:color="auto"/>
                        <w:bottom w:val="none" w:sz="0" w:space="0" w:color="auto"/>
                        <w:right w:val="none" w:sz="0" w:space="0" w:color="auto"/>
                      </w:divBdr>
                    </w:div>
                  </w:divsChild>
                </w:div>
                <w:div w:id="1485967161">
                  <w:marLeft w:val="0"/>
                  <w:marRight w:val="0"/>
                  <w:marTop w:val="0"/>
                  <w:marBottom w:val="0"/>
                  <w:divBdr>
                    <w:top w:val="none" w:sz="0" w:space="0" w:color="auto"/>
                    <w:left w:val="none" w:sz="0" w:space="0" w:color="auto"/>
                    <w:bottom w:val="none" w:sz="0" w:space="0" w:color="auto"/>
                    <w:right w:val="none" w:sz="0" w:space="0" w:color="auto"/>
                  </w:divBdr>
                  <w:divsChild>
                    <w:div w:id="344672515">
                      <w:marLeft w:val="0"/>
                      <w:marRight w:val="0"/>
                      <w:marTop w:val="120"/>
                      <w:marBottom w:val="0"/>
                      <w:divBdr>
                        <w:top w:val="none" w:sz="0" w:space="0" w:color="auto"/>
                        <w:left w:val="none" w:sz="0" w:space="0" w:color="auto"/>
                        <w:bottom w:val="none" w:sz="0" w:space="0" w:color="auto"/>
                        <w:right w:val="none" w:sz="0" w:space="0" w:color="auto"/>
                      </w:divBdr>
                    </w:div>
                    <w:div w:id="614558620">
                      <w:marLeft w:val="0"/>
                      <w:marRight w:val="0"/>
                      <w:marTop w:val="0"/>
                      <w:marBottom w:val="0"/>
                      <w:divBdr>
                        <w:top w:val="none" w:sz="0" w:space="0" w:color="auto"/>
                        <w:left w:val="none" w:sz="0" w:space="0" w:color="auto"/>
                        <w:bottom w:val="none" w:sz="0" w:space="0" w:color="auto"/>
                        <w:right w:val="none" w:sz="0" w:space="0" w:color="auto"/>
                      </w:divBdr>
                    </w:div>
                  </w:divsChild>
                </w:div>
                <w:div w:id="2128042594">
                  <w:marLeft w:val="0"/>
                  <w:marRight w:val="0"/>
                  <w:marTop w:val="0"/>
                  <w:marBottom w:val="0"/>
                  <w:divBdr>
                    <w:top w:val="none" w:sz="0" w:space="0" w:color="auto"/>
                    <w:left w:val="none" w:sz="0" w:space="0" w:color="auto"/>
                    <w:bottom w:val="none" w:sz="0" w:space="0" w:color="auto"/>
                    <w:right w:val="none" w:sz="0" w:space="0" w:color="auto"/>
                  </w:divBdr>
                  <w:divsChild>
                    <w:div w:id="441875192">
                      <w:marLeft w:val="0"/>
                      <w:marRight w:val="0"/>
                      <w:marTop w:val="120"/>
                      <w:marBottom w:val="0"/>
                      <w:divBdr>
                        <w:top w:val="none" w:sz="0" w:space="0" w:color="auto"/>
                        <w:left w:val="none" w:sz="0" w:space="0" w:color="auto"/>
                        <w:bottom w:val="none" w:sz="0" w:space="0" w:color="auto"/>
                        <w:right w:val="none" w:sz="0" w:space="0" w:color="auto"/>
                      </w:divBdr>
                    </w:div>
                    <w:div w:id="100312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169923">
      <w:bodyDiv w:val="1"/>
      <w:marLeft w:val="0"/>
      <w:marRight w:val="0"/>
      <w:marTop w:val="0"/>
      <w:marBottom w:val="0"/>
      <w:divBdr>
        <w:top w:val="none" w:sz="0" w:space="0" w:color="auto"/>
        <w:left w:val="none" w:sz="0" w:space="0" w:color="auto"/>
        <w:bottom w:val="none" w:sz="0" w:space="0" w:color="auto"/>
        <w:right w:val="none" w:sz="0" w:space="0" w:color="auto"/>
      </w:divBdr>
      <w:divsChild>
        <w:div w:id="698286264">
          <w:marLeft w:val="0"/>
          <w:marRight w:val="0"/>
          <w:marTop w:val="0"/>
          <w:marBottom w:val="0"/>
          <w:divBdr>
            <w:top w:val="none" w:sz="0" w:space="0" w:color="auto"/>
            <w:left w:val="none" w:sz="0" w:space="0" w:color="auto"/>
            <w:bottom w:val="none" w:sz="0" w:space="0" w:color="auto"/>
            <w:right w:val="none" w:sz="0" w:space="0" w:color="auto"/>
          </w:divBdr>
          <w:divsChild>
            <w:div w:id="207225603">
              <w:marLeft w:val="0"/>
              <w:marRight w:val="0"/>
              <w:marTop w:val="120"/>
              <w:marBottom w:val="0"/>
              <w:divBdr>
                <w:top w:val="none" w:sz="0" w:space="0" w:color="auto"/>
                <w:left w:val="none" w:sz="0" w:space="0" w:color="auto"/>
                <w:bottom w:val="none" w:sz="0" w:space="0" w:color="auto"/>
                <w:right w:val="none" w:sz="0" w:space="0" w:color="auto"/>
              </w:divBdr>
            </w:div>
            <w:div w:id="474756858">
              <w:marLeft w:val="0"/>
              <w:marRight w:val="0"/>
              <w:marTop w:val="0"/>
              <w:marBottom w:val="0"/>
              <w:divBdr>
                <w:top w:val="none" w:sz="0" w:space="0" w:color="auto"/>
                <w:left w:val="none" w:sz="0" w:space="0" w:color="auto"/>
                <w:bottom w:val="none" w:sz="0" w:space="0" w:color="auto"/>
                <w:right w:val="none" w:sz="0" w:space="0" w:color="auto"/>
              </w:divBdr>
            </w:div>
          </w:divsChild>
        </w:div>
        <w:div w:id="1270240787">
          <w:marLeft w:val="0"/>
          <w:marRight w:val="0"/>
          <w:marTop w:val="0"/>
          <w:marBottom w:val="0"/>
          <w:divBdr>
            <w:top w:val="none" w:sz="0" w:space="0" w:color="auto"/>
            <w:left w:val="none" w:sz="0" w:space="0" w:color="auto"/>
            <w:bottom w:val="none" w:sz="0" w:space="0" w:color="auto"/>
            <w:right w:val="none" w:sz="0" w:space="0" w:color="auto"/>
          </w:divBdr>
          <w:divsChild>
            <w:div w:id="567233739">
              <w:marLeft w:val="0"/>
              <w:marRight w:val="0"/>
              <w:marTop w:val="120"/>
              <w:marBottom w:val="0"/>
              <w:divBdr>
                <w:top w:val="none" w:sz="0" w:space="0" w:color="auto"/>
                <w:left w:val="none" w:sz="0" w:space="0" w:color="auto"/>
                <w:bottom w:val="none" w:sz="0" w:space="0" w:color="auto"/>
                <w:right w:val="none" w:sz="0" w:space="0" w:color="auto"/>
              </w:divBdr>
            </w:div>
            <w:div w:id="55381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954879">
      <w:bodyDiv w:val="1"/>
      <w:marLeft w:val="0"/>
      <w:marRight w:val="0"/>
      <w:marTop w:val="0"/>
      <w:marBottom w:val="0"/>
      <w:divBdr>
        <w:top w:val="none" w:sz="0" w:space="0" w:color="auto"/>
        <w:left w:val="none" w:sz="0" w:space="0" w:color="auto"/>
        <w:bottom w:val="none" w:sz="0" w:space="0" w:color="auto"/>
        <w:right w:val="none" w:sz="0" w:space="0" w:color="auto"/>
      </w:divBdr>
      <w:divsChild>
        <w:div w:id="1119252720">
          <w:marLeft w:val="0"/>
          <w:marRight w:val="0"/>
          <w:marTop w:val="0"/>
          <w:marBottom w:val="0"/>
          <w:divBdr>
            <w:top w:val="none" w:sz="0" w:space="0" w:color="auto"/>
            <w:left w:val="none" w:sz="0" w:space="0" w:color="auto"/>
            <w:bottom w:val="none" w:sz="0" w:space="0" w:color="auto"/>
            <w:right w:val="none" w:sz="0" w:space="0" w:color="auto"/>
          </w:divBdr>
          <w:divsChild>
            <w:div w:id="342899264">
              <w:marLeft w:val="0"/>
              <w:marRight w:val="0"/>
              <w:marTop w:val="0"/>
              <w:marBottom w:val="0"/>
              <w:divBdr>
                <w:top w:val="none" w:sz="0" w:space="0" w:color="auto"/>
                <w:left w:val="none" w:sz="0" w:space="0" w:color="auto"/>
                <w:bottom w:val="none" w:sz="0" w:space="0" w:color="auto"/>
                <w:right w:val="none" w:sz="0" w:space="0" w:color="auto"/>
              </w:divBdr>
            </w:div>
          </w:divsChild>
        </w:div>
        <w:div w:id="333922937">
          <w:marLeft w:val="0"/>
          <w:marRight w:val="0"/>
          <w:marTop w:val="0"/>
          <w:marBottom w:val="0"/>
          <w:divBdr>
            <w:top w:val="none" w:sz="0" w:space="0" w:color="auto"/>
            <w:left w:val="none" w:sz="0" w:space="0" w:color="auto"/>
            <w:bottom w:val="none" w:sz="0" w:space="0" w:color="auto"/>
            <w:right w:val="none" w:sz="0" w:space="0" w:color="auto"/>
          </w:divBdr>
          <w:divsChild>
            <w:div w:id="1506087104">
              <w:marLeft w:val="0"/>
              <w:marRight w:val="0"/>
              <w:marTop w:val="0"/>
              <w:marBottom w:val="0"/>
              <w:divBdr>
                <w:top w:val="none" w:sz="0" w:space="0" w:color="auto"/>
                <w:left w:val="none" w:sz="0" w:space="0" w:color="auto"/>
                <w:bottom w:val="none" w:sz="0" w:space="0" w:color="auto"/>
                <w:right w:val="none" w:sz="0" w:space="0" w:color="auto"/>
              </w:divBdr>
            </w:div>
          </w:divsChild>
        </w:div>
        <w:div w:id="11687572">
          <w:marLeft w:val="0"/>
          <w:marRight w:val="0"/>
          <w:marTop w:val="0"/>
          <w:marBottom w:val="0"/>
          <w:divBdr>
            <w:top w:val="none" w:sz="0" w:space="0" w:color="auto"/>
            <w:left w:val="none" w:sz="0" w:space="0" w:color="auto"/>
            <w:bottom w:val="none" w:sz="0" w:space="0" w:color="auto"/>
            <w:right w:val="none" w:sz="0" w:space="0" w:color="auto"/>
          </w:divBdr>
          <w:divsChild>
            <w:div w:id="1147356028">
              <w:marLeft w:val="0"/>
              <w:marRight w:val="0"/>
              <w:marTop w:val="0"/>
              <w:marBottom w:val="0"/>
              <w:divBdr>
                <w:top w:val="none" w:sz="0" w:space="0" w:color="auto"/>
                <w:left w:val="none" w:sz="0" w:space="0" w:color="auto"/>
                <w:bottom w:val="none" w:sz="0" w:space="0" w:color="auto"/>
                <w:right w:val="none" w:sz="0" w:space="0" w:color="auto"/>
              </w:divBdr>
            </w:div>
          </w:divsChild>
        </w:div>
        <w:div w:id="1720010849">
          <w:marLeft w:val="0"/>
          <w:marRight w:val="0"/>
          <w:marTop w:val="0"/>
          <w:marBottom w:val="0"/>
          <w:divBdr>
            <w:top w:val="none" w:sz="0" w:space="0" w:color="auto"/>
            <w:left w:val="none" w:sz="0" w:space="0" w:color="auto"/>
            <w:bottom w:val="none" w:sz="0" w:space="0" w:color="auto"/>
            <w:right w:val="none" w:sz="0" w:space="0" w:color="auto"/>
          </w:divBdr>
          <w:divsChild>
            <w:div w:id="2085106034">
              <w:marLeft w:val="0"/>
              <w:marRight w:val="0"/>
              <w:marTop w:val="0"/>
              <w:marBottom w:val="0"/>
              <w:divBdr>
                <w:top w:val="none" w:sz="0" w:space="0" w:color="auto"/>
                <w:left w:val="none" w:sz="0" w:space="0" w:color="auto"/>
                <w:bottom w:val="none" w:sz="0" w:space="0" w:color="auto"/>
                <w:right w:val="none" w:sz="0" w:space="0" w:color="auto"/>
              </w:divBdr>
            </w:div>
          </w:divsChild>
        </w:div>
        <w:div w:id="576792490">
          <w:marLeft w:val="0"/>
          <w:marRight w:val="0"/>
          <w:marTop w:val="0"/>
          <w:marBottom w:val="0"/>
          <w:divBdr>
            <w:top w:val="none" w:sz="0" w:space="0" w:color="auto"/>
            <w:left w:val="none" w:sz="0" w:space="0" w:color="auto"/>
            <w:bottom w:val="none" w:sz="0" w:space="0" w:color="auto"/>
            <w:right w:val="none" w:sz="0" w:space="0" w:color="auto"/>
          </w:divBdr>
          <w:divsChild>
            <w:div w:id="1540045639">
              <w:marLeft w:val="0"/>
              <w:marRight w:val="0"/>
              <w:marTop w:val="0"/>
              <w:marBottom w:val="0"/>
              <w:divBdr>
                <w:top w:val="none" w:sz="0" w:space="0" w:color="auto"/>
                <w:left w:val="none" w:sz="0" w:space="0" w:color="auto"/>
                <w:bottom w:val="none" w:sz="0" w:space="0" w:color="auto"/>
                <w:right w:val="none" w:sz="0" w:space="0" w:color="auto"/>
              </w:divBdr>
            </w:div>
          </w:divsChild>
        </w:div>
        <w:div w:id="1376393017">
          <w:marLeft w:val="0"/>
          <w:marRight w:val="0"/>
          <w:marTop w:val="0"/>
          <w:marBottom w:val="0"/>
          <w:divBdr>
            <w:top w:val="none" w:sz="0" w:space="0" w:color="auto"/>
            <w:left w:val="none" w:sz="0" w:space="0" w:color="auto"/>
            <w:bottom w:val="none" w:sz="0" w:space="0" w:color="auto"/>
            <w:right w:val="none" w:sz="0" w:space="0" w:color="auto"/>
          </w:divBdr>
          <w:divsChild>
            <w:div w:id="779379749">
              <w:marLeft w:val="0"/>
              <w:marRight w:val="0"/>
              <w:marTop w:val="120"/>
              <w:marBottom w:val="0"/>
              <w:divBdr>
                <w:top w:val="none" w:sz="0" w:space="0" w:color="auto"/>
                <w:left w:val="none" w:sz="0" w:space="0" w:color="auto"/>
                <w:bottom w:val="none" w:sz="0" w:space="0" w:color="auto"/>
                <w:right w:val="none" w:sz="0" w:space="0" w:color="auto"/>
              </w:divBdr>
            </w:div>
            <w:div w:id="395127483">
              <w:marLeft w:val="0"/>
              <w:marRight w:val="0"/>
              <w:marTop w:val="0"/>
              <w:marBottom w:val="0"/>
              <w:divBdr>
                <w:top w:val="none" w:sz="0" w:space="0" w:color="auto"/>
                <w:left w:val="none" w:sz="0" w:space="0" w:color="auto"/>
                <w:bottom w:val="none" w:sz="0" w:space="0" w:color="auto"/>
                <w:right w:val="none" w:sz="0" w:space="0" w:color="auto"/>
              </w:divBdr>
            </w:div>
          </w:divsChild>
        </w:div>
        <w:div w:id="152962328">
          <w:marLeft w:val="0"/>
          <w:marRight w:val="0"/>
          <w:marTop w:val="0"/>
          <w:marBottom w:val="0"/>
          <w:divBdr>
            <w:top w:val="none" w:sz="0" w:space="0" w:color="auto"/>
            <w:left w:val="none" w:sz="0" w:space="0" w:color="auto"/>
            <w:bottom w:val="none" w:sz="0" w:space="0" w:color="auto"/>
            <w:right w:val="none" w:sz="0" w:space="0" w:color="auto"/>
          </w:divBdr>
          <w:divsChild>
            <w:div w:id="2132284799">
              <w:marLeft w:val="0"/>
              <w:marRight w:val="0"/>
              <w:marTop w:val="120"/>
              <w:marBottom w:val="0"/>
              <w:divBdr>
                <w:top w:val="none" w:sz="0" w:space="0" w:color="auto"/>
                <w:left w:val="none" w:sz="0" w:space="0" w:color="auto"/>
                <w:bottom w:val="none" w:sz="0" w:space="0" w:color="auto"/>
                <w:right w:val="none" w:sz="0" w:space="0" w:color="auto"/>
              </w:divBdr>
            </w:div>
            <w:div w:id="1185633059">
              <w:marLeft w:val="0"/>
              <w:marRight w:val="0"/>
              <w:marTop w:val="0"/>
              <w:marBottom w:val="0"/>
              <w:divBdr>
                <w:top w:val="none" w:sz="0" w:space="0" w:color="auto"/>
                <w:left w:val="none" w:sz="0" w:space="0" w:color="auto"/>
                <w:bottom w:val="none" w:sz="0" w:space="0" w:color="auto"/>
                <w:right w:val="none" w:sz="0" w:space="0" w:color="auto"/>
              </w:divBdr>
            </w:div>
          </w:divsChild>
        </w:div>
        <w:div w:id="2113741463">
          <w:marLeft w:val="0"/>
          <w:marRight w:val="0"/>
          <w:marTop w:val="0"/>
          <w:marBottom w:val="0"/>
          <w:divBdr>
            <w:top w:val="none" w:sz="0" w:space="0" w:color="auto"/>
            <w:left w:val="none" w:sz="0" w:space="0" w:color="auto"/>
            <w:bottom w:val="none" w:sz="0" w:space="0" w:color="auto"/>
            <w:right w:val="none" w:sz="0" w:space="0" w:color="auto"/>
          </w:divBdr>
          <w:divsChild>
            <w:div w:id="754473343">
              <w:marLeft w:val="0"/>
              <w:marRight w:val="0"/>
              <w:marTop w:val="0"/>
              <w:marBottom w:val="0"/>
              <w:divBdr>
                <w:top w:val="none" w:sz="0" w:space="0" w:color="auto"/>
                <w:left w:val="none" w:sz="0" w:space="0" w:color="auto"/>
                <w:bottom w:val="none" w:sz="0" w:space="0" w:color="auto"/>
                <w:right w:val="none" w:sz="0" w:space="0" w:color="auto"/>
              </w:divBdr>
              <w:divsChild>
                <w:div w:id="1193685596">
                  <w:marLeft w:val="0"/>
                  <w:marRight w:val="0"/>
                  <w:marTop w:val="0"/>
                  <w:marBottom w:val="0"/>
                  <w:divBdr>
                    <w:top w:val="none" w:sz="0" w:space="0" w:color="auto"/>
                    <w:left w:val="none" w:sz="0" w:space="0" w:color="auto"/>
                    <w:bottom w:val="none" w:sz="0" w:space="0" w:color="auto"/>
                    <w:right w:val="none" w:sz="0" w:space="0" w:color="auto"/>
                  </w:divBdr>
                  <w:divsChild>
                    <w:div w:id="59906731">
                      <w:marLeft w:val="0"/>
                      <w:marRight w:val="0"/>
                      <w:marTop w:val="120"/>
                      <w:marBottom w:val="0"/>
                      <w:divBdr>
                        <w:top w:val="none" w:sz="0" w:space="0" w:color="auto"/>
                        <w:left w:val="none" w:sz="0" w:space="0" w:color="auto"/>
                        <w:bottom w:val="none" w:sz="0" w:space="0" w:color="auto"/>
                        <w:right w:val="none" w:sz="0" w:space="0" w:color="auto"/>
                      </w:divBdr>
                    </w:div>
                    <w:div w:id="252010518">
                      <w:marLeft w:val="0"/>
                      <w:marRight w:val="0"/>
                      <w:marTop w:val="0"/>
                      <w:marBottom w:val="0"/>
                      <w:divBdr>
                        <w:top w:val="none" w:sz="0" w:space="0" w:color="auto"/>
                        <w:left w:val="none" w:sz="0" w:space="0" w:color="auto"/>
                        <w:bottom w:val="none" w:sz="0" w:space="0" w:color="auto"/>
                        <w:right w:val="none" w:sz="0" w:space="0" w:color="auto"/>
                      </w:divBdr>
                      <w:divsChild>
                        <w:div w:id="2018462779">
                          <w:marLeft w:val="0"/>
                          <w:marRight w:val="0"/>
                          <w:marTop w:val="0"/>
                          <w:marBottom w:val="0"/>
                          <w:divBdr>
                            <w:top w:val="none" w:sz="0" w:space="0" w:color="auto"/>
                            <w:left w:val="none" w:sz="0" w:space="0" w:color="auto"/>
                            <w:bottom w:val="none" w:sz="0" w:space="0" w:color="auto"/>
                            <w:right w:val="none" w:sz="0" w:space="0" w:color="auto"/>
                          </w:divBdr>
                          <w:divsChild>
                            <w:div w:id="855996090">
                              <w:marLeft w:val="0"/>
                              <w:marRight w:val="0"/>
                              <w:marTop w:val="120"/>
                              <w:marBottom w:val="0"/>
                              <w:divBdr>
                                <w:top w:val="none" w:sz="0" w:space="0" w:color="auto"/>
                                <w:left w:val="none" w:sz="0" w:space="0" w:color="auto"/>
                                <w:bottom w:val="none" w:sz="0" w:space="0" w:color="auto"/>
                                <w:right w:val="none" w:sz="0" w:space="0" w:color="auto"/>
                              </w:divBdr>
                            </w:div>
                            <w:div w:id="1878927703">
                              <w:marLeft w:val="0"/>
                              <w:marRight w:val="0"/>
                              <w:marTop w:val="0"/>
                              <w:marBottom w:val="0"/>
                              <w:divBdr>
                                <w:top w:val="none" w:sz="0" w:space="0" w:color="auto"/>
                                <w:left w:val="none" w:sz="0" w:space="0" w:color="auto"/>
                                <w:bottom w:val="none" w:sz="0" w:space="0" w:color="auto"/>
                                <w:right w:val="none" w:sz="0" w:space="0" w:color="auto"/>
                              </w:divBdr>
                            </w:div>
                          </w:divsChild>
                        </w:div>
                        <w:div w:id="1223711764">
                          <w:marLeft w:val="0"/>
                          <w:marRight w:val="0"/>
                          <w:marTop w:val="0"/>
                          <w:marBottom w:val="0"/>
                          <w:divBdr>
                            <w:top w:val="none" w:sz="0" w:space="0" w:color="auto"/>
                            <w:left w:val="none" w:sz="0" w:space="0" w:color="auto"/>
                            <w:bottom w:val="none" w:sz="0" w:space="0" w:color="auto"/>
                            <w:right w:val="none" w:sz="0" w:space="0" w:color="auto"/>
                          </w:divBdr>
                          <w:divsChild>
                            <w:div w:id="414861371">
                              <w:marLeft w:val="0"/>
                              <w:marRight w:val="0"/>
                              <w:marTop w:val="120"/>
                              <w:marBottom w:val="0"/>
                              <w:divBdr>
                                <w:top w:val="none" w:sz="0" w:space="0" w:color="auto"/>
                                <w:left w:val="none" w:sz="0" w:space="0" w:color="auto"/>
                                <w:bottom w:val="none" w:sz="0" w:space="0" w:color="auto"/>
                                <w:right w:val="none" w:sz="0" w:space="0" w:color="auto"/>
                              </w:divBdr>
                            </w:div>
                            <w:div w:id="496386244">
                              <w:marLeft w:val="0"/>
                              <w:marRight w:val="0"/>
                              <w:marTop w:val="0"/>
                              <w:marBottom w:val="0"/>
                              <w:divBdr>
                                <w:top w:val="none" w:sz="0" w:space="0" w:color="auto"/>
                                <w:left w:val="none" w:sz="0" w:space="0" w:color="auto"/>
                                <w:bottom w:val="none" w:sz="0" w:space="0" w:color="auto"/>
                                <w:right w:val="none" w:sz="0" w:space="0" w:color="auto"/>
                              </w:divBdr>
                            </w:div>
                          </w:divsChild>
                        </w:div>
                        <w:div w:id="1998344658">
                          <w:marLeft w:val="0"/>
                          <w:marRight w:val="0"/>
                          <w:marTop w:val="0"/>
                          <w:marBottom w:val="0"/>
                          <w:divBdr>
                            <w:top w:val="none" w:sz="0" w:space="0" w:color="auto"/>
                            <w:left w:val="none" w:sz="0" w:space="0" w:color="auto"/>
                            <w:bottom w:val="none" w:sz="0" w:space="0" w:color="auto"/>
                            <w:right w:val="none" w:sz="0" w:space="0" w:color="auto"/>
                          </w:divBdr>
                          <w:divsChild>
                            <w:div w:id="475338033">
                              <w:marLeft w:val="0"/>
                              <w:marRight w:val="0"/>
                              <w:marTop w:val="120"/>
                              <w:marBottom w:val="0"/>
                              <w:divBdr>
                                <w:top w:val="none" w:sz="0" w:space="0" w:color="auto"/>
                                <w:left w:val="none" w:sz="0" w:space="0" w:color="auto"/>
                                <w:bottom w:val="none" w:sz="0" w:space="0" w:color="auto"/>
                                <w:right w:val="none" w:sz="0" w:space="0" w:color="auto"/>
                              </w:divBdr>
                            </w:div>
                            <w:div w:id="207935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014874">
                  <w:marLeft w:val="0"/>
                  <w:marRight w:val="0"/>
                  <w:marTop w:val="0"/>
                  <w:marBottom w:val="0"/>
                  <w:divBdr>
                    <w:top w:val="none" w:sz="0" w:space="0" w:color="auto"/>
                    <w:left w:val="none" w:sz="0" w:space="0" w:color="auto"/>
                    <w:bottom w:val="none" w:sz="0" w:space="0" w:color="auto"/>
                    <w:right w:val="none" w:sz="0" w:space="0" w:color="auto"/>
                  </w:divBdr>
                  <w:divsChild>
                    <w:div w:id="286933080">
                      <w:marLeft w:val="0"/>
                      <w:marRight w:val="0"/>
                      <w:marTop w:val="120"/>
                      <w:marBottom w:val="0"/>
                      <w:divBdr>
                        <w:top w:val="none" w:sz="0" w:space="0" w:color="auto"/>
                        <w:left w:val="none" w:sz="0" w:space="0" w:color="auto"/>
                        <w:bottom w:val="none" w:sz="0" w:space="0" w:color="auto"/>
                        <w:right w:val="none" w:sz="0" w:space="0" w:color="auto"/>
                      </w:divBdr>
                    </w:div>
                    <w:div w:id="29426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734378">
          <w:marLeft w:val="0"/>
          <w:marRight w:val="0"/>
          <w:marTop w:val="0"/>
          <w:marBottom w:val="0"/>
          <w:divBdr>
            <w:top w:val="none" w:sz="0" w:space="0" w:color="auto"/>
            <w:left w:val="none" w:sz="0" w:space="0" w:color="auto"/>
            <w:bottom w:val="none" w:sz="0" w:space="0" w:color="auto"/>
            <w:right w:val="none" w:sz="0" w:space="0" w:color="auto"/>
          </w:divBdr>
          <w:divsChild>
            <w:div w:id="45888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80747">
      <w:bodyDiv w:val="1"/>
      <w:marLeft w:val="0"/>
      <w:marRight w:val="0"/>
      <w:marTop w:val="0"/>
      <w:marBottom w:val="0"/>
      <w:divBdr>
        <w:top w:val="none" w:sz="0" w:space="0" w:color="auto"/>
        <w:left w:val="none" w:sz="0" w:space="0" w:color="auto"/>
        <w:bottom w:val="none" w:sz="0" w:space="0" w:color="auto"/>
        <w:right w:val="none" w:sz="0" w:space="0" w:color="auto"/>
      </w:divBdr>
      <w:divsChild>
        <w:div w:id="2077896367">
          <w:marLeft w:val="0"/>
          <w:marRight w:val="0"/>
          <w:marTop w:val="120"/>
          <w:marBottom w:val="0"/>
          <w:divBdr>
            <w:top w:val="none" w:sz="0" w:space="0" w:color="auto"/>
            <w:left w:val="none" w:sz="0" w:space="0" w:color="auto"/>
            <w:bottom w:val="none" w:sz="0" w:space="0" w:color="auto"/>
            <w:right w:val="none" w:sz="0" w:space="0" w:color="auto"/>
          </w:divBdr>
        </w:div>
        <w:div w:id="1402412829">
          <w:marLeft w:val="0"/>
          <w:marRight w:val="0"/>
          <w:marTop w:val="0"/>
          <w:marBottom w:val="0"/>
          <w:divBdr>
            <w:top w:val="none" w:sz="0" w:space="0" w:color="auto"/>
            <w:left w:val="none" w:sz="0" w:space="0" w:color="auto"/>
            <w:bottom w:val="none" w:sz="0" w:space="0" w:color="auto"/>
            <w:right w:val="none" w:sz="0" w:space="0" w:color="auto"/>
          </w:divBdr>
          <w:divsChild>
            <w:div w:id="2104034377">
              <w:marLeft w:val="0"/>
              <w:marRight w:val="0"/>
              <w:marTop w:val="0"/>
              <w:marBottom w:val="0"/>
              <w:divBdr>
                <w:top w:val="none" w:sz="0" w:space="0" w:color="auto"/>
                <w:left w:val="none" w:sz="0" w:space="0" w:color="auto"/>
                <w:bottom w:val="none" w:sz="0" w:space="0" w:color="auto"/>
                <w:right w:val="none" w:sz="0" w:space="0" w:color="auto"/>
              </w:divBdr>
              <w:divsChild>
                <w:div w:id="325015762">
                  <w:marLeft w:val="0"/>
                  <w:marRight w:val="0"/>
                  <w:marTop w:val="120"/>
                  <w:marBottom w:val="0"/>
                  <w:divBdr>
                    <w:top w:val="none" w:sz="0" w:space="0" w:color="auto"/>
                    <w:left w:val="none" w:sz="0" w:space="0" w:color="auto"/>
                    <w:bottom w:val="none" w:sz="0" w:space="0" w:color="auto"/>
                    <w:right w:val="none" w:sz="0" w:space="0" w:color="auto"/>
                  </w:divBdr>
                </w:div>
                <w:div w:id="143931729">
                  <w:marLeft w:val="0"/>
                  <w:marRight w:val="0"/>
                  <w:marTop w:val="0"/>
                  <w:marBottom w:val="0"/>
                  <w:divBdr>
                    <w:top w:val="none" w:sz="0" w:space="0" w:color="auto"/>
                    <w:left w:val="none" w:sz="0" w:space="0" w:color="auto"/>
                    <w:bottom w:val="none" w:sz="0" w:space="0" w:color="auto"/>
                    <w:right w:val="none" w:sz="0" w:space="0" w:color="auto"/>
                  </w:divBdr>
                </w:div>
              </w:divsChild>
            </w:div>
            <w:div w:id="2017419673">
              <w:marLeft w:val="0"/>
              <w:marRight w:val="0"/>
              <w:marTop w:val="0"/>
              <w:marBottom w:val="0"/>
              <w:divBdr>
                <w:top w:val="none" w:sz="0" w:space="0" w:color="auto"/>
                <w:left w:val="none" w:sz="0" w:space="0" w:color="auto"/>
                <w:bottom w:val="none" w:sz="0" w:space="0" w:color="auto"/>
                <w:right w:val="none" w:sz="0" w:space="0" w:color="auto"/>
              </w:divBdr>
              <w:divsChild>
                <w:div w:id="2039425904">
                  <w:marLeft w:val="0"/>
                  <w:marRight w:val="0"/>
                  <w:marTop w:val="120"/>
                  <w:marBottom w:val="0"/>
                  <w:divBdr>
                    <w:top w:val="none" w:sz="0" w:space="0" w:color="auto"/>
                    <w:left w:val="none" w:sz="0" w:space="0" w:color="auto"/>
                    <w:bottom w:val="none" w:sz="0" w:space="0" w:color="auto"/>
                    <w:right w:val="none" w:sz="0" w:space="0" w:color="auto"/>
                  </w:divBdr>
                </w:div>
                <w:div w:id="2113164540">
                  <w:marLeft w:val="0"/>
                  <w:marRight w:val="0"/>
                  <w:marTop w:val="0"/>
                  <w:marBottom w:val="0"/>
                  <w:divBdr>
                    <w:top w:val="none" w:sz="0" w:space="0" w:color="auto"/>
                    <w:left w:val="none" w:sz="0" w:space="0" w:color="auto"/>
                    <w:bottom w:val="none" w:sz="0" w:space="0" w:color="auto"/>
                    <w:right w:val="none" w:sz="0" w:space="0" w:color="auto"/>
                  </w:divBdr>
                </w:div>
              </w:divsChild>
            </w:div>
            <w:div w:id="1089959076">
              <w:marLeft w:val="0"/>
              <w:marRight w:val="0"/>
              <w:marTop w:val="0"/>
              <w:marBottom w:val="0"/>
              <w:divBdr>
                <w:top w:val="none" w:sz="0" w:space="0" w:color="auto"/>
                <w:left w:val="none" w:sz="0" w:space="0" w:color="auto"/>
                <w:bottom w:val="none" w:sz="0" w:space="0" w:color="auto"/>
                <w:right w:val="none" w:sz="0" w:space="0" w:color="auto"/>
              </w:divBdr>
              <w:divsChild>
                <w:div w:id="1408066374">
                  <w:marLeft w:val="0"/>
                  <w:marRight w:val="0"/>
                  <w:marTop w:val="120"/>
                  <w:marBottom w:val="0"/>
                  <w:divBdr>
                    <w:top w:val="none" w:sz="0" w:space="0" w:color="auto"/>
                    <w:left w:val="none" w:sz="0" w:space="0" w:color="auto"/>
                    <w:bottom w:val="none" w:sz="0" w:space="0" w:color="auto"/>
                    <w:right w:val="none" w:sz="0" w:space="0" w:color="auto"/>
                  </w:divBdr>
                </w:div>
                <w:div w:id="50783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715560">
      <w:bodyDiv w:val="1"/>
      <w:marLeft w:val="0"/>
      <w:marRight w:val="0"/>
      <w:marTop w:val="0"/>
      <w:marBottom w:val="0"/>
      <w:divBdr>
        <w:top w:val="none" w:sz="0" w:space="0" w:color="auto"/>
        <w:left w:val="none" w:sz="0" w:space="0" w:color="auto"/>
        <w:bottom w:val="none" w:sz="0" w:space="0" w:color="auto"/>
        <w:right w:val="none" w:sz="0" w:space="0" w:color="auto"/>
      </w:divBdr>
      <w:divsChild>
        <w:div w:id="1654721672">
          <w:marLeft w:val="0"/>
          <w:marRight w:val="0"/>
          <w:marTop w:val="0"/>
          <w:marBottom w:val="0"/>
          <w:divBdr>
            <w:top w:val="none" w:sz="0" w:space="0" w:color="auto"/>
            <w:left w:val="none" w:sz="0" w:space="0" w:color="auto"/>
            <w:bottom w:val="none" w:sz="0" w:space="0" w:color="auto"/>
            <w:right w:val="none" w:sz="0" w:space="0" w:color="auto"/>
          </w:divBdr>
          <w:divsChild>
            <w:div w:id="151214193">
              <w:marLeft w:val="0"/>
              <w:marRight w:val="0"/>
              <w:marTop w:val="120"/>
              <w:marBottom w:val="0"/>
              <w:divBdr>
                <w:top w:val="none" w:sz="0" w:space="0" w:color="auto"/>
                <w:left w:val="none" w:sz="0" w:space="0" w:color="auto"/>
                <w:bottom w:val="none" w:sz="0" w:space="0" w:color="auto"/>
                <w:right w:val="none" w:sz="0" w:space="0" w:color="auto"/>
              </w:divBdr>
            </w:div>
            <w:div w:id="71972794">
              <w:marLeft w:val="0"/>
              <w:marRight w:val="0"/>
              <w:marTop w:val="0"/>
              <w:marBottom w:val="0"/>
              <w:divBdr>
                <w:top w:val="none" w:sz="0" w:space="0" w:color="auto"/>
                <w:left w:val="none" w:sz="0" w:space="0" w:color="auto"/>
                <w:bottom w:val="none" w:sz="0" w:space="0" w:color="auto"/>
                <w:right w:val="none" w:sz="0" w:space="0" w:color="auto"/>
              </w:divBdr>
            </w:div>
          </w:divsChild>
        </w:div>
        <w:div w:id="944920824">
          <w:marLeft w:val="0"/>
          <w:marRight w:val="0"/>
          <w:marTop w:val="0"/>
          <w:marBottom w:val="0"/>
          <w:divBdr>
            <w:top w:val="none" w:sz="0" w:space="0" w:color="auto"/>
            <w:left w:val="none" w:sz="0" w:space="0" w:color="auto"/>
            <w:bottom w:val="none" w:sz="0" w:space="0" w:color="auto"/>
            <w:right w:val="none" w:sz="0" w:space="0" w:color="auto"/>
          </w:divBdr>
          <w:divsChild>
            <w:div w:id="1437671692">
              <w:marLeft w:val="0"/>
              <w:marRight w:val="0"/>
              <w:marTop w:val="120"/>
              <w:marBottom w:val="0"/>
              <w:divBdr>
                <w:top w:val="none" w:sz="0" w:space="0" w:color="auto"/>
                <w:left w:val="none" w:sz="0" w:space="0" w:color="auto"/>
                <w:bottom w:val="none" w:sz="0" w:space="0" w:color="auto"/>
                <w:right w:val="none" w:sz="0" w:space="0" w:color="auto"/>
              </w:divBdr>
            </w:div>
            <w:div w:id="167591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736587">
      <w:bodyDiv w:val="1"/>
      <w:marLeft w:val="0"/>
      <w:marRight w:val="0"/>
      <w:marTop w:val="0"/>
      <w:marBottom w:val="0"/>
      <w:divBdr>
        <w:top w:val="none" w:sz="0" w:space="0" w:color="auto"/>
        <w:left w:val="none" w:sz="0" w:space="0" w:color="auto"/>
        <w:bottom w:val="none" w:sz="0" w:space="0" w:color="auto"/>
        <w:right w:val="none" w:sz="0" w:space="0" w:color="auto"/>
      </w:divBdr>
      <w:divsChild>
        <w:div w:id="730540778">
          <w:marLeft w:val="480"/>
          <w:marRight w:val="0"/>
          <w:marTop w:val="0"/>
          <w:marBottom w:val="0"/>
          <w:divBdr>
            <w:top w:val="none" w:sz="0" w:space="0" w:color="auto"/>
            <w:left w:val="none" w:sz="0" w:space="0" w:color="auto"/>
            <w:bottom w:val="none" w:sz="0" w:space="0" w:color="auto"/>
            <w:right w:val="none" w:sz="0" w:space="0" w:color="auto"/>
          </w:divBdr>
        </w:div>
        <w:div w:id="1876697982">
          <w:marLeft w:val="480"/>
          <w:marRight w:val="0"/>
          <w:marTop w:val="0"/>
          <w:marBottom w:val="0"/>
          <w:divBdr>
            <w:top w:val="none" w:sz="0" w:space="0" w:color="auto"/>
            <w:left w:val="none" w:sz="0" w:space="0" w:color="auto"/>
            <w:bottom w:val="none" w:sz="0" w:space="0" w:color="auto"/>
            <w:right w:val="none" w:sz="0" w:space="0" w:color="auto"/>
          </w:divBdr>
        </w:div>
      </w:divsChild>
    </w:div>
    <w:div w:id="914433099">
      <w:bodyDiv w:val="1"/>
      <w:marLeft w:val="0"/>
      <w:marRight w:val="0"/>
      <w:marTop w:val="0"/>
      <w:marBottom w:val="0"/>
      <w:divBdr>
        <w:top w:val="none" w:sz="0" w:space="0" w:color="auto"/>
        <w:left w:val="none" w:sz="0" w:space="0" w:color="auto"/>
        <w:bottom w:val="none" w:sz="0" w:space="0" w:color="auto"/>
        <w:right w:val="none" w:sz="0" w:space="0" w:color="auto"/>
      </w:divBdr>
      <w:divsChild>
        <w:div w:id="93940616">
          <w:marLeft w:val="0"/>
          <w:marRight w:val="0"/>
          <w:marTop w:val="0"/>
          <w:marBottom w:val="0"/>
          <w:divBdr>
            <w:top w:val="none" w:sz="0" w:space="0" w:color="auto"/>
            <w:left w:val="none" w:sz="0" w:space="0" w:color="auto"/>
            <w:bottom w:val="none" w:sz="0" w:space="0" w:color="auto"/>
            <w:right w:val="none" w:sz="0" w:space="0" w:color="auto"/>
          </w:divBdr>
          <w:divsChild>
            <w:div w:id="1327048011">
              <w:marLeft w:val="0"/>
              <w:marRight w:val="0"/>
              <w:marTop w:val="120"/>
              <w:marBottom w:val="0"/>
              <w:divBdr>
                <w:top w:val="none" w:sz="0" w:space="0" w:color="auto"/>
                <w:left w:val="none" w:sz="0" w:space="0" w:color="auto"/>
                <w:bottom w:val="none" w:sz="0" w:space="0" w:color="auto"/>
                <w:right w:val="none" w:sz="0" w:space="0" w:color="auto"/>
              </w:divBdr>
            </w:div>
            <w:div w:id="1364985096">
              <w:marLeft w:val="0"/>
              <w:marRight w:val="0"/>
              <w:marTop w:val="0"/>
              <w:marBottom w:val="0"/>
              <w:divBdr>
                <w:top w:val="none" w:sz="0" w:space="0" w:color="auto"/>
                <w:left w:val="none" w:sz="0" w:space="0" w:color="auto"/>
                <w:bottom w:val="none" w:sz="0" w:space="0" w:color="auto"/>
                <w:right w:val="none" w:sz="0" w:space="0" w:color="auto"/>
              </w:divBdr>
            </w:div>
          </w:divsChild>
        </w:div>
        <w:div w:id="2010253017">
          <w:marLeft w:val="0"/>
          <w:marRight w:val="0"/>
          <w:marTop w:val="0"/>
          <w:marBottom w:val="0"/>
          <w:divBdr>
            <w:top w:val="none" w:sz="0" w:space="0" w:color="auto"/>
            <w:left w:val="none" w:sz="0" w:space="0" w:color="auto"/>
            <w:bottom w:val="none" w:sz="0" w:space="0" w:color="auto"/>
            <w:right w:val="none" w:sz="0" w:space="0" w:color="auto"/>
          </w:divBdr>
          <w:divsChild>
            <w:div w:id="1675380561">
              <w:marLeft w:val="0"/>
              <w:marRight w:val="0"/>
              <w:marTop w:val="120"/>
              <w:marBottom w:val="0"/>
              <w:divBdr>
                <w:top w:val="none" w:sz="0" w:space="0" w:color="auto"/>
                <w:left w:val="none" w:sz="0" w:space="0" w:color="auto"/>
                <w:bottom w:val="none" w:sz="0" w:space="0" w:color="auto"/>
                <w:right w:val="none" w:sz="0" w:space="0" w:color="auto"/>
              </w:divBdr>
            </w:div>
            <w:div w:id="311717025">
              <w:marLeft w:val="0"/>
              <w:marRight w:val="0"/>
              <w:marTop w:val="0"/>
              <w:marBottom w:val="0"/>
              <w:divBdr>
                <w:top w:val="none" w:sz="0" w:space="0" w:color="auto"/>
                <w:left w:val="none" w:sz="0" w:space="0" w:color="auto"/>
                <w:bottom w:val="none" w:sz="0" w:space="0" w:color="auto"/>
                <w:right w:val="none" w:sz="0" w:space="0" w:color="auto"/>
              </w:divBdr>
            </w:div>
          </w:divsChild>
        </w:div>
        <w:div w:id="361174673">
          <w:marLeft w:val="0"/>
          <w:marRight w:val="0"/>
          <w:marTop w:val="0"/>
          <w:marBottom w:val="0"/>
          <w:divBdr>
            <w:top w:val="none" w:sz="0" w:space="0" w:color="auto"/>
            <w:left w:val="none" w:sz="0" w:space="0" w:color="auto"/>
            <w:bottom w:val="none" w:sz="0" w:space="0" w:color="auto"/>
            <w:right w:val="none" w:sz="0" w:space="0" w:color="auto"/>
          </w:divBdr>
          <w:divsChild>
            <w:div w:id="1096751143">
              <w:marLeft w:val="0"/>
              <w:marRight w:val="0"/>
              <w:marTop w:val="120"/>
              <w:marBottom w:val="0"/>
              <w:divBdr>
                <w:top w:val="none" w:sz="0" w:space="0" w:color="auto"/>
                <w:left w:val="none" w:sz="0" w:space="0" w:color="auto"/>
                <w:bottom w:val="none" w:sz="0" w:space="0" w:color="auto"/>
                <w:right w:val="none" w:sz="0" w:space="0" w:color="auto"/>
              </w:divBdr>
            </w:div>
            <w:div w:id="195389147">
              <w:marLeft w:val="0"/>
              <w:marRight w:val="0"/>
              <w:marTop w:val="0"/>
              <w:marBottom w:val="0"/>
              <w:divBdr>
                <w:top w:val="none" w:sz="0" w:space="0" w:color="auto"/>
                <w:left w:val="none" w:sz="0" w:space="0" w:color="auto"/>
                <w:bottom w:val="none" w:sz="0" w:space="0" w:color="auto"/>
                <w:right w:val="none" w:sz="0" w:space="0" w:color="auto"/>
              </w:divBdr>
              <w:divsChild>
                <w:div w:id="1366834988">
                  <w:marLeft w:val="0"/>
                  <w:marRight w:val="0"/>
                  <w:marTop w:val="0"/>
                  <w:marBottom w:val="0"/>
                  <w:divBdr>
                    <w:top w:val="none" w:sz="0" w:space="0" w:color="auto"/>
                    <w:left w:val="none" w:sz="0" w:space="0" w:color="auto"/>
                    <w:bottom w:val="none" w:sz="0" w:space="0" w:color="auto"/>
                    <w:right w:val="none" w:sz="0" w:space="0" w:color="auto"/>
                  </w:divBdr>
                  <w:divsChild>
                    <w:div w:id="644429045">
                      <w:marLeft w:val="0"/>
                      <w:marRight w:val="0"/>
                      <w:marTop w:val="120"/>
                      <w:marBottom w:val="0"/>
                      <w:divBdr>
                        <w:top w:val="none" w:sz="0" w:space="0" w:color="auto"/>
                        <w:left w:val="none" w:sz="0" w:space="0" w:color="auto"/>
                        <w:bottom w:val="none" w:sz="0" w:space="0" w:color="auto"/>
                        <w:right w:val="none" w:sz="0" w:space="0" w:color="auto"/>
                      </w:divBdr>
                    </w:div>
                    <w:div w:id="812874386">
                      <w:marLeft w:val="0"/>
                      <w:marRight w:val="0"/>
                      <w:marTop w:val="0"/>
                      <w:marBottom w:val="0"/>
                      <w:divBdr>
                        <w:top w:val="none" w:sz="0" w:space="0" w:color="auto"/>
                        <w:left w:val="none" w:sz="0" w:space="0" w:color="auto"/>
                        <w:bottom w:val="none" w:sz="0" w:space="0" w:color="auto"/>
                        <w:right w:val="none" w:sz="0" w:space="0" w:color="auto"/>
                      </w:divBdr>
                    </w:div>
                  </w:divsChild>
                </w:div>
                <w:div w:id="1674916354">
                  <w:marLeft w:val="0"/>
                  <w:marRight w:val="0"/>
                  <w:marTop w:val="0"/>
                  <w:marBottom w:val="0"/>
                  <w:divBdr>
                    <w:top w:val="none" w:sz="0" w:space="0" w:color="auto"/>
                    <w:left w:val="none" w:sz="0" w:space="0" w:color="auto"/>
                    <w:bottom w:val="none" w:sz="0" w:space="0" w:color="auto"/>
                    <w:right w:val="none" w:sz="0" w:space="0" w:color="auto"/>
                  </w:divBdr>
                  <w:divsChild>
                    <w:div w:id="175971458">
                      <w:marLeft w:val="0"/>
                      <w:marRight w:val="0"/>
                      <w:marTop w:val="120"/>
                      <w:marBottom w:val="0"/>
                      <w:divBdr>
                        <w:top w:val="none" w:sz="0" w:space="0" w:color="auto"/>
                        <w:left w:val="none" w:sz="0" w:space="0" w:color="auto"/>
                        <w:bottom w:val="none" w:sz="0" w:space="0" w:color="auto"/>
                        <w:right w:val="none" w:sz="0" w:space="0" w:color="auto"/>
                      </w:divBdr>
                    </w:div>
                    <w:div w:id="105285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548938">
      <w:bodyDiv w:val="1"/>
      <w:marLeft w:val="0"/>
      <w:marRight w:val="0"/>
      <w:marTop w:val="0"/>
      <w:marBottom w:val="0"/>
      <w:divBdr>
        <w:top w:val="none" w:sz="0" w:space="0" w:color="auto"/>
        <w:left w:val="none" w:sz="0" w:space="0" w:color="auto"/>
        <w:bottom w:val="none" w:sz="0" w:space="0" w:color="auto"/>
        <w:right w:val="none" w:sz="0" w:space="0" w:color="auto"/>
      </w:divBdr>
    </w:div>
    <w:div w:id="915676042">
      <w:bodyDiv w:val="1"/>
      <w:marLeft w:val="0"/>
      <w:marRight w:val="0"/>
      <w:marTop w:val="0"/>
      <w:marBottom w:val="0"/>
      <w:divBdr>
        <w:top w:val="none" w:sz="0" w:space="0" w:color="auto"/>
        <w:left w:val="none" w:sz="0" w:space="0" w:color="auto"/>
        <w:bottom w:val="none" w:sz="0" w:space="0" w:color="auto"/>
        <w:right w:val="none" w:sz="0" w:space="0" w:color="auto"/>
      </w:divBdr>
    </w:div>
    <w:div w:id="934247316">
      <w:bodyDiv w:val="1"/>
      <w:marLeft w:val="0"/>
      <w:marRight w:val="0"/>
      <w:marTop w:val="0"/>
      <w:marBottom w:val="0"/>
      <w:divBdr>
        <w:top w:val="none" w:sz="0" w:space="0" w:color="auto"/>
        <w:left w:val="none" w:sz="0" w:space="0" w:color="auto"/>
        <w:bottom w:val="none" w:sz="0" w:space="0" w:color="auto"/>
        <w:right w:val="none" w:sz="0" w:space="0" w:color="auto"/>
      </w:divBdr>
    </w:div>
    <w:div w:id="955915182">
      <w:bodyDiv w:val="1"/>
      <w:marLeft w:val="0"/>
      <w:marRight w:val="0"/>
      <w:marTop w:val="0"/>
      <w:marBottom w:val="0"/>
      <w:divBdr>
        <w:top w:val="none" w:sz="0" w:space="0" w:color="auto"/>
        <w:left w:val="none" w:sz="0" w:space="0" w:color="auto"/>
        <w:bottom w:val="none" w:sz="0" w:space="0" w:color="auto"/>
        <w:right w:val="none" w:sz="0" w:space="0" w:color="auto"/>
      </w:divBdr>
    </w:div>
    <w:div w:id="973753538">
      <w:bodyDiv w:val="1"/>
      <w:marLeft w:val="0"/>
      <w:marRight w:val="0"/>
      <w:marTop w:val="0"/>
      <w:marBottom w:val="0"/>
      <w:divBdr>
        <w:top w:val="none" w:sz="0" w:space="0" w:color="auto"/>
        <w:left w:val="none" w:sz="0" w:space="0" w:color="auto"/>
        <w:bottom w:val="none" w:sz="0" w:space="0" w:color="auto"/>
        <w:right w:val="none" w:sz="0" w:space="0" w:color="auto"/>
      </w:divBdr>
      <w:divsChild>
        <w:div w:id="2091153918">
          <w:marLeft w:val="0"/>
          <w:marRight w:val="0"/>
          <w:marTop w:val="0"/>
          <w:marBottom w:val="0"/>
          <w:divBdr>
            <w:top w:val="none" w:sz="0" w:space="0" w:color="auto"/>
            <w:left w:val="none" w:sz="0" w:space="0" w:color="auto"/>
            <w:bottom w:val="none" w:sz="0" w:space="0" w:color="auto"/>
            <w:right w:val="none" w:sz="0" w:space="0" w:color="auto"/>
          </w:divBdr>
        </w:div>
      </w:divsChild>
    </w:div>
    <w:div w:id="979112990">
      <w:bodyDiv w:val="1"/>
      <w:marLeft w:val="0"/>
      <w:marRight w:val="0"/>
      <w:marTop w:val="0"/>
      <w:marBottom w:val="0"/>
      <w:divBdr>
        <w:top w:val="none" w:sz="0" w:space="0" w:color="auto"/>
        <w:left w:val="none" w:sz="0" w:space="0" w:color="auto"/>
        <w:bottom w:val="none" w:sz="0" w:space="0" w:color="auto"/>
        <w:right w:val="none" w:sz="0" w:space="0" w:color="auto"/>
      </w:divBdr>
      <w:divsChild>
        <w:div w:id="881213763">
          <w:marLeft w:val="0"/>
          <w:marRight w:val="0"/>
          <w:marTop w:val="0"/>
          <w:marBottom w:val="0"/>
          <w:divBdr>
            <w:top w:val="none" w:sz="0" w:space="0" w:color="auto"/>
            <w:left w:val="none" w:sz="0" w:space="0" w:color="auto"/>
            <w:bottom w:val="none" w:sz="0" w:space="0" w:color="auto"/>
            <w:right w:val="none" w:sz="0" w:space="0" w:color="auto"/>
          </w:divBdr>
        </w:div>
      </w:divsChild>
    </w:div>
    <w:div w:id="998115618">
      <w:bodyDiv w:val="1"/>
      <w:marLeft w:val="0"/>
      <w:marRight w:val="0"/>
      <w:marTop w:val="0"/>
      <w:marBottom w:val="0"/>
      <w:divBdr>
        <w:top w:val="none" w:sz="0" w:space="0" w:color="auto"/>
        <w:left w:val="none" w:sz="0" w:space="0" w:color="auto"/>
        <w:bottom w:val="none" w:sz="0" w:space="0" w:color="auto"/>
        <w:right w:val="none" w:sz="0" w:space="0" w:color="auto"/>
      </w:divBdr>
      <w:divsChild>
        <w:div w:id="1107039101">
          <w:marLeft w:val="0"/>
          <w:marRight w:val="0"/>
          <w:marTop w:val="0"/>
          <w:marBottom w:val="0"/>
          <w:divBdr>
            <w:top w:val="none" w:sz="0" w:space="0" w:color="auto"/>
            <w:left w:val="none" w:sz="0" w:space="0" w:color="auto"/>
            <w:bottom w:val="none" w:sz="0" w:space="0" w:color="auto"/>
            <w:right w:val="none" w:sz="0" w:space="0" w:color="auto"/>
          </w:divBdr>
        </w:div>
      </w:divsChild>
    </w:div>
    <w:div w:id="1005010276">
      <w:bodyDiv w:val="1"/>
      <w:marLeft w:val="0"/>
      <w:marRight w:val="0"/>
      <w:marTop w:val="0"/>
      <w:marBottom w:val="0"/>
      <w:divBdr>
        <w:top w:val="none" w:sz="0" w:space="0" w:color="auto"/>
        <w:left w:val="none" w:sz="0" w:space="0" w:color="auto"/>
        <w:bottom w:val="none" w:sz="0" w:space="0" w:color="auto"/>
        <w:right w:val="none" w:sz="0" w:space="0" w:color="auto"/>
      </w:divBdr>
      <w:divsChild>
        <w:div w:id="1249923700">
          <w:marLeft w:val="0"/>
          <w:marRight w:val="0"/>
          <w:marTop w:val="0"/>
          <w:marBottom w:val="0"/>
          <w:divBdr>
            <w:top w:val="none" w:sz="0" w:space="0" w:color="auto"/>
            <w:left w:val="none" w:sz="0" w:space="0" w:color="auto"/>
            <w:bottom w:val="none" w:sz="0" w:space="0" w:color="auto"/>
            <w:right w:val="none" w:sz="0" w:space="0" w:color="auto"/>
          </w:divBdr>
        </w:div>
      </w:divsChild>
    </w:div>
    <w:div w:id="1005938674">
      <w:bodyDiv w:val="1"/>
      <w:marLeft w:val="0"/>
      <w:marRight w:val="0"/>
      <w:marTop w:val="0"/>
      <w:marBottom w:val="0"/>
      <w:divBdr>
        <w:top w:val="none" w:sz="0" w:space="0" w:color="auto"/>
        <w:left w:val="none" w:sz="0" w:space="0" w:color="auto"/>
        <w:bottom w:val="none" w:sz="0" w:space="0" w:color="auto"/>
        <w:right w:val="none" w:sz="0" w:space="0" w:color="auto"/>
      </w:divBdr>
      <w:divsChild>
        <w:div w:id="788548973">
          <w:marLeft w:val="0"/>
          <w:marRight w:val="0"/>
          <w:marTop w:val="0"/>
          <w:marBottom w:val="0"/>
          <w:divBdr>
            <w:top w:val="none" w:sz="0" w:space="0" w:color="auto"/>
            <w:left w:val="none" w:sz="0" w:space="0" w:color="auto"/>
            <w:bottom w:val="none" w:sz="0" w:space="0" w:color="auto"/>
            <w:right w:val="none" w:sz="0" w:space="0" w:color="auto"/>
          </w:divBdr>
          <w:divsChild>
            <w:div w:id="694423814">
              <w:marLeft w:val="0"/>
              <w:marRight w:val="0"/>
              <w:marTop w:val="0"/>
              <w:marBottom w:val="0"/>
              <w:divBdr>
                <w:top w:val="none" w:sz="0" w:space="0" w:color="auto"/>
                <w:left w:val="none" w:sz="0" w:space="0" w:color="auto"/>
                <w:bottom w:val="none" w:sz="0" w:space="0" w:color="auto"/>
                <w:right w:val="none" w:sz="0" w:space="0" w:color="auto"/>
              </w:divBdr>
            </w:div>
          </w:divsChild>
        </w:div>
        <w:div w:id="1524899906">
          <w:marLeft w:val="0"/>
          <w:marRight w:val="0"/>
          <w:marTop w:val="0"/>
          <w:marBottom w:val="0"/>
          <w:divBdr>
            <w:top w:val="none" w:sz="0" w:space="0" w:color="auto"/>
            <w:left w:val="none" w:sz="0" w:space="0" w:color="auto"/>
            <w:bottom w:val="none" w:sz="0" w:space="0" w:color="auto"/>
            <w:right w:val="none" w:sz="0" w:space="0" w:color="auto"/>
          </w:divBdr>
          <w:divsChild>
            <w:div w:id="2049258495">
              <w:marLeft w:val="0"/>
              <w:marRight w:val="0"/>
              <w:marTop w:val="0"/>
              <w:marBottom w:val="0"/>
              <w:divBdr>
                <w:top w:val="none" w:sz="0" w:space="0" w:color="auto"/>
                <w:left w:val="none" w:sz="0" w:space="0" w:color="auto"/>
                <w:bottom w:val="none" w:sz="0" w:space="0" w:color="auto"/>
                <w:right w:val="none" w:sz="0" w:space="0" w:color="auto"/>
              </w:divBdr>
            </w:div>
          </w:divsChild>
        </w:div>
        <w:div w:id="820075421">
          <w:marLeft w:val="0"/>
          <w:marRight w:val="0"/>
          <w:marTop w:val="0"/>
          <w:marBottom w:val="0"/>
          <w:divBdr>
            <w:top w:val="none" w:sz="0" w:space="0" w:color="auto"/>
            <w:left w:val="none" w:sz="0" w:space="0" w:color="auto"/>
            <w:bottom w:val="none" w:sz="0" w:space="0" w:color="auto"/>
            <w:right w:val="none" w:sz="0" w:space="0" w:color="auto"/>
          </w:divBdr>
          <w:divsChild>
            <w:div w:id="1111894143">
              <w:marLeft w:val="0"/>
              <w:marRight w:val="0"/>
              <w:marTop w:val="0"/>
              <w:marBottom w:val="0"/>
              <w:divBdr>
                <w:top w:val="none" w:sz="0" w:space="0" w:color="auto"/>
                <w:left w:val="none" w:sz="0" w:space="0" w:color="auto"/>
                <w:bottom w:val="none" w:sz="0" w:space="0" w:color="auto"/>
                <w:right w:val="none" w:sz="0" w:space="0" w:color="auto"/>
              </w:divBdr>
              <w:divsChild>
                <w:div w:id="2035955434">
                  <w:marLeft w:val="0"/>
                  <w:marRight w:val="0"/>
                  <w:marTop w:val="0"/>
                  <w:marBottom w:val="0"/>
                  <w:divBdr>
                    <w:top w:val="none" w:sz="0" w:space="0" w:color="auto"/>
                    <w:left w:val="none" w:sz="0" w:space="0" w:color="auto"/>
                    <w:bottom w:val="none" w:sz="0" w:space="0" w:color="auto"/>
                    <w:right w:val="none" w:sz="0" w:space="0" w:color="auto"/>
                  </w:divBdr>
                  <w:divsChild>
                    <w:div w:id="414279949">
                      <w:marLeft w:val="0"/>
                      <w:marRight w:val="0"/>
                      <w:marTop w:val="120"/>
                      <w:marBottom w:val="0"/>
                      <w:divBdr>
                        <w:top w:val="none" w:sz="0" w:space="0" w:color="auto"/>
                        <w:left w:val="none" w:sz="0" w:space="0" w:color="auto"/>
                        <w:bottom w:val="none" w:sz="0" w:space="0" w:color="auto"/>
                        <w:right w:val="none" w:sz="0" w:space="0" w:color="auto"/>
                      </w:divBdr>
                    </w:div>
                    <w:div w:id="1315723423">
                      <w:marLeft w:val="0"/>
                      <w:marRight w:val="0"/>
                      <w:marTop w:val="0"/>
                      <w:marBottom w:val="0"/>
                      <w:divBdr>
                        <w:top w:val="none" w:sz="0" w:space="0" w:color="auto"/>
                        <w:left w:val="none" w:sz="0" w:space="0" w:color="auto"/>
                        <w:bottom w:val="none" w:sz="0" w:space="0" w:color="auto"/>
                        <w:right w:val="none" w:sz="0" w:space="0" w:color="auto"/>
                      </w:divBdr>
                    </w:div>
                  </w:divsChild>
                </w:div>
                <w:div w:id="41830581">
                  <w:marLeft w:val="0"/>
                  <w:marRight w:val="0"/>
                  <w:marTop w:val="0"/>
                  <w:marBottom w:val="0"/>
                  <w:divBdr>
                    <w:top w:val="none" w:sz="0" w:space="0" w:color="auto"/>
                    <w:left w:val="none" w:sz="0" w:space="0" w:color="auto"/>
                    <w:bottom w:val="none" w:sz="0" w:space="0" w:color="auto"/>
                    <w:right w:val="none" w:sz="0" w:space="0" w:color="auto"/>
                  </w:divBdr>
                  <w:divsChild>
                    <w:div w:id="1172913962">
                      <w:marLeft w:val="0"/>
                      <w:marRight w:val="0"/>
                      <w:marTop w:val="120"/>
                      <w:marBottom w:val="0"/>
                      <w:divBdr>
                        <w:top w:val="none" w:sz="0" w:space="0" w:color="auto"/>
                        <w:left w:val="none" w:sz="0" w:space="0" w:color="auto"/>
                        <w:bottom w:val="none" w:sz="0" w:space="0" w:color="auto"/>
                        <w:right w:val="none" w:sz="0" w:space="0" w:color="auto"/>
                      </w:divBdr>
                    </w:div>
                    <w:div w:id="1422408351">
                      <w:marLeft w:val="0"/>
                      <w:marRight w:val="0"/>
                      <w:marTop w:val="0"/>
                      <w:marBottom w:val="0"/>
                      <w:divBdr>
                        <w:top w:val="none" w:sz="0" w:space="0" w:color="auto"/>
                        <w:left w:val="none" w:sz="0" w:space="0" w:color="auto"/>
                        <w:bottom w:val="none" w:sz="0" w:space="0" w:color="auto"/>
                        <w:right w:val="none" w:sz="0" w:space="0" w:color="auto"/>
                      </w:divBdr>
                    </w:div>
                  </w:divsChild>
                </w:div>
                <w:div w:id="1152523283">
                  <w:marLeft w:val="0"/>
                  <w:marRight w:val="0"/>
                  <w:marTop w:val="0"/>
                  <w:marBottom w:val="0"/>
                  <w:divBdr>
                    <w:top w:val="none" w:sz="0" w:space="0" w:color="auto"/>
                    <w:left w:val="none" w:sz="0" w:space="0" w:color="auto"/>
                    <w:bottom w:val="none" w:sz="0" w:space="0" w:color="auto"/>
                    <w:right w:val="none" w:sz="0" w:space="0" w:color="auto"/>
                  </w:divBdr>
                  <w:divsChild>
                    <w:div w:id="1419715458">
                      <w:marLeft w:val="0"/>
                      <w:marRight w:val="0"/>
                      <w:marTop w:val="120"/>
                      <w:marBottom w:val="0"/>
                      <w:divBdr>
                        <w:top w:val="none" w:sz="0" w:space="0" w:color="auto"/>
                        <w:left w:val="none" w:sz="0" w:space="0" w:color="auto"/>
                        <w:bottom w:val="none" w:sz="0" w:space="0" w:color="auto"/>
                        <w:right w:val="none" w:sz="0" w:space="0" w:color="auto"/>
                      </w:divBdr>
                    </w:div>
                    <w:div w:id="878779015">
                      <w:marLeft w:val="0"/>
                      <w:marRight w:val="0"/>
                      <w:marTop w:val="0"/>
                      <w:marBottom w:val="0"/>
                      <w:divBdr>
                        <w:top w:val="none" w:sz="0" w:space="0" w:color="auto"/>
                        <w:left w:val="none" w:sz="0" w:space="0" w:color="auto"/>
                        <w:bottom w:val="none" w:sz="0" w:space="0" w:color="auto"/>
                        <w:right w:val="none" w:sz="0" w:space="0" w:color="auto"/>
                      </w:divBdr>
                    </w:div>
                  </w:divsChild>
                </w:div>
                <w:div w:id="1213736875">
                  <w:marLeft w:val="0"/>
                  <w:marRight w:val="0"/>
                  <w:marTop w:val="0"/>
                  <w:marBottom w:val="0"/>
                  <w:divBdr>
                    <w:top w:val="none" w:sz="0" w:space="0" w:color="auto"/>
                    <w:left w:val="none" w:sz="0" w:space="0" w:color="auto"/>
                    <w:bottom w:val="none" w:sz="0" w:space="0" w:color="auto"/>
                    <w:right w:val="none" w:sz="0" w:space="0" w:color="auto"/>
                  </w:divBdr>
                  <w:divsChild>
                    <w:div w:id="631251330">
                      <w:marLeft w:val="0"/>
                      <w:marRight w:val="0"/>
                      <w:marTop w:val="120"/>
                      <w:marBottom w:val="0"/>
                      <w:divBdr>
                        <w:top w:val="none" w:sz="0" w:space="0" w:color="auto"/>
                        <w:left w:val="none" w:sz="0" w:space="0" w:color="auto"/>
                        <w:bottom w:val="none" w:sz="0" w:space="0" w:color="auto"/>
                        <w:right w:val="none" w:sz="0" w:space="0" w:color="auto"/>
                      </w:divBdr>
                    </w:div>
                    <w:div w:id="2060931623">
                      <w:marLeft w:val="0"/>
                      <w:marRight w:val="0"/>
                      <w:marTop w:val="0"/>
                      <w:marBottom w:val="0"/>
                      <w:divBdr>
                        <w:top w:val="none" w:sz="0" w:space="0" w:color="auto"/>
                        <w:left w:val="none" w:sz="0" w:space="0" w:color="auto"/>
                        <w:bottom w:val="none" w:sz="0" w:space="0" w:color="auto"/>
                        <w:right w:val="none" w:sz="0" w:space="0" w:color="auto"/>
                      </w:divBdr>
                    </w:div>
                  </w:divsChild>
                </w:div>
                <w:div w:id="890921679">
                  <w:marLeft w:val="0"/>
                  <w:marRight w:val="0"/>
                  <w:marTop w:val="0"/>
                  <w:marBottom w:val="0"/>
                  <w:divBdr>
                    <w:top w:val="none" w:sz="0" w:space="0" w:color="auto"/>
                    <w:left w:val="none" w:sz="0" w:space="0" w:color="auto"/>
                    <w:bottom w:val="none" w:sz="0" w:space="0" w:color="auto"/>
                    <w:right w:val="none" w:sz="0" w:space="0" w:color="auto"/>
                  </w:divBdr>
                  <w:divsChild>
                    <w:div w:id="1784573943">
                      <w:marLeft w:val="0"/>
                      <w:marRight w:val="0"/>
                      <w:marTop w:val="120"/>
                      <w:marBottom w:val="0"/>
                      <w:divBdr>
                        <w:top w:val="none" w:sz="0" w:space="0" w:color="auto"/>
                        <w:left w:val="none" w:sz="0" w:space="0" w:color="auto"/>
                        <w:bottom w:val="none" w:sz="0" w:space="0" w:color="auto"/>
                        <w:right w:val="none" w:sz="0" w:space="0" w:color="auto"/>
                      </w:divBdr>
                    </w:div>
                    <w:div w:id="25328343">
                      <w:marLeft w:val="0"/>
                      <w:marRight w:val="0"/>
                      <w:marTop w:val="0"/>
                      <w:marBottom w:val="0"/>
                      <w:divBdr>
                        <w:top w:val="none" w:sz="0" w:space="0" w:color="auto"/>
                        <w:left w:val="none" w:sz="0" w:space="0" w:color="auto"/>
                        <w:bottom w:val="none" w:sz="0" w:space="0" w:color="auto"/>
                        <w:right w:val="none" w:sz="0" w:space="0" w:color="auto"/>
                      </w:divBdr>
                    </w:div>
                  </w:divsChild>
                </w:div>
                <w:div w:id="98256395">
                  <w:marLeft w:val="0"/>
                  <w:marRight w:val="0"/>
                  <w:marTop w:val="0"/>
                  <w:marBottom w:val="0"/>
                  <w:divBdr>
                    <w:top w:val="none" w:sz="0" w:space="0" w:color="auto"/>
                    <w:left w:val="none" w:sz="0" w:space="0" w:color="auto"/>
                    <w:bottom w:val="none" w:sz="0" w:space="0" w:color="auto"/>
                    <w:right w:val="none" w:sz="0" w:space="0" w:color="auto"/>
                  </w:divBdr>
                  <w:divsChild>
                    <w:div w:id="1473595278">
                      <w:marLeft w:val="0"/>
                      <w:marRight w:val="0"/>
                      <w:marTop w:val="120"/>
                      <w:marBottom w:val="0"/>
                      <w:divBdr>
                        <w:top w:val="none" w:sz="0" w:space="0" w:color="auto"/>
                        <w:left w:val="none" w:sz="0" w:space="0" w:color="auto"/>
                        <w:bottom w:val="none" w:sz="0" w:space="0" w:color="auto"/>
                        <w:right w:val="none" w:sz="0" w:space="0" w:color="auto"/>
                      </w:divBdr>
                    </w:div>
                    <w:div w:id="48254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665555">
          <w:marLeft w:val="0"/>
          <w:marRight w:val="0"/>
          <w:marTop w:val="0"/>
          <w:marBottom w:val="0"/>
          <w:divBdr>
            <w:top w:val="none" w:sz="0" w:space="0" w:color="auto"/>
            <w:left w:val="none" w:sz="0" w:space="0" w:color="auto"/>
            <w:bottom w:val="none" w:sz="0" w:space="0" w:color="auto"/>
            <w:right w:val="none" w:sz="0" w:space="0" w:color="auto"/>
          </w:divBdr>
          <w:divsChild>
            <w:div w:id="1046028358">
              <w:marLeft w:val="0"/>
              <w:marRight w:val="0"/>
              <w:marTop w:val="0"/>
              <w:marBottom w:val="0"/>
              <w:divBdr>
                <w:top w:val="none" w:sz="0" w:space="0" w:color="auto"/>
                <w:left w:val="none" w:sz="0" w:space="0" w:color="auto"/>
                <w:bottom w:val="none" w:sz="0" w:space="0" w:color="auto"/>
                <w:right w:val="none" w:sz="0" w:space="0" w:color="auto"/>
              </w:divBdr>
            </w:div>
          </w:divsChild>
        </w:div>
        <w:div w:id="835415691">
          <w:marLeft w:val="0"/>
          <w:marRight w:val="0"/>
          <w:marTop w:val="0"/>
          <w:marBottom w:val="0"/>
          <w:divBdr>
            <w:top w:val="none" w:sz="0" w:space="0" w:color="auto"/>
            <w:left w:val="none" w:sz="0" w:space="0" w:color="auto"/>
            <w:bottom w:val="none" w:sz="0" w:space="0" w:color="auto"/>
            <w:right w:val="none" w:sz="0" w:space="0" w:color="auto"/>
          </w:divBdr>
          <w:divsChild>
            <w:div w:id="1603492088">
              <w:marLeft w:val="0"/>
              <w:marRight w:val="0"/>
              <w:marTop w:val="0"/>
              <w:marBottom w:val="0"/>
              <w:divBdr>
                <w:top w:val="none" w:sz="0" w:space="0" w:color="auto"/>
                <w:left w:val="none" w:sz="0" w:space="0" w:color="auto"/>
                <w:bottom w:val="none" w:sz="0" w:space="0" w:color="auto"/>
                <w:right w:val="none" w:sz="0" w:space="0" w:color="auto"/>
              </w:divBdr>
            </w:div>
          </w:divsChild>
        </w:div>
        <w:div w:id="1000229800">
          <w:marLeft w:val="0"/>
          <w:marRight w:val="0"/>
          <w:marTop w:val="0"/>
          <w:marBottom w:val="0"/>
          <w:divBdr>
            <w:top w:val="none" w:sz="0" w:space="0" w:color="auto"/>
            <w:left w:val="none" w:sz="0" w:space="0" w:color="auto"/>
            <w:bottom w:val="none" w:sz="0" w:space="0" w:color="auto"/>
            <w:right w:val="none" w:sz="0" w:space="0" w:color="auto"/>
          </w:divBdr>
          <w:divsChild>
            <w:div w:id="56167797">
              <w:marLeft w:val="0"/>
              <w:marRight w:val="0"/>
              <w:marTop w:val="0"/>
              <w:marBottom w:val="0"/>
              <w:divBdr>
                <w:top w:val="none" w:sz="0" w:space="0" w:color="auto"/>
                <w:left w:val="none" w:sz="0" w:space="0" w:color="auto"/>
                <w:bottom w:val="none" w:sz="0" w:space="0" w:color="auto"/>
                <w:right w:val="none" w:sz="0" w:space="0" w:color="auto"/>
              </w:divBdr>
            </w:div>
          </w:divsChild>
        </w:div>
        <w:div w:id="683703917">
          <w:marLeft w:val="0"/>
          <w:marRight w:val="0"/>
          <w:marTop w:val="0"/>
          <w:marBottom w:val="0"/>
          <w:divBdr>
            <w:top w:val="none" w:sz="0" w:space="0" w:color="auto"/>
            <w:left w:val="none" w:sz="0" w:space="0" w:color="auto"/>
            <w:bottom w:val="none" w:sz="0" w:space="0" w:color="auto"/>
            <w:right w:val="none" w:sz="0" w:space="0" w:color="auto"/>
          </w:divBdr>
          <w:divsChild>
            <w:div w:id="276497456">
              <w:marLeft w:val="0"/>
              <w:marRight w:val="0"/>
              <w:marTop w:val="0"/>
              <w:marBottom w:val="0"/>
              <w:divBdr>
                <w:top w:val="none" w:sz="0" w:space="0" w:color="auto"/>
                <w:left w:val="none" w:sz="0" w:space="0" w:color="auto"/>
                <w:bottom w:val="none" w:sz="0" w:space="0" w:color="auto"/>
                <w:right w:val="none" w:sz="0" w:space="0" w:color="auto"/>
              </w:divBdr>
              <w:divsChild>
                <w:div w:id="1165318104">
                  <w:marLeft w:val="0"/>
                  <w:marRight w:val="0"/>
                  <w:marTop w:val="0"/>
                  <w:marBottom w:val="0"/>
                  <w:divBdr>
                    <w:top w:val="none" w:sz="0" w:space="0" w:color="auto"/>
                    <w:left w:val="none" w:sz="0" w:space="0" w:color="auto"/>
                    <w:bottom w:val="none" w:sz="0" w:space="0" w:color="auto"/>
                    <w:right w:val="none" w:sz="0" w:space="0" w:color="auto"/>
                  </w:divBdr>
                  <w:divsChild>
                    <w:div w:id="389885895">
                      <w:marLeft w:val="0"/>
                      <w:marRight w:val="0"/>
                      <w:marTop w:val="120"/>
                      <w:marBottom w:val="0"/>
                      <w:divBdr>
                        <w:top w:val="none" w:sz="0" w:space="0" w:color="auto"/>
                        <w:left w:val="none" w:sz="0" w:space="0" w:color="auto"/>
                        <w:bottom w:val="none" w:sz="0" w:space="0" w:color="auto"/>
                        <w:right w:val="none" w:sz="0" w:space="0" w:color="auto"/>
                      </w:divBdr>
                    </w:div>
                    <w:div w:id="2025090828">
                      <w:marLeft w:val="0"/>
                      <w:marRight w:val="0"/>
                      <w:marTop w:val="0"/>
                      <w:marBottom w:val="0"/>
                      <w:divBdr>
                        <w:top w:val="none" w:sz="0" w:space="0" w:color="auto"/>
                        <w:left w:val="none" w:sz="0" w:space="0" w:color="auto"/>
                        <w:bottom w:val="none" w:sz="0" w:space="0" w:color="auto"/>
                        <w:right w:val="none" w:sz="0" w:space="0" w:color="auto"/>
                      </w:divBdr>
                    </w:div>
                  </w:divsChild>
                </w:div>
                <w:div w:id="892078808">
                  <w:marLeft w:val="0"/>
                  <w:marRight w:val="0"/>
                  <w:marTop w:val="0"/>
                  <w:marBottom w:val="0"/>
                  <w:divBdr>
                    <w:top w:val="none" w:sz="0" w:space="0" w:color="auto"/>
                    <w:left w:val="none" w:sz="0" w:space="0" w:color="auto"/>
                    <w:bottom w:val="none" w:sz="0" w:space="0" w:color="auto"/>
                    <w:right w:val="none" w:sz="0" w:space="0" w:color="auto"/>
                  </w:divBdr>
                  <w:divsChild>
                    <w:div w:id="447698854">
                      <w:marLeft w:val="0"/>
                      <w:marRight w:val="0"/>
                      <w:marTop w:val="120"/>
                      <w:marBottom w:val="0"/>
                      <w:divBdr>
                        <w:top w:val="none" w:sz="0" w:space="0" w:color="auto"/>
                        <w:left w:val="none" w:sz="0" w:space="0" w:color="auto"/>
                        <w:bottom w:val="none" w:sz="0" w:space="0" w:color="auto"/>
                        <w:right w:val="none" w:sz="0" w:space="0" w:color="auto"/>
                      </w:divBdr>
                    </w:div>
                    <w:div w:id="761997947">
                      <w:marLeft w:val="0"/>
                      <w:marRight w:val="0"/>
                      <w:marTop w:val="0"/>
                      <w:marBottom w:val="0"/>
                      <w:divBdr>
                        <w:top w:val="none" w:sz="0" w:space="0" w:color="auto"/>
                        <w:left w:val="none" w:sz="0" w:space="0" w:color="auto"/>
                        <w:bottom w:val="none" w:sz="0" w:space="0" w:color="auto"/>
                        <w:right w:val="none" w:sz="0" w:space="0" w:color="auto"/>
                      </w:divBdr>
                    </w:div>
                  </w:divsChild>
                </w:div>
                <w:div w:id="689451299">
                  <w:marLeft w:val="0"/>
                  <w:marRight w:val="0"/>
                  <w:marTop w:val="0"/>
                  <w:marBottom w:val="0"/>
                  <w:divBdr>
                    <w:top w:val="none" w:sz="0" w:space="0" w:color="auto"/>
                    <w:left w:val="none" w:sz="0" w:space="0" w:color="auto"/>
                    <w:bottom w:val="none" w:sz="0" w:space="0" w:color="auto"/>
                    <w:right w:val="none" w:sz="0" w:space="0" w:color="auto"/>
                  </w:divBdr>
                  <w:divsChild>
                    <w:div w:id="339819875">
                      <w:marLeft w:val="0"/>
                      <w:marRight w:val="0"/>
                      <w:marTop w:val="120"/>
                      <w:marBottom w:val="0"/>
                      <w:divBdr>
                        <w:top w:val="none" w:sz="0" w:space="0" w:color="auto"/>
                        <w:left w:val="none" w:sz="0" w:space="0" w:color="auto"/>
                        <w:bottom w:val="none" w:sz="0" w:space="0" w:color="auto"/>
                        <w:right w:val="none" w:sz="0" w:space="0" w:color="auto"/>
                      </w:divBdr>
                    </w:div>
                    <w:div w:id="51172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099331">
      <w:bodyDiv w:val="1"/>
      <w:marLeft w:val="0"/>
      <w:marRight w:val="0"/>
      <w:marTop w:val="0"/>
      <w:marBottom w:val="0"/>
      <w:divBdr>
        <w:top w:val="none" w:sz="0" w:space="0" w:color="auto"/>
        <w:left w:val="none" w:sz="0" w:space="0" w:color="auto"/>
        <w:bottom w:val="none" w:sz="0" w:space="0" w:color="auto"/>
        <w:right w:val="none" w:sz="0" w:space="0" w:color="auto"/>
      </w:divBdr>
    </w:div>
    <w:div w:id="1031421521">
      <w:bodyDiv w:val="1"/>
      <w:marLeft w:val="0"/>
      <w:marRight w:val="0"/>
      <w:marTop w:val="0"/>
      <w:marBottom w:val="0"/>
      <w:divBdr>
        <w:top w:val="none" w:sz="0" w:space="0" w:color="auto"/>
        <w:left w:val="none" w:sz="0" w:space="0" w:color="auto"/>
        <w:bottom w:val="none" w:sz="0" w:space="0" w:color="auto"/>
        <w:right w:val="none" w:sz="0" w:space="0" w:color="auto"/>
      </w:divBdr>
    </w:div>
    <w:div w:id="1036351915">
      <w:bodyDiv w:val="1"/>
      <w:marLeft w:val="0"/>
      <w:marRight w:val="0"/>
      <w:marTop w:val="0"/>
      <w:marBottom w:val="0"/>
      <w:divBdr>
        <w:top w:val="none" w:sz="0" w:space="0" w:color="auto"/>
        <w:left w:val="none" w:sz="0" w:space="0" w:color="auto"/>
        <w:bottom w:val="none" w:sz="0" w:space="0" w:color="auto"/>
        <w:right w:val="none" w:sz="0" w:space="0" w:color="auto"/>
      </w:divBdr>
      <w:divsChild>
        <w:div w:id="1282882904">
          <w:marLeft w:val="0"/>
          <w:marRight w:val="0"/>
          <w:marTop w:val="120"/>
          <w:marBottom w:val="0"/>
          <w:divBdr>
            <w:top w:val="none" w:sz="0" w:space="0" w:color="auto"/>
            <w:left w:val="none" w:sz="0" w:space="0" w:color="auto"/>
            <w:bottom w:val="none" w:sz="0" w:space="0" w:color="auto"/>
            <w:right w:val="none" w:sz="0" w:space="0" w:color="auto"/>
          </w:divBdr>
        </w:div>
        <w:div w:id="1655253680">
          <w:marLeft w:val="0"/>
          <w:marRight w:val="0"/>
          <w:marTop w:val="0"/>
          <w:marBottom w:val="0"/>
          <w:divBdr>
            <w:top w:val="none" w:sz="0" w:space="0" w:color="auto"/>
            <w:left w:val="none" w:sz="0" w:space="0" w:color="auto"/>
            <w:bottom w:val="none" w:sz="0" w:space="0" w:color="auto"/>
            <w:right w:val="none" w:sz="0" w:space="0" w:color="auto"/>
          </w:divBdr>
        </w:div>
      </w:divsChild>
    </w:div>
    <w:div w:id="1051926367">
      <w:bodyDiv w:val="1"/>
      <w:marLeft w:val="0"/>
      <w:marRight w:val="0"/>
      <w:marTop w:val="0"/>
      <w:marBottom w:val="0"/>
      <w:divBdr>
        <w:top w:val="none" w:sz="0" w:space="0" w:color="auto"/>
        <w:left w:val="none" w:sz="0" w:space="0" w:color="auto"/>
        <w:bottom w:val="none" w:sz="0" w:space="0" w:color="auto"/>
        <w:right w:val="none" w:sz="0" w:space="0" w:color="auto"/>
      </w:divBdr>
      <w:divsChild>
        <w:div w:id="1530676167">
          <w:marLeft w:val="0"/>
          <w:marRight w:val="0"/>
          <w:marTop w:val="0"/>
          <w:marBottom w:val="0"/>
          <w:divBdr>
            <w:top w:val="none" w:sz="0" w:space="0" w:color="auto"/>
            <w:left w:val="none" w:sz="0" w:space="0" w:color="auto"/>
            <w:bottom w:val="none" w:sz="0" w:space="0" w:color="auto"/>
            <w:right w:val="none" w:sz="0" w:space="0" w:color="auto"/>
          </w:divBdr>
        </w:div>
        <w:div w:id="1115295847">
          <w:marLeft w:val="0"/>
          <w:marRight w:val="0"/>
          <w:marTop w:val="0"/>
          <w:marBottom w:val="0"/>
          <w:divBdr>
            <w:top w:val="none" w:sz="0" w:space="0" w:color="auto"/>
            <w:left w:val="none" w:sz="0" w:space="0" w:color="auto"/>
            <w:bottom w:val="none" w:sz="0" w:space="0" w:color="auto"/>
            <w:right w:val="none" w:sz="0" w:space="0" w:color="auto"/>
          </w:divBdr>
        </w:div>
        <w:div w:id="1175194189">
          <w:marLeft w:val="0"/>
          <w:marRight w:val="0"/>
          <w:marTop w:val="0"/>
          <w:marBottom w:val="0"/>
          <w:divBdr>
            <w:top w:val="none" w:sz="0" w:space="0" w:color="auto"/>
            <w:left w:val="none" w:sz="0" w:space="0" w:color="auto"/>
            <w:bottom w:val="none" w:sz="0" w:space="0" w:color="auto"/>
            <w:right w:val="none" w:sz="0" w:space="0" w:color="auto"/>
          </w:divBdr>
        </w:div>
        <w:div w:id="941692711">
          <w:marLeft w:val="0"/>
          <w:marRight w:val="0"/>
          <w:marTop w:val="0"/>
          <w:marBottom w:val="0"/>
          <w:divBdr>
            <w:top w:val="none" w:sz="0" w:space="0" w:color="auto"/>
            <w:left w:val="none" w:sz="0" w:space="0" w:color="auto"/>
            <w:bottom w:val="none" w:sz="0" w:space="0" w:color="auto"/>
            <w:right w:val="none" w:sz="0" w:space="0" w:color="auto"/>
          </w:divBdr>
        </w:div>
        <w:div w:id="799614374">
          <w:marLeft w:val="0"/>
          <w:marRight w:val="0"/>
          <w:marTop w:val="0"/>
          <w:marBottom w:val="0"/>
          <w:divBdr>
            <w:top w:val="none" w:sz="0" w:space="0" w:color="auto"/>
            <w:left w:val="none" w:sz="0" w:space="0" w:color="auto"/>
            <w:bottom w:val="none" w:sz="0" w:space="0" w:color="auto"/>
            <w:right w:val="none" w:sz="0" w:space="0" w:color="auto"/>
          </w:divBdr>
        </w:div>
        <w:div w:id="1702314941">
          <w:marLeft w:val="0"/>
          <w:marRight w:val="0"/>
          <w:marTop w:val="0"/>
          <w:marBottom w:val="0"/>
          <w:divBdr>
            <w:top w:val="none" w:sz="0" w:space="0" w:color="auto"/>
            <w:left w:val="none" w:sz="0" w:space="0" w:color="auto"/>
            <w:bottom w:val="none" w:sz="0" w:space="0" w:color="auto"/>
            <w:right w:val="none" w:sz="0" w:space="0" w:color="auto"/>
          </w:divBdr>
        </w:div>
      </w:divsChild>
    </w:div>
    <w:div w:id="1072237324">
      <w:bodyDiv w:val="1"/>
      <w:marLeft w:val="0"/>
      <w:marRight w:val="0"/>
      <w:marTop w:val="0"/>
      <w:marBottom w:val="0"/>
      <w:divBdr>
        <w:top w:val="none" w:sz="0" w:space="0" w:color="auto"/>
        <w:left w:val="none" w:sz="0" w:space="0" w:color="auto"/>
        <w:bottom w:val="none" w:sz="0" w:space="0" w:color="auto"/>
        <w:right w:val="none" w:sz="0" w:space="0" w:color="auto"/>
      </w:divBdr>
      <w:divsChild>
        <w:div w:id="1144811373">
          <w:marLeft w:val="0"/>
          <w:marRight w:val="0"/>
          <w:marTop w:val="0"/>
          <w:marBottom w:val="0"/>
          <w:divBdr>
            <w:top w:val="none" w:sz="0" w:space="0" w:color="auto"/>
            <w:left w:val="none" w:sz="0" w:space="0" w:color="auto"/>
            <w:bottom w:val="none" w:sz="0" w:space="0" w:color="auto"/>
            <w:right w:val="none" w:sz="0" w:space="0" w:color="auto"/>
          </w:divBdr>
          <w:divsChild>
            <w:div w:id="3154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9109">
      <w:bodyDiv w:val="1"/>
      <w:marLeft w:val="0"/>
      <w:marRight w:val="0"/>
      <w:marTop w:val="0"/>
      <w:marBottom w:val="0"/>
      <w:divBdr>
        <w:top w:val="none" w:sz="0" w:space="0" w:color="auto"/>
        <w:left w:val="none" w:sz="0" w:space="0" w:color="auto"/>
        <w:bottom w:val="none" w:sz="0" w:space="0" w:color="auto"/>
        <w:right w:val="none" w:sz="0" w:space="0" w:color="auto"/>
      </w:divBdr>
      <w:divsChild>
        <w:div w:id="899293538">
          <w:marLeft w:val="0"/>
          <w:marRight w:val="0"/>
          <w:marTop w:val="0"/>
          <w:marBottom w:val="0"/>
          <w:divBdr>
            <w:top w:val="none" w:sz="0" w:space="0" w:color="auto"/>
            <w:left w:val="none" w:sz="0" w:space="0" w:color="auto"/>
            <w:bottom w:val="none" w:sz="0" w:space="0" w:color="auto"/>
            <w:right w:val="none" w:sz="0" w:space="0" w:color="auto"/>
          </w:divBdr>
          <w:divsChild>
            <w:div w:id="658001739">
              <w:marLeft w:val="0"/>
              <w:marRight w:val="0"/>
              <w:marTop w:val="120"/>
              <w:marBottom w:val="0"/>
              <w:divBdr>
                <w:top w:val="none" w:sz="0" w:space="0" w:color="auto"/>
                <w:left w:val="none" w:sz="0" w:space="0" w:color="auto"/>
                <w:bottom w:val="none" w:sz="0" w:space="0" w:color="auto"/>
                <w:right w:val="none" w:sz="0" w:space="0" w:color="auto"/>
              </w:divBdr>
            </w:div>
            <w:div w:id="2124030553">
              <w:marLeft w:val="0"/>
              <w:marRight w:val="0"/>
              <w:marTop w:val="0"/>
              <w:marBottom w:val="0"/>
              <w:divBdr>
                <w:top w:val="none" w:sz="0" w:space="0" w:color="auto"/>
                <w:left w:val="none" w:sz="0" w:space="0" w:color="auto"/>
                <w:bottom w:val="none" w:sz="0" w:space="0" w:color="auto"/>
                <w:right w:val="none" w:sz="0" w:space="0" w:color="auto"/>
              </w:divBdr>
            </w:div>
          </w:divsChild>
        </w:div>
        <w:div w:id="1225868026">
          <w:marLeft w:val="0"/>
          <w:marRight w:val="0"/>
          <w:marTop w:val="0"/>
          <w:marBottom w:val="0"/>
          <w:divBdr>
            <w:top w:val="none" w:sz="0" w:space="0" w:color="auto"/>
            <w:left w:val="none" w:sz="0" w:space="0" w:color="auto"/>
            <w:bottom w:val="none" w:sz="0" w:space="0" w:color="auto"/>
            <w:right w:val="none" w:sz="0" w:space="0" w:color="auto"/>
          </w:divBdr>
          <w:divsChild>
            <w:div w:id="906576665">
              <w:marLeft w:val="0"/>
              <w:marRight w:val="0"/>
              <w:marTop w:val="120"/>
              <w:marBottom w:val="0"/>
              <w:divBdr>
                <w:top w:val="none" w:sz="0" w:space="0" w:color="auto"/>
                <w:left w:val="none" w:sz="0" w:space="0" w:color="auto"/>
                <w:bottom w:val="none" w:sz="0" w:space="0" w:color="auto"/>
                <w:right w:val="none" w:sz="0" w:space="0" w:color="auto"/>
              </w:divBdr>
            </w:div>
            <w:div w:id="1086340809">
              <w:marLeft w:val="0"/>
              <w:marRight w:val="0"/>
              <w:marTop w:val="0"/>
              <w:marBottom w:val="0"/>
              <w:divBdr>
                <w:top w:val="none" w:sz="0" w:space="0" w:color="auto"/>
                <w:left w:val="none" w:sz="0" w:space="0" w:color="auto"/>
                <w:bottom w:val="none" w:sz="0" w:space="0" w:color="auto"/>
                <w:right w:val="none" w:sz="0" w:space="0" w:color="auto"/>
              </w:divBdr>
            </w:div>
          </w:divsChild>
        </w:div>
        <w:div w:id="1316958170">
          <w:marLeft w:val="0"/>
          <w:marRight w:val="0"/>
          <w:marTop w:val="0"/>
          <w:marBottom w:val="0"/>
          <w:divBdr>
            <w:top w:val="none" w:sz="0" w:space="0" w:color="auto"/>
            <w:left w:val="none" w:sz="0" w:space="0" w:color="auto"/>
            <w:bottom w:val="none" w:sz="0" w:space="0" w:color="auto"/>
            <w:right w:val="none" w:sz="0" w:space="0" w:color="auto"/>
          </w:divBdr>
          <w:divsChild>
            <w:div w:id="116875370">
              <w:marLeft w:val="0"/>
              <w:marRight w:val="0"/>
              <w:marTop w:val="120"/>
              <w:marBottom w:val="0"/>
              <w:divBdr>
                <w:top w:val="none" w:sz="0" w:space="0" w:color="auto"/>
                <w:left w:val="none" w:sz="0" w:space="0" w:color="auto"/>
                <w:bottom w:val="none" w:sz="0" w:space="0" w:color="auto"/>
                <w:right w:val="none" w:sz="0" w:space="0" w:color="auto"/>
              </w:divBdr>
            </w:div>
            <w:div w:id="194264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271320">
      <w:bodyDiv w:val="1"/>
      <w:marLeft w:val="0"/>
      <w:marRight w:val="0"/>
      <w:marTop w:val="0"/>
      <w:marBottom w:val="0"/>
      <w:divBdr>
        <w:top w:val="none" w:sz="0" w:space="0" w:color="auto"/>
        <w:left w:val="none" w:sz="0" w:space="0" w:color="auto"/>
        <w:bottom w:val="none" w:sz="0" w:space="0" w:color="auto"/>
        <w:right w:val="none" w:sz="0" w:space="0" w:color="auto"/>
      </w:divBdr>
      <w:divsChild>
        <w:div w:id="258873124">
          <w:marLeft w:val="0"/>
          <w:marRight w:val="0"/>
          <w:marTop w:val="0"/>
          <w:marBottom w:val="0"/>
          <w:divBdr>
            <w:top w:val="none" w:sz="0" w:space="0" w:color="auto"/>
            <w:left w:val="none" w:sz="0" w:space="0" w:color="auto"/>
            <w:bottom w:val="none" w:sz="0" w:space="0" w:color="auto"/>
            <w:right w:val="none" w:sz="0" w:space="0" w:color="auto"/>
          </w:divBdr>
        </w:div>
      </w:divsChild>
    </w:div>
    <w:div w:id="1119111078">
      <w:bodyDiv w:val="1"/>
      <w:marLeft w:val="0"/>
      <w:marRight w:val="0"/>
      <w:marTop w:val="0"/>
      <w:marBottom w:val="0"/>
      <w:divBdr>
        <w:top w:val="none" w:sz="0" w:space="0" w:color="auto"/>
        <w:left w:val="none" w:sz="0" w:space="0" w:color="auto"/>
        <w:bottom w:val="none" w:sz="0" w:space="0" w:color="auto"/>
        <w:right w:val="none" w:sz="0" w:space="0" w:color="auto"/>
      </w:divBdr>
      <w:divsChild>
        <w:div w:id="1022973159">
          <w:marLeft w:val="0"/>
          <w:marRight w:val="0"/>
          <w:marTop w:val="0"/>
          <w:marBottom w:val="0"/>
          <w:divBdr>
            <w:top w:val="none" w:sz="0" w:space="0" w:color="auto"/>
            <w:left w:val="none" w:sz="0" w:space="0" w:color="auto"/>
            <w:bottom w:val="none" w:sz="0" w:space="0" w:color="auto"/>
            <w:right w:val="none" w:sz="0" w:space="0" w:color="auto"/>
          </w:divBdr>
          <w:divsChild>
            <w:div w:id="1480808912">
              <w:marLeft w:val="0"/>
              <w:marRight w:val="0"/>
              <w:marTop w:val="120"/>
              <w:marBottom w:val="0"/>
              <w:divBdr>
                <w:top w:val="none" w:sz="0" w:space="0" w:color="auto"/>
                <w:left w:val="none" w:sz="0" w:space="0" w:color="auto"/>
                <w:bottom w:val="none" w:sz="0" w:space="0" w:color="auto"/>
                <w:right w:val="none" w:sz="0" w:space="0" w:color="auto"/>
              </w:divBdr>
            </w:div>
            <w:div w:id="722867019">
              <w:marLeft w:val="0"/>
              <w:marRight w:val="0"/>
              <w:marTop w:val="0"/>
              <w:marBottom w:val="0"/>
              <w:divBdr>
                <w:top w:val="none" w:sz="0" w:space="0" w:color="auto"/>
                <w:left w:val="none" w:sz="0" w:space="0" w:color="auto"/>
                <w:bottom w:val="none" w:sz="0" w:space="0" w:color="auto"/>
                <w:right w:val="none" w:sz="0" w:space="0" w:color="auto"/>
              </w:divBdr>
              <w:divsChild>
                <w:div w:id="373896355">
                  <w:marLeft w:val="0"/>
                  <w:marRight w:val="0"/>
                  <w:marTop w:val="0"/>
                  <w:marBottom w:val="0"/>
                  <w:divBdr>
                    <w:top w:val="none" w:sz="0" w:space="0" w:color="auto"/>
                    <w:left w:val="none" w:sz="0" w:space="0" w:color="auto"/>
                    <w:bottom w:val="none" w:sz="0" w:space="0" w:color="auto"/>
                    <w:right w:val="none" w:sz="0" w:space="0" w:color="auto"/>
                  </w:divBdr>
                  <w:divsChild>
                    <w:div w:id="280772332">
                      <w:marLeft w:val="0"/>
                      <w:marRight w:val="0"/>
                      <w:marTop w:val="120"/>
                      <w:marBottom w:val="0"/>
                      <w:divBdr>
                        <w:top w:val="none" w:sz="0" w:space="0" w:color="auto"/>
                        <w:left w:val="none" w:sz="0" w:space="0" w:color="auto"/>
                        <w:bottom w:val="none" w:sz="0" w:space="0" w:color="auto"/>
                        <w:right w:val="none" w:sz="0" w:space="0" w:color="auto"/>
                      </w:divBdr>
                    </w:div>
                    <w:div w:id="288056307">
                      <w:marLeft w:val="0"/>
                      <w:marRight w:val="0"/>
                      <w:marTop w:val="0"/>
                      <w:marBottom w:val="0"/>
                      <w:divBdr>
                        <w:top w:val="none" w:sz="0" w:space="0" w:color="auto"/>
                        <w:left w:val="none" w:sz="0" w:space="0" w:color="auto"/>
                        <w:bottom w:val="none" w:sz="0" w:space="0" w:color="auto"/>
                        <w:right w:val="none" w:sz="0" w:space="0" w:color="auto"/>
                      </w:divBdr>
                    </w:div>
                  </w:divsChild>
                </w:div>
                <w:div w:id="2063938686">
                  <w:marLeft w:val="0"/>
                  <w:marRight w:val="0"/>
                  <w:marTop w:val="0"/>
                  <w:marBottom w:val="0"/>
                  <w:divBdr>
                    <w:top w:val="none" w:sz="0" w:space="0" w:color="auto"/>
                    <w:left w:val="none" w:sz="0" w:space="0" w:color="auto"/>
                    <w:bottom w:val="none" w:sz="0" w:space="0" w:color="auto"/>
                    <w:right w:val="none" w:sz="0" w:space="0" w:color="auto"/>
                  </w:divBdr>
                  <w:divsChild>
                    <w:div w:id="1614552205">
                      <w:marLeft w:val="0"/>
                      <w:marRight w:val="0"/>
                      <w:marTop w:val="120"/>
                      <w:marBottom w:val="0"/>
                      <w:divBdr>
                        <w:top w:val="none" w:sz="0" w:space="0" w:color="auto"/>
                        <w:left w:val="none" w:sz="0" w:space="0" w:color="auto"/>
                        <w:bottom w:val="none" w:sz="0" w:space="0" w:color="auto"/>
                        <w:right w:val="none" w:sz="0" w:space="0" w:color="auto"/>
                      </w:divBdr>
                    </w:div>
                    <w:div w:id="1795755389">
                      <w:marLeft w:val="0"/>
                      <w:marRight w:val="0"/>
                      <w:marTop w:val="0"/>
                      <w:marBottom w:val="0"/>
                      <w:divBdr>
                        <w:top w:val="none" w:sz="0" w:space="0" w:color="auto"/>
                        <w:left w:val="none" w:sz="0" w:space="0" w:color="auto"/>
                        <w:bottom w:val="none" w:sz="0" w:space="0" w:color="auto"/>
                        <w:right w:val="none" w:sz="0" w:space="0" w:color="auto"/>
                      </w:divBdr>
                    </w:div>
                  </w:divsChild>
                </w:div>
                <w:div w:id="709572856">
                  <w:marLeft w:val="0"/>
                  <w:marRight w:val="0"/>
                  <w:marTop w:val="0"/>
                  <w:marBottom w:val="0"/>
                  <w:divBdr>
                    <w:top w:val="none" w:sz="0" w:space="0" w:color="auto"/>
                    <w:left w:val="none" w:sz="0" w:space="0" w:color="auto"/>
                    <w:bottom w:val="none" w:sz="0" w:space="0" w:color="auto"/>
                    <w:right w:val="none" w:sz="0" w:space="0" w:color="auto"/>
                  </w:divBdr>
                  <w:divsChild>
                    <w:div w:id="1835873344">
                      <w:marLeft w:val="0"/>
                      <w:marRight w:val="0"/>
                      <w:marTop w:val="120"/>
                      <w:marBottom w:val="0"/>
                      <w:divBdr>
                        <w:top w:val="none" w:sz="0" w:space="0" w:color="auto"/>
                        <w:left w:val="none" w:sz="0" w:space="0" w:color="auto"/>
                        <w:bottom w:val="none" w:sz="0" w:space="0" w:color="auto"/>
                        <w:right w:val="none" w:sz="0" w:space="0" w:color="auto"/>
                      </w:divBdr>
                    </w:div>
                    <w:div w:id="13946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024071">
          <w:marLeft w:val="0"/>
          <w:marRight w:val="0"/>
          <w:marTop w:val="0"/>
          <w:marBottom w:val="0"/>
          <w:divBdr>
            <w:top w:val="none" w:sz="0" w:space="0" w:color="auto"/>
            <w:left w:val="none" w:sz="0" w:space="0" w:color="auto"/>
            <w:bottom w:val="none" w:sz="0" w:space="0" w:color="auto"/>
            <w:right w:val="none" w:sz="0" w:space="0" w:color="auto"/>
          </w:divBdr>
          <w:divsChild>
            <w:div w:id="1027754245">
              <w:marLeft w:val="0"/>
              <w:marRight w:val="0"/>
              <w:marTop w:val="120"/>
              <w:marBottom w:val="0"/>
              <w:divBdr>
                <w:top w:val="none" w:sz="0" w:space="0" w:color="auto"/>
                <w:left w:val="none" w:sz="0" w:space="0" w:color="auto"/>
                <w:bottom w:val="none" w:sz="0" w:space="0" w:color="auto"/>
                <w:right w:val="none" w:sz="0" w:space="0" w:color="auto"/>
              </w:divBdr>
            </w:div>
            <w:div w:id="154713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840608">
      <w:bodyDiv w:val="1"/>
      <w:marLeft w:val="0"/>
      <w:marRight w:val="0"/>
      <w:marTop w:val="0"/>
      <w:marBottom w:val="0"/>
      <w:divBdr>
        <w:top w:val="none" w:sz="0" w:space="0" w:color="auto"/>
        <w:left w:val="none" w:sz="0" w:space="0" w:color="auto"/>
        <w:bottom w:val="none" w:sz="0" w:space="0" w:color="auto"/>
        <w:right w:val="none" w:sz="0" w:space="0" w:color="auto"/>
      </w:divBdr>
      <w:divsChild>
        <w:div w:id="1830829456">
          <w:marLeft w:val="0"/>
          <w:marRight w:val="0"/>
          <w:marTop w:val="0"/>
          <w:marBottom w:val="0"/>
          <w:divBdr>
            <w:top w:val="none" w:sz="0" w:space="0" w:color="auto"/>
            <w:left w:val="none" w:sz="0" w:space="0" w:color="auto"/>
            <w:bottom w:val="none" w:sz="0" w:space="0" w:color="auto"/>
            <w:right w:val="none" w:sz="0" w:space="0" w:color="auto"/>
          </w:divBdr>
          <w:divsChild>
            <w:div w:id="62459978">
              <w:marLeft w:val="0"/>
              <w:marRight w:val="0"/>
              <w:marTop w:val="0"/>
              <w:marBottom w:val="0"/>
              <w:divBdr>
                <w:top w:val="none" w:sz="0" w:space="0" w:color="auto"/>
                <w:left w:val="none" w:sz="0" w:space="0" w:color="auto"/>
                <w:bottom w:val="none" w:sz="0" w:space="0" w:color="auto"/>
                <w:right w:val="none" w:sz="0" w:space="0" w:color="auto"/>
              </w:divBdr>
            </w:div>
          </w:divsChild>
        </w:div>
        <w:div w:id="1634097167">
          <w:marLeft w:val="0"/>
          <w:marRight w:val="0"/>
          <w:marTop w:val="0"/>
          <w:marBottom w:val="0"/>
          <w:divBdr>
            <w:top w:val="none" w:sz="0" w:space="0" w:color="auto"/>
            <w:left w:val="none" w:sz="0" w:space="0" w:color="auto"/>
            <w:bottom w:val="none" w:sz="0" w:space="0" w:color="auto"/>
            <w:right w:val="none" w:sz="0" w:space="0" w:color="auto"/>
          </w:divBdr>
          <w:divsChild>
            <w:div w:id="879712054">
              <w:marLeft w:val="0"/>
              <w:marRight w:val="0"/>
              <w:marTop w:val="0"/>
              <w:marBottom w:val="0"/>
              <w:divBdr>
                <w:top w:val="none" w:sz="0" w:space="0" w:color="auto"/>
                <w:left w:val="none" w:sz="0" w:space="0" w:color="auto"/>
                <w:bottom w:val="none" w:sz="0" w:space="0" w:color="auto"/>
                <w:right w:val="none" w:sz="0" w:space="0" w:color="auto"/>
              </w:divBdr>
              <w:divsChild>
                <w:div w:id="1219249103">
                  <w:marLeft w:val="0"/>
                  <w:marRight w:val="0"/>
                  <w:marTop w:val="0"/>
                  <w:marBottom w:val="0"/>
                  <w:divBdr>
                    <w:top w:val="none" w:sz="0" w:space="0" w:color="auto"/>
                    <w:left w:val="none" w:sz="0" w:space="0" w:color="auto"/>
                    <w:bottom w:val="none" w:sz="0" w:space="0" w:color="auto"/>
                    <w:right w:val="none" w:sz="0" w:space="0" w:color="auto"/>
                  </w:divBdr>
                  <w:divsChild>
                    <w:div w:id="1695186798">
                      <w:marLeft w:val="0"/>
                      <w:marRight w:val="0"/>
                      <w:marTop w:val="120"/>
                      <w:marBottom w:val="0"/>
                      <w:divBdr>
                        <w:top w:val="none" w:sz="0" w:space="0" w:color="auto"/>
                        <w:left w:val="none" w:sz="0" w:space="0" w:color="auto"/>
                        <w:bottom w:val="none" w:sz="0" w:space="0" w:color="auto"/>
                        <w:right w:val="none" w:sz="0" w:space="0" w:color="auto"/>
                      </w:divBdr>
                    </w:div>
                    <w:div w:id="1089043473">
                      <w:marLeft w:val="0"/>
                      <w:marRight w:val="0"/>
                      <w:marTop w:val="0"/>
                      <w:marBottom w:val="0"/>
                      <w:divBdr>
                        <w:top w:val="none" w:sz="0" w:space="0" w:color="auto"/>
                        <w:left w:val="none" w:sz="0" w:space="0" w:color="auto"/>
                        <w:bottom w:val="none" w:sz="0" w:space="0" w:color="auto"/>
                        <w:right w:val="none" w:sz="0" w:space="0" w:color="auto"/>
                      </w:divBdr>
                    </w:div>
                  </w:divsChild>
                </w:div>
                <w:div w:id="1781492043">
                  <w:marLeft w:val="0"/>
                  <w:marRight w:val="0"/>
                  <w:marTop w:val="0"/>
                  <w:marBottom w:val="0"/>
                  <w:divBdr>
                    <w:top w:val="none" w:sz="0" w:space="0" w:color="auto"/>
                    <w:left w:val="none" w:sz="0" w:space="0" w:color="auto"/>
                    <w:bottom w:val="none" w:sz="0" w:space="0" w:color="auto"/>
                    <w:right w:val="none" w:sz="0" w:space="0" w:color="auto"/>
                  </w:divBdr>
                  <w:divsChild>
                    <w:div w:id="1937791179">
                      <w:marLeft w:val="0"/>
                      <w:marRight w:val="0"/>
                      <w:marTop w:val="120"/>
                      <w:marBottom w:val="0"/>
                      <w:divBdr>
                        <w:top w:val="none" w:sz="0" w:space="0" w:color="auto"/>
                        <w:left w:val="none" w:sz="0" w:space="0" w:color="auto"/>
                        <w:bottom w:val="none" w:sz="0" w:space="0" w:color="auto"/>
                        <w:right w:val="none" w:sz="0" w:space="0" w:color="auto"/>
                      </w:divBdr>
                    </w:div>
                    <w:div w:id="264965774">
                      <w:marLeft w:val="0"/>
                      <w:marRight w:val="0"/>
                      <w:marTop w:val="0"/>
                      <w:marBottom w:val="0"/>
                      <w:divBdr>
                        <w:top w:val="none" w:sz="0" w:space="0" w:color="auto"/>
                        <w:left w:val="none" w:sz="0" w:space="0" w:color="auto"/>
                        <w:bottom w:val="none" w:sz="0" w:space="0" w:color="auto"/>
                        <w:right w:val="none" w:sz="0" w:space="0" w:color="auto"/>
                      </w:divBdr>
                    </w:div>
                  </w:divsChild>
                </w:div>
                <w:div w:id="351031293">
                  <w:marLeft w:val="0"/>
                  <w:marRight w:val="0"/>
                  <w:marTop w:val="0"/>
                  <w:marBottom w:val="0"/>
                  <w:divBdr>
                    <w:top w:val="none" w:sz="0" w:space="0" w:color="auto"/>
                    <w:left w:val="none" w:sz="0" w:space="0" w:color="auto"/>
                    <w:bottom w:val="none" w:sz="0" w:space="0" w:color="auto"/>
                    <w:right w:val="none" w:sz="0" w:space="0" w:color="auto"/>
                  </w:divBdr>
                  <w:divsChild>
                    <w:div w:id="188641601">
                      <w:marLeft w:val="0"/>
                      <w:marRight w:val="0"/>
                      <w:marTop w:val="120"/>
                      <w:marBottom w:val="0"/>
                      <w:divBdr>
                        <w:top w:val="none" w:sz="0" w:space="0" w:color="auto"/>
                        <w:left w:val="none" w:sz="0" w:space="0" w:color="auto"/>
                        <w:bottom w:val="none" w:sz="0" w:space="0" w:color="auto"/>
                        <w:right w:val="none" w:sz="0" w:space="0" w:color="auto"/>
                      </w:divBdr>
                    </w:div>
                    <w:div w:id="202034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756079">
          <w:marLeft w:val="0"/>
          <w:marRight w:val="0"/>
          <w:marTop w:val="0"/>
          <w:marBottom w:val="0"/>
          <w:divBdr>
            <w:top w:val="none" w:sz="0" w:space="0" w:color="auto"/>
            <w:left w:val="none" w:sz="0" w:space="0" w:color="auto"/>
            <w:bottom w:val="none" w:sz="0" w:space="0" w:color="auto"/>
            <w:right w:val="none" w:sz="0" w:space="0" w:color="auto"/>
          </w:divBdr>
          <w:divsChild>
            <w:div w:id="179471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881455">
      <w:bodyDiv w:val="1"/>
      <w:marLeft w:val="0"/>
      <w:marRight w:val="0"/>
      <w:marTop w:val="0"/>
      <w:marBottom w:val="0"/>
      <w:divBdr>
        <w:top w:val="none" w:sz="0" w:space="0" w:color="auto"/>
        <w:left w:val="none" w:sz="0" w:space="0" w:color="auto"/>
        <w:bottom w:val="none" w:sz="0" w:space="0" w:color="auto"/>
        <w:right w:val="none" w:sz="0" w:space="0" w:color="auto"/>
      </w:divBdr>
      <w:divsChild>
        <w:div w:id="1218055868">
          <w:marLeft w:val="0"/>
          <w:marRight w:val="0"/>
          <w:marTop w:val="0"/>
          <w:marBottom w:val="0"/>
          <w:divBdr>
            <w:top w:val="none" w:sz="0" w:space="0" w:color="auto"/>
            <w:left w:val="none" w:sz="0" w:space="0" w:color="auto"/>
            <w:bottom w:val="none" w:sz="0" w:space="0" w:color="auto"/>
            <w:right w:val="none" w:sz="0" w:space="0" w:color="auto"/>
          </w:divBdr>
        </w:div>
        <w:div w:id="1103648538">
          <w:marLeft w:val="0"/>
          <w:marRight w:val="0"/>
          <w:marTop w:val="0"/>
          <w:marBottom w:val="0"/>
          <w:divBdr>
            <w:top w:val="none" w:sz="0" w:space="0" w:color="auto"/>
            <w:left w:val="none" w:sz="0" w:space="0" w:color="auto"/>
            <w:bottom w:val="none" w:sz="0" w:space="0" w:color="auto"/>
            <w:right w:val="none" w:sz="0" w:space="0" w:color="auto"/>
          </w:divBdr>
        </w:div>
        <w:div w:id="290401701">
          <w:marLeft w:val="0"/>
          <w:marRight w:val="0"/>
          <w:marTop w:val="0"/>
          <w:marBottom w:val="0"/>
          <w:divBdr>
            <w:top w:val="none" w:sz="0" w:space="0" w:color="auto"/>
            <w:left w:val="none" w:sz="0" w:space="0" w:color="auto"/>
            <w:bottom w:val="none" w:sz="0" w:space="0" w:color="auto"/>
            <w:right w:val="none" w:sz="0" w:space="0" w:color="auto"/>
          </w:divBdr>
        </w:div>
        <w:div w:id="506795985">
          <w:marLeft w:val="0"/>
          <w:marRight w:val="0"/>
          <w:marTop w:val="0"/>
          <w:marBottom w:val="0"/>
          <w:divBdr>
            <w:top w:val="none" w:sz="0" w:space="0" w:color="auto"/>
            <w:left w:val="none" w:sz="0" w:space="0" w:color="auto"/>
            <w:bottom w:val="none" w:sz="0" w:space="0" w:color="auto"/>
            <w:right w:val="none" w:sz="0" w:space="0" w:color="auto"/>
          </w:divBdr>
        </w:div>
        <w:div w:id="996614793">
          <w:marLeft w:val="0"/>
          <w:marRight w:val="0"/>
          <w:marTop w:val="0"/>
          <w:marBottom w:val="0"/>
          <w:divBdr>
            <w:top w:val="none" w:sz="0" w:space="0" w:color="auto"/>
            <w:left w:val="none" w:sz="0" w:space="0" w:color="auto"/>
            <w:bottom w:val="none" w:sz="0" w:space="0" w:color="auto"/>
            <w:right w:val="none" w:sz="0" w:space="0" w:color="auto"/>
          </w:divBdr>
        </w:div>
        <w:div w:id="1768577799">
          <w:marLeft w:val="0"/>
          <w:marRight w:val="0"/>
          <w:marTop w:val="0"/>
          <w:marBottom w:val="0"/>
          <w:divBdr>
            <w:top w:val="none" w:sz="0" w:space="0" w:color="auto"/>
            <w:left w:val="none" w:sz="0" w:space="0" w:color="auto"/>
            <w:bottom w:val="none" w:sz="0" w:space="0" w:color="auto"/>
            <w:right w:val="none" w:sz="0" w:space="0" w:color="auto"/>
          </w:divBdr>
        </w:div>
      </w:divsChild>
    </w:div>
    <w:div w:id="1121529814">
      <w:bodyDiv w:val="1"/>
      <w:marLeft w:val="0"/>
      <w:marRight w:val="0"/>
      <w:marTop w:val="0"/>
      <w:marBottom w:val="0"/>
      <w:divBdr>
        <w:top w:val="none" w:sz="0" w:space="0" w:color="auto"/>
        <w:left w:val="none" w:sz="0" w:space="0" w:color="auto"/>
        <w:bottom w:val="none" w:sz="0" w:space="0" w:color="auto"/>
        <w:right w:val="none" w:sz="0" w:space="0" w:color="auto"/>
      </w:divBdr>
      <w:divsChild>
        <w:div w:id="727144128">
          <w:marLeft w:val="0"/>
          <w:marRight w:val="0"/>
          <w:marTop w:val="120"/>
          <w:marBottom w:val="0"/>
          <w:divBdr>
            <w:top w:val="none" w:sz="0" w:space="0" w:color="auto"/>
            <w:left w:val="none" w:sz="0" w:space="0" w:color="auto"/>
            <w:bottom w:val="none" w:sz="0" w:space="0" w:color="auto"/>
            <w:right w:val="none" w:sz="0" w:space="0" w:color="auto"/>
          </w:divBdr>
        </w:div>
        <w:div w:id="377166051">
          <w:marLeft w:val="0"/>
          <w:marRight w:val="0"/>
          <w:marTop w:val="0"/>
          <w:marBottom w:val="0"/>
          <w:divBdr>
            <w:top w:val="none" w:sz="0" w:space="0" w:color="auto"/>
            <w:left w:val="none" w:sz="0" w:space="0" w:color="auto"/>
            <w:bottom w:val="none" w:sz="0" w:space="0" w:color="auto"/>
            <w:right w:val="none" w:sz="0" w:space="0" w:color="auto"/>
          </w:divBdr>
        </w:div>
      </w:divsChild>
    </w:div>
    <w:div w:id="1124233959">
      <w:bodyDiv w:val="1"/>
      <w:marLeft w:val="0"/>
      <w:marRight w:val="0"/>
      <w:marTop w:val="0"/>
      <w:marBottom w:val="0"/>
      <w:divBdr>
        <w:top w:val="none" w:sz="0" w:space="0" w:color="auto"/>
        <w:left w:val="none" w:sz="0" w:space="0" w:color="auto"/>
        <w:bottom w:val="none" w:sz="0" w:space="0" w:color="auto"/>
        <w:right w:val="none" w:sz="0" w:space="0" w:color="auto"/>
      </w:divBdr>
      <w:divsChild>
        <w:div w:id="661930255">
          <w:marLeft w:val="0"/>
          <w:marRight w:val="0"/>
          <w:marTop w:val="0"/>
          <w:marBottom w:val="0"/>
          <w:divBdr>
            <w:top w:val="none" w:sz="0" w:space="0" w:color="auto"/>
            <w:left w:val="none" w:sz="0" w:space="0" w:color="auto"/>
            <w:bottom w:val="none" w:sz="0" w:space="0" w:color="auto"/>
            <w:right w:val="none" w:sz="0" w:space="0" w:color="auto"/>
          </w:divBdr>
          <w:divsChild>
            <w:div w:id="855926804">
              <w:marLeft w:val="0"/>
              <w:marRight w:val="0"/>
              <w:marTop w:val="120"/>
              <w:marBottom w:val="0"/>
              <w:divBdr>
                <w:top w:val="none" w:sz="0" w:space="0" w:color="auto"/>
                <w:left w:val="none" w:sz="0" w:space="0" w:color="auto"/>
                <w:bottom w:val="none" w:sz="0" w:space="0" w:color="auto"/>
                <w:right w:val="none" w:sz="0" w:space="0" w:color="auto"/>
              </w:divBdr>
            </w:div>
            <w:div w:id="155414777">
              <w:marLeft w:val="0"/>
              <w:marRight w:val="0"/>
              <w:marTop w:val="0"/>
              <w:marBottom w:val="0"/>
              <w:divBdr>
                <w:top w:val="none" w:sz="0" w:space="0" w:color="auto"/>
                <w:left w:val="none" w:sz="0" w:space="0" w:color="auto"/>
                <w:bottom w:val="none" w:sz="0" w:space="0" w:color="auto"/>
                <w:right w:val="none" w:sz="0" w:space="0" w:color="auto"/>
              </w:divBdr>
              <w:divsChild>
                <w:div w:id="899245145">
                  <w:marLeft w:val="0"/>
                  <w:marRight w:val="0"/>
                  <w:marTop w:val="0"/>
                  <w:marBottom w:val="0"/>
                  <w:divBdr>
                    <w:top w:val="none" w:sz="0" w:space="0" w:color="auto"/>
                    <w:left w:val="none" w:sz="0" w:space="0" w:color="auto"/>
                    <w:bottom w:val="none" w:sz="0" w:space="0" w:color="auto"/>
                    <w:right w:val="none" w:sz="0" w:space="0" w:color="auto"/>
                  </w:divBdr>
                  <w:divsChild>
                    <w:div w:id="1668089974">
                      <w:marLeft w:val="0"/>
                      <w:marRight w:val="0"/>
                      <w:marTop w:val="120"/>
                      <w:marBottom w:val="0"/>
                      <w:divBdr>
                        <w:top w:val="none" w:sz="0" w:space="0" w:color="auto"/>
                        <w:left w:val="none" w:sz="0" w:space="0" w:color="auto"/>
                        <w:bottom w:val="none" w:sz="0" w:space="0" w:color="auto"/>
                        <w:right w:val="none" w:sz="0" w:space="0" w:color="auto"/>
                      </w:divBdr>
                    </w:div>
                    <w:div w:id="646906538">
                      <w:marLeft w:val="0"/>
                      <w:marRight w:val="0"/>
                      <w:marTop w:val="0"/>
                      <w:marBottom w:val="0"/>
                      <w:divBdr>
                        <w:top w:val="none" w:sz="0" w:space="0" w:color="auto"/>
                        <w:left w:val="none" w:sz="0" w:space="0" w:color="auto"/>
                        <w:bottom w:val="none" w:sz="0" w:space="0" w:color="auto"/>
                        <w:right w:val="none" w:sz="0" w:space="0" w:color="auto"/>
                      </w:divBdr>
                    </w:div>
                  </w:divsChild>
                </w:div>
                <w:div w:id="1997220780">
                  <w:marLeft w:val="0"/>
                  <w:marRight w:val="0"/>
                  <w:marTop w:val="0"/>
                  <w:marBottom w:val="0"/>
                  <w:divBdr>
                    <w:top w:val="none" w:sz="0" w:space="0" w:color="auto"/>
                    <w:left w:val="none" w:sz="0" w:space="0" w:color="auto"/>
                    <w:bottom w:val="none" w:sz="0" w:space="0" w:color="auto"/>
                    <w:right w:val="none" w:sz="0" w:space="0" w:color="auto"/>
                  </w:divBdr>
                  <w:divsChild>
                    <w:div w:id="1315064447">
                      <w:marLeft w:val="0"/>
                      <w:marRight w:val="0"/>
                      <w:marTop w:val="120"/>
                      <w:marBottom w:val="0"/>
                      <w:divBdr>
                        <w:top w:val="none" w:sz="0" w:space="0" w:color="auto"/>
                        <w:left w:val="none" w:sz="0" w:space="0" w:color="auto"/>
                        <w:bottom w:val="none" w:sz="0" w:space="0" w:color="auto"/>
                        <w:right w:val="none" w:sz="0" w:space="0" w:color="auto"/>
                      </w:divBdr>
                    </w:div>
                    <w:div w:id="2017027929">
                      <w:marLeft w:val="0"/>
                      <w:marRight w:val="0"/>
                      <w:marTop w:val="0"/>
                      <w:marBottom w:val="0"/>
                      <w:divBdr>
                        <w:top w:val="none" w:sz="0" w:space="0" w:color="auto"/>
                        <w:left w:val="none" w:sz="0" w:space="0" w:color="auto"/>
                        <w:bottom w:val="none" w:sz="0" w:space="0" w:color="auto"/>
                        <w:right w:val="none" w:sz="0" w:space="0" w:color="auto"/>
                      </w:divBdr>
                    </w:div>
                  </w:divsChild>
                </w:div>
                <w:div w:id="372729620">
                  <w:marLeft w:val="0"/>
                  <w:marRight w:val="0"/>
                  <w:marTop w:val="0"/>
                  <w:marBottom w:val="0"/>
                  <w:divBdr>
                    <w:top w:val="none" w:sz="0" w:space="0" w:color="auto"/>
                    <w:left w:val="none" w:sz="0" w:space="0" w:color="auto"/>
                    <w:bottom w:val="none" w:sz="0" w:space="0" w:color="auto"/>
                    <w:right w:val="none" w:sz="0" w:space="0" w:color="auto"/>
                  </w:divBdr>
                  <w:divsChild>
                    <w:div w:id="1868180239">
                      <w:marLeft w:val="0"/>
                      <w:marRight w:val="0"/>
                      <w:marTop w:val="120"/>
                      <w:marBottom w:val="0"/>
                      <w:divBdr>
                        <w:top w:val="none" w:sz="0" w:space="0" w:color="auto"/>
                        <w:left w:val="none" w:sz="0" w:space="0" w:color="auto"/>
                        <w:bottom w:val="none" w:sz="0" w:space="0" w:color="auto"/>
                        <w:right w:val="none" w:sz="0" w:space="0" w:color="auto"/>
                      </w:divBdr>
                    </w:div>
                    <w:div w:id="195651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11149">
          <w:marLeft w:val="0"/>
          <w:marRight w:val="0"/>
          <w:marTop w:val="0"/>
          <w:marBottom w:val="0"/>
          <w:divBdr>
            <w:top w:val="none" w:sz="0" w:space="0" w:color="auto"/>
            <w:left w:val="none" w:sz="0" w:space="0" w:color="auto"/>
            <w:bottom w:val="none" w:sz="0" w:space="0" w:color="auto"/>
            <w:right w:val="none" w:sz="0" w:space="0" w:color="auto"/>
          </w:divBdr>
          <w:divsChild>
            <w:div w:id="115223016">
              <w:marLeft w:val="0"/>
              <w:marRight w:val="0"/>
              <w:marTop w:val="120"/>
              <w:marBottom w:val="0"/>
              <w:divBdr>
                <w:top w:val="none" w:sz="0" w:space="0" w:color="auto"/>
                <w:left w:val="none" w:sz="0" w:space="0" w:color="auto"/>
                <w:bottom w:val="none" w:sz="0" w:space="0" w:color="auto"/>
                <w:right w:val="none" w:sz="0" w:space="0" w:color="auto"/>
              </w:divBdr>
            </w:div>
            <w:div w:id="76241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31616">
      <w:bodyDiv w:val="1"/>
      <w:marLeft w:val="0"/>
      <w:marRight w:val="0"/>
      <w:marTop w:val="0"/>
      <w:marBottom w:val="0"/>
      <w:divBdr>
        <w:top w:val="none" w:sz="0" w:space="0" w:color="auto"/>
        <w:left w:val="none" w:sz="0" w:space="0" w:color="auto"/>
        <w:bottom w:val="none" w:sz="0" w:space="0" w:color="auto"/>
        <w:right w:val="none" w:sz="0" w:space="0" w:color="auto"/>
      </w:divBdr>
      <w:divsChild>
        <w:div w:id="1217160747">
          <w:marLeft w:val="0"/>
          <w:marRight w:val="0"/>
          <w:marTop w:val="0"/>
          <w:marBottom w:val="0"/>
          <w:divBdr>
            <w:top w:val="none" w:sz="0" w:space="0" w:color="auto"/>
            <w:left w:val="none" w:sz="0" w:space="0" w:color="auto"/>
            <w:bottom w:val="none" w:sz="0" w:space="0" w:color="auto"/>
            <w:right w:val="none" w:sz="0" w:space="0" w:color="auto"/>
          </w:divBdr>
          <w:divsChild>
            <w:div w:id="1550341913">
              <w:marLeft w:val="0"/>
              <w:marRight w:val="0"/>
              <w:marTop w:val="120"/>
              <w:marBottom w:val="0"/>
              <w:divBdr>
                <w:top w:val="none" w:sz="0" w:space="0" w:color="auto"/>
                <w:left w:val="none" w:sz="0" w:space="0" w:color="auto"/>
                <w:bottom w:val="none" w:sz="0" w:space="0" w:color="auto"/>
                <w:right w:val="none" w:sz="0" w:space="0" w:color="auto"/>
              </w:divBdr>
            </w:div>
            <w:div w:id="134572388">
              <w:marLeft w:val="0"/>
              <w:marRight w:val="0"/>
              <w:marTop w:val="0"/>
              <w:marBottom w:val="0"/>
              <w:divBdr>
                <w:top w:val="none" w:sz="0" w:space="0" w:color="auto"/>
                <w:left w:val="none" w:sz="0" w:space="0" w:color="auto"/>
                <w:bottom w:val="none" w:sz="0" w:space="0" w:color="auto"/>
                <w:right w:val="none" w:sz="0" w:space="0" w:color="auto"/>
              </w:divBdr>
            </w:div>
          </w:divsChild>
        </w:div>
        <w:div w:id="1887718263">
          <w:marLeft w:val="0"/>
          <w:marRight w:val="0"/>
          <w:marTop w:val="0"/>
          <w:marBottom w:val="0"/>
          <w:divBdr>
            <w:top w:val="none" w:sz="0" w:space="0" w:color="auto"/>
            <w:left w:val="none" w:sz="0" w:space="0" w:color="auto"/>
            <w:bottom w:val="none" w:sz="0" w:space="0" w:color="auto"/>
            <w:right w:val="none" w:sz="0" w:space="0" w:color="auto"/>
          </w:divBdr>
          <w:divsChild>
            <w:div w:id="898708794">
              <w:marLeft w:val="0"/>
              <w:marRight w:val="0"/>
              <w:marTop w:val="120"/>
              <w:marBottom w:val="0"/>
              <w:divBdr>
                <w:top w:val="none" w:sz="0" w:space="0" w:color="auto"/>
                <w:left w:val="none" w:sz="0" w:space="0" w:color="auto"/>
                <w:bottom w:val="none" w:sz="0" w:space="0" w:color="auto"/>
                <w:right w:val="none" w:sz="0" w:space="0" w:color="auto"/>
              </w:divBdr>
            </w:div>
            <w:div w:id="14798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6258">
      <w:bodyDiv w:val="1"/>
      <w:marLeft w:val="0"/>
      <w:marRight w:val="0"/>
      <w:marTop w:val="0"/>
      <w:marBottom w:val="0"/>
      <w:divBdr>
        <w:top w:val="none" w:sz="0" w:space="0" w:color="auto"/>
        <w:left w:val="none" w:sz="0" w:space="0" w:color="auto"/>
        <w:bottom w:val="none" w:sz="0" w:space="0" w:color="auto"/>
        <w:right w:val="none" w:sz="0" w:space="0" w:color="auto"/>
      </w:divBdr>
      <w:divsChild>
        <w:div w:id="1082995117">
          <w:marLeft w:val="0"/>
          <w:marRight w:val="0"/>
          <w:marTop w:val="0"/>
          <w:marBottom w:val="0"/>
          <w:divBdr>
            <w:top w:val="none" w:sz="0" w:space="0" w:color="auto"/>
            <w:left w:val="none" w:sz="0" w:space="0" w:color="auto"/>
            <w:bottom w:val="none" w:sz="0" w:space="0" w:color="auto"/>
            <w:right w:val="none" w:sz="0" w:space="0" w:color="auto"/>
          </w:divBdr>
          <w:divsChild>
            <w:div w:id="1756631123">
              <w:marLeft w:val="0"/>
              <w:marRight w:val="0"/>
              <w:marTop w:val="0"/>
              <w:marBottom w:val="0"/>
              <w:divBdr>
                <w:top w:val="none" w:sz="0" w:space="0" w:color="auto"/>
                <w:left w:val="none" w:sz="0" w:space="0" w:color="auto"/>
                <w:bottom w:val="none" w:sz="0" w:space="0" w:color="auto"/>
                <w:right w:val="none" w:sz="0" w:space="0" w:color="auto"/>
              </w:divBdr>
              <w:divsChild>
                <w:div w:id="177502180">
                  <w:marLeft w:val="0"/>
                  <w:marRight w:val="0"/>
                  <w:marTop w:val="0"/>
                  <w:marBottom w:val="0"/>
                  <w:divBdr>
                    <w:top w:val="none" w:sz="0" w:space="0" w:color="auto"/>
                    <w:left w:val="none" w:sz="0" w:space="0" w:color="auto"/>
                    <w:bottom w:val="none" w:sz="0" w:space="0" w:color="auto"/>
                    <w:right w:val="none" w:sz="0" w:space="0" w:color="auto"/>
                  </w:divBdr>
                  <w:divsChild>
                    <w:div w:id="358891602">
                      <w:marLeft w:val="0"/>
                      <w:marRight w:val="0"/>
                      <w:marTop w:val="120"/>
                      <w:marBottom w:val="0"/>
                      <w:divBdr>
                        <w:top w:val="none" w:sz="0" w:space="0" w:color="auto"/>
                        <w:left w:val="none" w:sz="0" w:space="0" w:color="auto"/>
                        <w:bottom w:val="none" w:sz="0" w:space="0" w:color="auto"/>
                        <w:right w:val="none" w:sz="0" w:space="0" w:color="auto"/>
                      </w:divBdr>
                    </w:div>
                    <w:div w:id="920985943">
                      <w:marLeft w:val="0"/>
                      <w:marRight w:val="0"/>
                      <w:marTop w:val="0"/>
                      <w:marBottom w:val="0"/>
                      <w:divBdr>
                        <w:top w:val="none" w:sz="0" w:space="0" w:color="auto"/>
                        <w:left w:val="none" w:sz="0" w:space="0" w:color="auto"/>
                        <w:bottom w:val="none" w:sz="0" w:space="0" w:color="auto"/>
                        <w:right w:val="none" w:sz="0" w:space="0" w:color="auto"/>
                      </w:divBdr>
                    </w:div>
                  </w:divsChild>
                </w:div>
                <w:div w:id="350107435">
                  <w:marLeft w:val="0"/>
                  <w:marRight w:val="0"/>
                  <w:marTop w:val="0"/>
                  <w:marBottom w:val="0"/>
                  <w:divBdr>
                    <w:top w:val="none" w:sz="0" w:space="0" w:color="auto"/>
                    <w:left w:val="none" w:sz="0" w:space="0" w:color="auto"/>
                    <w:bottom w:val="none" w:sz="0" w:space="0" w:color="auto"/>
                    <w:right w:val="none" w:sz="0" w:space="0" w:color="auto"/>
                  </w:divBdr>
                  <w:divsChild>
                    <w:div w:id="227109547">
                      <w:marLeft w:val="0"/>
                      <w:marRight w:val="0"/>
                      <w:marTop w:val="120"/>
                      <w:marBottom w:val="0"/>
                      <w:divBdr>
                        <w:top w:val="none" w:sz="0" w:space="0" w:color="auto"/>
                        <w:left w:val="none" w:sz="0" w:space="0" w:color="auto"/>
                        <w:bottom w:val="none" w:sz="0" w:space="0" w:color="auto"/>
                        <w:right w:val="none" w:sz="0" w:space="0" w:color="auto"/>
                      </w:divBdr>
                    </w:div>
                    <w:div w:id="1409186732">
                      <w:marLeft w:val="0"/>
                      <w:marRight w:val="0"/>
                      <w:marTop w:val="0"/>
                      <w:marBottom w:val="0"/>
                      <w:divBdr>
                        <w:top w:val="none" w:sz="0" w:space="0" w:color="auto"/>
                        <w:left w:val="none" w:sz="0" w:space="0" w:color="auto"/>
                        <w:bottom w:val="none" w:sz="0" w:space="0" w:color="auto"/>
                        <w:right w:val="none" w:sz="0" w:space="0" w:color="auto"/>
                      </w:divBdr>
                    </w:div>
                  </w:divsChild>
                </w:div>
                <w:div w:id="2107917621">
                  <w:marLeft w:val="0"/>
                  <w:marRight w:val="0"/>
                  <w:marTop w:val="0"/>
                  <w:marBottom w:val="0"/>
                  <w:divBdr>
                    <w:top w:val="none" w:sz="0" w:space="0" w:color="auto"/>
                    <w:left w:val="none" w:sz="0" w:space="0" w:color="auto"/>
                    <w:bottom w:val="none" w:sz="0" w:space="0" w:color="auto"/>
                    <w:right w:val="none" w:sz="0" w:space="0" w:color="auto"/>
                  </w:divBdr>
                  <w:divsChild>
                    <w:div w:id="117844532">
                      <w:marLeft w:val="0"/>
                      <w:marRight w:val="0"/>
                      <w:marTop w:val="120"/>
                      <w:marBottom w:val="0"/>
                      <w:divBdr>
                        <w:top w:val="none" w:sz="0" w:space="0" w:color="auto"/>
                        <w:left w:val="none" w:sz="0" w:space="0" w:color="auto"/>
                        <w:bottom w:val="none" w:sz="0" w:space="0" w:color="auto"/>
                        <w:right w:val="none" w:sz="0" w:space="0" w:color="auto"/>
                      </w:divBdr>
                    </w:div>
                    <w:div w:id="608701200">
                      <w:marLeft w:val="0"/>
                      <w:marRight w:val="0"/>
                      <w:marTop w:val="0"/>
                      <w:marBottom w:val="0"/>
                      <w:divBdr>
                        <w:top w:val="none" w:sz="0" w:space="0" w:color="auto"/>
                        <w:left w:val="none" w:sz="0" w:space="0" w:color="auto"/>
                        <w:bottom w:val="none" w:sz="0" w:space="0" w:color="auto"/>
                        <w:right w:val="none" w:sz="0" w:space="0" w:color="auto"/>
                      </w:divBdr>
                    </w:div>
                  </w:divsChild>
                </w:div>
                <w:div w:id="1793093332">
                  <w:marLeft w:val="0"/>
                  <w:marRight w:val="0"/>
                  <w:marTop w:val="0"/>
                  <w:marBottom w:val="0"/>
                  <w:divBdr>
                    <w:top w:val="none" w:sz="0" w:space="0" w:color="auto"/>
                    <w:left w:val="none" w:sz="0" w:space="0" w:color="auto"/>
                    <w:bottom w:val="none" w:sz="0" w:space="0" w:color="auto"/>
                    <w:right w:val="none" w:sz="0" w:space="0" w:color="auto"/>
                  </w:divBdr>
                  <w:divsChild>
                    <w:div w:id="670913826">
                      <w:marLeft w:val="0"/>
                      <w:marRight w:val="0"/>
                      <w:marTop w:val="120"/>
                      <w:marBottom w:val="0"/>
                      <w:divBdr>
                        <w:top w:val="none" w:sz="0" w:space="0" w:color="auto"/>
                        <w:left w:val="none" w:sz="0" w:space="0" w:color="auto"/>
                        <w:bottom w:val="none" w:sz="0" w:space="0" w:color="auto"/>
                        <w:right w:val="none" w:sz="0" w:space="0" w:color="auto"/>
                      </w:divBdr>
                    </w:div>
                    <w:div w:id="21371445">
                      <w:marLeft w:val="0"/>
                      <w:marRight w:val="0"/>
                      <w:marTop w:val="0"/>
                      <w:marBottom w:val="0"/>
                      <w:divBdr>
                        <w:top w:val="none" w:sz="0" w:space="0" w:color="auto"/>
                        <w:left w:val="none" w:sz="0" w:space="0" w:color="auto"/>
                        <w:bottom w:val="none" w:sz="0" w:space="0" w:color="auto"/>
                        <w:right w:val="none" w:sz="0" w:space="0" w:color="auto"/>
                      </w:divBdr>
                      <w:divsChild>
                        <w:div w:id="1063061920">
                          <w:marLeft w:val="0"/>
                          <w:marRight w:val="0"/>
                          <w:marTop w:val="0"/>
                          <w:marBottom w:val="0"/>
                          <w:divBdr>
                            <w:top w:val="none" w:sz="0" w:space="0" w:color="auto"/>
                            <w:left w:val="none" w:sz="0" w:space="0" w:color="auto"/>
                            <w:bottom w:val="none" w:sz="0" w:space="0" w:color="auto"/>
                            <w:right w:val="none" w:sz="0" w:space="0" w:color="auto"/>
                          </w:divBdr>
                          <w:divsChild>
                            <w:div w:id="724064979">
                              <w:marLeft w:val="0"/>
                              <w:marRight w:val="0"/>
                              <w:marTop w:val="120"/>
                              <w:marBottom w:val="0"/>
                              <w:divBdr>
                                <w:top w:val="none" w:sz="0" w:space="0" w:color="auto"/>
                                <w:left w:val="none" w:sz="0" w:space="0" w:color="auto"/>
                                <w:bottom w:val="none" w:sz="0" w:space="0" w:color="auto"/>
                                <w:right w:val="none" w:sz="0" w:space="0" w:color="auto"/>
                              </w:divBdr>
                            </w:div>
                            <w:div w:id="1903170419">
                              <w:marLeft w:val="0"/>
                              <w:marRight w:val="0"/>
                              <w:marTop w:val="0"/>
                              <w:marBottom w:val="0"/>
                              <w:divBdr>
                                <w:top w:val="none" w:sz="0" w:space="0" w:color="auto"/>
                                <w:left w:val="none" w:sz="0" w:space="0" w:color="auto"/>
                                <w:bottom w:val="none" w:sz="0" w:space="0" w:color="auto"/>
                                <w:right w:val="none" w:sz="0" w:space="0" w:color="auto"/>
                              </w:divBdr>
                            </w:div>
                          </w:divsChild>
                        </w:div>
                        <w:div w:id="307325926">
                          <w:marLeft w:val="0"/>
                          <w:marRight w:val="0"/>
                          <w:marTop w:val="0"/>
                          <w:marBottom w:val="0"/>
                          <w:divBdr>
                            <w:top w:val="none" w:sz="0" w:space="0" w:color="auto"/>
                            <w:left w:val="none" w:sz="0" w:space="0" w:color="auto"/>
                            <w:bottom w:val="none" w:sz="0" w:space="0" w:color="auto"/>
                            <w:right w:val="none" w:sz="0" w:space="0" w:color="auto"/>
                          </w:divBdr>
                          <w:divsChild>
                            <w:div w:id="1221014437">
                              <w:marLeft w:val="0"/>
                              <w:marRight w:val="0"/>
                              <w:marTop w:val="120"/>
                              <w:marBottom w:val="0"/>
                              <w:divBdr>
                                <w:top w:val="none" w:sz="0" w:space="0" w:color="auto"/>
                                <w:left w:val="none" w:sz="0" w:space="0" w:color="auto"/>
                                <w:bottom w:val="none" w:sz="0" w:space="0" w:color="auto"/>
                                <w:right w:val="none" w:sz="0" w:space="0" w:color="auto"/>
                              </w:divBdr>
                            </w:div>
                            <w:div w:id="159659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2356081">
      <w:bodyDiv w:val="1"/>
      <w:marLeft w:val="0"/>
      <w:marRight w:val="0"/>
      <w:marTop w:val="0"/>
      <w:marBottom w:val="0"/>
      <w:divBdr>
        <w:top w:val="none" w:sz="0" w:space="0" w:color="auto"/>
        <w:left w:val="none" w:sz="0" w:space="0" w:color="auto"/>
        <w:bottom w:val="none" w:sz="0" w:space="0" w:color="auto"/>
        <w:right w:val="none" w:sz="0" w:space="0" w:color="auto"/>
      </w:divBdr>
      <w:divsChild>
        <w:div w:id="1373380473">
          <w:marLeft w:val="0"/>
          <w:marRight w:val="0"/>
          <w:marTop w:val="0"/>
          <w:marBottom w:val="0"/>
          <w:divBdr>
            <w:top w:val="none" w:sz="0" w:space="0" w:color="auto"/>
            <w:left w:val="none" w:sz="0" w:space="0" w:color="auto"/>
            <w:bottom w:val="none" w:sz="0" w:space="0" w:color="auto"/>
            <w:right w:val="none" w:sz="0" w:space="0" w:color="auto"/>
          </w:divBdr>
        </w:div>
        <w:div w:id="643583397">
          <w:marLeft w:val="0"/>
          <w:marRight w:val="0"/>
          <w:marTop w:val="0"/>
          <w:marBottom w:val="0"/>
          <w:divBdr>
            <w:top w:val="none" w:sz="0" w:space="0" w:color="auto"/>
            <w:left w:val="none" w:sz="0" w:space="0" w:color="auto"/>
            <w:bottom w:val="none" w:sz="0" w:space="0" w:color="auto"/>
            <w:right w:val="none" w:sz="0" w:space="0" w:color="auto"/>
          </w:divBdr>
        </w:div>
      </w:divsChild>
    </w:div>
    <w:div w:id="1164706913">
      <w:bodyDiv w:val="1"/>
      <w:marLeft w:val="0"/>
      <w:marRight w:val="0"/>
      <w:marTop w:val="0"/>
      <w:marBottom w:val="0"/>
      <w:divBdr>
        <w:top w:val="none" w:sz="0" w:space="0" w:color="auto"/>
        <w:left w:val="none" w:sz="0" w:space="0" w:color="auto"/>
        <w:bottom w:val="none" w:sz="0" w:space="0" w:color="auto"/>
        <w:right w:val="none" w:sz="0" w:space="0" w:color="auto"/>
      </w:divBdr>
      <w:divsChild>
        <w:div w:id="1390303590">
          <w:marLeft w:val="0"/>
          <w:marRight w:val="0"/>
          <w:marTop w:val="0"/>
          <w:marBottom w:val="0"/>
          <w:divBdr>
            <w:top w:val="none" w:sz="0" w:space="0" w:color="auto"/>
            <w:left w:val="none" w:sz="0" w:space="0" w:color="auto"/>
            <w:bottom w:val="none" w:sz="0" w:space="0" w:color="auto"/>
            <w:right w:val="none" w:sz="0" w:space="0" w:color="auto"/>
          </w:divBdr>
          <w:divsChild>
            <w:div w:id="1910646859">
              <w:marLeft w:val="0"/>
              <w:marRight w:val="0"/>
              <w:marTop w:val="120"/>
              <w:marBottom w:val="0"/>
              <w:divBdr>
                <w:top w:val="none" w:sz="0" w:space="0" w:color="auto"/>
                <w:left w:val="none" w:sz="0" w:space="0" w:color="auto"/>
                <w:bottom w:val="none" w:sz="0" w:space="0" w:color="auto"/>
                <w:right w:val="none" w:sz="0" w:space="0" w:color="auto"/>
              </w:divBdr>
            </w:div>
            <w:div w:id="1350059752">
              <w:marLeft w:val="0"/>
              <w:marRight w:val="0"/>
              <w:marTop w:val="0"/>
              <w:marBottom w:val="0"/>
              <w:divBdr>
                <w:top w:val="none" w:sz="0" w:space="0" w:color="auto"/>
                <w:left w:val="none" w:sz="0" w:space="0" w:color="auto"/>
                <w:bottom w:val="none" w:sz="0" w:space="0" w:color="auto"/>
                <w:right w:val="none" w:sz="0" w:space="0" w:color="auto"/>
              </w:divBdr>
            </w:div>
          </w:divsChild>
        </w:div>
        <w:div w:id="330914938">
          <w:marLeft w:val="0"/>
          <w:marRight w:val="0"/>
          <w:marTop w:val="0"/>
          <w:marBottom w:val="0"/>
          <w:divBdr>
            <w:top w:val="none" w:sz="0" w:space="0" w:color="auto"/>
            <w:left w:val="none" w:sz="0" w:space="0" w:color="auto"/>
            <w:bottom w:val="none" w:sz="0" w:space="0" w:color="auto"/>
            <w:right w:val="none" w:sz="0" w:space="0" w:color="auto"/>
          </w:divBdr>
          <w:divsChild>
            <w:div w:id="785270233">
              <w:marLeft w:val="0"/>
              <w:marRight w:val="0"/>
              <w:marTop w:val="120"/>
              <w:marBottom w:val="0"/>
              <w:divBdr>
                <w:top w:val="none" w:sz="0" w:space="0" w:color="auto"/>
                <w:left w:val="none" w:sz="0" w:space="0" w:color="auto"/>
                <w:bottom w:val="none" w:sz="0" w:space="0" w:color="auto"/>
                <w:right w:val="none" w:sz="0" w:space="0" w:color="auto"/>
              </w:divBdr>
            </w:div>
            <w:div w:id="70714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390611">
      <w:bodyDiv w:val="1"/>
      <w:marLeft w:val="0"/>
      <w:marRight w:val="0"/>
      <w:marTop w:val="0"/>
      <w:marBottom w:val="0"/>
      <w:divBdr>
        <w:top w:val="none" w:sz="0" w:space="0" w:color="auto"/>
        <w:left w:val="none" w:sz="0" w:space="0" w:color="auto"/>
        <w:bottom w:val="none" w:sz="0" w:space="0" w:color="auto"/>
        <w:right w:val="none" w:sz="0" w:space="0" w:color="auto"/>
      </w:divBdr>
      <w:divsChild>
        <w:div w:id="348331739">
          <w:marLeft w:val="0"/>
          <w:marRight w:val="0"/>
          <w:marTop w:val="0"/>
          <w:marBottom w:val="0"/>
          <w:divBdr>
            <w:top w:val="none" w:sz="0" w:space="0" w:color="auto"/>
            <w:left w:val="none" w:sz="0" w:space="0" w:color="auto"/>
            <w:bottom w:val="none" w:sz="0" w:space="0" w:color="auto"/>
            <w:right w:val="none" w:sz="0" w:space="0" w:color="auto"/>
          </w:divBdr>
          <w:divsChild>
            <w:div w:id="119033371">
              <w:marLeft w:val="0"/>
              <w:marRight w:val="0"/>
              <w:marTop w:val="0"/>
              <w:marBottom w:val="0"/>
              <w:divBdr>
                <w:top w:val="none" w:sz="0" w:space="0" w:color="auto"/>
                <w:left w:val="none" w:sz="0" w:space="0" w:color="auto"/>
                <w:bottom w:val="none" w:sz="0" w:space="0" w:color="auto"/>
                <w:right w:val="none" w:sz="0" w:space="0" w:color="auto"/>
              </w:divBdr>
              <w:divsChild>
                <w:div w:id="198318006">
                  <w:marLeft w:val="0"/>
                  <w:marRight w:val="0"/>
                  <w:marTop w:val="120"/>
                  <w:marBottom w:val="0"/>
                  <w:divBdr>
                    <w:top w:val="none" w:sz="0" w:space="0" w:color="auto"/>
                    <w:left w:val="none" w:sz="0" w:space="0" w:color="auto"/>
                    <w:bottom w:val="none" w:sz="0" w:space="0" w:color="auto"/>
                    <w:right w:val="none" w:sz="0" w:space="0" w:color="auto"/>
                  </w:divBdr>
                </w:div>
                <w:div w:id="750203177">
                  <w:marLeft w:val="0"/>
                  <w:marRight w:val="0"/>
                  <w:marTop w:val="0"/>
                  <w:marBottom w:val="0"/>
                  <w:divBdr>
                    <w:top w:val="none" w:sz="0" w:space="0" w:color="auto"/>
                    <w:left w:val="none" w:sz="0" w:space="0" w:color="auto"/>
                    <w:bottom w:val="none" w:sz="0" w:space="0" w:color="auto"/>
                    <w:right w:val="none" w:sz="0" w:space="0" w:color="auto"/>
                  </w:divBdr>
                </w:div>
              </w:divsChild>
            </w:div>
            <w:div w:id="565922318">
              <w:marLeft w:val="0"/>
              <w:marRight w:val="0"/>
              <w:marTop w:val="0"/>
              <w:marBottom w:val="0"/>
              <w:divBdr>
                <w:top w:val="none" w:sz="0" w:space="0" w:color="auto"/>
                <w:left w:val="none" w:sz="0" w:space="0" w:color="auto"/>
                <w:bottom w:val="none" w:sz="0" w:space="0" w:color="auto"/>
                <w:right w:val="none" w:sz="0" w:space="0" w:color="auto"/>
              </w:divBdr>
              <w:divsChild>
                <w:div w:id="245841565">
                  <w:marLeft w:val="0"/>
                  <w:marRight w:val="0"/>
                  <w:marTop w:val="120"/>
                  <w:marBottom w:val="0"/>
                  <w:divBdr>
                    <w:top w:val="none" w:sz="0" w:space="0" w:color="auto"/>
                    <w:left w:val="none" w:sz="0" w:space="0" w:color="auto"/>
                    <w:bottom w:val="none" w:sz="0" w:space="0" w:color="auto"/>
                    <w:right w:val="none" w:sz="0" w:space="0" w:color="auto"/>
                  </w:divBdr>
                </w:div>
                <w:div w:id="765223537">
                  <w:marLeft w:val="0"/>
                  <w:marRight w:val="0"/>
                  <w:marTop w:val="0"/>
                  <w:marBottom w:val="0"/>
                  <w:divBdr>
                    <w:top w:val="none" w:sz="0" w:space="0" w:color="auto"/>
                    <w:left w:val="none" w:sz="0" w:space="0" w:color="auto"/>
                    <w:bottom w:val="none" w:sz="0" w:space="0" w:color="auto"/>
                    <w:right w:val="none" w:sz="0" w:space="0" w:color="auto"/>
                  </w:divBdr>
                </w:div>
              </w:divsChild>
            </w:div>
            <w:div w:id="1060131326">
              <w:marLeft w:val="0"/>
              <w:marRight w:val="0"/>
              <w:marTop w:val="0"/>
              <w:marBottom w:val="0"/>
              <w:divBdr>
                <w:top w:val="none" w:sz="0" w:space="0" w:color="auto"/>
                <w:left w:val="none" w:sz="0" w:space="0" w:color="auto"/>
                <w:bottom w:val="none" w:sz="0" w:space="0" w:color="auto"/>
                <w:right w:val="none" w:sz="0" w:space="0" w:color="auto"/>
              </w:divBdr>
              <w:divsChild>
                <w:div w:id="731272424">
                  <w:marLeft w:val="0"/>
                  <w:marRight w:val="0"/>
                  <w:marTop w:val="120"/>
                  <w:marBottom w:val="0"/>
                  <w:divBdr>
                    <w:top w:val="none" w:sz="0" w:space="0" w:color="auto"/>
                    <w:left w:val="none" w:sz="0" w:space="0" w:color="auto"/>
                    <w:bottom w:val="none" w:sz="0" w:space="0" w:color="auto"/>
                    <w:right w:val="none" w:sz="0" w:space="0" w:color="auto"/>
                  </w:divBdr>
                </w:div>
                <w:div w:id="148407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507753">
      <w:bodyDiv w:val="1"/>
      <w:marLeft w:val="0"/>
      <w:marRight w:val="0"/>
      <w:marTop w:val="0"/>
      <w:marBottom w:val="0"/>
      <w:divBdr>
        <w:top w:val="none" w:sz="0" w:space="0" w:color="auto"/>
        <w:left w:val="none" w:sz="0" w:space="0" w:color="auto"/>
        <w:bottom w:val="none" w:sz="0" w:space="0" w:color="auto"/>
        <w:right w:val="none" w:sz="0" w:space="0" w:color="auto"/>
      </w:divBdr>
    </w:div>
    <w:div w:id="1175605615">
      <w:bodyDiv w:val="1"/>
      <w:marLeft w:val="0"/>
      <w:marRight w:val="0"/>
      <w:marTop w:val="0"/>
      <w:marBottom w:val="0"/>
      <w:divBdr>
        <w:top w:val="none" w:sz="0" w:space="0" w:color="auto"/>
        <w:left w:val="none" w:sz="0" w:space="0" w:color="auto"/>
        <w:bottom w:val="none" w:sz="0" w:space="0" w:color="auto"/>
        <w:right w:val="none" w:sz="0" w:space="0" w:color="auto"/>
      </w:divBdr>
      <w:divsChild>
        <w:div w:id="50076812">
          <w:marLeft w:val="0"/>
          <w:marRight w:val="0"/>
          <w:marTop w:val="0"/>
          <w:marBottom w:val="0"/>
          <w:divBdr>
            <w:top w:val="none" w:sz="0" w:space="0" w:color="auto"/>
            <w:left w:val="none" w:sz="0" w:space="0" w:color="auto"/>
            <w:bottom w:val="none" w:sz="0" w:space="0" w:color="auto"/>
            <w:right w:val="none" w:sz="0" w:space="0" w:color="auto"/>
          </w:divBdr>
          <w:divsChild>
            <w:div w:id="207469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599238">
      <w:bodyDiv w:val="1"/>
      <w:marLeft w:val="0"/>
      <w:marRight w:val="0"/>
      <w:marTop w:val="0"/>
      <w:marBottom w:val="0"/>
      <w:divBdr>
        <w:top w:val="none" w:sz="0" w:space="0" w:color="auto"/>
        <w:left w:val="none" w:sz="0" w:space="0" w:color="auto"/>
        <w:bottom w:val="none" w:sz="0" w:space="0" w:color="auto"/>
        <w:right w:val="none" w:sz="0" w:space="0" w:color="auto"/>
      </w:divBdr>
      <w:divsChild>
        <w:div w:id="619647354">
          <w:marLeft w:val="0"/>
          <w:marRight w:val="0"/>
          <w:marTop w:val="0"/>
          <w:marBottom w:val="0"/>
          <w:divBdr>
            <w:top w:val="none" w:sz="0" w:space="0" w:color="auto"/>
            <w:left w:val="none" w:sz="0" w:space="0" w:color="auto"/>
            <w:bottom w:val="none" w:sz="0" w:space="0" w:color="auto"/>
            <w:right w:val="none" w:sz="0" w:space="0" w:color="auto"/>
          </w:divBdr>
          <w:divsChild>
            <w:div w:id="1654337383">
              <w:marLeft w:val="0"/>
              <w:marRight w:val="0"/>
              <w:marTop w:val="0"/>
              <w:marBottom w:val="0"/>
              <w:divBdr>
                <w:top w:val="none" w:sz="0" w:space="0" w:color="auto"/>
                <w:left w:val="none" w:sz="0" w:space="0" w:color="auto"/>
                <w:bottom w:val="none" w:sz="0" w:space="0" w:color="auto"/>
                <w:right w:val="none" w:sz="0" w:space="0" w:color="auto"/>
              </w:divBdr>
              <w:divsChild>
                <w:div w:id="152067994">
                  <w:marLeft w:val="0"/>
                  <w:marRight w:val="0"/>
                  <w:marTop w:val="0"/>
                  <w:marBottom w:val="0"/>
                  <w:divBdr>
                    <w:top w:val="none" w:sz="0" w:space="0" w:color="auto"/>
                    <w:left w:val="none" w:sz="0" w:space="0" w:color="auto"/>
                    <w:bottom w:val="none" w:sz="0" w:space="0" w:color="auto"/>
                    <w:right w:val="none" w:sz="0" w:space="0" w:color="auto"/>
                  </w:divBdr>
                  <w:divsChild>
                    <w:div w:id="1537423415">
                      <w:marLeft w:val="0"/>
                      <w:marRight w:val="0"/>
                      <w:marTop w:val="120"/>
                      <w:marBottom w:val="0"/>
                      <w:divBdr>
                        <w:top w:val="none" w:sz="0" w:space="0" w:color="auto"/>
                        <w:left w:val="none" w:sz="0" w:space="0" w:color="auto"/>
                        <w:bottom w:val="none" w:sz="0" w:space="0" w:color="auto"/>
                        <w:right w:val="none" w:sz="0" w:space="0" w:color="auto"/>
                      </w:divBdr>
                    </w:div>
                    <w:div w:id="827596382">
                      <w:marLeft w:val="0"/>
                      <w:marRight w:val="0"/>
                      <w:marTop w:val="0"/>
                      <w:marBottom w:val="0"/>
                      <w:divBdr>
                        <w:top w:val="none" w:sz="0" w:space="0" w:color="auto"/>
                        <w:left w:val="none" w:sz="0" w:space="0" w:color="auto"/>
                        <w:bottom w:val="none" w:sz="0" w:space="0" w:color="auto"/>
                        <w:right w:val="none" w:sz="0" w:space="0" w:color="auto"/>
                      </w:divBdr>
                    </w:div>
                  </w:divsChild>
                </w:div>
                <w:div w:id="2137942326">
                  <w:marLeft w:val="0"/>
                  <w:marRight w:val="0"/>
                  <w:marTop w:val="0"/>
                  <w:marBottom w:val="0"/>
                  <w:divBdr>
                    <w:top w:val="none" w:sz="0" w:space="0" w:color="auto"/>
                    <w:left w:val="none" w:sz="0" w:space="0" w:color="auto"/>
                    <w:bottom w:val="none" w:sz="0" w:space="0" w:color="auto"/>
                    <w:right w:val="none" w:sz="0" w:space="0" w:color="auto"/>
                  </w:divBdr>
                  <w:divsChild>
                    <w:div w:id="971908991">
                      <w:marLeft w:val="0"/>
                      <w:marRight w:val="0"/>
                      <w:marTop w:val="120"/>
                      <w:marBottom w:val="0"/>
                      <w:divBdr>
                        <w:top w:val="none" w:sz="0" w:space="0" w:color="auto"/>
                        <w:left w:val="none" w:sz="0" w:space="0" w:color="auto"/>
                        <w:bottom w:val="none" w:sz="0" w:space="0" w:color="auto"/>
                        <w:right w:val="none" w:sz="0" w:space="0" w:color="auto"/>
                      </w:divBdr>
                    </w:div>
                    <w:div w:id="145170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166330">
          <w:marLeft w:val="0"/>
          <w:marRight w:val="0"/>
          <w:marTop w:val="0"/>
          <w:marBottom w:val="0"/>
          <w:divBdr>
            <w:top w:val="none" w:sz="0" w:space="0" w:color="auto"/>
            <w:left w:val="none" w:sz="0" w:space="0" w:color="auto"/>
            <w:bottom w:val="none" w:sz="0" w:space="0" w:color="auto"/>
            <w:right w:val="none" w:sz="0" w:space="0" w:color="auto"/>
          </w:divBdr>
          <w:divsChild>
            <w:div w:id="1030452972">
              <w:marLeft w:val="0"/>
              <w:marRight w:val="0"/>
              <w:marTop w:val="0"/>
              <w:marBottom w:val="0"/>
              <w:divBdr>
                <w:top w:val="none" w:sz="0" w:space="0" w:color="auto"/>
                <w:left w:val="none" w:sz="0" w:space="0" w:color="auto"/>
                <w:bottom w:val="none" w:sz="0" w:space="0" w:color="auto"/>
                <w:right w:val="none" w:sz="0" w:space="0" w:color="auto"/>
              </w:divBdr>
              <w:divsChild>
                <w:div w:id="1711225466">
                  <w:marLeft w:val="0"/>
                  <w:marRight w:val="0"/>
                  <w:marTop w:val="0"/>
                  <w:marBottom w:val="0"/>
                  <w:divBdr>
                    <w:top w:val="none" w:sz="0" w:space="0" w:color="auto"/>
                    <w:left w:val="none" w:sz="0" w:space="0" w:color="auto"/>
                    <w:bottom w:val="none" w:sz="0" w:space="0" w:color="auto"/>
                    <w:right w:val="none" w:sz="0" w:space="0" w:color="auto"/>
                  </w:divBdr>
                  <w:divsChild>
                    <w:div w:id="2064214726">
                      <w:marLeft w:val="0"/>
                      <w:marRight w:val="0"/>
                      <w:marTop w:val="120"/>
                      <w:marBottom w:val="0"/>
                      <w:divBdr>
                        <w:top w:val="none" w:sz="0" w:space="0" w:color="auto"/>
                        <w:left w:val="none" w:sz="0" w:space="0" w:color="auto"/>
                        <w:bottom w:val="none" w:sz="0" w:space="0" w:color="auto"/>
                        <w:right w:val="none" w:sz="0" w:space="0" w:color="auto"/>
                      </w:divBdr>
                    </w:div>
                    <w:div w:id="1568374579">
                      <w:marLeft w:val="0"/>
                      <w:marRight w:val="0"/>
                      <w:marTop w:val="0"/>
                      <w:marBottom w:val="0"/>
                      <w:divBdr>
                        <w:top w:val="none" w:sz="0" w:space="0" w:color="auto"/>
                        <w:left w:val="none" w:sz="0" w:space="0" w:color="auto"/>
                        <w:bottom w:val="none" w:sz="0" w:space="0" w:color="auto"/>
                        <w:right w:val="none" w:sz="0" w:space="0" w:color="auto"/>
                      </w:divBdr>
                    </w:div>
                  </w:divsChild>
                </w:div>
                <w:div w:id="634915077">
                  <w:marLeft w:val="0"/>
                  <w:marRight w:val="0"/>
                  <w:marTop w:val="0"/>
                  <w:marBottom w:val="0"/>
                  <w:divBdr>
                    <w:top w:val="none" w:sz="0" w:space="0" w:color="auto"/>
                    <w:left w:val="none" w:sz="0" w:space="0" w:color="auto"/>
                    <w:bottom w:val="none" w:sz="0" w:space="0" w:color="auto"/>
                    <w:right w:val="none" w:sz="0" w:space="0" w:color="auto"/>
                  </w:divBdr>
                  <w:divsChild>
                    <w:div w:id="1636137420">
                      <w:marLeft w:val="0"/>
                      <w:marRight w:val="0"/>
                      <w:marTop w:val="120"/>
                      <w:marBottom w:val="0"/>
                      <w:divBdr>
                        <w:top w:val="none" w:sz="0" w:space="0" w:color="auto"/>
                        <w:left w:val="none" w:sz="0" w:space="0" w:color="auto"/>
                        <w:bottom w:val="none" w:sz="0" w:space="0" w:color="auto"/>
                        <w:right w:val="none" w:sz="0" w:space="0" w:color="auto"/>
                      </w:divBdr>
                    </w:div>
                    <w:div w:id="1172986814">
                      <w:marLeft w:val="0"/>
                      <w:marRight w:val="0"/>
                      <w:marTop w:val="0"/>
                      <w:marBottom w:val="0"/>
                      <w:divBdr>
                        <w:top w:val="none" w:sz="0" w:space="0" w:color="auto"/>
                        <w:left w:val="none" w:sz="0" w:space="0" w:color="auto"/>
                        <w:bottom w:val="none" w:sz="0" w:space="0" w:color="auto"/>
                        <w:right w:val="none" w:sz="0" w:space="0" w:color="auto"/>
                      </w:divBdr>
                    </w:div>
                  </w:divsChild>
                </w:div>
                <w:div w:id="1273199304">
                  <w:marLeft w:val="0"/>
                  <w:marRight w:val="0"/>
                  <w:marTop w:val="0"/>
                  <w:marBottom w:val="0"/>
                  <w:divBdr>
                    <w:top w:val="none" w:sz="0" w:space="0" w:color="auto"/>
                    <w:left w:val="none" w:sz="0" w:space="0" w:color="auto"/>
                    <w:bottom w:val="none" w:sz="0" w:space="0" w:color="auto"/>
                    <w:right w:val="none" w:sz="0" w:space="0" w:color="auto"/>
                  </w:divBdr>
                  <w:divsChild>
                    <w:div w:id="2125417444">
                      <w:marLeft w:val="0"/>
                      <w:marRight w:val="0"/>
                      <w:marTop w:val="120"/>
                      <w:marBottom w:val="0"/>
                      <w:divBdr>
                        <w:top w:val="none" w:sz="0" w:space="0" w:color="auto"/>
                        <w:left w:val="none" w:sz="0" w:space="0" w:color="auto"/>
                        <w:bottom w:val="none" w:sz="0" w:space="0" w:color="auto"/>
                        <w:right w:val="none" w:sz="0" w:space="0" w:color="auto"/>
                      </w:divBdr>
                    </w:div>
                    <w:div w:id="1158619984">
                      <w:marLeft w:val="0"/>
                      <w:marRight w:val="0"/>
                      <w:marTop w:val="0"/>
                      <w:marBottom w:val="0"/>
                      <w:divBdr>
                        <w:top w:val="none" w:sz="0" w:space="0" w:color="auto"/>
                        <w:left w:val="none" w:sz="0" w:space="0" w:color="auto"/>
                        <w:bottom w:val="none" w:sz="0" w:space="0" w:color="auto"/>
                        <w:right w:val="none" w:sz="0" w:space="0" w:color="auto"/>
                      </w:divBdr>
                      <w:divsChild>
                        <w:div w:id="58217023">
                          <w:marLeft w:val="0"/>
                          <w:marRight w:val="0"/>
                          <w:marTop w:val="0"/>
                          <w:marBottom w:val="0"/>
                          <w:divBdr>
                            <w:top w:val="none" w:sz="0" w:space="0" w:color="auto"/>
                            <w:left w:val="none" w:sz="0" w:space="0" w:color="auto"/>
                            <w:bottom w:val="none" w:sz="0" w:space="0" w:color="auto"/>
                            <w:right w:val="none" w:sz="0" w:space="0" w:color="auto"/>
                          </w:divBdr>
                          <w:divsChild>
                            <w:div w:id="147212610">
                              <w:marLeft w:val="0"/>
                              <w:marRight w:val="0"/>
                              <w:marTop w:val="120"/>
                              <w:marBottom w:val="0"/>
                              <w:divBdr>
                                <w:top w:val="none" w:sz="0" w:space="0" w:color="auto"/>
                                <w:left w:val="none" w:sz="0" w:space="0" w:color="auto"/>
                                <w:bottom w:val="none" w:sz="0" w:space="0" w:color="auto"/>
                                <w:right w:val="none" w:sz="0" w:space="0" w:color="auto"/>
                              </w:divBdr>
                            </w:div>
                            <w:div w:id="1966153570">
                              <w:marLeft w:val="0"/>
                              <w:marRight w:val="0"/>
                              <w:marTop w:val="0"/>
                              <w:marBottom w:val="0"/>
                              <w:divBdr>
                                <w:top w:val="none" w:sz="0" w:space="0" w:color="auto"/>
                                <w:left w:val="none" w:sz="0" w:space="0" w:color="auto"/>
                                <w:bottom w:val="none" w:sz="0" w:space="0" w:color="auto"/>
                                <w:right w:val="none" w:sz="0" w:space="0" w:color="auto"/>
                              </w:divBdr>
                            </w:div>
                          </w:divsChild>
                        </w:div>
                        <w:div w:id="1123887150">
                          <w:marLeft w:val="0"/>
                          <w:marRight w:val="0"/>
                          <w:marTop w:val="0"/>
                          <w:marBottom w:val="0"/>
                          <w:divBdr>
                            <w:top w:val="none" w:sz="0" w:space="0" w:color="auto"/>
                            <w:left w:val="none" w:sz="0" w:space="0" w:color="auto"/>
                            <w:bottom w:val="none" w:sz="0" w:space="0" w:color="auto"/>
                            <w:right w:val="none" w:sz="0" w:space="0" w:color="auto"/>
                          </w:divBdr>
                          <w:divsChild>
                            <w:div w:id="1529249644">
                              <w:marLeft w:val="0"/>
                              <w:marRight w:val="0"/>
                              <w:marTop w:val="120"/>
                              <w:marBottom w:val="0"/>
                              <w:divBdr>
                                <w:top w:val="none" w:sz="0" w:space="0" w:color="auto"/>
                                <w:left w:val="none" w:sz="0" w:space="0" w:color="auto"/>
                                <w:bottom w:val="none" w:sz="0" w:space="0" w:color="auto"/>
                                <w:right w:val="none" w:sz="0" w:space="0" w:color="auto"/>
                              </w:divBdr>
                            </w:div>
                            <w:div w:id="191117995">
                              <w:marLeft w:val="0"/>
                              <w:marRight w:val="0"/>
                              <w:marTop w:val="0"/>
                              <w:marBottom w:val="0"/>
                              <w:divBdr>
                                <w:top w:val="none" w:sz="0" w:space="0" w:color="auto"/>
                                <w:left w:val="none" w:sz="0" w:space="0" w:color="auto"/>
                                <w:bottom w:val="none" w:sz="0" w:space="0" w:color="auto"/>
                                <w:right w:val="none" w:sz="0" w:space="0" w:color="auto"/>
                              </w:divBdr>
                            </w:div>
                          </w:divsChild>
                        </w:div>
                        <w:div w:id="261189261">
                          <w:marLeft w:val="0"/>
                          <w:marRight w:val="0"/>
                          <w:marTop w:val="0"/>
                          <w:marBottom w:val="0"/>
                          <w:divBdr>
                            <w:top w:val="none" w:sz="0" w:space="0" w:color="auto"/>
                            <w:left w:val="none" w:sz="0" w:space="0" w:color="auto"/>
                            <w:bottom w:val="none" w:sz="0" w:space="0" w:color="auto"/>
                            <w:right w:val="none" w:sz="0" w:space="0" w:color="auto"/>
                          </w:divBdr>
                          <w:divsChild>
                            <w:div w:id="1990160522">
                              <w:marLeft w:val="0"/>
                              <w:marRight w:val="0"/>
                              <w:marTop w:val="120"/>
                              <w:marBottom w:val="0"/>
                              <w:divBdr>
                                <w:top w:val="none" w:sz="0" w:space="0" w:color="auto"/>
                                <w:left w:val="none" w:sz="0" w:space="0" w:color="auto"/>
                                <w:bottom w:val="none" w:sz="0" w:space="0" w:color="auto"/>
                                <w:right w:val="none" w:sz="0" w:space="0" w:color="auto"/>
                              </w:divBdr>
                            </w:div>
                            <w:div w:id="23825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57565">
                  <w:marLeft w:val="0"/>
                  <w:marRight w:val="0"/>
                  <w:marTop w:val="0"/>
                  <w:marBottom w:val="0"/>
                  <w:divBdr>
                    <w:top w:val="none" w:sz="0" w:space="0" w:color="auto"/>
                    <w:left w:val="none" w:sz="0" w:space="0" w:color="auto"/>
                    <w:bottom w:val="none" w:sz="0" w:space="0" w:color="auto"/>
                    <w:right w:val="none" w:sz="0" w:space="0" w:color="auto"/>
                  </w:divBdr>
                  <w:divsChild>
                    <w:div w:id="2117023562">
                      <w:marLeft w:val="0"/>
                      <w:marRight w:val="0"/>
                      <w:marTop w:val="120"/>
                      <w:marBottom w:val="0"/>
                      <w:divBdr>
                        <w:top w:val="none" w:sz="0" w:space="0" w:color="auto"/>
                        <w:left w:val="none" w:sz="0" w:space="0" w:color="auto"/>
                        <w:bottom w:val="none" w:sz="0" w:space="0" w:color="auto"/>
                        <w:right w:val="none" w:sz="0" w:space="0" w:color="auto"/>
                      </w:divBdr>
                    </w:div>
                    <w:div w:id="1440182141">
                      <w:marLeft w:val="0"/>
                      <w:marRight w:val="0"/>
                      <w:marTop w:val="0"/>
                      <w:marBottom w:val="0"/>
                      <w:divBdr>
                        <w:top w:val="none" w:sz="0" w:space="0" w:color="auto"/>
                        <w:left w:val="none" w:sz="0" w:space="0" w:color="auto"/>
                        <w:bottom w:val="none" w:sz="0" w:space="0" w:color="auto"/>
                        <w:right w:val="none" w:sz="0" w:space="0" w:color="auto"/>
                      </w:divBdr>
                      <w:divsChild>
                        <w:div w:id="146942444">
                          <w:marLeft w:val="0"/>
                          <w:marRight w:val="0"/>
                          <w:marTop w:val="0"/>
                          <w:marBottom w:val="0"/>
                          <w:divBdr>
                            <w:top w:val="none" w:sz="0" w:space="0" w:color="auto"/>
                            <w:left w:val="none" w:sz="0" w:space="0" w:color="auto"/>
                            <w:bottom w:val="none" w:sz="0" w:space="0" w:color="auto"/>
                            <w:right w:val="none" w:sz="0" w:space="0" w:color="auto"/>
                          </w:divBdr>
                          <w:divsChild>
                            <w:div w:id="444690169">
                              <w:marLeft w:val="0"/>
                              <w:marRight w:val="0"/>
                              <w:marTop w:val="120"/>
                              <w:marBottom w:val="0"/>
                              <w:divBdr>
                                <w:top w:val="none" w:sz="0" w:space="0" w:color="auto"/>
                                <w:left w:val="none" w:sz="0" w:space="0" w:color="auto"/>
                                <w:bottom w:val="none" w:sz="0" w:space="0" w:color="auto"/>
                                <w:right w:val="none" w:sz="0" w:space="0" w:color="auto"/>
                              </w:divBdr>
                            </w:div>
                            <w:div w:id="1810367011">
                              <w:marLeft w:val="0"/>
                              <w:marRight w:val="0"/>
                              <w:marTop w:val="0"/>
                              <w:marBottom w:val="0"/>
                              <w:divBdr>
                                <w:top w:val="none" w:sz="0" w:space="0" w:color="auto"/>
                                <w:left w:val="none" w:sz="0" w:space="0" w:color="auto"/>
                                <w:bottom w:val="none" w:sz="0" w:space="0" w:color="auto"/>
                                <w:right w:val="none" w:sz="0" w:space="0" w:color="auto"/>
                              </w:divBdr>
                            </w:div>
                          </w:divsChild>
                        </w:div>
                        <w:div w:id="837312794">
                          <w:marLeft w:val="0"/>
                          <w:marRight w:val="0"/>
                          <w:marTop w:val="0"/>
                          <w:marBottom w:val="0"/>
                          <w:divBdr>
                            <w:top w:val="none" w:sz="0" w:space="0" w:color="auto"/>
                            <w:left w:val="none" w:sz="0" w:space="0" w:color="auto"/>
                            <w:bottom w:val="none" w:sz="0" w:space="0" w:color="auto"/>
                            <w:right w:val="none" w:sz="0" w:space="0" w:color="auto"/>
                          </w:divBdr>
                          <w:divsChild>
                            <w:div w:id="1766533367">
                              <w:marLeft w:val="0"/>
                              <w:marRight w:val="0"/>
                              <w:marTop w:val="120"/>
                              <w:marBottom w:val="0"/>
                              <w:divBdr>
                                <w:top w:val="none" w:sz="0" w:space="0" w:color="auto"/>
                                <w:left w:val="none" w:sz="0" w:space="0" w:color="auto"/>
                                <w:bottom w:val="none" w:sz="0" w:space="0" w:color="auto"/>
                                <w:right w:val="none" w:sz="0" w:space="0" w:color="auto"/>
                              </w:divBdr>
                            </w:div>
                            <w:div w:id="413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8271219">
          <w:marLeft w:val="0"/>
          <w:marRight w:val="0"/>
          <w:marTop w:val="0"/>
          <w:marBottom w:val="0"/>
          <w:divBdr>
            <w:top w:val="none" w:sz="0" w:space="0" w:color="auto"/>
            <w:left w:val="none" w:sz="0" w:space="0" w:color="auto"/>
            <w:bottom w:val="none" w:sz="0" w:space="0" w:color="auto"/>
            <w:right w:val="none" w:sz="0" w:space="0" w:color="auto"/>
          </w:divBdr>
          <w:divsChild>
            <w:div w:id="1445924525">
              <w:marLeft w:val="0"/>
              <w:marRight w:val="0"/>
              <w:marTop w:val="0"/>
              <w:marBottom w:val="0"/>
              <w:divBdr>
                <w:top w:val="none" w:sz="0" w:space="0" w:color="auto"/>
                <w:left w:val="none" w:sz="0" w:space="0" w:color="auto"/>
                <w:bottom w:val="none" w:sz="0" w:space="0" w:color="auto"/>
                <w:right w:val="none" w:sz="0" w:space="0" w:color="auto"/>
              </w:divBdr>
              <w:divsChild>
                <w:div w:id="2133815704">
                  <w:marLeft w:val="0"/>
                  <w:marRight w:val="0"/>
                  <w:marTop w:val="0"/>
                  <w:marBottom w:val="0"/>
                  <w:divBdr>
                    <w:top w:val="none" w:sz="0" w:space="0" w:color="auto"/>
                    <w:left w:val="none" w:sz="0" w:space="0" w:color="auto"/>
                    <w:bottom w:val="none" w:sz="0" w:space="0" w:color="auto"/>
                    <w:right w:val="none" w:sz="0" w:space="0" w:color="auto"/>
                  </w:divBdr>
                  <w:divsChild>
                    <w:div w:id="1765881970">
                      <w:marLeft w:val="0"/>
                      <w:marRight w:val="0"/>
                      <w:marTop w:val="120"/>
                      <w:marBottom w:val="0"/>
                      <w:divBdr>
                        <w:top w:val="none" w:sz="0" w:space="0" w:color="auto"/>
                        <w:left w:val="none" w:sz="0" w:space="0" w:color="auto"/>
                        <w:bottom w:val="none" w:sz="0" w:space="0" w:color="auto"/>
                        <w:right w:val="none" w:sz="0" w:space="0" w:color="auto"/>
                      </w:divBdr>
                    </w:div>
                    <w:div w:id="2010331917">
                      <w:marLeft w:val="0"/>
                      <w:marRight w:val="0"/>
                      <w:marTop w:val="0"/>
                      <w:marBottom w:val="0"/>
                      <w:divBdr>
                        <w:top w:val="none" w:sz="0" w:space="0" w:color="auto"/>
                        <w:left w:val="none" w:sz="0" w:space="0" w:color="auto"/>
                        <w:bottom w:val="none" w:sz="0" w:space="0" w:color="auto"/>
                        <w:right w:val="none" w:sz="0" w:space="0" w:color="auto"/>
                      </w:divBdr>
                    </w:div>
                  </w:divsChild>
                </w:div>
                <w:div w:id="330454071">
                  <w:marLeft w:val="0"/>
                  <w:marRight w:val="0"/>
                  <w:marTop w:val="0"/>
                  <w:marBottom w:val="0"/>
                  <w:divBdr>
                    <w:top w:val="none" w:sz="0" w:space="0" w:color="auto"/>
                    <w:left w:val="none" w:sz="0" w:space="0" w:color="auto"/>
                    <w:bottom w:val="none" w:sz="0" w:space="0" w:color="auto"/>
                    <w:right w:val="none" w:sz="0" w:space="0" w:color="auto"/>
                  </w:divBdr>
                  <w:divsChild>
                    <w:div w:id="2093894559">
                      <w:marLeft w:val="0"/>
                      <w:marRight w:val="0"/>
                      <w:marTop w:val="120"/>
                      <w:marBottom w:val="0"/>
                      <w:divBdr>
                        <w:top w:val="none" w:sz="0" w:space="0" w:color="auto"/>
                        <w:left w:val="none" w:sz="0" w:space="0" w:color="auto"/>
                        <w:bottom w:val="none" w:sz="0" w:space="0" w:color="auto"/>
                        <w:right w:val="none" w:sz="0" w:space="0" w:color="auto"/>
                      </w:divBdr>
                    </w:div>
                    <w:div w:id="714424902">
                      <w:marLeft w:val="0"/>
                      <w:marRight w:val="0"/>
                      <w:marTop w:val="0"/>
                      <w:marBottom w:val="0"/>
                      <w:divBdr>
                        <w:top w:val="none" w:sz="0" w:space="0" w:color="auto"/>
                        <w:left w:val="none" w:sz="0" w:space="0" w:color="auto"/>
                        <w:bottom w:val="none" w:sz="0" w:space="0" w:color="auto"/>
                        <w:right w:val="none" w:sz="0" w:space="0" w:color="auto"/>
                      </w:divBdr>
                      <w:divsChild>
                        <w:div w:id="2120953322">
                          <w:marLeft w:val="0"/>
                          <w:marRight w:val="0"/>
                          <w:marTop w:val="0"/>
                          <w:marBottom w:val="0"/>
                          <w:divBdr>
                            <w:top w:val="none" w:sz="0" w:space="0" w:color="auto"/>
                            <w:left w:val="none" w:sz="0" w:space="0" w:color="auto"/>
                            <w:bottom w:val="none" w:sz="0" w:space="0" w:color="auto"/>
                            <w:right w:val="none" w:sz="0" w:space="0" w:color="auto"/>
                          </w:divBdr>
                          <w:divsChild>
                            <w:div w:id="705523455">
                              <w:marLeft w:val="0"/>
                              <w:marRight w:val="0"/>
                              <w:marTop w:val="120"/>
                              <w:marBottom w:val="0"/>
                              <w:divBdr>
                                <w:top w:val="none" w:sz="0" w:space="0" w:color="auto"/>
                                <w:left w:val="none" w:sz="0" w:space="0" w:color="auto"/>
                                <w:bottom w:val="none" w:sz="0" w:space="0" w:color="auto"/>
                                <w:right w:val="none" w:sz="0" w:space="0" w:color="auto"/>
                              </w:divBdr>
                            </w:div>
                            <w:div w:id="1422524900">
                              <w:marLeft w:val="0"/>
                              <w:marRight w:val="0"/>
                              <w:marTop w:val="0"/>
                              <w:marBottom w:val="0"/>
                              <w:divBdr>
                                <w:top w:val="none" w:sz="0" w:space="0" w:color="auto"/>
                                <w:left w:val="none" w:sz="0" w:space="0" w:color="auto"/>
                                <w:bottom w:val="none" w:sz="0" w:space="0" w:color="auto"/>
                                <w:right w:val="none" w:sz="0" w:space="0" w:color="auto"/>
                              </w:divBdr>
                            </w:div>
                          </w:divsChild>
                        </w:div>
                        <w:div w:id="1610235055">
                          <w:marLeft w:val="0"/>
                          <w:marRight w:val="0"/>
                          <w:marTop w:val="0"/>
                          <w:marBottom w:val="0"/>
                          <w:divBdr>
                            <w:top w:val="none" w:sz="0" w:space="0" w:color="auto"/>
                            <w:left w:val="none" w:sz="0" w:space="0" w:color="auto"/>
                            <w:bottom w:val="none" w:sz="0" w:space="0" w:color="auto"/>
                            <w:right w:val="none" w:sz="0" w:space="0" w:color="auto"/>
                          </w:divBdr>
                          <w:divsChild>
                            <w:div w:id="664687">
                              <w:marLeft w:val="0"/>
                              <w:marRight w:val="0"/>
                              <w:marTop w:val="120"/>
                              <w:marBottom w:val="0"/>
                              <w:divBdr>
                                <w:top w:val="none" w:sz="0" w:space="0" w:color="auto"/>
                                <w:left w:val="none" w:sz="0" w:space="0" w:color="auto"/>
                                <w:bottom w:val="none" w:sz="0" w:space="0" w:color="auto"/>
                                <w:right w:val="none" w:sz="0" w:space="0" w:color="auto"/>
                              </w:divBdr>
                            </w:div>
                            <w:div w:id="93293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151808">
                  <w:marLeft w:val="0"/>
                  <w:marRight w:val="0"/>
                  <w:marTop w:val="0"/>
                  <w:marBottom w:val="0"/>
                  <w:divBdr>
                    <w:top w:val="none" w:sz="0" w:space="0" w:color="auto"/>
                    <w:left w:val="none" w:sz="0" w:space="0" w:color="auto"/>
                    <w:bottom w:val="none" w:sz="0" w:space="0" w:color="auto"/>
                    <w:right w:val="none" w:sz="0" w:space="0" w:color="auto"/>
                  </w:divBdr>
                  <w:divsChild>
                    <w:div w:id="1973360923">
                      <w:marLeft w:val="0"/>
                      <w:marRight w:val="0"/>
                      <w:marTop w:val="120"/>
                      <w:marBottom w:val="0"/>
                      <w:divBdr>
                        <w:top w:val="none" w:sz="0" w:space="0" w:color="auto"/>
                        <w:left w:val="none" w:sz="0" w:space="0" w:color="auto"/>
                        <w:bottom w:val="none" w:sz="0" w:space="0" w:color="auto"/>
                        <w:right w:val="none" w:sz="0" w:space="0" w:color="auto"/>
                      </w:divBdr>
                    </w:div>
                    <w:div w:id="849180650">
                      <w:marLeft w:val="0"/>
                      <w:marRight w:val="0"/>
                      <w:marTop w:val="0"/>
                      <w:marBottom w:val="0"/>
                      <w:divBdr>
                        <w:top w:val="none" w:sz="0" w:space="0" w:color="auto"/>
                        <w:left w:val="none" w:sz="0" w:space="0" w:color="auto"/>
                        <w:bottom w:val="none" w:sz="0" w:space="0" w:color="auto"/>
                        <w:right w:val="none" w:sz="0" w:space="0" w:color="auto"/>
                      </w:divBdr>
                      <w:divsChild>
                        <w:div w:id="1056464725">
                          <w:marLeft w:val="0"/>
                          <w:marRight w:val="0"/>
                          <w:marTop w:val="0"/>
                          <w:marBottom w:val="0"/>
                          <w:divBdr>
                            <w:top w:val="none" w:sz="0" w:space="0" w:color="auto"/>
                            <w:left w:val="none" w:sz="0" w:space="0" w:color="auto"/>
                            <w:bottom w:val="none" w:sz="0" w:space="0" w:color="auto"/>
                            <w:right w:val="none" w:sz="0" w:space="0" w:color="auto"/>
                          </w:divBdr>
                          <w:divsChild>
                            <w:div w:id="917060466">
                              <w:marLeft w:val="0"/>
                              <w:marRight w:val="0"/>
                              <w:marTop w:val="120"/>
                              <w:marBottom w:val="0"/>
                              <w:divBdr>
                                <w:top w:val="none" w:sz="0" w:space="0" w:color="auto"/>
                                <w:left w:val="none" w:sz="0" w:space="0" w:color="auto"/>
                                <w:bottom w:val="none" w:sz="0" w:space="0" w:color="auto"/>
                                <w:right w:val="none" w:sz="0" w:space="0" w:color="auto"/>
                              </w:divBdr>
                            </w:div>
                            <w:div w:id="397940903">
                              <w:marLeft w:val="0"/>
                              <w:marRight w:val="0"/>
                              <w:marTop w:val="0"/>
                              <w:marBottom w:val="0"/>
                              <w:divBdr>
                                <w:top w:val="none" w:sz="0" w:space="0" w:color="auto"/>
                                <w:left w:val="none" w:sz="0" w:space="0" w:color="auto"/>
                                <w:bottom w:val="none" w:sz="0" w:space="0" w:color="auto"/>
                                <w:right w:val="none" w:sz="0" w:space="0" w:color="auto"/>
                              </w:divBdr>
                            </w:div>
                          </w:divsChild>
                        </w:div>
                        <w:div w:id="631209590">
                          <w:marLeft w:val="0"/>
                          <w:marRight w:val="0"/>
                          <w:marTop w:val="0"/>
                          <w:marBottom w:val="0"/>
                          <w:divBdr>
                            <w:top w:val="none" w:sz="0" w:space="0" w:color="auto"/>
                            <w:left w:val="none" w:sz="0" w:space="0" w:color="auto"/>
                            <w:bottom w:val="none" w:sz="0" w:space="0" w:color="auto"/>
                            <w:right w:val="none" w:sz="0" w:space="0" w:color="auto"/>
                          </w:divBdr>
                          <w:divsChild>
                            <w:div w:id="1410035556">
                              <w:marLeft w:val="0"/>
                              <w:marRight w:val="0"/>
                              <w:marTop w:val="120"/>
                              <w:marBottom w:val="0"/>
                              <w:divBdr>
                                <w:top w:val="none" w:sz="0" w:space="0" w:color="auto"/>
                                <w:left w:val="none" w:sz="0" w:space="0" w:color="auto"/>
                                <w:bottom w:val="none" w:sz="0" w:space="0" w:color="auto"/>
                                <w:right w:val="none" w:sz="0" w:space="0" w:color="auto"/>
                              </w:divBdr>
                            </w:div>
                            <w:div w:id="171233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2570062">
      <w:bodyDiv w:val="1"/>
      <w:marLeft w:val="0"/>
      <w:marRight w:val="0"/>
      <w:marTop w:val="0"/>
      <w:marBottom w:val="0"/>
      <w:divBdr>
        <w:top w:val="none" w:sz="0" w:space="0" w:color="auto"/>
        <w:left w:val="none" w:sz="0" w:space="0" w:color="auto"/>
        <w:bottom w:val="none" w:sz="0" w:space="0" w:color="auto"/>
        <w:right w:val="none" w:sz="0" w:space="0" w:color="auto"/>
      </w:divBdr>
    </w:div>
    <w:div w:id="1197817613">
      <w:bodyDiv w:val="1"/>
      <w:marLeft w:val="0"/>
      <w:marRight w:val="0"/>
      <w:marTop w:val="0"/>
      <w:marBottom w:val="0"/>
      <w:divBdr>
        <w:top w:val="none" w:sz="0" w:space="0" w:color="auto"/>
        <w:left w:val="none" w:sz="0" w:space="0" w:color="auto"/>
        <w:bottom w:val="none" w:sz="0" w:space="0" w:color="auto"/>
        <w:right w:val="none" w:sz="0" w:space="0" w:color="auto"/>
      </w:divBdr>
      <w:divsChild>
        <w:div w:id="36664540">
          <w:marLeft w:val="0"/>
          <w:marRight w:val="0"/>
          <w:marTop w:val="0"/>
          <w:marBottom w:val="0"/>
          <w:divBdr>
            <w:top w:val="none" w:sz="0" w:space="0" w:color="auto"/>
            <w:left w:val="none" w:sz="0" w:space="0" w:color="auto"/>
            <w:bottom w:val="none" w:sz="0" w:space="0" w:color="auto"/>
            <w:right w:val="none" w:sz="0" w:space="0" w:color="auto"/>
          </w:divBdr>
        </w:div>
      </w:divsChild>
    </w:div>
    <w:div w:id="1223371016">
      <w:bodyDiv w:val="1"/>
      <w:marLeft w:val="0"/>
      <w:marRight w:val="0"/>
      <w:marTop w:val="0"/>
      <w:marBottom w:val="0"/>
      <w:divBdr>
        <w:top w:val="none" w:sz="0" w:space="0" w:color="auto"/>
        <w:left w:val="none" w:sz="0" w:space="0" w:color="auto"/>
        <w:bottom w:val="none" w:sz="0" w:space="0" w:color="auto"/>
        <w:right w:val="none" w:sz="0" w:space="0" w:color="auto"/>
      </w:divBdr>
      <w:divsChild>
        <w:div w:id="1983341275">
          <w:marLeft w:val="0"/>
          <w:marRight w:val="0"/>
          <w:marTop w:val="0"/>
          <w:marBottom w:val="0"/>
          <w:divBdr>
            <w:top w:val="none" w:sz="0" w:space="0" w:color="auto"/>
            <w:left w:val="none" w:sz="0" w:space="0" w:color="auto"/>
            <w:bottom w:val="none" w:sz="0" w:space="0" w:color="auto"/>
            <w:right w:val="none" w:sz="0" w:space="0" w:color="auto"/>
          </w:divBdr>
        </w:div>
        <w:div w:id="1146318464">
          <w:marLeft w:val="0"/>
          <w:marRight w:val="0"/>
          <w:marTop w:val="0"/>
          <w:marBottom w:val="0"/>
          <w:divBdr>
            <w:top w:val="none" w:sz="0" w:space="0" w:color="auto"/>
            <w:left w:val="none" w:sz="0" w:space="0" w:color="auto"/>
            <w:bottom w:val="none" w:sz="0" w:space="0" w:color="auto"/>
            <w:right w:val="none" w:sz="0" w:space="0" w:color="auto"/>
          </w:divBdr>
        </w:div>
      </w:divsChild>
    </w:div>
    <w:div w:id="1225070736">
      <w:bodyDiv w:val="1"/>
      <w:marLeft w:val="0"/>
      <w:marRight w:val="0"/>
      <w:marTop w:val="0"/>
      <w:marBottom w:val="0"/>
      <w:divBdr>
        <w:top w:val="none" w:sz="0" w:space="0" w:color="auto"/>
        <w:left w:val="none" w:sz="0" w:space="0" w:color="auto"/>
        <w:bottom w:val="none" w:sz="0" w:space="0" w:color="auto"/>
        <w:right w:val="none" w:sz="0" w:space="0" w:color="auto"/>
      </w:divBdr>
    </w:div>
    <w:div w:id="1230774032">
      <w:bodyDiv w:val="1"/>
      <w:marLeft w:val="0"/>
      <w:marRight w:val="0"/>
      <w:marTop w:val="0"/>
      <w:marBottom w:val="0"/>
      <w:divBdr>
        <w:top w:val="none" w:sz="0" w:space="0" w:color="auto"/>
        <w:left w:val="none" w:sz="0" w:space="0" w:color="auto"/>
        <w:bottom w:val="none" w:sz="0" w:space="0" w:color="auto"/>
        <w:right w:val="none" w:sz="0" w:space="0" w:color="auto"/>
      </w:divBdr>
    </w:div>
    <w:div w:id="1260524875">
      <w:bodyDiv w:val="1"/>
      <w:marLeft w:val="0"/>
      <w:marRight w:val="0"/>
      <w:marTop w:val="0"/>
      <w:marBottom w:val="0"/>
      <w:divBdr>
        <w:top w:val="none" w:sz="0" w:space="0" w:color="auto"/>
        <w:left w:val="none" w:sz="0" w:space="0" w:color="auto"/>
        <w:bottom w:val="none" w:sz="0" w:space="0" w:color="auto"/>
        <w:right w:val="none" w:sz="0" w:space="0" w:color="auto"/>
      </w:divBdr>
      <w:divsChild>
        <w:div w:id="432097791">
          <w:marLeft w:val="0"/>
          <w:marRight w:val="0"/>
          <w:marTop w:val="0"/>
          <w:marBottom w:val="0"/>
          <w:divBdr>
            <w:top w:val="none" w:sz="0" w:space="0" w:color="auto"/>
            <w:left w:val="none" w:sz="0" w:space="0" w:color="auto"/>
            <w:bottom w:val="none" w:sz="0" w:space="0" w:color="auto"/>
            <w:right w:val="none" w:sz="0" w:space="0" w:color="auto"/>
          </w:divBdr>
          <w:divsChild>
            <w:div w:id="1883249314">
              <w:marLeft w:val="0"/>
              <w:marRight w:val="0"/>
              <w:marTop w:val="120"/>
              <w:marBottom w:val="0"/>
              <w:divBdr>
                <w:top w:val="none" w:sz="0" w:space="0" w:color="auto"/>
                <w:left w:val="none" w:sz="0" w:space="0" w:color="auto"/>
                <w:bottom w:val="none" w:sz="0" w:space="0" w:color="auto"/>
                <w:right w:val="none" w:sz="0" w:space="0" w:color="auto"/>
              </w:divBdr>
            </w:div>
            <w:div w:id="1176651998">
              <w:marLeft w:val="0"/>
              <w:marRight w:val="0"/>
              <w:marTop w:val="0"/>
              <w:marBottom w:val="0"/>
              <w:divBdr>
                <w:top w:val="none" w:sz="0" w:space="0" w:color="auto"/>
                <w:left w:val="none" w:sz="0" w:space="0" w:color="auto"/>
                <w:bottom w:val="none" w:sz="0" w:space="0" w:color="auto"/>
                <w:right w:val="none" w:sz="0" w:space="0" w:color="auto"/>
              </w:divBdr>
            </w:div>
          </w:divsChild>
        </w:div>
        <w:div w:id="1386101431">
          <w:marLeft w:val="0"/>
          <w:marRight w:val="0"/>
          <w:marTop w:val="0"/>
          <w:marBottom w:val="0"/>
          <w:divBdr>
            <w:top w:val="none" w:sz="0" w:space="0" w:color="auto"/>
            <w:left w:val="none" w:sz="0" w:space="0" w:color="auto"/>
            <w:bottom w:val="none" w:sz="0" w:space="0" w:color="auto"/>
            <w:right w:val="none" w:sz="0" w:space="0" w:color="auto"/>
          </w:divBdr>
          <w:divsChild>
            <w:div w:id="1615551703">
              <w:marLeft w:val="0"/>
              <w:marRight w:val="0"/>
              <w:marTop w:val="120"/>
              <w:marBottom w:val="0"/>
              <w:divBdr>
                <w:top w:val="none" w:sz="0" w:space="0" w:color="auto"/>
                <w:left w:val="none" w:sz="0" w:space="0" w:color="auto"/>
                <w:bottom w:val="none" w:sz="0" w:space="0" w:color="auto"/>
                <w:right w:val="none" w:sz="0" w:space="0" w:color="auto"/>
              </w:divBdr>
            </w:div>
            <w:div w:id="896282943">
              <w:marLeft w:val="0"/>
              <w:marRight w:val="0"/>
              <w:marTop w:val="0"/>
              <w:marBottom w:val="0"/>
              <w:divBdr>
                <w:top w:val="none" w:sz="0" w:space="0" w:color="auto"/>
                <w:left w:val="none" w:sz="0" w:space="0" w:color="auto"/>
                <w:bottom w:val="none" w:sz="0" w:space="0" w:color="auto"/>
                <w:right w:val="none" w:sz="0" w:space="0" w:color="auto"/>
              </w:divBdr>
            </w:div>
          </w:divsChild>
        </w:div>
        <w:div w:id="482241300">
          <w:marLeft w:val="0"/>
          <w:marRight w:val="0"/>
          <w:marTop w:val="0"/>
          <w:marBottom w:val="0"/>
          <w:divBdr>
            <w:top w:val="none" w:sz="0" w:space="0" w:color="auto"/>
            <w:left w:val="none" w:sz="0" w:space="0" w:color="auto"/>
            <w:bottom w:val="none" w:sz="0" w:space="0" w:color="auto"/>
            <w:right w:val="none" w:sz="0" w:space="0" w:color="auto"/>
          </w:divBdr>
          <w:divsChild>
            <w:div w:id="403718715">
              <w:marLeft w:val="0"/>
              <w:marRight w:val="0"/>
              <w:marTop w:val="120"/>
              <w:marBottom w:val="0"/>
              <w:divBdr>
                <w:top w:val="none" w:sz="0" w:space="0" w:color="auto"/>
                <w:left w:val="none" w:sz="0" w:space="0" w:color="auto"/>
                <w:bottom w:val="none" w:sz="0" w:space="0" w:color="auto"/>
                <w:right w:val="none" w:sz="0" w:space="0" w:color="auto"/>
              </w:divBdr>
            </w:div>
            <w:div w:id="2087460003">
              <w:marLeft w:val="0"/>
              <w:marRight w:val="0"/>
              <w:marTop w:val="0"/>
              <w:marBottom w:val="0"/>
              <w:divBdr>
                <w:top w:val="none" w:sz="0" w:space="0" w:color="auto"/>
                <w:left w:val="none" w:sz="0" w:space="0" w:color="auto"/>
                <w:bottom w:val="none" w:sz="0" w:space="0" w:color="auto"/>
                <w:right w:val="none" w:sz="0" w:space="0" w:color="auto"/>
              </w:divBdr>
            </w:div>
          </w:divsChild>
        </w:div>
        <w:div w:id="1402875025">
          <w:marLeft w:val="0"/>
          <w:marRight w:val="0"/>
          <w:marTop w:val="0"/>
          <w:marBottom w:val="0"/>
          <w:divBdr>
            <w:top w:val="none" w:sz="0" w:space="0" w:color="auto"/>
            <w:left w:val="none" w:sz="0" w:space="0" w:color="auto"/>
            <w:bottom w:val="none" w:sz="0" w:space="0" w:color="auto"/>
            <w:right w:val="none" w:sz="0" w:space="0" w:color="auto"/>
          </w:divBdr>
          <w:divsChild>
            <w:div w:id="2113738254">
              <w:marLeft w:val="0"/>
              <w:marRight w:val="0"/>
              <w:marTop w:val="120"/>
              <w:marBottom w:val="0"/>
              <w:divBdr>
                <w:top w:val="none" w:sz="0" w:space="0" w:color="auto"/>
                <w:left w:val="none" w:sz="0" w:space="0" w:color="auto"/>
                <w:bottom w:val="none" w:sz="0" w:space="0" w:color="auto"/>
                <w:right w:val="none" w:sz="0" w:space="0" w:color="auto"/>
              </w:divBdr>
            </w:div>
            <w:div w:id="692388629">
              <w:marLeft w:val="0"/>
              <w:marRight w:val="0"/>
              <w:marTop w:val="0"/>
              <w:marBottom w:val="0"/>
              <w:divBdr>
                <w:top w:val="none" w:sz="0" w:space="0" w:color="auto"/>
                <w:left w:val="none" w:sz="0" w:space="0" w:color="auto"/>
                <w:bottom w:val="none" w:sz="0" w:space="0" w:color="auto"/>
                <w:right w:val="none" w:sz="0" w:space="0" w:color="auto"/>
              </w:divBdr>
            </w:div>
          </w:divsChild>
        </w:div>
        <w:div w:id="834688081">
          <w:marLeft w:val="0"/>
          <w:marRight w:val="0"/>
          <w:marTop w:val="0"/>
          <w:marBottom w:val="0"/>
          <w:divBdr>
            <w:top w:val="none" w:sz="0" w:space="0" w:color="auto"/>
            <w:left w:val="none" w:sz="0" w:space="0" w:color="auto"/>
            <w:bottom w:val="none" w:sz="0" w:space="0" w:color="auto"/>
            <w:right w:val="none" w:sz="0" w:space="0" w:color="auto"/>
          </w:divBdr>
          <w:divsChild>
            <w:div w:id="1305626873">
              <w:marLeft w:val="0"/>
              <w:marRight w:val="0"/>
              <w:marTop w:val="120"/>
              <w:marBottom w:val="0"/>
              <w:divBdr>
                <w:top w:val="none" w:sz="0" w:space="0" w:color="auto"/>
                <w:left w:val="none" w:sz="0" w:space="0" w:color="auto"/>
                <w:bottom w:val="none" w:sz="0" w:space="0" w:color="auto"/>
                <w:right w:val="none" w:sz="0" w:space="0" w:color="auto"/>
              </w:divBdr>
            </w:div>
            <w:div w:id="49152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311413">
      <w:bodyDiv w:val="1"/>
      <w:marLeft w:val="0"/>
      <w:marRight w:val="0"/>
      <w:marTop w:val="0"/>
      <w:marBottom w:val="0"/>
      <w:divBdr>
        <w:top w:val="none" w:sz="0" w:space="0" w:color="auto"/>
        <w:left w:val="none" w:sz="0" w:space="0" w:color="auto"/>
        <w:bottom w:val="none" w:sz="0" w:space="0" w:color="auto"/>
        <w:right w:val="none" w:sz="0" w:space="0" w:color="auto"/>
      </w:divBdr>
      <w:divsChild>
        <w:div w:id="29646900">
          <w:marLeft w:val="0"/>
          <w:marRight w:val="0"/>
          <w:marTop w:val="0"/>
          <w:marBottom w:val="0"/>
          <w:divBdr>
            <w:top w:val="none" w:sz="0" w:space="0" w:color="auto"/>
            <w:left w:val="none" w:sz="0" w:space="0" w:color="auto"/>
            <w:bottom w:val="none" w:sz="0" w:space="0" w:color="auto"/>
            <w:right w:val="none" w:sz="0" w:space="0" w:color="auto"/>
          </w:divBdr>
          <w:divsChild>
            <w:div w:id="151369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560778">
      <w:bodyDiv w:val="1"/>
      <w:marLeft w:val="0"/>
      <w:marRight w:val="0"/>
      <w:marTop w:val="0"/>
      <w:marBottom w:val="0"/>
      <w:divBdr>
        <w:top w:val="none" w:sz="0" w:space="0" w:color="auto"/>
        <w:left w:val="none" w:sz="0" w:space="0" w:color="auto"/>
        <w:bottom w:val="none" w:sz="0" w:space="0" w:color="auto"/>
        <w:right w:val="none" w:sz="0" w:space="0" w:color="auto"/>
      </w:divBdr>
      <w:divsChild>
        <w:div w:id="1789540414">
          <w:marLeft w:val="0"/>
          <w:marRight w:val="0"/>
          <w:marTop w:val="0"/>
          <w:marBottom w:val="0"/>
          <w:divBdr>
            <w:top w:val="none" w:sz="0" w:space="0" w:color="auto"/>
            <w:left w:val="none" w:sz="0" w:space="0" w:color="auto"/>
            <w:bottom w:val="none" w:sz="0" w:space="0" w:color="auto"/>
            <w:right w:val="none" w:sz="0" w:space="0" w:color="auto"/>
          </w:divBdr>
          <w:divsChild>
            <w:div w:id="1208490979">
              <w:marLeft w:val="0"/>
              <w:marRight w:val="0"/>
              <w:marTop w:val="0"/>
              <w:marBottom w:val="0"/>
              <w:divBdr>
                <w:top w:val="none" w:sz="0" w:space="0" w:color="auto"/>
                <w:left w:val="none" w:sz="0" w:space="0" w:color="auto"/>
                <w:bottom w:val="none" w:sz="0" w:space="0" w:color="auto"/>
                <w:right w:val="none" w:sz="0" w:space="0" w:color="auto"/>
              </w:divBdr>
            </w:div>
          </w:divsChild>
        </w:div>
        <w:div w:id="833182316">
          <w:marLeft w:val="0"/>
          <w:marRight w:val="0"/>
          <w:marTop w:val="0"/>
          <w:marBottom w:val="0"/>
          <w:divBdr>
            <w:top w:val="none" w:sz="0" w:space="0" w:color="auto"/>
            <w:left w:val="none" w:sz="0" w:space="0" w:color="auto"/>
            <w:bottom w:val="none" w:sz="0" w:space="0" w:color="auto"/>
            <w:right w:val="none" w:sz="0" w:space="0" w:color="auto"/>
          </w:divBdr>
          <w:divsChild>
            <w:div w:id="1074858990">
              <w:marLeft w:val="0"/>
              <w:marRight w:val="0"/>
              <w:marTop w:val="120"/>
              <w:marBottom w:val="0"/>
              <w:divBdr>
                <w:top w:val="none" w:sz="0" w:space="0" w:color="auto"/>
                <w:left w:val="none" w:sz="0" w:space="0" w:color="auto"/>
                <w:bottom w:val="none" w:sz="0" w:space="0" w:color="auto"/>
                <w:right w:val="none" w:sz="0" w:space="0" w:color="auto"/>
              </w:divBdr>
            </w:div>
            <w:div w:id="925187771">
              <w:marLeft w:val="0"/>
              <w:marRight w:val="0"/>
              <w:marTop w:val="0"/>
              <w:marBottom w:val="0"/>
              <w:divBdr>
                <w:top w:val="none" w:sz="0" w:space="0" w:color="auto"/>
                <w:left w:val="none" w:sz="0" w:space="0" w:color="auto"/>
                <w:bottom w:val="none" w:sz="0" w:space="0" w:color="auto"/>
                <w:right w:val="none" w:sz="0" w:space="0" w:color="auto"/>
              </w:divBdr>
            </w:div>
          </w:divsChild>
        </w:div>
        <w:div w:id="2009018290">
          <w:marLeft w:val="0"/>
          <w:marRight w:val="0"/>
          <w:marTop w:val="0"/>
          <w:marBottom w:val="0"/>
          <w:divBdr>
            <w:top w:val="none" w:sz="0" w:space="0" w:color="auto"/>
            <w:left w:val="none" w:sz="0" w:space="0" w:color="auto"/>
            <w:bottom w:val="none" w:sz="0" w:space="0" w:color="auto"/>
            <w:right w:val="none" w:sz="0" w:space="0" w:color="auto"/>
          </w:divBdr>
          <w:divsChild>
            <w:div w:id="226645699">
              <w:marLeft w:val="0"/>
              <w:marRight w:val="0"/>
              <w:marTop w:val="120"/>
              <w:marBottom w:val="0"/>
              <w:divBdr>
                <w:top w:val="none" w:sz="0" w:space="0" w:color="auto"/>
                <w:left w:val="none" w:sz="0" w:space="0" w:color="auto"/>
                <w:bottom w:val="none" w:sz="0" w:space="0" w:color="auto"/>
                <w:right w:val="none" w:sz="0" w:space="0" w:color="auto"/>
              </w:divBdr>
            </w:div>
            <w:div w:id="614024073">
              <w:marLeft w:val="0"/>
              <w:marRight w:val="0"/>
              <w:marTop w:val="0"/>
              <w:marBottom w:val="0"/>
              <w:divBdr>
                <w:top w:val="none" w:sz="0" w:space="0" w:color="auto"/>
                <w:left w:val="none" w:sz="0" w:space="0" w:color="auto"/>
                <w:bottom w:val="none" w:sz="0" w:space="0" w:color="auto"/>
                <w:right w:val="none" w:sz="0" w:space="0" w:color="auto"/>
              </w:divBdr>
            </w:div>
          </w:divsChild>
        </w:div>
        <w:div w:id="295187081">
          <w:marLeft w:val="0"/>
          <w:marRight w:val="0"/>
          <w:marTop w:val="0"/>
          <w:marBottom w:val="0"/>
          <w:divBdr>
            <w:top w:val="none" w:sz="0" w:space="0" w:color="auto"/>
            <w:left w:val="none" w:sz="0" w:space="0" w:color="auto"/>
            <w:bottom w:val="none" w:sz="0" w:space="0" w:color="auto"/>
            <w:right w:val="none" w:sz="0" w:space="0" w:color="auto"/>
          </w:divBdr>
          <w:divsChild>
            <w:div w:id="1599294960">
              <w:marLeft w:val="0"/>
              <w:marRight w:val="0"/>
              <w:marTop w:val="120"/>
              <w:marBottom w:val="0"/>
              <w:divBdr>
                <w:top w:val="none" w:sz="0" w:space="0" w:color="auto"/>
                <w:left w:val="none" w:sz="0" w:space="0" w:color="auto"/>
                <w:bottom w:val="none" w:sz="0" w:space="0" w:color="auto"/>
                <w:right w:val="none" w:sz="0" w:space="0" w:color="auto"/>
              </w:divBdr>
            </w:div>
            <w:div w:id="39505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067937">
      <w:bodyDiv w:val="1"/>
      <w:marLeft w:val="0"/>
      <w:marRight w:val="0"/>
      <w:marTop w:val="0"/>
      <w:marBottom w:val="0"/>
      <w:divBdr>
        <w:top w:val="none" w:sz="0" w:space="0" w:color="auto"/>
        <w:left w:val="none" w:sz="0" w:space="0" w:color="auto"/>
        <w:bottom w:val="none" w:sz="0" w:space="0" w:color="auto"/>
        <w:right w:val="none" w:sz="0" w:space="0" w:color="auto"/>
      </w:divBdr>
    </w:div>
    <w:div w:id="1318612858">
      <w:bodyDiv w:val="1"/>
      <w:marLeft w:val="0"/>
      <w:marRight w:val="0"/>
      <w:marTop w:val="0"/>
      <w:marBottom w:val="0"/>
      <w:divBdr>
        <w:top w:val="none" w:sz="0" w:space="0" w:color="auto"/>
        <w:left w:val="none" w:sz="0" w:space="0" w:color="auto"/>
        <w:bottom w:val="none" w:sz="0" w:space="0" w:color="auto"/>
        <w:right w:val="none" w:sz="0" w:space="0" w:color="auto"/>
      </w:divBdr>
      <w:divsChild>
        <w:div w:id="800418432">
          <w:marLeft w:val="0"/>
          <w:marRight w:val="0"/>
          <w:marTop w:val="0"/>
          <w:marBottom w:val="0"/>
          <w:divBdr>
            <w:top w:val="none" w:sz="0" w:space="0" w:color="auto"/>
            <w:left w:val="none" w:sz="0" w:space="0" w:color="auto"/>
            <w:bottom w:val="none" w:sz="0" w:space="0" w:color="auto"/>
            <w:right w:val="none" w:sz="0" w:space="0" w:color="auto"/>
          </w:divBdr>
          <w:divsChild>
            <w:div w:id="1003436705">
              <w:marLeft w:val="0"/>
              <w:marRight w:val="0"/>
              <w:marTop w:val="120"/>
              <w:marBottom w:val="0"/>
              <w:divBdr>
                <w:top w:val="none" w:sz="0" w:space="0" w:color="auto"/>
                <w:left w:val="none" w:sz="0" w:space="0" w:color="auto"/>
                <w:bottom w:val="none" w:sz="0" w:space="0" w:color="auto"/>
                <w:right w:val="none" w:sz="0" w:space="0" w:color="auto"/>
              </w:divBdr>
            </w:div>
            <w:div w:id="112657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978454">
      <w:bodyDiv w:val="1"/>
      <w:marLeft w:val="0"/>
      <w:marRight w:val="0"/>
      <w:marTop w:val="0"/>
      <w:marBottom w:val="0"/>
      <w:divBdr>
        <w:top w:val="none" w:sz="0" w:space="0" w:color="auto"/>
        <w:left w:val="none" w:sz="0" w:space="0" w:color="auto"/>
        <w:bottom w:val="none" w:sz="0" w:space="0" w:color="auto"/>
        <w:right w:val="none" w:sz="0" w:space="0" w:color="auto"/>
      </w:divBdr>
      <w:divsChild>
        <w:div w:id="16196751">
          <w:marLeft w:val="0"/>
          <w:marRight w:val="0"/>
          <w:marTop w:val="0"/>
          <w:marBottom w:val="0"/>
          <w:divBdr>
            <w:top w:val="none" w:sz="0" w:space="0" w:color="auto"/>
            <w:left w:val="none" w:sz="0" w:space="0" w:color="auto"/>
            <w:bottom w:val="none" w:sz="0" w:space="0" w:color="auto"/>
            <w:right w:val="none" w:sz="0" w:space="0" w:color="auto"/>
          </w:divBdr>
          <w:divsChild>
            <w:div w:id="1162235815">
              <w:marLeft w:val="0"/>
              <w:marRight w:val="0"/>
              <w:marTop w:val="120"/>
              <w:marBottom w:val="0"/>
              <w:divBdr>
                <w:top w:val="none" w:sz="0" w:space="0" w:color="auto"/>
                <w:left w:val="none" w:sz="0" w:space="0" w:color="auto"/>
                <w:bottom w:val="none" w:sz="0" w:space="0" w:color="auto"/>
                <w:right w:val="none" w:sz="0" w:space="0" w:color="auto"/>
              </w:divBdr>
            </w:div>
            <w:div w:id="1276601808">
              <w:marLeft w:val="0"/>
              <w:marRight w:val="0"/>
              <w:marTop w:val="0"/>
              <w:marBottom w:val="0"/>
              <w:divBdr>
                <w:top w:val="none" w:sz="0" w:space="0" w:color="auto"/>
                <w:left w:val="none" w:sz="0" w:space="0" w:color="auto"/>
                <w:bottom w:val="none" w:sz="0" w:space="0" w:color="auto"/>
                <w:right w:val="none" w:sz="0" w:space="0" w:color="auto"/>
              </w:divBdr>
            </w:div>
          </w:divsChild>
        </w:div>
        <w:div w:id="1766611691">
          <w:marLeft w:val="0"/>
          <w:marRight w:val="0"/>
          <w:marTop w:val="0"/>
          <w:marBottom w:val="0"/>
          <w:divBdr>
            <w:top w:val="none" w:sz="0" w:space="0" w:color="auto"/>
            <w:left w:val="none" w:sz="0" w:space="0" w:color="auto"/>
            <w:bottom w:val="none" w:sz="0" w:space="0" w:color="auto"/>
            <w:right w:val="none" w:sz="0" w:space="0" w:color="auto"/>
          </w:divBdr>
          <w:divsChild>
            <w:div w:id="290331290">
              <w:marLeft w:val="0"/>
              <w:marRight w:val="0"/>
              <w:marTop w:val="120"/>
              <w:marBottom w:val="0"/>
              <w:divBdr>
                <w:top w:val="none" w:sz="0" w:space="0" w:color="auto"/>
                <w:left w:val="none" w:sz="0" w:space="0" w:color="auto"/>
                <w:bottom w:val="none" w:sz="0" w:space="0" w:color="auto"/>
                <w:right w:val="none" w:sz="0" w:space="0" w:color="auto"/>
              </w:divBdr>
            </w:div>
            <w:div w:id="472136577">
              <w:marLeft w:val="0"/>
              <w:marRight w:val="0"/>
              <w:marTop w:val="0"/>
              <w:marBottom w:val="0"/>
              <w:divBdr>
                <w:top w:val="none" w:sz="0" w:space="0" w:color="auto"/>
                <w:left w:val="none" w:sz="0" w:space="0" w:color="auto"/>
                <w:bottom w:val="none" w:sz="0" w:space="0" w:color="auto"/>
                <w:right w:val="none" w:sz="0" w:space="0" w:color="auto"/>
              </w:divBdr>
            </w:div>
          </w:divsChild>
        </w:div>
        <w:div w:id="52313231">
          <w:marLeft w:val="0"/>
          <w:marRight w:val="0"/>
          <w:marTop w:val="0"/>
          <w:marBottom w:val="0"/>
          <w:divBdr>
            <w:top w:val="none" w:sz="0" w:space="0" w:color="auto"/>
            <w:left w:val="none" w:sz="0" w:space="0" w:color="auto"/>
            <w:bottom w:val="none" w:sz="0" w:space="0" w:color="auto"/>
            <w:right w:val="none" w:sz="0" w:space="0" w:color="auto"/>
          </w:divBdr>
          <w:divsChild>
            <w:div w:id="472252951">
              <w:marLeft w:val="0"/>
              <w:marRight w:val="0"/>
              <w:marTop w:val="120"/>
              <w:marBottom w:val="0"/>
              <w:divBdr>
                <w:top w:val="none" w:sz="0" w:space="0" w:color="auto"/>
                <w:left w:val="none" w:sz="0" w:space="0" w:color="auto"/>
                <w:bottom w:val="none" w:sz="0" w:space="0" w:color="auto"/>
                <w:right w:val="none" w:sz="0" w:space="0" w:color="auto"/>
              </w:divBdr>
            </w:div>
            <w:div w:id="71651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885837">
      <w:bodyDiv w:val="1"/>
      <w:marLeft w:val="0"/>
      <w:marRight w:val="0"/>
      <w:marTop w:val="0"/>
      <w:marBottom w:val="0"/>
      <w:divBdr>
        <w:top w:val="none" w:sz="0" w:space="0" w:color="auto"/>
        <w:left w:val="none" w:sz="0" w:space="0" w:color="auto"/>
        <w:bottom w:val="none" w:sz="0" w:space="0" w:color="auto"/>
        <w:right w:val="none" w:sz="0" w:space="0" w:color="auto"/>
      </w:divBdr>
      <w:divsChild>
        <w:div w:id="724990527">
          <w:marLeft w:val="0"/>
          <w:marRight w:val="0"/>
          <w:marTop w:val="120"/>
          <w:marBottom w:val="0"/>
          <w:divBdr>
            <w:top w:val="none" w:sz="0" w:space="0" w:color="auto"/>
            <w:left w:val="none" w:sz="0" w:space="0" w:color="auto"/>
            <w:bottom w:val="none" w:sz="0" w:space="0" w:color="auto"/>
            <w:right w:val="none" w:sz="0" w:space="0" w:color="auto"/>
          </w:divBdr>
        </w:div>
        <w:div w:id="1748728119">
          <w:marLeft w:val="0"/>
          <w:marRight w:val="0"/>
          <w:marTop w:val="0"/>
          <w:marBottom w:val="0"/>
          <w:divBdr>
            <w:top w:val="none" w:sz="0" w:space="0" w:color="auto"/>
            <w:left w:val="none" w:sz="0" w:space="0" w:color="auto"/>
            <w:bottom w:val="none" w:sz="0" w:space="0" w:color="auto"/>
            <w:right w:val="none" w:sz="0" w:space="0" w:color="auto"/>
          </w:divBdr>
        </w:div>
      </w:divsChild>
    </w:div>
    <w:div w:id="1345671306">
      <w:bodyDiv w:val="1"/>
      <w:marLeft w:val="0"/>
      <w:marRight w:val="0"/>
      <w:marTop w:val="0"/>
      <w:marBottom w:val="0"/>
      <w:divBdr>
        <w:top w:val="none" w:sz="0" w:space="0" w:color="auto"/>
        <w:left w:val="none" w:sz="0" w:space="0" w:color="auto"/>
        <w:bottom w:val="none" w:sz="0" w:space="0" w:color="auto"/>
        <w:right w:val="none" w:sz="0" w:space="0" w:color="auto"/>
      </w:divBdr>
      <w:divsChild>
        <w:div w:id="30615927">
          <w:marLeft w:val="0"/>
          <w:marRight w:val="0"/>
          <w:marTop w:val="0"/>
          <w:marBottom w:val="0"/>
          <w:divBdr>
            <w:top w:val="none" w:sz="0" w:space="0" w:color="auto"/>
            <w:left w:val="none" w:sz="0" w:space="0" w:color="auto"/>
            <w:bottom w:val="none" w:sz="0" w:space="0" w:color="auto"/>
            <w:right w:val="none" w:sz="0" w:space="0" w:color="auto"/>
          </w:divBdr>
          <w:divsChild>
            <w:div w:id="694844184">
              <w:marLeft w:val="0"/>
              <w:marRight w:val="0"/>
              <w:marTop w:val="0"/>
              <w:marBottom w:val="0"/>
              <w:divBdr>
                <w:top w:val="none" w:sz="0" w:space="0" w:color="auto"/>
                <w:left w:val="none" w:sz="0" w:space="0" w:color="auto"/>
                <w:bottom w:val="none" w:sz="0" w:space="0" w:color="auto"/>
                <w:right w:val="none" w:sz="0" w:space="0" w:color="auto"/>
              </w:divBdr>
            </w:div>
          </w:divsChild>
        </w:div>
        <w:div w:id="249581709">
          <w:marLeft w:val="0"/>
          <w:marRight w:val="0"/>
          <w:marTop w:val="0"/>
          <w:marBottom w:val="0"/>
          <w:divBdr>
            <w:top w:val="none" w:sz="0" w:space="0" w:color="auto"/>
            <w:left w:val="none" w:sz="0" w:space="0" w:color="auto"/>
            <w:bottom w:val="none" w:sz="0" w:space="0" w:color="auto"/>
            <w:right w:val="none" w:sz="0" w:space="0" w:color="auto"/>
          </w:divBdr>
          <w:divsChild>
            <w:div w:id="141854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779466">
      <w:bodyDiv w:val="1"/>
      <w:marLeft w:val="0"/>
      <w:marRight w:val="0"/>
      <w:marTop w:val="0"/>
      <w:marBottom w:val="0"/>
      <w:divBdr>
        <w:top w:val="none" w:sz="0" w:space="0" w:color="auto"/>
        <w:left w:val="none" w:sz="0" w:space="0" w:color="auto"/>
        <w:bottom w:val="none" w:sz="0" w:space="0" w:color="auto"/>
        <w:right w:val="none" w:sz="0" w:space="0" w:color="auto"/>
      </w:divBdr>
      <w:divsChild>
        <w:div w:id="681200320">
          <w:marLeft w:val="0"/>
          <w:marRight w:val="0"/>
          <w:marTop w:val="0"/>
          <w:marBottom w:val="0"/>
          <w:divBdr>
            <w:top w:val="none" w:sz="0" w:space="0" w:color="auto"/>
            <w:left w:val="none" w:sz="0" w:space="0" w:color="auto"/>
            <w:bottom w:val="none" w:sz="0" w:space="0" w:color="auto"/>
            <w:right w:val="none" w:sz="0" w:space="0" w:color="auto"/>
          </w:divBdr>
        </w:div>
        <w:div w:id="2033804514">
          <w:marLeft w:val="0"/>
          <w:marRight w:val="0"/>
          <w:marTop w:val="0"/>
          <w:marBottom w:val="0"/>
          <w:divBdr>
            <w:top w:val="none" w:sz="0" w:space="0" w:color="auto"/>
            <w:left w:val="none" w:sz="0" w:space="0" w:color="auto"/>
            <w:bottom w:val="none" w:sz="0" w:space="0" w:color="auto"/>
            <w:right w:val="none" w:sz="0" w:space="0" w:color="auto"/>
          </w:divBdr>
        </w:div>
        <w:div w:id="1380931901">
          <w:marLeft w:val="0"/>
          <w:marRight w:val="0"/>
          <w:marTop w:val="0"/>
          <w:marBottom w:val="0"/>
          <w:divBdr>
            <w:top w:val="none" w:sz="0" w:space="0" w:color="auto"/>
            <w:left w:val="none" w:sz="0" w:space="0" w:color="auto"/>
            <w:bottom w:val="none" w:sz="0" w:space="0" w:color="auto"/>
            <w:right w:val="none" w:sz="0" w:space="0" w:color="auto"/>
          </w:divBdr>
        </w:div>
        <w:div w:id="106825054">
          <w:marLeft w:val="0"/>
          <w:marRight w:val="0"/>
          <w:marTop w:val="0"/>
          <w:marBottom w:val="0"/>
          <w:divBdr>
            <w:top w:val="none" w:sz="0" w:space="0" w:color="auto"/>
            <w:left w:val="none" w:sz="0" w:space="0" w:color="auto"/>
            <w:bottom w:val="none" w:sz="0" w:space="0" w:color="auto"/>
            <w:right w:val="none" w:sz="0" w:space="0" w:color="auto"/>
          </w:divBdr>
        </w:div>
        <w:div w:id="1952321556">
          <w:marLeft w:val="0"/>
          <w:marRight w:val="0"/>
          <w:marTop w:val="0"/>
          <w:marBottom w:val="0"/>
          <w:divBdr>
            <w:top w:val="none" w:sz="0" w:space="0" w:color="auto"/>
            <w:left w:val="none" w:sz="0" w:space="0" w:color="auto"/>
            <w:bottom w:val="none" w:sz="0" w:space="0" w:color="auto"/>
            <w:right w:val="none" w:sz="0" w:space="0" w:color="auto"/>
          </w:divBdr>
        </w:div>
      </w:divsChild>
    </w:div>
    <w:div w:id="1360468785">
      <w:bodyDiv w:val="1"/>
      <w:marLeft w:val="0"/>
      <w:marRight w:val="0"/>
      <w:marTop w:val="0"/>
      <w:marBottom w:val="0"/>
      <w:divBdr>
        <w:top w:val="none" w:sz="0" w:space="0" w:color="auto"/>
        <w:left w:val="none" w:sz="0" w:space="0" w:color="auto"/>
        <w:bottom w:val="none" w:sz="0" w:space="0" w:color="auto"/>
        <w:right w:val="none" w:sz="0" w:space="0" w:color="auto"/>
      </w:divBdr>
      <w:divsChild>
        <w:div w:id="1821457430">
          <w:marLeft w:val="0"/>
          <w:marRight w:val="0"/>
          <w:marTop w:val="120"/>
          <w:marBottom w:val="0"/>
          <w:divBdr>
            <w:top w:val="none" w:sz="0" w:space="0" w:color="auto"/>
            <w:left w:val="none" w:sz="0" w:space="0" w:color="auto"/>
            <w:bottom w:val="none" w:sz="0" w:space="0" w:color="auto"/>
            <w:right w:val="none" w:sz="0" w:space="0" w:color="auto"/>
          </w:divBdr>
        </w:div>
        <w:div w:id="933632841">
          <w:marLeft w:val="0"/>
          <w:marRight w:val="0"/>
          <w:marTop w:val="0"/>
          <w:marBottom w:val="0"/>
          <w:divBdr>
            <w:top w:val="none" w:sz="0" w:space="0" w:color="auto"/>
            <w:left w:val="none" w:sz="0" w:space="0" w:color="auto"/>
            <w:bottom w:val="none" w:sz="0" w:space="0" w:color="auto"/>
            <w:right w:val="none" w:sz="0" w:space="0" w:color="auto"/>
          </w:divBdr>
        </w:div>
      </w:divsChild>
    </w:div>
    <w:div w:id="1361932677">
      <w:bodyDiv w:val="1"/>
      <w:marLeft w:val="0"/>
      <w:marRight w:val="0"/>
      <w:marTop w:val="0"/>
      <w:marBottom w:val="0"/>
      <w:divBdr>
        <w:top w:val="none" w:sz="0" w:space="0" w:color="auto"/>
        <w:left w:val="none" w:sz="0" w:space="0" w:color="auto"/>
        <w:bottom w:val="none" w:sz="0" w:space="0" w:color="auto"/>
        <w:right w:val="none" w:sz="0" w:space="0" w:color="auto"/>
      </w:divBdr>
      <w:divsChild>
        <w:div w:id="1794324438">
          <w:marLeft w:val="0"/>
          <w:marRight w:val="0"/>
          <w:marTop w:val="0"/>
          <w:marBottom w:val="0"/>
          <w:divBdr>
            <w:top w:val="none" w:sz="0" w:space="0" w:color="auto"/>
            <w:left w:val="none" w:sz="0" w:space="0" w:color="auto"/>
            <w:bottom w:val="none" w:sz="0" w:space="0" w:color="auto"/>
            <w:right w:val="none" w:sz="0" w:space="0" w:color="auto"/>
          </w:divBdr>
          <w:divsChild>
            <w:div w:id="1889535416">
              <w:marLeft w:val="0"/>
              <w:marRight w:val="0"/>
              <w:marTop w:val="0"/>
              <w:marBottom w:val="0"/>
              <w:divBdr>
                <w:top w:val="none" w:sz="0" w:space="0" w:color="auto"/>
                <w:left w:val="none" w:sz="0" w:space="0" w:color="auto"/>
                <w:bottom w:val="none" w:sz="0" w:space="0" w:color="auto"/>
                <w:right w:val="none" w:sz="0" w:space="0" w:color="auto"/>
              </w:divBdr>
            </w:div>
          </w:divsChild>
        </w:div>
        <w:div w:id="1586959774">
          <w:marLeft w:val="0"/>
          <w:marRight w:val="0"/>
          <w:marTop w:val="0"/>
          <w:marBottom w:val="0"/>
          <w:divBdr>
            <w:top w:val="none" w:sz="0" w:space="0" w:color="auto"/>
            <w:left w:val="none" w:sz="0" w:space="0" w:color="auto"/>
            <w:bottom w:val="none" w:sz="0" w:space="0" w:color="auto"/>
            <w:right w:val="none" w:sz="0" w:space="0" w:color="auto"/>
          </w:divBdr>
          <w:divsChild>
            <w:div w:id="579172626">
              <w:marLeft w:val="0"/>
              <w:marRight w:val="0"/>
              <w:marTop w:val="0"/>
              <w:marBottom w:val="0"/>
              <w:divBdr>
                <w:top w:val="none" w:sz="0" w:space="0" w:color="auto"/>
                <w:left w:val="none" w:sz="0" w:space="0" w:color="auto"/>
                <w:bottom w:val="none" w:sz="0" w:space="0" w:color="auto"/>
                <w:right w:val="none" w:sz="0" w:space="0" w:color="auto"/>
              </w:divBdr>
            </w:div>
          </w:divsChild>
        </w:div>
        <w:div w:id="759062728">
          <w:marLeft w:val="0"/>
          <w:marRight w:val="0"/>
          <w:marTop w:val="0"/>
          <w:marBottom w:val="0"/>
          <w:divBdr>
            <w:top w:val="none" w:sz="0" w:space="0" w:color="auto"/>
            <w:left w:val="none" w:sz="0" w:space="0" w:color="auto"/>
            <w:bottom w:val="none" w:sz="0" w:space="0" w:color="auto"/>
            <w:right w:val="none" w:sz="0" w:space="0" w:color="auto"/>
          </w:divBdr>
          <w:divsChild>
            <w:div w:id="1834905355">
              <w:marLeft w:val="0"/>
              <w:marRight w:val="0"/>
              <w:marTop w:val="0"/>
              <w:marBottom w:val="0"/>
              <w:divBdr>
                <w:top w:val="none" w:sz="0" w:space="0" w:color="auto"/>
                <w:left w:val="none" w:sz="0" w:space="0" w:color="auto"/>
                <w:bottom w:val="none" w:sz="0" w:space="0" w:color="auto"/>
                <w:right w:val="none" w:sz="0" w:space="0" w:color="auto"/>
              </w:divBdr>
            </w:div>
          </w:divsChild>
        </w:div>
        <w:div w:id="1548175443">
          <w:marLeft w:val="0"/>
          <w:marRight w:val="0"/>
          <w:marTop w:val="0"/>
          <w:marBottom w:val="0"/>
          <w:divBdr>
            <w:top w:val="none" w:sz="0" w:space="0" w:color="auto"/>
            <w:left w:val="none" w:sz="0" w:space="0" w:color="auto"/>
            <w:bottom w:val="none" w:sz="0" w:space="0" w:color="auto"/>
            <w:right w:val="none" w:sz="0" w:space="0" w:color="auto"/>
          </w:divBdr>
          <w:divsChild>
            <w:div w:id="1879659461">
              <w:marLeft w:val="0"/>
              <w:marRight w:val="0"/>
              <w:marTop w:val="0"/>
              <w:marBottom w:val="0"/>
              <w:divBdr>
                <w:top w:val="none" w:sz="0" w:space="0" w:color="auto"/>
                <w:left w:val="none" w:sz="0" w:space="0" w:color="auto"/>
                <w:bottom w:val="none" w:sz="0" w:space="0" w:color="auto"/>
                <w:right w:val="none" w:sz="0" w:space="0" w:color="auto"/>
              </w:divBdr>
            </w:div>
          </w:divsChild>
        </w:div>
        <w:div w:id="914052808">
          <w:marLeft w:val="0"/>
          <w:marRight w:val="0"/>
          <w:marTop w:val="0"/>
          <w:marBottom w:val="0"/>
          <w:divBdr>
            <w:top w:val="none" w:sz="0" w:space="0" w:color="auto"/>
            <w:left w:val="none" w:sz="0" w:space="0" w:color="auto"/>
            <w:bottom w:val="none" w:sz="0" w:space="0" w:color="auto"/>
            <w:right w:val="none" w:sz="0" w:space="0" w:color="auto"/>
          </w:divBdr>
          <w:divsChild>
            <w:div w:id="69639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794059">
      <w:bodyDiv w:val="1"/>
      <w:marLeft w:val="0"/>
      <w:marRight w:val="0"/>
      <w:marTop w:val="0"/>
      <w:marBottom w:val="0"/>
      <w:divBdr>
        <w:top w:val="none" w:sz="0" w:space="0" w:color="auto"/>
        <w:left w:val="none" w:sz="0" w:space="0" w:color="auto"/>
        <w:bottom w:val="none" w:sz="0" w:space="0" w:color="auto"/>
        <w:right w:val="none" w:sz="0" w:space="0" w:color="auto"/>
      </w:divBdr>
      <w:divsChild>
        <w:div w:id="1882589300">
          <w:marLeft w:val="0"/>
          <w:marRight w:val="0"/>
          <w:marTop w:val="0"/>
          <w:marBottom w:val="0"/>
          <w:divBdr>
            <w:top w:val="none" w:sz="0" w:space="0" w:color="auto"/>
            <w:left w:val="none" w:sz="0" w:space="0" w:color="auto"/>
            <w:bottom w:val="none" w:sz="0" w:space="0" w:color="auto"/>
            <w:right w:val="none" w:sz="0" w:space="0" w:color="auto"/>
          </w:divBdr>
          <w:divsChild>
            <w:div w:id="1391801701">
              <w:marLeft w:val="0"/>
              <w:marRight w:val="0"/>
              <w:marTop w:val="0"/>
              <w:marBottom w:val="0"/>
              <w:divBdr>
                <w:top w:val="none" w:sz="0" w:space="0" w:color="auto"/>
                <w:left w:val="none" w:sz="0" w:space="0" w:color="auto"/>
                <w:bottom w:val="none" w:sz="0" w:space="0" w:color="auto"/>
                <w:right w:val="none" w:sz="0" w:space="0" w:color="auto"/>
              </w:divBdr>
              <w:divsChild>
                <w:div w:id="253907224">
                  <w:marLeft w:val="0"/>
                  <w:marRight w:val="0"/>
                  <w:marTop w:val="0"/>
                  <w:marBottom w:val="0"/>
                  <w:divBdr>
                    <w:top w:val="none" w:sz="0" w:space="0" w:color="auto"/>
                    <w:left w:val="none" w:sz="0" w:space="0" w:color="auto"/>
                    <w:bottom w:val="none" w:sz="0" w:space="0" w:color="auto"/>
                    <w:right w:val="none" w:sz="0" w:space="0" w:color="auto"/>
                  </w:divBdr>
                  <w:divsChild>
                    <w:div w:id="1222717812">
                      <w:marLeft w:val="0"/>
                      <w:marRight w:val="0"/>
                      <w:marTop w:val="120"/>
                      <w:marBottom w:val="0"/>
                      <w:divBdr>
                        <w:top w:val="none" w:sz="0" w:space="0" w:color="auto"/>
                        <w:left w:val="none" w:sz="0" w:space="0" w:color="auto"/>
                        <w:bottom w:val="none" w:sz="0" w:space="0" w:color="auto"/>
                        <w:right w:val="none" w:sz="0" w:space="0" w:color="auto"/>
                      </w:divBdr>
                    </w:div>
                    <w:div w:id="954798085">
                      <w:marLeft w:val="0"/>
                      <w:marRight w:val="0"/>
                      <w:marTop w:val="0"/>
                      <w:marBottom w:val="0"/>
                      <w:divBdr>
                        <w:top w:val="none" w:sz="0" w:space="0" w:color="auto"/>
                        <w:left w:val="none" w:sz="0" w:space="0" w:color="auto"/>
                        <w:bottom w:val="none" w:sz="0" w:space="0" w:color="auto"/>
                        <w:right w:val="none" w:sz="0" w:space="0" w:color="auto"/>
                      </w:divBdr>
                    </w:div>
                  </w:divsChild>
                </w:div>
                <w:div w:id="1728412676">
                  <w:marLeft w:val="0"/>
                  <w:marRight w:val="0"/>
                  <w:marTop w:val="0"/>
                  <w:marBottom w:val="0"/>
                  <w:divBdr>
                    <w:top w:val="none" w:sz="0" w:space="0" w:color="auto"/>
                    <w:left w:val="none" w:sz="0" w:space="0" w:color="auto"/>
                    <w:bottom w:val="none" w:sz="0" w:space="0" w:color="auto"/>
                    <w:right w:val="none" w:sz="0" w:space="0" w:color="auto"/>
                  </w:divBdr>
                  <w:divsChild>
                    <w:div w:id="635916166">
                      <w:marLeft w:val="0"/>
                      <w:marRight w:val="0"/>
                      <w:marTop w:val="120"/>
                      <w:marBottom w:val="0"/>
                      <w:divBdr>
                        <w:top w:val="none" w:sz="0" w:space="0" w:color="auto"/>
                        <w:left w:val="none" w:sz="0" w:space="0" w:color="auto"/>
                        <w:bottom w:val="none" w:sz="0" w:space="0" w:color="auto"/>
                        <w:right w:val="none" w:sz="0" w:space="0" w:color="auto"/>
                      </w:divBdr>
                    </w:div>
                    <w:div w:id="203627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263919">
      <w:bodyDiv w:val="1"/>
      <w:marLeft w:val="0"/>
      <w:marRight w:val="0"/>
      <w:marTop w:val="0"/>
      <w:marBottom w:val="0"/>
      <w:divBdr>
        <w:top w:val="none" w:sz="0" w:space="0" w:color="auto"/>
        <w:left w:val="none" w:sz="0" w:space="0" w:color="auto"/>
        <w:bottom w:val="none" w:sz="0" w:space="0" w:color="auto"/>
        <w:right w:val="none" w:sz="0" w:space="0" w:color="auto"/>
      </w:divBdr>
    </w:div>
    <w:div w:id="1375470485">
      <w:bodyDiv w:val="1"/>
      <w:marLeft w:val="0"/>
      <w:marRight w:val="0"/>
      <w:marTop w:val="0"/>
      <w:marBottom w:val="0"/>
      <w:divBdr>
        <w:top w:val="none" w:sz="0" w:space="0" w:color="auto"/>
        <w:left w:val="none" w:sz="0" w:space="0" w:color="auto"/>
        <w:bottom w:val="none" w:sz="0" w:space="0" w:color="auto"/>
        <w:right w:val="none" w:sz="0" w:space="0" w:color="auto"/>
      </w:divBdr>
      <w:divsChild>
        <w:div w:id="1150363945">
          <w:marLeft w:val="0"/>
          <w:marRight w:val="0"/>
          <w:marTop w:val="0"/>
          <w:marBottom w:val="0"/>
          <w:divBdr>
            <w:top w:val="none" w:sz="0" w:space="0" w:color="auto"/>
            <w:left w:val="none" w:sz="0" w:space="0" w:color="auto"/>
            <w:bottom w:val="none" w:sz="0" w:space="0" w:color="auto"/>
            <w:right w:val="none" w:sz="0" w:space="0" w:color="auto"/>
          </w:divBdr>
          <w:divsChild>
            <w:div w:id="1912152085">
              <w:marLeft w:val="0"/>
              <w:marRight w:val="0"/>
              <w:marTop w:val="0"/>
              <w:marBottom w:val="0"/>
              <w:divBdr>
                <w:top w:val="none" w:sz="0" w:space="0" w:color="auto"/>
                <w:left w:val="none" w:sz="0" w:space="0" w:color="auto"/>
                <w:bottom w:val="none" w:sz="0" w:space="0" w:color="auto"/>
                <w:right w:val="none" w:sz="0" w:space="0" w:color="auto"/>
              </w:divBdr>
              <w:divsChild>
                <w:div w:id="357702911">
                  <w:marLeft w:val="0"/>
                  <w:marRight w:val="0"/>
                  <w:marTop w:val="0"/>
                  <w:marBottom w:val="0"/>
                  <w:divBdr>
                    <w:top w:val="none" w:sz="0" w:space="0" w:color="auto"/>
                    <w:left w:val="none" w:sz="0" w:space="0" w:color="auto"/>
                    <w:bottom w:val="none" w:sz="0" w:space="0" w:color="auto"/>
                    <w:right w:val="none" w:sz="0" w:space="0" w:color="auto"/>
                  </w:divBdr>
                  <w:divsChild>
                    <w:div w:id="957101623">
                      <w:marLeft w:val="0"/>
                      <w:marRight w:val="0"/>
                      <w:marTop w:val="120"/>
                      <w:marBottom w:val="0"/>
                      <w:divBdr>
                        <w:top w:val="none" w:sz="0" w:space="0" w:color="auto"/>
                        <w:left w:val="none" w:sz="0" w:space="0" w:color="auto"/>
                        <w:bottom w:val="none" w:sz="0" w:space="0" w:color="auto"/>
                        <w:right w:val="none" w:sz="0" w:space="0" w:color="auto"/>
                      </w:divBdr>
                    </w:div>
                    <w:div w:id="1784959786">
                      <w:marLeft w:val="0"/>
                      <w:marRight w:val="0"/>
                      <w:marTop w:val="0"/>
                      <w:marBottom w:val="0"/>
                      <w:divBdr>
                        <w:top w:val="none" w:sz="0" w:space="0" w:color="auto"/>
                        <w:left w:val="none" w:sz="0" w:space="0" w:color="auto"/>
                        <w:bottom w:val="none" w:sz="0" w:space="0" w:color="auto"/>
                        <w:right w:val="none" w:sz="0" w:space="0" w:color="auto"/>
                      </w:divBdr>
                    </w:div>
                  </w:divsChild>
                </w:div>
                <w:div w:id="782457356">
                  <w:marLeft w:val="0"/>
                  <w:marRight w:val="0"/>
                  <w:marTop w:val="0"/>
                  <w:marBottom w:val="0"/>
                  <w:divBdr>
                    <w:top w:val="none" w:sz="0" w:space="0" w:color="auto"/>
                    <w:left w:val="none" w:sz="0" w:space="0" w:color="auto"/>
                    <w:bottom w:val="none" w:sz="0" w:space="0" w:color="auto"/>
                    <w:right w:val="none" w:sz="0" w:space="0" w:color="auto"/>
                  </w:divBdr>
                  <w:divsChild>
                    <w:div w:id="76827224">
                      <w:marLeft w:val="0"/>
                      <w:marRight w:val="0"/>
                      <w:marTop w:val="120"/>
                      <w:marBottom w:val="0"/>
                      <w:divBdr>
                        <w:top w:val="none" w:sz="0" w:space="0" w:color="auto"/>
                        <w:left w:val="none" w:sz="0" w:space="0" w:color="auto"/>
                        <w:bottom w:val="none" w:sz="0" w:space="0" w:color="auto"/>
                        <w:right w:val="none" w:sz="0" w:space="0" w:color="auto"/>
                      </w:divBdr>
                    </w:div>
                    <w:div w:id="577399173">
                      <w:marLeft w:val="0"/>
                      <w:marRight w:val="0"/>
                      <w:marTop w:val="0"/>
                      <w:marBottom w:val="0"/>
                      <w:divBdr>
                        <w:top w:val="none" w:sz="0" w:space="0" w:color="auto"/>
                        <w:left w:val="none" w:sz="0" w:space="0" w:color="auto"/>
                        <w:bottom w:val="none" w:sz="0" w:space="0" w:color="auto"/>
                        <w:right w:val="none" w:sz="0" w:space="0" w:color="auto"/>
                      </w:divBdr>
                    </w:div>
                  </w:divsChild>
                </w:div>
                <w:div w:id="1582904652">
                  <w:marLeft w:val="0"/>
                  <w:marRight w:val="0"/>
                  <w:marTop w:val="0"/>
                  <w:marBottom w:val="0"/>
                  <w:divBdr>
                    <w:top w:val="none" w:sz="0" w:space="0" w:color="auto"/>
                    <w:left w:val="none" w:sz="0" w:space="0" w:color="auto"/>
                    <w:bottom w:val="none" w:sz="0" w:space="0" w:color="auto"/>
                    <w:right w:val="none" w:sz="0" w:space="0" w:color="auto"/>
                  </w:divBdr>
                  <w:divsChild>
                    <w:div w:id="519129147">
                      <w:marLeft w:val="0"/>
                      <w:marRight w:val="0"/>
                      <w:marTop w:val="120"/>
                      <w:marBottom w:val="0"/>
                      <w:divBdr>
                        <w:top w:val="none" w:sz="0" w:space="0" w:color="auto"/>
                        <w:left w:val="none" w:sz="0" w:space="0" w:color="auto"/>
                        <w:bottom w:val="none" w:sz="0" w:space="0" w:color="auto"/>
                        <w:right w:val="none" w:sz="0" w:space="0" w:color="auto"/>
                      </w:divBdr>
                    </w:div>
                    <w:div w:id="673146793">
                      <w:marLeft w:val="0"/>
                      <w:marRight w:val="0"/>
                      <w:marTop w:val="0"/>
                      <w:marBottom w:val="0"/>
                      <w:divBdr>
                        <w:top w:val="none" w:sz="0" w:space="0" w:color="auto"/>
                        <w:left w:val="none" w:sz="0" w:space="0" w:color="auto"/>
                        <w:bottom w:val="none" w:sz="0" w:space="0" w:color="auto"/>
                        <w:right w:val="none" w:sz="0" w:space="0" w:color="auto"/>
                      </w:divBdr>
                    </w:div>
                  </w:divsChild>
                </w:div>
                <w:div w:id="1459256942">
                  <w:marLeft w:val="0"/>
                  <w:marRight w:val="0"/>
                  <w:marTop w:val="0"/>
                  <w:marBottom w:val="0"/>
                  <w:divBdr>
                    <w:top w:val="none" w:sz="0" w:space="0" w:color="auto"/>
                    <w:left w:val="none" w:sz="0" w:space="0" w:color="auto"/>
                    <w:bottom w:val="none" w:sz="0" w:space="0" w:color="auto"/>
                    <w:right w:val="none" w:sz="0" w:space="0" w:color="auto"/>
                  </w:divBdr>
                  <w:divsChild>
                    <w:div w:id="1240403154">
                      <w:marLeft w:val="0"/>
                      <w:marRight w:val="0"/>
                      <w:marTop w:val="120"/>
                      <w:marBottom w:val="0"/>
                      <w:divBdr>
                        <w:top w:val="none" w:sz="0" w:space="0" w:color="auto"/>
                        <w:left w:val="none" w:sz="0" w:space="0" w:color="auto"/>
                        <w:bottom w:val="none" w:sz="0" w:space="0" w:color="auto"/>
                        <w:right w:val="none" w:sz="0" w:space="0" w:color="auto"/>
                      </w:divBdr>
                    </w:div>
                    <w:div w:id="177971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825828">
          <w:marLeft w:val="0"/>
          <w:marRight w:val="0"/>
          <w:marTop w:val="0"/>
          <w:marBottom w:val="0"/>
          <w:divBdr>
            <w:top w:val="none" w:sz="0" w:space="0" w:color="auto"/>
            <w:left w:val="none" w:sz="0" w:space="0" w:color="auto"/>
            <w:bottom w:val="none" w:sz="0" w:space="0" w:color="auto"/>
            <w:right w:val="none" w:sz="0" w:space="0" w:color="auto"/>
          </w:divBdr>
          <w:divsChild>
            <w:div w:id="418337196">
              <w:marLeft w:val="0"/>
              <w:marRight w:val="0"/>
              <w:marTop w:val="120"/>
              <w:marBottom w:val="0"/>
              <w:divBdr>
                <w:top w:val="none" w:sz="0" w:space="0" w:color="auto"/>
                <w:left w:val="none" w:sz="0" w:space="0" w:color="auto"/>
                <w:bottom w:val="none" w:sz="0" w:space="0" w:color="auto"/>
                <w:right w:val="none" w:sz="0" w:space="0" w:color="auto"/>
              </w:divBdr>
            </w:div>
            <w:div w:id="147071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70613">
      <w:bodyDiv w:val="1"/>
      <w:marLeft w:val="0"/>
      <w:marRight w:val="0"/>
      <w:marTop w:val="0"/>
      <w:marBottom w:val="0"/>
      <w:divBdr>
        <w:top w:val="none" w:sz="0" w:space="0" w:color="auto"/>
        <w:left w:val="none" w:sz="0" w:space="0" w:color="auto"/>
        <w:bottom w:val="none" w:sz="0" w:space="0" w:color="auto"/>
        <w:right w:val="none" w:sz="0" w:space="0" w:color="auto"/>
      </w:divBdr>
      <w:divsChild>
        <w:div w:id="1700934471">
          <w:marLeft w:val="0"/>
          <w:marRight w:val="0"/>
          <w:marTop w:val="0"/>
          <w:marBottom w:val="0"/>
          <w:divBdr>
            <w:top w:val="none" w:sz="0" w:space="0" w:color="auto"/>
            <w:left w:val="none" w:sz="0" w:space="0" w:color="auto"/>
            <w:bottom w:val="none" w:sz="0" w:space="0" w:color="auto"/>
            <w:right w:val="none" w:sz="0" w:space="0" w:color="auto"/>
          </w:divBdr>
          <w:divsChild>
            <w:div w:id="204154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29318">
      <w:bodyDiv w:val="1"/>
      <w:marLeft w:val="0"/>
      <w:marRight w:val="0"/>
      <w:marTop w:val="0"/>
      <w:marBottom w:val="0"/>
      <w:divBdr>
        <w:top w:val="none" w:sz="0" w:space="0" w:color="auto"/>
        <w:left w:val="none" w:sz="0" w:space="0" w:color="auto"/>
        <w:bottom w:val="none" w:sz="0" w:space="0" w:color="auto"/>
        <w:right w:val="none" w:sz="0" w:space="0" w:color="auto"/>
      </w:divBdr>
    </w:div>
    <w:div w:id="1463964629">
      <w:bodyDiv w:val="1"/>
      <w:marLeft w:val="0"/>
      <w:marRight w:val="0"/>
      <w:marTop w:val="0"/>
      <w:marBottom w:val="0"/>
      <w:divBdr>
        <w:top w:val="none" w:sz="0" w:space="0" w:color="auto"/>
        <w:left w:val="none" w:sz="0" w:space="0" w:color="auto"/>
        <w:bottom w:val="none" w:sz="0" w:space="0" w:color="auto"/>
        <w:right w:val="none" w:sz="0" w:space="0" w:color="auto"/>
      </w:divBdr>
      <w:divsChild>
        <w:div w:id="823083181">
          <w:marLeft w:val="0"/>
          <w:marRight w:val="0"/>
          <w:marTop w:val="0"/>
          <w:marBottom w:val="0"/>
          <w:divBdr>
            <w:top w:val="none" w:sz="0" w:space="0" w:color="auto"/>
            <w:left w:val="none" w:sz="0" w:space="0" w:color="auto"/>
            <w:bottom w:val="none" w:sz="0" w:space="0" w:color="auto"/>
            <w:right w:val="none" w:sz="0" w:space="0" w:color="auto"/>
          </w:divBdr>
          <w:divsChild>
            <w:div w:id="194341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25394">
      <w:bodyDiv w:val="1"/>
      <w:marLeft w:val="0"/>
      <w:marRight w:val="0"/>
      <w:marTop w:val="0"/>
      <w:marBottom w:val="0"/>
      <w:divBdr>
        <w:top w:val="none" w:sz="0" w:space="0" w:color="auto"/>
        <w:left w:val="none" w:sz="0" w:space="0" w:color="auto"/>
        <w:bottom w:val="none" w:sz="0" w:space="0" w:color="auto"/>
        <w:right w:val="none" w:sz="0" w:space="0" w:color="auto"/>
      </w:divBdr>
      <w:divsChild>
        <w:div w:id="1966351802">
          <w:marLeft w:val="0"/>
          <w:marRight w:val="0"/>
          <w:marTop w:val="0"/>
          <w:marBottom w:val="0"/>
          <w:divBdr>
            <w:top w:val="none" w:sz="0" w:space="0" w:color="auto"/>
            <w:left w:val="none" w:sz="0" w:space="0" w:color="auto"/>
            <w:bottom w:val="none" w:sz="0" w:space="0" w:color="auto"/>
            <w:right w:val="none" w:sz="0" w:space="0" w:color="auto"/>
          </w:divBdr>
          <w:divsChild>
            <w:div w:id="1600404230">
              <w:marLeft w:val="0"/>
              <w:marRight w:val="0"/>
              <w:marTop w:val="0"/>
              <w:marBottom w:val="0"/>
              <w:divBdr>
                <w:top w:val="none" w:sz="0" w:space="0" w:color="auto"/>
                <w:left w:val="none" w:sz="0" w:space="0" w:color="auto"/>
                <w:bottom w:val="none" w:sz="0" w:space="0" w:color="auto"/>
                <w:right w:val="none" w:sz="0" w:space="0" w:color="auto"/>
              </w:divBdr>
              <w:divsChild>
                <w:div w:id="243416957">
                  <w:marLeft w:val="0"/>
                  <w:marRight w:val="0"/>
                  <w:marTop w:val="0"/>
                  <w:marBottom w:val="0"/>
                  <w:divBdr>
                    <w:top w:val="none" w:sz="0" w:space="0" w:color="auto"/>
                    <w:left w:val="none" w:sz="0" w:space="0" w:color="auto"/>
                    <w:bottom w:val="none" w:sz="0" w:space="0" w:color="auto"/>
                    <w:right w:val="none" w:sz="0" w:space="0" w:color="auto"/>
                  </w:divBdr>
                  <w:divsChild>
                    <w:div w:id="1550191620">
                      <w:marLeft w:val="0"/>
                      <w:marRight w:val="0"/>
                      <w:marTop w:val="120"/>
                      <w:marBottom w:val="0"/>
                      <w:divBdr>
                        <w:top w:val="none" w:sz="0" w:space="0" w:color="auto"/>
                        <w:left w:val="none" w:sz="0" w:space="0" w:color="auto"/>
                        <w:bottom w:val="none" w:sz="0" w:space="0" w:color="auto"/>
                        <w:right w:val="none" w:sz="0" w:space="0" w:color="auto"/>
                      </w:divBdr>
                    </w:div>
                    <w:div w:id="2040425116">
                      <w:marLeft w:val="0"/>
                      <w:marRight w:val="0"/>
                      <w:marTop w:val="0"/>
                      <w:marBottom w:val="0"/>
                      <w:divBdr>
                        <w:top w:val="none" w:sz="0" w:space="0" w:color="auto"/>
                        <w:left w:val="none" w:sz="0" w:space="0" w:color="auto"/>
                        <w:bottom w:val="none" w:sz="0" w:space="0" w:color="auto"/>
                        <w:right w:val="none" w:sz="0" w:space="0" w:color="auto"/>
                      </w:divBdr>
                    </w:div>
                  </w:divsChild>
                </w:div>
                <w:div w:id="430862318">
                  <w:marLeft w:val="0"/>
                  <w:marRight w:val="0"/>
                  <w:marTop w:val="0"/>
                  <w:marBottom w:val="0"/>
                  <w:divBdr>
                    <w:top w:val="none" w:sz="0" w:space="0" w:color="auto"/>
                    <w:left w:val="none" w:sz="0" w:space="0" w:color="auto"/>
                    <w:bottom w:val="none" w:sz="0" w:space="0" w:color="auto"/>
                    <w:right w:val="none" w:sz="0" w:space="0" w:color="auto"/>
                  </w:divBdr>
                  <w:divsChild>
                    <w:div w:id="1058430656">
                      <w:marLeft w:val="0"/>
                      <w:marRight w:val="0"/>
                      <w:marTop w:val="120"/>
                      <w:marBottom w:val="0"/>
                      <w:divBdr>
                        <w:top w:val="none" w:sz="0" w:space="0" w:color="auto"/>
                        <w:left w:val="none" w:sz="0" w:space="0" w:color="auto"/>
                        <w:bottom w:val="none" w:sz="0" w:space="0" w:color="auto"/>
                        <w:right w:val="none" w:sz="0" w:space="0" w:color="auto"/>
                      </w:divBdr>
                    </w:div>
                    <w:div w:id="112792848">
                      <w:marLeft w:val="0"/>
                      <w:marRight w:val="0"/>
                      <w:marTop w:val="0"/>
                      <w:marBottom w:val="0"/>
                      <w:divBdr>
                        <w:top w:val="none" w:sz="0" w:space="0" w:color="auto"/>
                        <w:left w:val="none" w:sz="0" w:space="0" w:color="auto"/>
                        <w:bottom w:val="none" w:sz="0" w:space="0" w:color="auto"/>
                        <w:right w:val="none" w:sz="0" w:space="0" w:color="auto"/>
                      </w:divBdr>
                    </w:div>
                  </w:divsChild>
                </w:div>
                <w:div w:id="819347116">
                  <w:marLeft w:val="0"/>
                  <w:marRight w:val="0"/>
                  <w:marTop w:val="0"/>
                  <w:marBottom w:val="0"/>
                  <w:divBdr>
                    <w:top w:val="none" w:sz="0" w:space="0" w:color="auto"/>
                    <w:left w:val="none" w:sz="0" w:space="0" w:color="auto"/>
                    <w:bottom w:val="none" w:sz="0" w:space="0" w:color="auto"/>
                    <w:right w:val="none" w:sz="0" w:space="0" w:color="auto"/>
                  </w:divBdr>
                  <w:divsChild>
                    <w:div w:id="934635709">
                      <w:marLeft w:val="0"/>
                      <w:marRight w:val="0"/>
                      <w:marTop w:val="120"/>
                      <w:marBottom w:val="0"/>
                      <w:divBdr>
                        <w:top w:val="none" w:sz="0" w:space="0" w:color="auto"/>
                        <w:left w:val="none" w:sz="0" w:space="0" w:color="auto"/>
                        <w:bottom w:val="none" w:sz="0" w:space="0" w:color="auto"/>
                        <w:right w:val="none" w:sz="0" w:space="0" w:color="auto"/>
                      </w:divBdr>
                    </w:div>
                    <w:div w:id="1237666392">
                      <w:marLeft w:val="0"/>
                      <w:marRight w:val="0"/>
                      <w:marTop w:val="0"/>
                      <w:marBottom w:val="0"/>
                      <w:divBdr>
                        <w:top w:val="none" w:sz="0" w:space="0" w:color="auto"/>
                        <w:left w:val="none" w:sz="0" w:space="0" w:color="auto"/>
                        <w:bottom w:val="none" w:sz="0" w:space="0" w:color="auto"/>
                        <w:right w:val="none" w:sz="0" w:space="0" w:color="auto"/>
                      </w:divBdr>
                    </w:div>
                  </w:divsChild>
                </w:div>
                <w:div w:id="28117822">
                  <w:marLeft w:val="0"/>
                  <w:marRight w:val="0"/>
                  <w:marTop w:val="0"/>
                  <w:marBottom w:val="0"/>
                  <w:divBdr>
                    <w:top w:val="none" w:sz="0" w:space="0" w:color="auto"/>
                    <w:left w:val="none" w:sz="0" w:space="0" w:color="auto"/>
                    <w:bottom w:val="none" w:sz="0" w:space="0" w:color="auto"/>
                    <w:right w:val="none" w:sz="0" w:space="0" w:color="auto"/>
                  </w:divBdr>
                  <w:divsChild>
                    <w:div w:id="1522166582">
                      <w:marLeft w:val="0"/>
                      <w:marRight w:val="0"/>
                      <w:marTop w:val="120"/>
                      <w:marBottom w:val="0"/>
                      <w:divBdr>
                        <w:top w:val="none" w:sz="0" w:space="0" w:color="auto"/>
                        <w:left w:val="none" w:sz="0" w:space="0" w:color="auto"/>
                        <w:bottom w:val="none" w:sz="0" w:space="0" w:color="auto"/>
                        <w:right w:val="none" w:sz="0" w:space="0" w:color="auto"/>
                      </w:divBdr>
                    </w:div>
                    <w:div w:id="2042510380">
                      <w:marLeft w:val="0"/>
                      <w:marRight w:val="0"/>
                      <w:marTop w:val="0"/>
                      <w:marBottom w:val="0"/>
                      <w:divBdr>
                        <w:top w:val="none" w:sz="0" w:space="0" w:color="auto"/>
                        <w:left w:val="none" w:sz="0" w:space="0" w:color="auto"/>
                        <w:bottom w:val="none" w:sz="0" w:space="0" w:color="auto"/>
                        <w:right w:val="none" w:sz="0" w:space="0" w:color="auto"/>
                      </w:divBdr>
                      <w:divsChild>
                        <w:div w:id="457840495">
                          <w:marLeft w:val="0"/>
                          <w:marRight w:val="0"/>
                          <w:marTop w:val="0"/>
                          <w:marBottom w:val="0"/>
                          <w:divBdr>
                            <w:top w:val="none" w:sz="0" w:space="0" w:color="auto"/>
                            <w:left w:val="none" w:sz="0" w:space="0" w:color="auto"/>
                            <w:bottom w:val="none" w:sz="0" w:space="0" w:color="auto"/>
                            <w:right w:val="none" w:sz="0" w:space="0" w:color="auto"/>
                          </w:divBdr>
                          <w:divsChild>
                            <w:div w:id="271016503">
                              <w:marLeft w:val="0"/>
                              <w:marRight w:val="0"/>
                              <w:marTop w:val="120"/>
                              <w:marBottom w:val="0"/>
                              <w:divBdr>
                                <w:top w:val="none" w:sz="0" w:space="0" w:color="auto"/>
                                <w:left w:val="none" w:sz="0" w:space="0" w:color="auto"/>
                                <w:bottom w:val="none" w:sz="0" w:space="0" w:color="auto"/>
                                <w:right w:val="none" w:sz="0" w:space="0" w:color="auto"/>
                              </w:divBdr>
                            </w:div>
                            <w:div w:id="2109696692">
                              <w:marLeft w:val="0"/>
                              <w:marRight w:val="0"/>
                              <w:marTop w:val="0"/>
                              <w:marBottom w:val="0"/>
                              <w:divBdr>
                                <w:top w:val="none" w:sz="0" w:space="0" w:color="auto"/>
                                <w:left w:val="none" w:sz="0" w:space="0" w:color="auto"/>
                                <w:bottom w:val="none" w:sz="0" w:space="0" w:color="auto"/>
                                <w:right w:val="none" w:sz="0" w:space="0" w:color="auto"/>
                              </w:divBdr>
                            </w:div>
                          </w:divsChild>
                        </w:div>
                        <w:div w:id="1139150872">
                          <w:marLeft w:val="0"/>
                          <w:marRight w:val="0"/>
                          <w:marTop w:val="0"/>
                          <w:marBottom w:val="0"/>
                          <w:divBdr>
                            <w:top w:val="none" w:sz="0" w:space="0" w:color="auto"/>
                            <w:left w:val="none" w:sz="0" w:space="0" w:color="auto"/>
                            <w:bottom w:val="none" w:sz="0" w:space="0" w:color="auto"/>
                            <w:right w:val="none" w:sz="0" w:space="0" w:color="auto"/>
                          </w:divBdr>
                          <w:divsChild>
                            <w:div w:id="16660248">
                              <w:marLeft w:val="0"/>
                              <w:marRight w:val="0"/>
                              <w:marTop w:val="120"/>
                              <w:marBottom w:val="0"/>
                              <w:divBdr>
                                <w:top w:val="none" w:sz="0" w:space="0" w:color="auto"/>
                                <w:left w:val="none" w:sz="0" w:space="0" w:color="auto"/>
                                <w:bottom w:val="none" w:sz="0" w:space="0" w:color="auto"/>
                                <w:right w:val="none" w:sz="0" w:space="0" w:color="auto"/>
                              </w:divBdr>
                            </w:div>
                            <w:div w:id="10364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0536648">
      <w:bodyDiv w:val="1"/>
      <w:marLeft w:val="0"/>
      <w:marRight w:val="0"/>
      <w:marTop w:val="0"/>
      <w:marBottom w:val="0"/>
      <w:divBdr>
        <w:top w:val="none" w:sz="0" w:space="0" w:color="auto"/>
        <w:left w:val="none" w:sz="0" w:space="0" w:color="auto"/>
        <w:bottom w:val="none" w:sz="0" w:space="0" w:color="auto"/>
        <w:right w:val="none" w:sz="0" w:space="0" w:color="auto"/>
      </w:divBdr>
      <w:divsChild>
        <w:div w:id="191841225">
          <w:marLeft w:val="0"/>
          <w:marRight w:val="0"/>
          <w:marTop w:val="120"/>
          <w:marBottom w:val="0"/>
          <w:divBdr>
            <w:top w:val="none" w:sz="0" w:space="0" w:color="auto"/>
            <w:left w:val="none" w:sz="0" w:space="0" w:color="auto"/>
            <w:bottom w:val="none" w:sz="0" w:space="0" w:color="auto"/>
            <w:right w:val="none" w:sz="0" w:space="0" w:color="auto"/>
          </w:divBdr>
        </w:div>
        <w:div w:id="235284231">
          <w:marLeft w:val="0"/>
          <w:marRight w:val="0"/>
          <w:marTop w:val="0"/>
          <w:marBottom w:val="0"/>
          <w:divBdr>
            <w:top w:val="none" w:sz="0" w:space="0" w:color="auto"/>
            <w:left w:val="none" w:sz="0" w:space="0" w:color="auto"/>
            <w:bottom w:val="none" w:sz="0" w:space="0" w:color="auto"/>
            <w:right w:val="none" w:sz="0" w:space="0" w:color="auto"/>
          </w:divBdr>
        </w:div>
      </w:divsChild>
    </w:div>
    <w:div w:id="1504053881">
      <w:bodyDiv w:val="1"/>
      <w:marLeft w:val="0"/>
      <w:marRight w:val="0"/>
      <w:marTop w:val="0"/>
      <w:marBottom w:val="0"/>
      <w:divBdr>
        <w:top w:val="none" w:sz="0" w:space="0" w:color="auto"/>
        <w:left w:val="none" w:sz="0" w:space="0" w:color="auto"/>
        <w:bottom w:val="none" w:sz="0" w:space="0" w:color="auto"/>
        <w:right w:val="none" w:sz="0" w:space="0" w:color="auto"/>
      </w:divBdr>
      <w:divsChild>
        <w:div w:id="145245948">
          <w:marLeft w:val="0"/>
          <w:marRight w:val="0"/>
          <w:marTop w:val="0"/>
          <w:marBottom w:val="0"/>
          <w:divBdr>
            <w:top w:val="none" w:sz="0" w:space="0" w:color="auto"/>
            <w:left w:val="none" w:sz="0" w:space="0" w:color="auto"/>
            <w:bottom w:val="none" w:sz="0" w:space="0" w:color="auto"/>
            <w:right w:val="none" w:sz="0" w:space="0" w:color="auto"/>
          </w:divBdr>
          <w:divsChild>
            <w:div w:id="110823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894747">
      <w:bodyDiv w:val="1"/>
      <w:marLeft w:val="0"/>
      <w:marRight w:val="0"/>
      <w:marTop w:val="0"/>
      <w:marBottom w:val="0"/>
      <w:divBdr>
        <w:top w:val="none" w:sz="0" w:space="0" w:color="auto"/>
        <w:left w:val="none" w:sz="0" w:space="0" w:color="auto"/>
        <w:bottom w:val="none" w:sz="0" w:space="0" w:color="auto"/>
        <w:right w:val="none" w:sz="0" w:space="0" w:color="auto"/>
      </w:divBdr>
      <w:divsChild>
        <w:div w:id="1058358983">
          <w:marLeft w:val="0"/>
          <w:marRight w:val="0"/>
          <w:marTop w:val="0"/>
          <w:marBottom w:val="0"/>
          <w:divBdr>
            <w:top w:val="none" w:sz="0" w:space="0" w:color="auto"/>
            <w:left w:val="none" w:sz="0" w:space="0" w:color="auto"/>
            <w:bottom w:val="none" w:sz="0" w:space="0" w:color="auto"/>
            <w:right w:val="none" w:sz="0" w:space="0" w:color="auto"/>
          </w:divBdr>
        </w:div>
      </w:divsChild>
    </w:div>
    <w:div w:id="1506549469">
      <w:bodyDiv w:val="1"/>
      <w:marLeft w:val="0"/>
      <w:marRight w:val="0"/>
      <w:marTop w:val="0"/>
      <w:marBottom w:val="0"/>
      <w:divBdr>
        <w:top w:val="none" w:sz="0" w:space="0" w:color="auto"/>
        <w:left w:val="none" w:sz="0" w:space="0" w:color="auto"/>
        <w:bottom w:val="none" w:sz="0" w:space="0" w:color="auto"/>
        <w:right w:val="none" w:sz="0" w:space="0" w:color="auto"/>
      </w:divBdr>
      <w:divsChild>
        <w:div w:id="1024402730">
          <w:marLeft w:val="0"/>
          <w:marRight w:val="0"/>
          <w:marTop w:val="0"/>
          <w:marBottom w:val="0"/>
          <w:divBdr>
            <w:top w:val="none" w:sz="0" w:space="0" w:color="auto"/>
            <w:left w:val="none" w:sz="0" w:space="0" w:color="auto"/>
            <w:bottom w:val="none" w:sz="0" w:space="0" w:color="auto"/>
            <w:right w:val="none" w:sz="0" w:space="0" w:color="auto"/>
          </w:divBdr>
        </w:div>
      </w:divsChild>
    </w:div>
    <w:div w:id="1525248257">
      <w:bodyDiv w:val="1"/>
      <w:marLeft w:val="0"/>
      <w:marRight w:val="0"/>
      <w:marTop w:val="0"/>
      <w:marBottom w:val="0"/>
      <w:divBdr>
        <w:top w:val="none" w:sz="0" w:space="0" w:color="auto"/>
        <w:left w:val="none" w:sz="0" w:space="0" w:color="auto"/>
        <w:bottom w:val="none" w:sz="0" w:space="0" w:color="auto"/>
        <w:right w:val="none" w:sz="0" w:space="0" w:color="auto"/>
      </w:divBdr>
      <w:divsChild>
        <w:div w:id="745155506">
          <w:marLeft w:val="0"/>
          <w:marRight w:val="0"/>
          <w:marTop w:val="0"/>
          <w:marBottom w:val="0"/>
          <w:divBdr>
            <w:top w:val="none" w:sz="0" w:space="0" w:color="auto"/>
            <w:left w:val="none" w:sz="0" w:space="0" w:color="auto"/>
            <w:bottom w:val="none" w:sz="0" w:space="0" w:color="auto"/>
            <w:right w:val="none" w:sz="0" w:space="0" w:color="auto"/>
          </w:divBdr>
        </w:div>
      </w:divsChild>
    </w:div>
    <w:div w:id="1560902346">
      <w:bodyDiv w:val="1"/>
      <w:marLeft w:val="0"/>
      <w:marRight w:val="0"/>
      <w:marTop w:val="0"/>
      <w:marBottom w:val="0"/>
      <w:divBdr>
        <w:top w:val="none" w:sz="0" w:space="0" w:color="auto"/>
        <w:left w:val="none" w:sz="0" w:space="0" w:color="auto"/>
        <w:bottom w:val="none" w:sz="0" w:space="0" w:color="auto"/>
        <w:right w:val="none" w:sz="0" w:space="0" w:color="auto"/>
      </w:divBdr>
      <w:divsChild>
        <w:div w:id="380903775">
          <w:marLeft w:val="0"/>
          <w:marRight w:val="0"/>
          <w:marTop w:val="0"/>
          <w:marBottom w:val="0"/>
          <w:divBdr>
            <w:top w:val="none" w:sz="0" w:space="0" w:color="auto"/>
            <w:left w:val="none" w:sz="0" w:space="0" w:color="auto"/>
            <w:bottom w:val="none" w:sz="0" w:space="0" w:color="auto"/>
            <w:right w:val="none" w:sz="0" w:space="0" w:color="auto"/>
          </w:divBdr>
        </w:div>
        <w:div w:id="906764068">
          <w:marLeft w:val="0"/>
          <w:marRight w:val="0"/>
          <w:marTop w:val="0"/>
          <w:marBottom w:val="0"/>
          <w:divBdr>
            <w:top w:val="none" w:sz="0" w:space="0" w:color="auto"/>
            <w:left w:val="none" w:sz="0" w:space="0" w:color="auto"/>
            <w:bottom w:val="none" w:sz="0" w:space="0" w:color="auto"/>
            <w:right w:val="none" w:sz="0" w:space="0" w:color="auto"/>
          </w:divBdr>
        </w:div>
        <w:div w:id="947465086">
          <w:marLeft w:val="0"/>
          <w:marRight w:val="0"/>
          <w:marTop w:val="0"/>
          <w:marBottom w:val="0"/>
          <w:divBdr>
            <w:top w:val="none" w:sz="0" w:space="0" w:color="auto"/>
            <w:left w:val="none" w:sz="0" w:space="0" w:color="auto"/>
            <w:bottom w:val="none" w:sz="0" w:space="0" w:color="auto"/>
            <w:right w:val="none" w:sz="0" w:space="0" w:color="auto"/>
          </w:divBdr>
        </w:div>
      </w:divsChild>
    </w:div>
    <w:div w:id="1584293288">
      <w:bodyDiv w:val="1"/>
      <w:marLeft w:val="0"/>
      <w:marRight w:val="0"/>
      <w:marTop w:val="0"/>
      <w:marBottom w:val="0"/>
      <w:divBdr>
        <w:top w:val="none" w:sz="0" w:space="0" w:color="auto"/>
        <w:left w:val="none" w:sz="0" w:space="0" w:color="auto"/>
        <w:bottom w:val="none" w:sz="0" w:space="0" w:color="auto"/>
        <w:right w:val="none" w:sz="0" w:space="0" w:color="auto"/>
      </w:divBdr>
      <w:divsChild>
        <w:div w:id="444038898">
          <w:marLeft w:val="0"/>
          <w:marRight w:val="0"/>
          <w:marTop w:val="120"/>
          <w:marBottom w:val="0"/>
          <w:divBdr>
            <w:top w:val="none" w:sz="0" w:space="0" w:color="auto"/>
            <w:left w:val="none" w:sz="0" w:space="0" w:color="auto"/>
            <w:bottom w:val="none" w:sz="0" w:space="0" w:color="auto"/>
            <w:right w:val="none" w:sz="0" w:space="0" w:color="auto"/>
          </w:divBdr>
        </w:div>
        <w:div w:id="809516833">
          <w:marLeft w:val="0"/>
          <w:marRight w:val="0"/>
          <w:marTop w:val="0"/>
          <w:marBottom w:val="0"/>
          <w:divBdr>
            <w:top w:val="none" w:sz="0" w:space="0" w:color="auto"/>
            <w:left w:val="none" w:sz="0" w:space="0" w:color="auto"/>
            <w:bottom w:val="none" w:sz="0" w:space="0" w:color="auto"/>
            <w:right w:val="none" w:sz="0" w:space="0" w:color="auto"/>
          </w:divBdr>
        </w:div>
      </w:divsChild>
    </w:div>
    <w:div w:id="1587418388">
      <w:bodyDiv w:val="1"/>
      <w:marLeft w:val="0"/>
      <w:marRight w:val="0"/>
      <w:marTop w:val="0"/>
      <w:marBottom w:val="0"/>
      <w:divBdr>
        <w:top w:val="none" w:sz="0" w:space="0" w:color="auto"/>
        <w:left w:val="none" w:sz="0" w:space="0" w:color="auto"/>
        <w:bottom w:val="none" w:sz="0" w:space="0" w:color="auto"/>
        <w:right w:val="none" w:sz="0" w:space="0" w:color="auto"/>
      </w:divBdr>
      <w:divsChild>
        <w:div w:id="616789503">
          <w:marLeft w:val="0"/>
          <w:marRight w:val="0"/>
          <w:marTop w:val="0"/>
          <w:marBottom w:val="0"/>
          <w:divBdr>
            <w:top w:val="none" w:sz="0" w:space="0" w:color="auto"/>
            <w:left w:val="none" w:sz="0" w:space="0" w:color="auto"/>
            <w:bottom w:val="none" w:sz="0" w:space="0" w:color="auto"/>
            <w:right w:val="none" w:sz="0" w:space="0" w:color="auto"/>
          </w:divBdr>
        </w:div>
      </w:divsChild>
    </w:div>
    <w:div w:id="1593008599">
      <w:bodyDiv w:val="1"/>
      <w:marLeft w:val="0"/>
      <w:marRight w:val="0"/>
      <w:marTop w:val="0"/>
      <w:marBottom w:val="0"/>
      <w:divBdr>
        <w:top w:val="none" w:sz="0" w:space="0" w:color="auto"/>
        <w:left w:val="none" w:sz="0" w:space="0" w:color="auto"/>
        <w:bottom w:val="none" w:sz="0" w:space="0" w:color="auto"/>
        <w:right w:val="none" w:sz="0" w:space="0" w:color="auto"/>
      </w:divBdr>
    </w:div>
    <w:div w:id="1594972954">
      <w:bodyDiv w:val="1"/>
      <w:marLeft w:val="0"/>
      <w:marRight w:val="0"/>
      <w:marTop w:val="0"/>
      <w:marBottom w:val="0"/>
      <w:divBdr>
        <w:top w:val="none" w:sz="0" w:space="0" w:color="auto"/>
        <w:left w:val="none" w:sz="0" w:space="0" w:color="auto"/>
        <w:bottom w:val="none" w:sz="0" w:space="0" w:color="auto"/>
        <w:right w:val="none" w:sz="0" w:space="0" w:color="auto"/>
      </w:divBdr>
    </w:div>
    <w:div w:id="1599168136">
      <w:bodyDiv w:val="1"/>
      <w:marLeft w:val="0"/>
      <w:marRight w:val="0"/>
      <w:marTop w:val="0"/>
      <w:marBottom w:val="0"/>
      <w:divBdr>
        <w:top w:val="none" w:sz="0" w:space="0" w:color="auto"/>
        <w:left w:val="none" w:sz="0" w:space="0" w:color="auto"/>
        <w:bottom w:val="none" w:sz="0" w:space="0" w:color="auto"/>
        <w:right w:val="none" w:sz="0" w:space="0" w:color="auto"/>
      </w:divBdr>
      <w:divsChild>
        <w:div w:id="393772443">
          <w:marLeft w:val="0"/>
          <w:marRight w:val="0"/>
          <w:marTop w:val="0"/>
          <w:marBottom w:val="0"/>
          <w:divBdr>
            <w:top w:val="none" w:sz="0" w:space="0" w:color="auto"/>
            <w:left w:val="none" w:sz="0" w:space="0" w:color="auto"/>
            <w:bottom w:val="none" w:sz="0" w:space="0" w:color="auto"/>
            <w:right w:val="none" w:sz="0" w:space="0" w:color="auto"/>
          </w:divBdr>
        </w:div>
      </w:divsChild>
    </w:div>
    <w:div w:id="1624075765">
      <w:bodyDiv w:val="1"/>
      <w:marLeft w:val="0"/>
      <w:marRight w:val="0"/>
      <w:marTop w:val="0"/>
      <w:marBottom w:val="0"/>
      <w:divBdr>
        <w:top w:val="none" w:sz="0" w:space="0" w:color="auto"/>
        <w:left w:val="none" w:sz="0" w:space="0" w:color="auto"/>
        <w:bottom w:val="none" w:sz="0" w:space="0" w:color="auto"/>
        <w:right w:val="none" w:sz="0" w:space="0" w:color="auto"/>
      </w:divBdr>
      <w:divsChild>
        <w:div w:id="988828016">
          <w:marLeft w:val="0"/>
          <w:marRight w:val="0"/>
          <w:marTop w:val="0"/>
          <w:marBottom w:val="0"/>
          <w:divBdr>
            <w:top w:val="none" w:sz="0" w:space="0" w:color="auto"/>
            <w:left w:val="none" w:sz="0" w:space="0" w:color="auto"/>
            <w:bottom w:val="none" w:sz="0" w:space="0" w:color="auto"/>
            <w:right w:val="none" w:sz="0" w:space="0" w:color="auto"/>
          </w:divBdr>
          <w:divsChild>
            <w:div w:id="83303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765008">
      <w:bodyDiv w:val="1"/>
      <w:marLeft w:val="0"/>
      <w:marRight w:val="0"/>
      <w:marTop w:val="0"/>
      <w:marBottom w:val="0"/>
      <w:divBdr>
        <w:top w:val="none" w:sz="0" w:space="0" w:color="auto"/>
        <w:left w:val="none" w:sz="0" w:space="0" w:color="auto"/>
        <w:bottom w:val="none" w:sz="0" w:space="0" w:color="auto"/>
        <w:right w:val="none" w:sz="0" w:space="0" w:color="auto"/>
      </w:divBdr>
    </w:div>
    <w:div w:id="1654868389">
      <w:bodyDiv w:val="1"/>
      <w:marLeft w:val="0"/>
      <w:marRight w:val="0"/>
      <w:marTop w:val="0"/>
      <w:marBottom w:val="0"/>
      <w:divBdr>
        <w:top w:val="none" w:sz="0" w:space="0" w:color="auto"/>
        <w:left w:val="none" w:sz="0" w:space="0" w:color="auto"/>
        <w:bottom w:val="none" w:sz="0" w:space="0" w:color="auto"/>
        <w:right w:val="none" w:sz="0" w:space="0" w:color="auto"/>
      </w:divBdr>
    </w:div>
    <w:div w:id="1661618463">
      <w:bodyDiv w:val="1"/>
      <w:marLeft w:val="0"/>
      <w:marRight w:val="0"/>
      <w:marTop w:val="0"/>
      <w:marBottom w:val="0"/>
      <w:divBdr>
        <w:top w:val="none" w:sz="0" w:space="0" w:color="auto"/>
        <w:left w:val="none" w:sz="0" w:space="0" w:color="auto"/>
        <w:bottom w:val="none" w:sz="0" w:space="0" w:color="auto"/>
        <w:right w:val="none" w:sz="0" w:space="0" w:color="auto"/>
      </w:divBdr>
      <w:divsChild>
        <w:div w:id="97068044">
          <w:marLeft w:val="0"/>
          <w:marRight w:val="0"/>
          <w:marTop w:val="0"/>
          <w:marBottom w:val="0"/>
          <w:divBdr>
            <w:top w:val="none" w:sz="0" w:space="0" w:color="auto"/>
            <w:left w:val="none" w:sz="0" w:space="0" w:color="auto"/>
            <w:bottom w:val="none" w:sz="0" w:space="0" w:color="auto"/>
            <w:right w:val="none" w:sz="0" w:space="0" w:color="auto"/>
          </w:divBdr>
        </w:div>
      </w:divsChild>
    </w:div>
    <w:div w:id="1670254810">
      <w:bodyDiv w:val="1"/>
      <w:marLeft w:val="0"/>
      <w:marRight w:val="0"/>
      <w:marTop w:val="0"/>
      <w:marBottom w:val="0"/>
      <w:divBdr>
        <w:top w:val="none" w:sz="0" w:space="0" w:color="auto"/>
        <w:left w:val="none" w:sz="0" w:space="0" w:color="auto"/>
        <w:bottom w:val="none" w:sz="0" w:space="0" w:color="auto"/>
        <w:right w:val="none" w:sz="0" w:space="0" w:color="auto"/>
      </w:divBdr>
      <w:divsChild>
        <w:div w:id="471868130">
          <w:marLeft w:val="0"/>
          <w:marRight w:val="0"/>
          <w:marTop w:val="0"/>
          <w:marBottom w:val="0"/>
          <w:divBdr>
            <w:top w:val="none" w:sz="0" w:space="0" w:color="auto"/>
            <w:left w:val="none" w:sz="0" w:space="0" w:color="auto"/>
            <w:bottom w:val="none" w:sz="0" w:space="0" w:color="auto"/>
            <w:right w:val="none" w:sz="0" w:space="0" w:color="auto"/>
          </w:divBdr>
          <w:divsChild>
            <w:div w:id="1926300259">
              <w:marLeft w:val="0"/>
              <w:marRight w:val="0"/>
              <w:marTop w:val="0"/>
              <w:marBottom w:val="0"/>
              <w:divBdr>
                <w:top w:val="none" w:sz="0" w:space="0" w:color="auto"/>
                <w:left w:val="none" w:sz="0" w:space="0" w:color="auto"/>
                <w:bottom w:val="none" w:sz="0" w:space="0" w:color="auto"/>
                <w:right w:val="none" w:sz="0" w:space="0" w:color="auto"/>
              </w:divBdr>
            </w:div>
          </w:divsChild>
        </w:div>
        <w:div w:id="521937391">
          <w:marLeft w:val="0"/>
          <w:marRight w:val="0"/>
          <w:marTop w:val="0"/>
          <w:marBottom w:val="0"/>
          <w:divBdr>
            <w:top w:val="none" w:sz="0" w:space="0" w:color="auto"/>
            <w:left w:val="none" w:sz="0" w:space="0" w:color="auto"/>
            <w:bottom w:val="none" w:sz="0" w:space="0" w:color="auto"/>
            <w:right w:val="none" w:sz="0" w:space="0" w:color="auto"/>
          </w:divBdr>
          <w:divsChild>
            <w:div w:id="1650213156">
              <w:marLeft w:val="0"/>
              <w:marRight w:val="0"/>
              <w:marTop w:val="0"/>
              <w:marBottom w:val="0"/>
              <w:divBdr>
                <w:top w:val="none" w:sz="0" w:space="0" w:color="auto"/>
                <w:left w:val="none" w:sz="0" w:space="0" w:color="auto"/>
                <w:bottom w:val="none" w:sz="0" w:space="0" w:color="auto"/>
                <w:right w:val="none" w:sz="0" w:space="0" w:color="auto"/>
              </w:divBdr>
              <w:divsChild>
                <w:div w:id="881946406">
                  <w:marLeft w:val="0"/>
                  <w:marRight w:val="0"/>
                  <w:marTop w:val="0"/>
                  <w:marBottom w:val="0"/>
                  <w:divBdr>
                    <w:top w:val="none" w:sz="0" w:space="0" w:color="auto"/>
                    <w:left w:val="none" w:sz="0" w:space="0" w:color="auto"/>
                    <w:bottom w:val="none" w:sz="0" w:space="0" w:color="auto"/>
                    <w:right w:val="none" w:sz="0" w:space="0" w:color="auto"/>
                  </w:divBdr>
                  <w:divsChild>
                    <w:div w:id="994650727">
                      <w:marLeft w:val="0"/>
                      <w:marRight w:val="0"/>
                      <w:marTop w:val="120"/>
                      <w:marBottom w:val="0"/>
                      <w:divBdr>
                        <w:top w:val="none" w:sz="0" w:space="0" w:color="auto"/>
                        <w:left w:val="none" w:sz="0" w:space="0" w:color="auto"/>
                        <w:bottom w:val="none" w:sz="0" w:space="0" w:color="auto"/>
                        <w:right w:val="none" w:sz="0" w:space="0" w:color="auto"/>
                      </w:divBdr>
                    </w:div>
                    <w:div w:id="1068767485">
                      <w:marLeft w:val="0"/>
                      <w:marRight w:val="0"/>
                      <w:marTop w:val="0"/>
                      <w:marBottom w:val="0"/>
                      <w:divBdr>
                        <w:top w:val="none" w:sz="0" w:space="0" w:color="auto"/>
                        <w:left w:val="none" w:sz="0" w:space="0" w:color="auto"/>
                        <w:bottom w:val="none" w:sz="0" w:space="0" w:color="auto"/>
                        <w:right w:val="none" w:sz="0" w:space="0" w:color="auto"/>
                      </w:divBdr>
                    </w:div>
                  </w:divsChild>
                </w:div>
                <w:div w:id="923102445">
                  <w:marLeft w:val="0"/>
                  <w:marRight w:val="0"/>
                  <w:marTop w:val="0"/>
                  <w:marBottom w:val="0"/>
                  <w:divBdr>
                    <w:top w:val="none" w:sz="0" w:space="0" w:color="auto"/>
                    <w:left w:val="none" w:sz="0" w:space="0" w:color="auto"/>
                    <w:bottom w:val="none" w:sz="0" w:space="0" w:color="auto"/>
                    <w:right w:val="none" w:sz="0" w:space="0" w:color="auto"/>
                  </w:divBdr>
                  <w:divsChild>
                    <w:div w:id="694229866">
                      <w:marLeft w:val="0"/>
                      <w:marRight w:val="0"/>
                      <w:marTop w:val="120"/>
                      <w:marBottom w:val="0"/>
                      <w:divBdr>
                        <w:top w:val="none" w:sz="0" w:space="0" w:color="auto"/>
                        <w:left w:val="none" w:sz="0" w:space="0" w:color="auto"/>
                        <w:bottom w:val="none" w:sz="0" w:space="0" w:color="auto"/>
                        <w:right w:val="none" w:sz="0" w:space="0" w:color="auto"/>
                      </w:divBdr>
                    </w:div>
                    <w:div w:id="92819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128890">
      <w:bodyDiv w:val="1"/>
      <w:marLeft w:val="0"/>
      <w:marRight w:val="0"/>
      <w:marTop w:val="0"/>
      <w:marBottom w:val="0"/>
      <w:divBdr>
        <w:top w:val="none" w:sz="0" w:space="0" w:color="auto"/>
        <w:left w:val="none" w:sz="0" w:space="0" w:color="auto"/>
        <w:bottom w:val="none" w:sz="0" w:space="0" w:color="auto"/>
        <w:right w:val="none" w:sz="0" w:space="0" w:color="auto"/>
      </w:divBdr>
    </w:div>
    <w:div w:id="1703676260">
      <w:bodyDiv w:val="1"/>
      <w:marLeft w:val="0"/>
      <w:marRight w:val="0"/>
      <w:marTop w:val="0"/>
      <w:marBottom w:val="0"/>
      <w:divBdr>
        <w:top w:val="none" w:sz="0" w:space="0" w:color="auto"/>
        <w:left w:val="none" w:sz="0" w:space="0" w:color="auto"/>
        <w:bottom w:val="none" w:sz="0" w:space="0" w:color="auto"/>
        <w:right w:val="none" w:sz="0" w:space="0" w:color="auto"/>
      </w:divBdr>
    </w:div>
    <w:div w:id="1710834967">
      <w:bodyDiv w:val="1"/>
      <w:marLeft w:val="0"/>
      <w:marRight w:val="0"/>
      <w:marTop w:val="0"/>
      <w:marBottom w:val="0"/>
      <w:divBdr>
        <w:top w:val="none" w:sz="0" w:space="0" w:color="auto"/>
        <w:left w:val="none" w:sz="0" w:space="0" w:color="auto"/>
        <w:bottom w:val="none" w:sz="0" w:space="0" w:color="auto"/>
        <w:right w:val="none" w:sz="0" w:space="0" w:color="auto"/>
      </w:divBdr>
      <w:divsChild>
        <w:div w:id="1091269944">
          <w:marLeft w:val="0"/>
          <w:marRight w:val="0"/>
          <w:marTop w:val="0"/>
          <w:marBottom w:val="0"/>
          <w:divBdr>
            <w:top w:val="none" w:sz="0" w:space="0" w:color="auto"/>
            <w:left w:val="none" w:sz="0" w:space="0" w:color="auto"/>
            <w:bottom w:val="none" w:sz="0" w:space="0" w:color="auto"/>
            <w:right w:val="none" w:sz="0" w:space="0" w:color="auto"/>
          </w:divBdr>
          <w:divsChild>
            <w:div w:id="1169561006">
              <w:marLeft w:val="0"/>
              <w:marRight w:val="0"/>
              <w:marTop w:val="0"/>
              <w:marBottom w:val="0"/>
              <w:divBdr>
                <w:top w:val="none" w:sz="0" w:space="0" w:color="auto"/>
                <w:left w:val="none" w:sz="0" w:space="0" w:color="auto"/>
                <w:bottom w:val="none" w:sz="0" w:space="0" w:color="auto"/>
                <w:right w:val="none" w:sz="0" w:space="0" w:color="auto"/>
              </w:divBdr>
              <w:divsChild>
                <w:div w:id="413892056">
                  <w:marLeft w:val="0"/>
                  <w:marRight w:val="0"/>
                  <w:marTop w:val="0"/>
                  <w:marBottom w:val="0"/>
                  <w:divBdr>
                    <w:top w:val="none" w:sz="0" w:space="0" w:color="auto"/>
                    <w:left w:val="none" w:sz="0" w:space="0" w:color="auto"/>
                    <w:bottom w:val="none" w:sz="0" w:space="0" w:color="auto"/>
                    <w:right w:val="none" w:sz="0" w:space="0" w:color="auto"/>
                  </w:divBdr>
                  <w:divsChild>
                    <w:div w:id="682829908">
                      <w:marLeft w:val="0"/>
                      <w:marRight w:val="0"/>
                      <w:marTop w:val="120"/>
                      <w:marBottom w:val="0"/>
                      <w:divBdr>
                        <w:top w:val="none" w:sz="0" w:space="0" w:color="auto"/>
                        <w:left w:val="none" w:sz="0" w:space="0" w:color="auto"/>
                        <w:bottom w:val="none" w:sz="0" w:space="0" w:color="auto"/>
                        <w:right w:val="none" w:sz="0" w:space="0" w:color="auto"/>
                      </w:divBdr>
                    </w:div>
                    <w:div w:id="745146362">
                      <w:marLeft w:val="0"/>
                      <w:marRight w:val="0"/>
                      <w:marTop w:val="0"/>
                      <w:marBottom w:val="0"/>
                      <w:divBdr>
                        <w:top w:val="none" w:sz="0" w:space="0" w:color="auto"/>
                        <w:left w:val="none" w:sz="0" w:space="0" w:color="auto"/>
                        <w:bottom w:val="none" w:sz="0" w:space="0" w:color="auto"/>
                        <w:right w:val="none" w:sz="0" w:space="0" w:color="auto"/>
                      </w:divBdr>
                    </w:div>
                  </w:divsChild>
                </w:div>
                <w:div w:id="1850093925">
                  <w:marLeft w:val="0"/>
                  <w:marRight w:val="0"/>
                  <w:marTop w:val="0"/>
                  <w:marBottom w:val="0"/>
                  <w:divBdr>
                    <w:top w:val="none" w:sz="0" w:space="0" w:color="auto"/>
                    <w:left w:val="none" w:sz="0" w:space="0" w:color="auto"/>
                    <w:bottom w:val="none" w:sz="0" w:space="0" w:color="auto"/>
                    <w:right w:val="none" w:sz="0" w:space="0" w:color="auto"/>
                  </w:divBdr>
                  <w:divsChild>
                    <w:div w:id="2009165022">
                      <w:marLeft w:val="0"/>
                      <w:marRight w:val="0"/>
                      <w:marTop w:val="120"/>
                      <w:marBottom w:val="0"/>
                      <w:divBdr>
                        <w:top w:val="none" w:sz="0" w:space="0" w:color="auto"/>
                        <w:left w:val="none" w:sz="0" w:space="0" w:color="auto"/>
                        <w:bottom w:val="none" w:sz="0" w:space="0" w:color="auto"/>
                        <w:right w:val="none" w:sz="0" w:space="0" w:color="auto"/>
                      </w:divBdr>
                    </w:div>
                    <w:div w:id="581380735">
                      <w:marLeft w:val="0"/>
                      <w:marRight w:val="0"/>
                      <w:marTop w:val="0"/>
                      <w:marBottom w:val="0"/>
                      <w:divBdr>
                        <w:top w:val="none" w:sz="0" w:space="0" w:color="auto"/>
                        <w:left w:val="none" w:sz="0" w:space="0" w:color="auto"/>
                        <w:bottom w:val="none" w:sz="0" w:space="0" w:color="auto"/>
                        <w:right w:val="none" w:sz="0" w:space="0" w:color="auto"/>
                      </w:divBdr>
                    </w:div>
                  </w:divsChild>
                </w:div>
                <w:div w:id="427241167">
                  <w:marLeft w:val="0"/>
                  <w:marRight w:val="0"/>
                  <w:marTop w:val="0"/>
                  <w:marBottom w:val="0"/>
                  <w:divBdr>
                    <w:top w:val="none" w:sz="0" w:space="0" w:color="auto"/>
                    <w:left w:val="none" w:sz="0" w:space="0" w:color="auto"/>
                    <w:bottom w:val="none" w:sz="0" w:space="0" w:color="auto"/>
                    <w:right w:val="none" w:sz="0" w:space="0" w:color="auto"/>
                  </w:divBdr>
                  <w:divsChild>
                    <w:div w:id="2007130382">
                      <w:marLeft w:val="0"/>
                      <w:marRight w:val="0"/>
                      <w:marTop w:val="120"/>
                      <w:marBottom w:val="0"/>
                      <w:divBdr>
                        <w:top w:val="none" w:sz="0" w:space="0" w:color="auto"/>
                        <w:left w:val="none" w:sz="0" w:space="0" w:color="auto"/>
                        <w:bottom w:val="none" w:sz="0" w:space="0" w:color="auto"/>
                        <w:right w:val="none" w:sz="0" w:space="0" w:color="auto"/>
                      </w:divBdr>
                    </w:div>
                    <w:div w:id="181163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678328">
          <w:marLeft w:val="0"/>
          <w:marRight w:val="0"/>
          <w:marTop w:val="0"/>
          <w:marBottom w:val="0"/>
          <w:divBdr>
            <w:top w:val="none" w:sz="0" w:space="0" w:color="auto"/>
            <w:left w:val="none" w:sz="0" w:space="0" w:color="auto"/>
            <w:bottom w:val="none" w:sz="0" w:space="0" w:color="auto"/>
            <w:right w:val="none" w:sz="0" w:space="0" w:color="auto"/>
          </w:divBdr>
          <w:divsChild>
            <w:div w:id="388070022">
              <w:marLeft w:val="0"/>
              <w:marRight w:val="0"/>
              <w:marTop w:val="0"/>
              <w:marBottom w:val="0"/>
              <w:divBdr>
                <w:top w:val="none" w:sz="0" w:space="0" w:color="auto"/>
                <w:left w:val="none" w:sz="0" w:space="0" w:color="auto"/>
                <w:bottom w:val="none" w:sz="0" w:space="0" w:color="auto"/>
                <w:right w:val="none" w:sz="0" w:space="0" w:color="auto"/>
              </w:divBdr>
              <w:divsChild>
                <w:div w:id="2131508952">
                  <w:marLeft w:val="0"/>
                  <w:marRight w:val="0"/>
                  <w:marTop w:val="0"/>
                  <w:marBottom w:val="0"/>
                  <w:divBdr>
                    <w:top w:val="none" w:sz="0" w:space="0" w:color="auto"/>
                    <w:left w:val="none" w:sz="0" w:space="0" w:color="auto"/>
                    <w:bottom w:val="none" w:sz="0" w:space="0" w:color="auto"/>
                    <w:right w:val="none" w:sz="0" w:space="0" w:color="auto"/>
                  </w:divBdr>
                  <w:divsChild>
                    <w:div w:id="452752525">
                      <w:marLeft w:val="0"/>
                      <w:marRight w:val="0"/>
                      <w:marTop w:val="120"/>
                      <w:marBottom w:val="0"/>
                      <w:divBdr>
                        <w:top w:val="none" w:sz="0" w:space="0" w:color="auto"/>
                        <w:left w:val="none" w:sz="0" w:space="0" w:color="auto"/>
                        <w:bottom w:val="none" w:sz="0" w:space="0" w:color="auto"/>
                        <w:right w:val="none" w:sz="0" w:space="0" w:color="auto"/>
                      </w:divBdr>
                    </w:div>
                    <w:div w:id="1869640925">
                      <w:marLeft w:val="0"/>
                      <w:marRight w:val="0"/>
                      <w:marTop w:val="0"/>
                      <w:marBottom w:val="0"/>
                      <w:divBdr>
                        <w:top w:val="none" w:sz="0" w:space="0" w:color="auto"/>
                        <w:left w:val="none" w:sz="0" w:space="0" w:color="auto"/>
                        <w:bottom w:val="none" w:sz="0" w:space="0" w:color="auto"/>
                        <w:right w:val="none" w:sz="0" w:space="0" w:color="auto"/>
                      </w:divBdr>
                    </w:div>
                  </w:divsChild>
                </w:div>
                <w:div w:id="375665643">
                  <w:marLeft w:val="0"/>
                  <w:marRight w:val="0"/>
                  <w:marTop w:val="0"/>
                  <w:marBottom w:val="0"/>
                  <w:divBdr>
                    <w:top w:val="none" w:sz="0" w:space="0" w:color="auto"/>
                    <w:left w:val="none" w:sz="0" w:space="0" w:color="auto"/>
                    <w:bottom w:val="none" w:sz="0" w:space="0" w:color="auto"/>
                    <w:right w:val="none" w:sz="0" w:space="0" w:color="auto"/>
                  </w:divBdr>
                  <w:divsChild>
                    <w:div w:id="2084403769">
                      <w:marLeft w:val="0"/>
                      <w:marRight w:val="0"/>
                      <w:marTop w:val="120"/>
                      <w:marBottom w:val="0"/>
                      <w:divBdr>
                        <w:top w:val="none" w:sz="0" w:space="0" w:color="auto"/>
                        <w:left w:val="none" w:sz="0" w:space="0" w:color="auto"/>
                        <w:bottom w:val="none" w:sz="0" w:space="0" w:color="auto"/>
                        <w:right w:val="none" w:sz="0" w:space="0" w:color="auto"/>
                      </w:divBdr>
                    </w:div>
                    <w:div w:id="76558133">
                      <w:marLeft w:val="0"/>
                      <w:marRight w:val="0"/>
                      <w:marTop w:val="0"/>
                      <w:marBottom w:val="0"/>
                      <w:divBdr>
                        <w:top w:val="none" w:sz="0" w:space="0" w:color="auto"/>
                        <w:left w:val="none" w:sz="0" w:space="0" w:color="auto"/>
                        <w:bottom w:val="none" w:sz="0" w:space="0" w:color="auto"/>
                        <w:right w:val="none" w:sz="0" w:space="0" w:color="auto"/>
                      </w:divBdr>
                    </w:div>
                  </w:divsChild>
                </w:div>
                <w:div w:id="987365793">
                  <w:marLeft w:val="0"/>
                  <w:marRight w:val="0"/>
                  <w:marTop w:val="0"/>
                  <w:marBottom w:val="0"/>
                  <w:divBdr>
                    <w:top w:val="none" w:sz="0" w:space="0" w:color="auto"/>
                    <w:left w:val="none" w:sz="0" w:space="0" w:color="auto"/>
                    <w:bottom w:val="none" w:sz="0" w:space="0" w:color="auto"/>
                    <w:right w:val="none" w:sz="0" w:space="0" w:color="auto"/>
                  </w:divBdr>
                  <w:divsChild>
                    <w:div w:id="1233275680">
                      <w:marLeft w:val="0"/>
                      <w:marRight w:val="0"/>
                      <w:marTop w:val="120"/>
                      <w:marBottom w:val="0"/>
                      <w:divBdr>
                        <w:top w:val="none" w:sz="0" w:space="0" w:color="auto"/>
                        <w:left w:val="none" w:sz="0" w:space="0" w:color="auto"/>
                        <w:bottom w:val="none" w:sz="0" w:space="0" w:color="auto"/>
                        <w:right w:val="none" w:sz="0" w:space="0" w:color="auto"/>
                      </w:divBdr>
                    </w:div>
                    <w:div w:id="97964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16677">
          <w:marLeft w:val="0"/>
          <w:marRight w:val="0"/>
          <w:marTop w:val="0"/>
          <w:marBottom w:val="0"/>
          <w:divBdr>
            <w:top w:val="none" w:sz="0" w:space="0" w:color="auto"/>
            <w:left w:val="none" w:sz="0" w:space="0" w:color="auto"/>
            <w:bottom w:val="none" w:sz="0" w:space="0" w:color="auto"/>
            <w:right w:val="none" w:sz="0" w:space="0" w:color="auto"/>
          </w:divBdr>
          <w:divsChild>
            <w:div w:id="1989360924">
              <w:marLeft w:val="0"/>
              <w:marRight w:val="0"/>
              <w:marTop w:val="0"/>
              <w:marBottom w:val="0"/>
              <w:divBdr>
                <w:top w:val="none" w:sz="0" w:space="0" w:color="auto"/>
                <w:left w:val="none" w:sz="0" w:space="0" w:color="auto"/>
                <w:bottom w:val="none" w:sz="0" w:space="0" w:color="auto"/>
                <w:right w:val="none" w:sz="0" w:space="0" w:color="auto"/>
              </w:divBdr>
              <w:divsChild>
                <w:div w:id="559941992">
                  <w:marLeft w:val="0"/>
                  <w:marRight w:val="0"/>
                  <w:marTop w:val="0"/>
                  <w:marBottom w:val="0"/>
                  <w:divBdr>
                    <w:top w:val="none" w:sz="0" w:space="0" w:color="auto"/>
                    <w:left w:val="none" w:sz="0" w:space="0" w:color="auto"/>
                    <w:bottom w:val="none" w:sz="0" w:space="0" w:color="auto"/>
                    <w:right w:val="none" w:sz="0" w:space="0" w:color="auto"/>
                  </w:divBdr>
                  <w:divsChild>
                    <w:div w:id="768626050">
                      <w:marLeft w:val="0"/>
                      <w:marRight w:val="0"/>
                      <w:marTop w:val="120"/>
                      <w:marBottom w:val="0"/>
                      <w:divBdr>
                        <w:top w:val="none" w:sz="0" w:space="0" w:color="auto"/>
                        <w:left w:val="none" w:sz="0" w:space="0" w:color="auto"/>
                        <w:bottom w:val="none" w:sz="0" w:space="0" w:color="auto"/>
                        <w:right w:val="none" w:sz="0" w:space="0" w:color="auto"/>
                      </w:divBdr>
                    </w:div>
                    <w:div w:id="245577746">
                      <w:marLeft w:val="0"/>
                      <w:marRight w:val="0"/>
                      <w:marTop w:val="0"/>
                      <w:marBottom w:val="0"/>
                      <w:divBdr>
                        <w:top w:val="none" w:sz="0" w:space="0" w:color="auto"/>
                        <w:left w:val="none" w:sz="0" w:space="0" w:color="auto"/>
                        <w:bottom w:val="none" w:sz="0" w:space="0" w:color="auto"/>
                        <w:right w:val="none" w:sz="0" w:space="0" w:color="auto"/>
                      </w:divBdr>
                    </w:div>
                  </w:divsChild>
                </w:div>
                <w:div w:id="1179466857">
                  <w:marLeft w:val="0"/>
                  <w:marRight w:val="0"/>
                  <w:marTop w:val="0"/>
                  <w:marBottom w:val="0"/>
                  <w:divBdr>
                    <w:top w:val="none" w:sz="0" w:space="0" w:color="auto"/>
                    <w:left w:val="none" w:sz="0" w:space="0" w:color="auto"/>
                    <w:bottom w:val="none" w:sz="0" w:space="0" w:color="auto"/>
                    <w:right w:val="none" w:sz="0" w:space="0" w:color="auto"/>
                  </w:divBdr>
                  <w:divsChild>
                    <w:div w:id="1613441281">
                      <w:marLeft w:val="0"/>
                      <w:marRight w:val="0"/>
                      <w:marTop w:val="120"/>
                      <w:marBottom w:val="0"/>
                      <w:divBdr>
                        <w:top w:val="none" w:sz="0" w:space="0" w:color="auto"/>
                        <w:left w:val="none" w:sz="0" w:space="0" w:color="auto"/>
                        <w:bottom w:val="none" w:sz="0" w:space="0" w:color="auto"/>
                        <w:right w:val="none" w:sz="0" w:space="0" w:color="auto"/>
                      </w:divBdr>
                    </w:div>
                    <w:div w:id="736853893">
                      <w:marLeft w:val="0"/>
                      <w:marRight w:val="0"/>
                      <w:marTop w:val="0"/>
                      <w:marBottom w:val="0"/>
                      <w:divBdr>
                        <w:top w:val="none" w:sz="0" w:space="0" w:color="auto"/>
                        <w:left w:val="none" w:sz="0" w:space="0" w:color="auto"/>
                        <w:bottom w:val="none" w:sz="0" w:space="0" w:color="auto"/>
                        <w:right w:val="none" w:sz="0" w:space="0" w:color="auto"/>
                      </w:divBdr>
                    </w:div>
                  </w:divsChild>
                </w:div>
                <w:div w:id="255870957">
                  <w:marLeft w:val="0"/>
                  <w:marRight w:val="0"/>
                  <w:marTop w:val="0"/>
                  <w:marBottom w:val="0"/>
                  <w:divBdr>
                    <w:top w:val="none" w:sz="0" w:space="0" w:color="auto"/>
                    <w:left w:val="none" w:sz="0" w:space="0" w:color="auto"/>
                    <w:bottom w:val="none" w:sz="0" w:space="0" w:color="auto"/>
                    <w:right w:val="none" w:sz="0" w:space="0" w:color="auto"/>
                  </w:divBdr>
                  <w:divsChild>
                    <w:div w:id="746804814">
                      <w:marLeft w:val="0"/>
                      <w:marRight w:val="0"/>
                      <w:marTop w:val="120"/>
                      <w:marBottom w:val="0"/>
                      <w:divBdr>
                        <w:top w:val="none" w:sz="0" w:space="0" w:color="auto"/>
                        <w:left w:val="none" w:sz="0" w:space="0" w:color="auto"/>
                        <w:bottom w:val="none" w:sz="0" w:space="0" w:color="auto"/>
                        <w:right w:val="none" w:sz="0" w:space="0" w:color="auto"/>
                      </w:divBdr>
                    </w:div>
                    <w:div w:id="9595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179887">
          <w:marLeft w:val="0"/>
          <w:marRight w:val="0"/>
          <w:marTop w:val="0"/>
          <w:marBottom w:val="0"/>
          <w:divBdr>
            <w:top w:val="none" w:sz="0" w:space="0" w:color="auto"/>
            <w:left w:val="none" w:sz="0" w:space="0" w:color="auto"/>
            <w:bottom w:val="none" w:sz="0" w:space="0" w:color="auto"/>
            <w:right w:val="none" w:sz="0" w:space="0" w:color="auto"/>
          </w:divBdr>
          <w:divsChild>
            <w:div w:id="589851390">
              <w:marLeft w:val="0"/>
              <w:marRight w:val="0"/>
              <w:marTop w:val="0"/>
              <w:marBottom w:val="0"/>
              <w:divBdr>
                <w:top w:val="none" w:sz="0" w:space="0" w:color="auto"/>
                <w:left w:val="none" w:sz="0" w:space="0" w:color="auto"/>
                <w:bottom w:val="none" w:sz="0" w:space="0" w:color="auto"/>
                <w:right w:val="none" w:sz="0" w:space="0" w:color="auto"/>
              </w:divBdr>
              <w:divsChild>
                <w:div w:id="65957459">
                  <w:marLeft w:val="0"/>
                  <w:marRight w:val="0"/>
                  <w:marTop w:val="0"/>
                  <w:marBottom w:val="0"/>
                  <w:divBdr>
                    <w:top w:val="none" w:sz="0" w:space="0" w:color="auto"/>
                    <w:left w:val="none" w:sz="0" w:space="0" w:color="auto"/>
                    <w:bottom w:val="none" w:sz="0" w:space="0" w:color="auto"/>
                    <w:right w:val="none" w:sz="0" w:space="0" w:color="auto"/>
                  </w:divBdr>
                  <w:divsChild>
                    <w:div w:id="418336341">
                      <w:marLeft w:val="0"/>
                      <w:marRight w:val="0"/>
                      <w:marTop w:val="120"/>
                      <w:marBottom w:val="0"/>
                      <w:divBdr>
                        <w:top w:val="none" w:sz="0" w:space="0" w:color="auto"/>
                        <w:left w:val="none" w:sz="0" w:space="0" w:color="auto"/>
                        <w:bottom w:val="none" w:sz="0" w:space="0" w:color="auto"/>
                        <w:right w:val="none" w:sz="0" w:space="0" w:color="auto"/>
                      </w:divBdr>
                    </w:div>
                    <w:div w:id="623662456">
                      <w:marLeft w:val="0"/>
                      <w:marRight w:val="0"/>
                      <w:marTop w:val="0"/>
                      <w:marBottom w:val="0"/>
                      <w:divBdr>
                        <w:top w:val="none" w:sz="0" w:space="0" w:color="auto"/>
                        <w:left w:val="none" w:sz="0" w:space="0" w:color="auto"/>
                        <w:bottom w:val="none" w:sz="0" w:space="0" w:color="auto"/>
                        <w:right w:val="none" w:sz="0" w:space="0" w:color="auto"/>
                      </w:divBdr>
                    </w:div>
                  </w:divsChild>
                </w:div>
                <w:div w:id="1889224054">
                  <w:marLeft w:val="0"/>
                  <w:marRight w:val="0"/>
                  <w:marTop w:val="0"/>
                  <w:marBottom w:val="0"/>
                  <w:divBdr>
                    <w:top w:val="none" w:sz="0" w:space="0" w:color="auto"/>
                    <w:left w:val="none" w:sz="0" w:space="0" w:color="auto"/>
                    <w:bottom w:val="none" w:sz="0" w:space="0" w:color="auto"/>
                    <w:right w:val="none" w:sz="0" w:space="0" w:color="auto"/>
                  </w:divBdr>
                  <w:divsChild>
                    <w:div w:id="378092847">
                      <w:marLeft w:val="0"/>
                      <w:marRight w:val="0"/>
                      <w:marTop w:val="120"/>
                      <w:marBottom w:val="0"/>
                      <w:divBdr>
                        <w:top w:val="none" w:sz="0" w:space="0" w:color="auto"/>
                        <w:left w:val="none" w:sz="0" w:space="0" w:color="auto"/>
                        <w:bottom w:val="none" w:sz="0" w:space="0" w:color="auto"/>
                        <w:right w:val="none" w:sz="0" w:space="0" w:color="auto"/>
                      </w:divBdr>
                    </w:div>
                    <w:div w:id="1601991511">
                      <w:marLeft w:val="0"/>
                      <w:marRight w:val="0"/>
                      <w:marTop w:val="0"/>
                      <w:marBottom w:val="0"/>
                      <w:divBdr>
                        <w:top w:val="none" w:sz="0" w:space="0" w:color="auto"/>
                        <w:left w:val="none" w:sz="0" w:space="0" w:color="auto"/>
                        <w:bottom w:val="none" w:sz="0" w:space="0" w:color="auto"/>
                        <w:right w:val="none" w:sz="0" w:space="0" w:color="auto"/>
                      </w:divBdr>
                    </w:div>
                  </w:divsChild>
                </w:div>
                <w:div w:id="676231407">
                  <w:marLeft w:val="0"/>
                  <w:marRight w:val="0"/>
                  <w:marTop w:val="0"/>
                  <w:marBottom w:val="0"/>
                  <w:divBdr>
                    <w:top w:val="none" w:sz="0" w:space="0" w:color="auto"/>
                    <w:left w:val="none" w:sz="0" w:space="0" w:color="auto"/>
                    <w:bottom w:val="none" w:sz="0" w:space="0" w:color="auto"/>
                    <w:right w:val="none" w:sz="0" w:space="0" w:color="auto"/>
                  </w:divBdr>
                  <w:divsChild>
                    <w:div w:id="1858888166">
                      <w:marLeft w:val="0"/>
                      <w:marRight w:val="0"/>
                      <w:marTop w:val="120"/>
                      <w:marBottom w:val="0"/>
                      <w:divBdr>
                        <w:top w:val="none" w:sz="0" w:space="0" w:color="auto"/>
                        <w:left w:val="none" w:sz="0" w:space="0" w:color="auto"/>
                        <w:bottom w:val="none" w:sz="0" w:space="0" w:color="auto"/>
                        <w:right w:val="none" w:sz="0" w:space="0" w:color="auto"/>
                      </w:divBdr>
                    </w:div>
                    <w:div w:id="146430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398733">
          <w:marLeft w:val="0"/>
          <w:marRight w:val="0"/>
          <w:marTop w:val="0"/>
          <w:marBottom w:val="0"/>
          <w:divBdr>
            <w:top w:val="none" w:sz="0" w:space="0" w:color="auto"/>
            <w:left w:val="none" w:sz="0" w:space="0" w:color="auto"/>
            <w:bottom w:val="none" w:sz="0" w:space="0" w:color="auto"/>
            <w:right w:val="none" w:sz="0" w:space="0" w:color="auto"/>
          </w:divBdr>
          <w:divsChild>
            <w:div w:id="1344478887">
              <w:marLeft w:val="0"/>
              <w:marRight w:val="0"/>
              <w:marTop w:val="0"/>
              <w:marBottom w:val="0"/>
              <w:divBdr>
                <w:top w:val="none" w:sz="0" w:space="0" w:color="auto"/>
                <w:left w:val="none" w:sz="0" w:space="0" w:color="auto"/>
                <w:bottom w:val="none" w:sz="0" w:space="0" w:color="auto"/>
                <w:right w:val="none" w:sz="0" w:space="0" w:color="auto"/>
              </w:divBdr>
              <w:divsChild>
                <w:div w:id="1054083097">
                  <w:marLeft w:val="0"/>
                  <w:marRight w:val="0"/>
                  <w:marTop w:val="0"/>
                  <w:marBottom w:val="0"/>
                  <w:divBdr>
                    <w:top w:val="none" w:sz="0" w:space="0" w:color="auto"/>
                    <w:left w:val="none" w:sz="0" w:space="0" w:color="auto"/>
                    <w:bottom w:val="none" w:sz="0" w:space="0" w:color="auto"/>
                    <w:right w:val="none" w:sz="0" w:space="0" w:color="auto"/>
                  </w:divBdr>
                  <w:divsChild>
                    <w:div w:id="1517424273">
                      <w:marLeft w:val="0"/>
                      <w:marRight w:val="0"/>
                      <w:marTop w:val="120"/>
                      <w:marBottom w:val="0"/>
                      <w:divBdr>
                        <w:top w:val="none" w:sz="0" w:space="0" w:color="auto"/>
                        <w:left w:val="none" w:sz="0" w:space="0" w:color="auto"/>
                        <w:bottom w:val="none" w:sz="0" w:space="0" w:color="auto"/>
                        <w:right w:val="none" w:sz="0" w:space="0" w:color="auto"/>
                      </w:divBdr>
                    </w:div>
                    <w:div w:id="1470241488">
                      <w:marLeft w:val="0"/>
                      <w:marRight w:val="0"/>
                      <w:marTop w:val="0"/>
                      <w:marBottom w:val="0"/>
                      <w:divBdr>
                        <w:top w:val="none" w:sz="0" w:space="0" w:color="auto"/>
                        <w:left w:val="none" w:sz="0" w:space="0" w:color="auto"/>
                        <w:bottom w:val="none" w:sz="0" w:space="0" w:color="auto"/>
                        <w:right w:val="none" w:sz="0" w:space="0" w:color="auto"/>
                      </w:divBdr>
                    </w:div>
                  </w:divsChild>
                </w:div>
                <w:div w:id="327951810">
                  <w:marLeft w:val="0"/>
                  <w:marRight w:val="0"/>
                  <w:marTop w:val="0"/>
                  <w:marBottom w:val="0"/>
                  <w:divBdr>
                    <w:top w:val="none" w:sz="0" w:space="0" w:color="auto"/>
                    <w:left w:val="none" w:sz="0" w:space="0" w:color="auto"/>
                    <w:bottom w:val="none" w:sz="0" w:space="0" w:color="auto"/>
                    <w:right w:val="none" w:sz="0" w:space="0" w:color="auto"/>
                  </w:divBdr>
                  <w:divsChild>
                    <w:div w:id="561404064">
                      <w:marLeft w:val="0"/>
                      <w:marRight w:val="0"/>
                      <w:marTop w:val="120"/>
                      <w:marBottom w:val="0"/>
                      <w:divBdr>
                        <w:top w:val="none" w:sz="0" w:space="0" w:color="auto"/>
                        <w:left w:val="none" w:sz="0" w:space="0" w:color="auto"/>
                        <w:bottom w:val="none" w:sz="0" w:space="0" w:color="auto"/>
                        <w:right w:val="none" w:sz="0" w:space="0" w:color="auto"/>
                      </w:divBdr>
                    </w:div>
                    <w:div w:id="166989872">
                      <w:marLeft w:val="0"/>
                      <w:marRight w:val="0"/>
                      <w:marTop w:val="0"/>
                      <w:marBottom w:val="0"/>
                      <w:divBdr>
                        <w:top w:val="none" w:sz="0" w:space="0" w:color="auto"/>
                        <w:left w:val="none" w:sz="0" w:space="0" w:color="auto"/>
                        <w:bottom w:val="none" w:sz="0" w:space="0" w:color="auto"/>
                        <w:right w:val="none" w:sz="0" w:space="0" w:color="auto"/>
                      </w:divBdr>
                    </w:div>
                  </w:divsChild>
                </w:div>
                <w:div w:id="172692804">
                  <w:marLeft w:val="0"/>
                  <w:marRight w:val="0"/>
                  <w:marTop w:val="0"/>
                  <w:marBottom w:val="0"/>
                  <w:divBdr>
                    <w:top w:val="none" w:sz="0" w:space="0" w:color="auto"/>
                    <w:left w:val="none" w:sz="0" w:space="0" w:color="auto"/>
                    <w:bottom w:val="none" w:sz="0" w:space="0" w:color="auto"/>
                    <w:right w:val="none" w:sz="0" w:space="0" w:color="auto"/>
                  </w:divBdr>
                  <w:divsChild>
                    <w:div w:id="482159455">
                      <w:marLeft w:val="0"/>
                      <w:marRight w:val="0"/>
                      <w:marTop w:val="120"/>
                      <w:marBottom w:val="0"/>
                      <w:divBdr>
                        <w:top w:val="none" w:sz="0" w:space="0" w:color="auto"/>
                        <w:left w:val="none" w:sz="0" w:space="0" w:color="auto"/>
                        <w:bottom w:val="none" w:sz="0" w:space="0" w:color="auto"/>
                        <w:right w:val="none" w:sz="0" w:space="0" w:color="auto"/>
                      </w:divBdr>
                    </w:div>
                    <w:div w:id="163460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826033">
          <w:marLeft w:val="0"/>
          <w:marRight w:val="0"/>
          <w:marTop w:val="0"/>
          <w:marBottom w:val="0"/>
          <w:divBdr>
            <w:top w:val="none" w:sz="0" w:space="0" w:color="auto"/>
            <w:left w:val="none" w:sz="0" w:space="0" w:color="auto"/>
            <w:bottom w:val="none" w:sz="0" w:space="0" w:color="auto"/>
            <w:right w:val="none" w:sz="0" w:space="0" w:color="auto"/>
          </w:divBdr>
          <w:divsChild>
            <w:div w:id="150216497">
              <w:marLeft w:val="0"/>
              <w:marRight w:val="0"/>
              <w:marTop w:val="0"/>
              <w:marBottom w:val="0"/>
              <w:divBdr>
                <w:top w:val="none" w:sz="0" w:space="0" w:color="auto"/>
                <w:left w:val="none" w:sz="0" w:space="0" w:color="auto"/>
                <w:bottom w:val="none" w:sz="0" w:space="0" w:color="auto"/>
                <w:right w:val="none" w:sz="0" w:space="0" w:color="auto"/>
              </w:divBdr>
              <w:divsChild>
                <w:div w:id="83112743">
                  <w:marLeft w:val="0"/>
                  <w:marRight w:val="0"/>
                  <w:marTop w:val="0"/>
                  <w:marBottom w:val="0"/>
                  <w:divBdr>
                    <w:top w:val="none" w:sz="0" w:space="0" w:color="auto"/>
                    <w:left w:val="none" w:sz="0" w:space="0" w:color="auto"/>
                    <w:bottom w:val="none" w:sz="0" w:space="0" w:color="auto"/>
                    <w:right w:val="none" w:sz="0" w:space="0" w:color="auto"/>
                  </w:divBdr>
                  <w:divsChild>
                    <w:div w:id="1051684394">
                      <w:marLeft w:val="0"/>
                      <w:marRight w:val="0"/>
                      <w:marTop w:val="120"/>
                      <w:marBottom w:val="0"/>
                      <w:divBdr>
                        <w:top w:val="none" w:sz="0" w:space="0" w:color="auto"/>
                        <w:left w:val="none" w:sz="0" w:space="0" w:color="auto"/>
                        <w:bottom w:val="none" w:sz="0" w:space="0" w:color="auto"/>
                        <w:right w:val="none" w:sz="0" w:space="0" w:color="auto"/>
                      </w:divBdr>
                    </w:div>
                    <w:div w:id="1572083417">
                      <w:marLeft w:val="0"/>
                      <w:marRight w:val="0"/>
                      <w:marTop w:val="0"/>
                      <w:marBottom w:val="0"/>
                      <w:divBdr>
                        <w:top w:val="none" w:sz="0" w:space="0" w:color="auto"/>
                        <w:left w:val="none" w:sz="0" w:space="0" w:color="auto"/>
                        <w:bottom w:val="none" w:sz="0" w:space="0" w:color="auto"/>
                        <w:right w:val="none" w:sz="0" w:space="0" w:color="auto"/>
                      </w:divBdr>
                    </w:div>
                  </w:divsChild>
                </w:div>
                <w:div w:id="1368292403">
                  <w:marLeft w:val="0"/>
                  <w:marRight w:val="0"/>
                  <w:marTop w:val="0"/>
                  <w:marBottom w:val="0"/>
                  <w:divBdr>
                    <w:top w:val="none" w:sz="0" w:space="0" w:color="auto"/>
                    <w:left w:val="none" w:sz="0" w:space="0" w:color="auto"/>
                    <w:bottom w:val="none" w:sz="0" w:space="0" w:color="auto"/>
                    <w:right w:val="none" w:sz="0" w:space="0" w:color="auto"/>
                  </w:divBdr>
                  <w:divsChild>
                    <w:div w:id="1834486697">
                      <w:marLeft w:val="0"/>
                      <w:marRight w:val="0"/>
                      <w:marTop w:val="120"/>
                      <w:marBottom w:val="0"/>
                      <w:divBdr>
                        <w:top w:val="none" w:sz="0" w:space="0" w:color="auto"/>
                        <w:left w:val="none" w:sz="0" w:space="0" w:color="auto"/>
                        <w:bottom w:val="none" w:sz="0" w:space="0" w:color="auto"/>
                        <w:right w:val="none" w:sz="0" w:space="0" w:color="auto"/>
                      </w:divBdr>
                    </w:div>
                    <w:div w:id="1890802216">
                      <w:marLeft w:val="0"/>
                      <w:marRight w:val="0"/>
                      <w:marTop w:val="0"/>
                      <w:marBottom w:val="0"/>
                      <w:divBdr>
                        <w:top w:val="none" w:sz="0" w:space="0" w:color="auto"/>
                        <w:left w:val="none" w:sz="0" w:space="0" w:color="auto"/>
                        <w:bottom w:val="none" w:sz="0" w:space="0" w:color="auto"/>
                        <w:right w:val="none" w:sz="0" w:space="0" w:color="auto"/>
                      </w:divBdr>
                    </w:div>
                  </w:divsChild>
                </w:div>
                <w:div w:id="568154212">
                  <w:marLeft w:val="0"/>
                  <w:marRight w:val="0"/>
                  <w:marTop w:val="0"/>
                  <w:marBottom w:val="0"/>
                  <w:divBdr>
                    <w:top w:val="none" w:sz="0" w:space="0" w:color="auto"/>
                    <w:left w:val="none" w:sz="0" w:space="0" w:color="auto"/>
                    <w:bottom w:val="none" w:sz="0" w:space="0" w:color="auto"/>
                    <w:right w:val="none" w:sz="0" w:space="0" w:color="auto"/>
                  </w:divBdr>
                  <w:divsChild>
                    <w:div w:id="1307247646">
                      <w:marLeft w:val="0"/>
                      <w:marRight w:val="0"/>
                      <w:marTop w:val="120"/>
                      <w:marBottom w:val="0"/>
                      <w:divBdr>
                        <w:top w:val="none" w:sz="0" w:space="0" w:color="auto"/>
                        <w:left w:val="none" w:sz="0" w:space="0" w:color="auto"/>
                        <w:bottom w:val="none" w:sz="0" w:space="0" w:color="auto"/>
                        <w:right w:val="none" w:sz="0" w:space="0" w:color="auto"/>
                      </w:divBdr>
                    </w:div>
                    <w:div w:id="202185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740231">
          <w:marLeft w:val="0"/>
          <w:marRight w:val="0"/>
          <w:marTop w:val="0"/>
          <w:marBottom w:val="0"/>
          <w:divBdr>
            <w:top w:val="none" w:sz="0" w:space="0" w:color="auto"/>
            <w:left w:val="none" w:sz="0" w:space="0" w:color="auto"/>
            <w:bottom w:val="none" w:sz="0" w:space="0" w:color="auto"/>
            <w:right w:val="none" w:sz="0" w:space="0" w:color="auto"/>
          </w:divBdr>
          <w:divsChild>
            <w:div w:id="1931891520">
              <w:marLeft w:val="0"/>
              <w:marRight w:val="0"/>
              <w:marTop w:val="0"/>
              <w:marBottom w:val="0"/>
              <w:divBdr>
                <w:top w:val="none" w:sz="0" w:space="0" w:color="auto"/>
                <w:left w:val="none" w:sz="0" w:space="0" w:color="auto"/>
                <w:bottom w:val="none" w:sz="0" w:space="0" w:color="auto"/>
                <w:right w:val="none" w:sz="0" w:space="0" w:color="auto"/>
              </w:divBdr>
              <w:divsChild>
                <w:div w:id="1639412698">
                  <w:marLeft w:val="0"/>
                  <w:marRight w:val="0"/>
                  <w:marTop w:val="0"/>
                  <w:marBottom w:val="0"/>
                  <w:divBdr>
                    <w:top w:val="none" w:sz="0" w:space="0" w:color="auto"/>
                    <w:left w:val="none" w:sz="0" w:space="0" w:color="auto"/>
                    <w:bottom w:val="none" w:sz="0" w:space="0" w:color="auto"/>
                    <w:right w:val="none" w:sz="0" w:space="0" w:color="auto"/>
                  </w:divBdr>
                  <w:divsChild>
                    <w:div w:id="433864344">
                      <w:marLeft w:val="0"/>
                      <w:marRight w:val="0"/>
                      <w:marTop w:val="120"/>
                      <w:marBottom w:val="0"/>
                      <w:divBdr>
                        <w:top w:val="none" w:sz="0" w:space="0" w:color="auto"/>
                        <w:left w:val="none" w:sz="0" w:space="0" w:color="auto"/>
                        <w:bottom w:val="none" w:sz="0" w:space="0" w:color="auto"/>
                        <w:right w:val="none" w:sz="0" w:space="0" w:color="auto"/>
                      </w:divBdr>
                    </w:div>
                    <w:div w:id="2059548131">
                      <w:marLeft w:val="0"/>
                      <w:marRight w:val="0"/>
                      <w:marTop w:val="0"/>
                      <w:marBottom w:val="0"/>
                      <w:divBdr>
                        <w:top w:val="none" w:sz="0" w:space="0" w:color="auto"/>
                        <w:left w:val="none" w:sz="0" w:space="0" w:color="auto"/>
                        <w:bottom w:val="none" w:sz="0" w:space="0" w:color="auto"/>
                        <w:right w:val="none" w:sz="0" w:space="0" w:color="auto"/>
                      </w:divBdr>
                    </w:div>
                  </w:divsChild>
                </w:div>
                <w:div w:id="1426265532">
                  <w:marLeft w:val="0"/>
                  <w:marRight w:val="0"/>
                  <w:marTop w:val="0"/>
                  <w:marBottom w:val="0"/>
                  <w:divBdr>
                    <w:top w:val="none" w:sz="0" w:space="0" w:color="auto"/>
                    <w:left w:val="none" w:sz="0" w:space="0" w:color="auto"/>
                    <w:bottom w:val="none" w:sz="0" w:space="0" w:color="auto"/>
                    <w:right w:val="none" w:sz="0" w:space="0" w:color="auto"/>
                  </w:divBdr>
                  <w:divsChild>
                    <w:div w:id="288709120">
                      <w:marLeft w:val="0"/>
                      <w:marRight w:val="0"/>
                      <w:marTop w:val="120"/>
                      <w:marBottom w:val="0"/>
                      <w:divBdr>
                        <w:top w:val="none" w:sz="0" w:space="0" w:color="auto"/>
                        <w:left w:val="none" w:sz="0" w:space="0" w:color="auto"/>
                        <w:bottom w:val="none" w:sz="0" w:space="0" w:color="auto"/>
                        <w:right w:val="none" w:sz="0" w:space="0" w:color="auto"/>
                      </w:divBdr>
                    </w:div>
                    <w:div w:id="1442532910">
                      <w:marLeft w:val="0"/>
                      <w:marRight w:val="0"/>
                      <w:marTop w:val="0"/>
                      <w:marBottom w:val="0"/>
                      <w:divBdr>
                        <w:top w:val="none" w:sz="0" w:space="0" w:color="auto"/>
                        <w:left w:val="none" w:sz="0" w:space="0" w:color="auto"/>
                        <w:bottom w:val="none" w:sz="0" w:space="0" w:color="auto"/>
                        <w:right w:val="none" w:sz="0" w:space="0" w:color="auto"/>
                      </w:divBdr>
                    </w:div>
                  </w:divsChild>
                </w:div>
                <w:div w:id="369959474">
                  <w:marLeft w:val="0"/>
                  <w:marRight w:val="0"/>
                  <w:marTop w:val="0"/>
                  <w:marBottom w:val="0"/>
                  <w:divBdr>
                    <w:top w:val="none" w:sz="0" w:space="0" w:color="auto"/>
                    <w:left w:val="none" w:sz="0" w:space="0" w:color="auto"/>
                    <w:bottom w:val="none" w:sz="0" w:space="0" w:color="auto"/>
                    <w:right w:val="none" w:sz="0" w:space="0" w:color="auto"/>
                  </w:divBdr>
                  <w:divsChild>
                    <w:div w:id="1359773117">
                      <w:marLeft w:val="0"/>
                      <w:marRight w:val="0"/>
                      <w:marTop w:val="120"/>
                      <w:marBottom w:val="0"/>
                      <w:divBdr>
                        <w:top w:val="none" w:sz="0" w:space="0" w:color="auto"/>
                        <w:left w:val="none" w:sz="0" w:space="0" w:color="auto"/>
                        <w:bottom w:val="none" w:sz="0" w:space="0" w:color="auto"/>
                        <w:right w:val="none" w:sz="0" w:space="0" w:color="auto"/>
                      </w:divBdr>
                    </w:div>
                    <w:div w:id="157732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971699">
          <w:marLeft w:val="0"/>
          <w:marRight w:val="0"/>
          <w:marTop w:val="0"/>
          <w:marBottom w:val="0"/>
          <w:divBdr>
            <w:top w:val="none" w:sz="0" w:space="0" w:color="auto"/>
            <w:left w:val="none" w:sz="0" w:space="0" w:color="auto"/>
            <w:bottom w:val="none" w:sz="0" w:space="0" w:color="auto"/>
            <w:right w:val="none" w:sz="0" w:space="0" w:color="auto"/>
          </w:divBdr>
          <w:divsChild>
            <w:div w:id="56785630">
              <w:marLeft w:val="0"/>
              <w:marRight w:val="0"/>
              <w:marTop w:val="0"/>
              <w:marBottom w:val="0"/>
              <w:divBdr>
                <w:top w:val="none" w:sz="0" w:space="0" w:color="auto"/>
                <w:left w:val="none" w:sz="0" w:space="0" w:color="auto"/>
                <w:bottom w:val="none" w:sz="0" w:space="0" w:color="auto"/>
                <w:right w:val="none" w:sz="0" w:space="0" w:color="auto"/>
              </w:divBdr>
            </w:div>
          </w:divsChild>
        </w:div>
        <w:div w:id="1659117758">
          <w:marLeft w:val="0"/>
          <w:marRight w:val="0"/>
          <w:marTop w:val="0"/>
          <w:marBottom w:val="0"/>
          <w:divBdr>
            <w:top w:val="none" w:sz="0" w:space="0" w:color="auto"/>
            <w:left w:val="none" w:sz="0" w:space="0" w:color="auto"/>
            <w:bottom w:val="none" w:sz="0" w:space="0" w:color="auto"/>
            <w:right w:val="none" w:sz="0" w:space="0" w:color="auto"/>
          </w:divBdr>
          <w:divsChild>
            <w:div w:id="668289569">
              <w:marLeft w:val="0"/>
              <w:marRight w:val="0"/>
              <w:marTop w:val="0"/>
              <w:marBottom w:val="0"/>
              <w:divBdr>
                <w:top w:val="none" w:sz="0" w:space="0" w:color="auto"/>
                <w:left w:val="none" w:sz="0" w:space="0" w:color="auto"/>
                <w:bottom w:val="none" w:sz="0" w:space="0" w:color="auto"/>
                <w:right w:val="none" w:sz="0" w:space="0" w:color="auto"/>
              </w:divBdr>
            </w:div>
          </w:divsChild>
        </w:div>
        <w:div w:id="1279140737">
          <w:marLeft w:val="0"/>
          <w:marRight w:val="0"/>
          <w:marTop w:val="0"/>
          <w:marBottom w:val="0"/>
          <w:divBdr>
            <w:top w:val="none" w:sz="0" w:space="0" w:color="auto"/>
            <w:left w:val="none" w:sz="0" w:space="0" w:color="auto"/>
            <w:bottom w:val="none" w:sz="0" w:space="0" w:color="auto"/>
            <w:right w:val="none" w:sz="0" w:space="0" w:color="auto"/>
          </w:divBdr>
          <w:divsChild>
            <w:div w:id="979845116">
              <w:marLeft w:val="0"/>
              <w:marRight w:val="0"/>
              <w:marTop w:val="0"/>
              <w:marBottom w:val="0"/>
              <w:divBdr>
                <w:top w:val="none" w:sz="0" w:space="0" w:color="auto"/>
                <w:left w:val="none" w:sz="0" w:space="0" w:color="auto"/>
                <w:bottom w:val="none" w:sz="0" w:space="0" w:color="auto"/>
                <w:right w:val="none" w:sz="0" w:space="0" w:color="auto"/>
              </w:divBdr>
            </w:div>
          </w:divsChild>
        </w:div>
        <w:div w:id="638649740">
          <w:marLeft w:val="0"/>
          <w:marRight w:val="0"/>
          <w:marTop w:val="0"/>
          <w:marBottom w:val="0"/>
          <w:divBdr>
            <w:top w:val="none" w:sz="0" w:space="0" w:color="auto"/>
            <w:left w:val="none" w:sz="0" w:space="0" w:color="auto"/>
            <w:bottom w:val="none" w:sz="0" w:space="0" w:color="auto"/>
            <w:right w:val="none" w:sz="0" w:space="0" w:color="auto"/>
          </w:divBdr>
          <w:divsChild>
            <w:div w:id="571819084">
              <w:marLeft w:val="0"/>
              <w:marRight w:val="0"/>
              <w:marTop w:val="0"/>
              <w:marBottom w:val="0"/>
              <w:divBdr>
                <w:top w:val="none" w:sz="0" w:space="0" w:color="auto"/>
                <w:left w:val="none" w:sz="0" w:space="0" w:color="auto"/>
                <w:bottom w:val="none" w:sz="0" w:space="0" w:color="auto"/>
                <w:right w:val="none" w:sz="0" w:space="0" w:color="auto"/>
              </w:divBdr>
            </w:div>
          </w:divsChild>
        </w:div>
        <w:div w:id="1692221591">
          <w:marLeft w:val="0"/>
          <w:marRight w:val="0"/>
          <w:marTop w:val="0"/>
          <w:marBottom w:val="0"/>
          <w:divBdr>
            <w:top w:val="none" w:sz="0" w:space="0" w:color="auto"/>
            <w:left w:val="none" w:sz="0" w:space="0" w:color="auto"/>
            <w:bottom w:val="none" w:sz="0" w:space="0" w:color="auto"/>
            <w:right w:val="none" w:sz="0" w:space="0" w:color="auto"/>
          </w:divBdr>
          <w:divsChild>
            <w:div w:id="1155411460">
              <w:marLeft w:val="0"/>
              <w:marRight w:val="0"/>
              <w:marTop w:val="0"/>
              <w:marBottom w:val="0"/>
              <w:divBdr>
                <w:top w:val="none" w:sz="0" w:space="0" w:color="auto"/>
                <w:left w:val="none" w:sz="0" w:space="0" w:color="auto"/>
                <w:bottom w:val="none" w:sz="0" w:space="0" w:color="auto"/>
                <w:right w:val="none" w:sz="0" w:space="0" w:color="auto"/>
              </w:divBdr>
            </w:div>
          </w:divsChild>
        </w:div>
        <w:div w:id="1485511728">
          <w:marLeft w:val="0"/>
          <w:marRight w:val="0"/>
          <w:marTop w:val="0"/>
          <w:marBottom w:val="0"/>
          <w:divBdr>
            <w:top w:val="none" w:sz="0" w:space="0" w:color="auto"/>
            <w:left w:val="none" w:sz="0" w:space="0" w:color="auto"/>
            <w:bottom w:val="none" w:sz="0" w:space="0" w:color="auto"/>
            <w:right w:val="none" w:sz="0" w:space="0" w:color="auto"/>
          </w:divBdr>
          <w:divsChild>
            <w:div w:id="19301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256315">
      <w:bodyDiv w:val="1"/>
      <w:marLeft w:val="0"/>
      <w:marRight w:val="0"/>
      <w:marTop w:val="0"/>
      <w:marBottom w:val="0"/>
      <w:divBdr>
        <w:top w:val="none" w:sz="0" w:space="0" w:color="auto"/>
        <w:left w:val="none" w:sz="0" w:space="0" w:color="auto"/>
        <w:bottom w:val="none" w:sz="0" w:space="0" w:color="auto"/>
        <w:right w:val="none" w:sz="0" w:space="0" w:color="auto"/>
      </w:divBdr>
      <w:divsChild>
        <w:div w:id="2000037704">
          <w:marLeft w:val="0"/>
          <w:marRight w:val="0"/>
          <w:marTop w:val="0"/>
          <w:marBottom w:val="0"/>
          <w:divBdr>
            <w:top w:val="none" w:sz="0" w:space="0" w:color="auto"/>
            <w:left w:val="none" w:sz="0" w:space="0" w:color="auto"/>
            <w:bottom w:val="none" w:sz="0" w:space="0" w:color="auto"/>
            <w:right w:val="none" w:sz="0" w:space="0" w:color="auto"/>
          </w:divBdr>
          <w:divsChild>
            <w:div w:id="747729194">
              <w:marLeft w:val="0"/>
              <w:marRight w:val="0"/>
              <w:marTop w:val="0"/>
              <w:marBottom w:val="0"/>
              <w:divBdr>
                <w:top w:val="none" w:sz="0" w:space="0" w:color="auto"/>
                <w:left w:val="none" w:sz="0" w:space="0" w:color="auto"/>
                <w:bottom w:val="none" w:sz="0" w:space="0" w:color="auto"/>
                <w:right w:val="none" w:sz="0" w:space="0" w:color="auto"/>
              </w:divBdr>
              <w:divsChild>
                <w:div w:id="702053458">
                  <w:marLeft w:val="0"/>
                  <w:marRight w:val="0"/>
                  <w:marTop w:val="0"/>
                  <w:marBottom w:val="0"/>
                  <w:divBdr>
                    <w:top w:val="none" w:sz="0" w:space="0" w:color="auto"/>
                    <w:left w:val="none" w:sz="0" w:space="0" w:color="auto"/>
                    <w:bottom w:val="none" w:sz="0" w:space="0" w:color="auto"/>
                    <w:right w:val="none" w:sz="0" w:space="0" w:color="auto"/>
                  </w:divBdr>
                  <w:divsChild>
                    <w:div w:id="1894385689">
                      <w:marLeft w:val="0"/>
                      <w:marRight w:val="0"/>
                      <w:marTop w:val="120"/>
                      <w:marBottom w:val="0"/>
                      <w:divBdr>
                        <w:top w:val="none" w:sz="0" w:space="0" w:color="auto"/>
                        <w:left w:val="none" w:sz="0" w:space="0" w:color="auto"/>
                        <w:bottom w:val="none" w:sz="0" w:space="0" w:color="auto"/>
                        <w:right w:val="none" w:sz="0" w:space="0" w:color="auto"/>
                      </w:divBdr>
                    </w:div>
                    <w:div w:id="986323857">
                      <w:marLeft w:val="0"/>
                      <w:marRight w:val="0"/>
                      <w:marTop w:val="0"/>
                      <w:marBottom w:val="0"/>
                      <w:divBdr>
                        <w:top w:val="none" w:sz="0" w:space="0" w:color="auto"/>
                        <w:left w:val="none" w:sz="0" w:space="0" w:color="auto"/>
                        <w:bottom w:val="none" w:sz="0" w:space="0" w:color="auto"/>
                        <w:right w:val="none" w:sz="0" w:space="0" w:color="auto"/>
                      </w:divBdr>
                    </w:div>
                  </w:divsChild>
                </w:div>
                <w:div w:id="1000230694">
                  <w:marLeft w:val="0"/>
                  <w:marRight w:val="0"/>
                  <w:marTop w:val="0"/>
                  <w:marBottom w:val="0"/>
                  <w:divBdr>
                    <w:top w:val="none" w:sz="0" w:space="0" w:color="auto"/>
                    <w:left w:val="none" w:sz="0" w:space="0" w:color="auto"/>
                    <w:bottom w:val="none" w:sz="0" w:space="0" w:color="auto"/>
                    <w:right w:val="none" w:sz="0" w:space="0" w:color="auto"/>
                  </w:divBdr>
                  <w:divsChild>
                    <w:div w:id="46993379">
                      <w:marLeft w:val="0"/>
                      <w:marRight w:val="0"/>
                      <w:marTop w:val="120"/>
                      <w:marBottom w:val="0"/>
                      <w:divBdr>
                        <w:top w:val="none" w:sz="0" w:space="0" w:color="auto"/>
                        <w:left w:val="none" w:sz="0" w:space="0" w:color="auto"/>
                        <w:bottom w:val="none" w:sz="0" w:space="0" w:color="auto"/>
                        <w:right w:val="none" w:sz="0" w:space="0" w:color="auto"/>
                      </w:divBdr>
                    </w:div>
                    <w:div w:id="2059284755">
                      <w:marLeft w:val="0"/>
                      <w:marRight w:val="0"/>
                      <w:marTop w:val="0"/>
                      <w:marBottom w:val="0"/>
                      <w:divBdr>
                        <w:top w:val="none" w:sz="0" w:space="0" w:color="auto"/>
                        <w:left w:val="none" w:sz="0" w:space="0" w:color="auto"/>
                        <w:bottom w:val="none" w:sz="0" w:space="0" w:color="auto"/>
                        <w:right w:val="none" w:sz="0" w:space="0" w:color="auto"/>
                      </w:divBdr>
                    </w:div>
                  </w:divsChild>
                </w:div>
                <w:div w:id="1716470036">
                  <w:marLeft w:val="0"/>
                  <w:marRight w:val="0"/>
                  <w:marTop w:val="0"/>
                  <w:marBottom w:val="0"/>
                  <w:divBdr>
                    <w:top w:val="none" w:sz="0" w:space="0" w:color="auto"/>
                    <w:left w:val="none" w:sz="0" w:space="0" w:color="auto"/>
                    <w:bottom w:val="none" w:sz="0" w:space="0" w:color="auto"/>
                    <w:right w:val="none" w:sz="0" w:space="0" w:color="auto"/>
                  </w:divBdr>
                  <w:divsChild>
                    <w:div w:id="162472093">
                      <w:marLeft w:val="0"/>
                      <w:marRight w:val="0"/>
                      <w:marTop w:val="120"/>
                      <w:marBottom w:val="0"/>
                      <w:divBdr>
                        <w:top w:val="none" w:sz="0" w:space="0" w:color="auto"/>
                        <w:left w:val="none" w:sz="0" w:space="0" w:color="auto"/>
                        <w:bottom w:val="none" w:sz="0" w:space="0" w:color="auto"/>
                        <w:right w:val="none" w:sz="0" w:space="0" w:color="auto"/>
                      </w:divBdr>
                    </w:div>
                    <w:div w:id="751051274">
                      <w:marLeft w:val="0"/>
                      <w:marRight w:val="0"/>
                      <w:marTop w:val="0"/>
                      <w:marBottom w:val="0"/>
                      <w:divBdr>
                        <w:top w:val="none" w:sz="0" w:space="0" w:color="auto"/>
                        <w:left w:val="none" w:sz="0" w:space="0" w:color="auto"/>
                        <w:bottom w:val="none" w:sz="0" w:space="0" w:color="auto"/>
                        <w:right w:val="none" w:sz="0" w:space="0" w:color="auto"/>
                      </w:divBdr>
                    </w:div>
                  </w:divsChild>
                </w:div>
                <w:div w:id="872503724">
                  <w:marLeft w:val="0"/>
                  <w:marRight w:val="0"/>
                  <w:marTop w:val="0"/>
                  <w:marBottom w:val="0"/>
                  <w:divBdr>
                    <w:top w:val="none" w:sz="0" w:space="0" w:color="auto"/>
                    <w:left w:val="none" w:sz="0" w:space="0" w:color="auto"/>
                    <w:bottom w:val="none" w:sz="0" w:space="0" w:color="auto"/>
                    <w:right w:val="none" w:sz="0" w:space="0" w:color="auto"/>
                  </w:divBdr>
                  <w:divsChild>
                    <w:div w:id="661930330">
                      <w:marLeft w:val="0"/>
                      <w:marRight w:val="0"/>
                      <w:marTop w:val="120"/>
                      <w:marBottom w:val="0"/>
                      <w:divBdr>
                        <w:top w:val="none" w:sz="0" w:space="0" w:color="auto"/>
                        <w:left w:val="none" w:sz="0" w:space="0" w:color="auto"/>
                        <w:bottom w:val="none" w:sz="0" w:space="0" w:color="auto"/>
                        <w:right w:val="none" w:sz="0" w:space="0" w:color="auto"/>
                      </w:divBdr>
                    </w:div>
                    <w:div w:id="722675599">
                      <w:marLeft w:val="0"/>
                      <w:marRight w:val="0"/>
                      <w:marTop w:val="0"/>
                      <w:marBottom w:val="0"/>
                      <w:divBdr>
                        <w:top w:val="none" w:sz="0" w:space="0" w:color="auto"/>
                        <w:left w:val="none" w:sz="0" w:space="0" w:color="auto"/>
                        <w:bottom w:val="none" w:sz="0" w:space="0" w:color="auto"/>
                        <w:right w:val="none" w:sz="0" w:space="0" w:color="auto"/>
                      </w:divBdr>
                    </w:div>
                  </w:divsChild>
                </w:div>
                <w:div w:id="1157113356">
                  <w:marLeft w:val="0"/>
                  <w:marRight w:val="0"/>
                  <w:marTop w:val="0"/>
                  <w:marBottom w:val="0"/>
                  <w:divBdr>
                    <w:top w:val="none" w:sz="0" w:space="0" w:color="auto"/>
                    <w:left w:val="none" w:sz="0" w:space="0" w:color="auto"/>
                    <w:bottom w:val="none" w:sz="0" w:space="0" w:color="auto"/>
                    <w:right w:val="none" w:sz="0" w:space="0" w:color="auto"/>
                  </w:divBdr>
                  <w:divsChild>
                    <w:div w:id="937911873">
                      <w:marLeft w:val="0"/>
                      <w:marRight w:val="0"/>
                      <w:marTop w:val="120"/>
                      <w:marBottom w:val="0"/>
                      <w:divBdr>
                        <w:top w:val="none" w:sz="0" w:space="0" w:color="auto"/>
                        <w:left w:val="none" w:sz="0" w:space="0" w:color="auto"/>
                        <w:bottom w:val="none" w:sz="0" w:space="0" w:color="auto"/>
                        <w:right w:val="none" w:sz="0" w:space="0" w:color="auto"/>
                      </w:divBdr>
                    </w:div>
                    <w:div w:id="204544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108518">
          <w:marLeft w:val="0"/>
          <w:marRight w:val="0"/>
          <w:marTop w:val="0"/>
          <w:marBottom w:val="0"/>
          <w:divBdr>
            <w:top w:val="none" w:sz="0" w:space="0" w:color="auto"/>
            <w:left w:val="none" w:sz="0" w:space="0" w:color="auto"/>
            <w:bottom w:val="none" w:sz="0" w:space="0" w:color="auto"/>
            <w:right w:val="none" w:sz="0" w:space="0" w:color="auto"/>
          </w:divBdr>
          <w:divsChild>
            <w:div w:id="11214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645598">
      <w:bodyDiv w:val="1"/>
      <w:marLeft w:val="0"/>
      <w:marRight w:val="0"/>
      <w:marTop w:val="0"/>
      <w:marBottom w:val="0"/>
      <w:divBdr>
        <w:top w:val="none" w:sz="0" w:space="0" w:color="auto"/>
        <w:left w:val="none" w:sz="0" w:space="0" w:color="auto"/>
        <w:bottom w:val="none" w:sz="0" w:space="0" w:color="auto"/>
        <w:right w:val="none" w:sz="0" w:space="0" w:color="auto"/>
      </w:divBdr>
      <w:divsChild>
        <w:div w:id="180897935">
          <w:marLeft w:val="0"/>
          <w:marRight w:val="0"/>
          <w:marTop w:val="0"/>
          <w:marBottom w:val="0"/>
          <w:divBdr>
            <w:top w:val="none" w:sz="0" w:space="0" w:color="auto"/>
            <w:left w:val="none" w:sz="0" w:space="0" w:color="auto"/>
            <w:bottom w:val="none" w:sz="0" w:space="0" w:color="auto"/>
            <w:right w:val="none" w:sz="0" w:space="0" w:color="auto"/>
          </w:divBdr>
          <w:divsChild>
            <w:div w:id="284586444">
              <w:marLeft w:val="0"/>
              <w:marRight w:val="0"/>
              <w:marTop w:val="120"/>
              <w:marBottom w:val="0"/>
              <w:divBdr>
                <w:top w:val="none" w:sz="0" w:space="0" w:color="auto"/>
                <w:left w:val="none" w:sz="0" w:space="0" w:color="auto"/>
                <w:bottom w:val="none" w:sz="0" w:space="0" w:color="auto"/>
                <w:right w:val="none" w:sz="0" w:space="0" w:color="auto"/>
              </w:divBdr>
            </w:div>
            <w:div w:id="1360205122">
              <w:marLeft w:val="0"/>
              <w:marRight w:val="0"/>
              <w:marTop w:val="0"/>
              <w:marBottom w:val="0"/>
              <w:divBdr>
                <w:top w:val="none" w:sz="0" w:space="0" w:color="auto"/>
                <w:left w:val="none" w:sz="0" w:space="0" w:color="auto"/>
                <w:bottom w:val="none" w:sz="0" w:space="0" w:color="auto"/>
                <w:right w:val="none" w:sz="0" w:space="0" w:color="auto"/>
              </w:divBdr>
            </w:div>
          </w:divsChild>
        </w:div>
        <w:div w:id="2121951050">
          <w:marLeft w:val="0"/>
          <w:marRight w:val="0"/>
          <w:marTop w:val="0"/>
          <w:marBottom w:val="0"/>
          <w:divBdr>
            <w:top w:val="none" w:sz="0" w:space="0" w:color="auto"/>
            <w:left w:val="none" w:sz="0" w:space="0" w:color="auto"/>
            <w:bottom w:val="none" w:sz="0" w:space="0" w:color="auto"/>
            <w:right w:val="none" w:sz="0" w:space="0" w:color="auto"/>
          </w:divBdr>
          <w:divsChild>
            <w:div w:id="872420631">
              <w:marLeft w:val="0"/>
              <w:marRight w:val="0"/>
              <w:marTop w:val="120"/>
              <w:marBottom w:val="0"/>
              <w:divBdr>
                <w:top w:val="none" w:sz="0" w:space="0" w:color="auto"/>
                <w:left w:val="none" w:sz="0" w:space="0" w:color="auto"/>
                <w:bottom w:val="none" w:sz="0" w:space="0" w:color="auto"/>
                <w:right w:val="none" w:sz="0" w:space="0" w:color="auto"/>
              </w:divBdr>
            </w:div>
            <w:div w:id="412942723">
              <w:marLeft w:val="0"/>
              <w:marRight w:val="0"/>
              <w:marTop w:val="0"/>
              <w:marBottom w:val="0"/>
              <w:divBdr>
                <w:top w:val="none" w:sz="0" w:space="0" w:color="auto"/>
                <w:left w:val="none" w:sz="0" w:space="0" w:color="auto"/>
                <w:bottom w:val="none" w:sz="0" w:space="0" w:color="auto"/>
                <w:right w:val="none" w:sz="0" w:space="0" w:color="auto"/>
              </w:divBdr>
            </w:div>
          </w:divsChild>
        </w:div>
        <w:div w:id="2142577449">
          <w:marLeft w:val="0"/>
          <w:marRight w:val="0"/>
          <w:marTop w:val="0"/>
          <w:marBottom w:val="0"/>
          <w:divBdr>
            <w:top w:val="none" w:sz="0" w:space="0" w:color="auto"/>
            <w:left w:val="none" w:sz="0" w:space="0" w:color="auto"/>
            <w:bottom w:val="none" w:sz="0" w:space="0" w:color="auto"/>
            <w:right w:val="none" w:sz="0" w:space="0" w:color="auto"/>
          </w:divBdr>
          <w:divsChild>
            <w:div w:id="661466192">
              <w:marLeft w:val="0"/>
              <w:marRight w:val="0"/>
              <w:marTop w:val="120"/>
              <w:marBottom w:val="0"/>
              <w:divBdr>
                <w:top w:val="none" w:sz="0" w:space="0" w:color="auto"/>
                <w:left w:val="none" w:sz="0" w:space="0" w:color="auto"/>
                <w:bottom w:val="none" w:sz="0" w:space="0" w:color="auto"/>
                <w:right w:val="none" w:sz="0" w:space="0" w:color="auto"/>
              </w:divBdr>
            </w:div>
            <w:div w:id="3952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213804">
      <w:bodyDiv w:val="1"/>
      <w:marLeft w:val="0"/>
      <w:marRight w:val="0"/>
      <w:marTop w:val="0"/>
      <w:marBottom w:val="0"/>
      <w:divBdr>
        <w:top w:val="none" w:sz="0" w:space="0" w:color="auto"/>
        <w:left w:val="none" w:sz="0" w:space="0" w:color="auto"/>
        <w:bottom w:val="none" w:sz="0" w:space="0" w:color="auto"/>
        <w:right w:val="none" w:sz="0" w:space="0" w:color="auto"/>
      </w:divBdr>
      <w:divsChild>
        <w:div w:id="1662351056">
          <w:marLeft w:val="0"/>
          <w:marRight w:val="0"/>
          <w:marTop w:val="0"/>
          <w:marBottom w:val="0"/>
          <w:divBdr>
            <w:top w:val="none" w:sz="0" w:space="0" w:color="auto"/>
            <w:left w:val="none" w:sz="0" w:space="0" w:color="auto"/>
            <w:bottom w:val="none" w:sz="0" w:space="0" w:color="auto"/>
            <w:right w:val="none" w:sz="0" w:space="0" w:color="auto"/>
          </w:divBdr>
          <w:divsChild>
            <w:div w:id="1154448085">
              <w:marLeft w:val="0"/>
              <w:marRight w:val="0"/>
              <w:marTop w:val="120"/>
              <w:marBottom w:val="0"/>
              <w:divBdr>
                <w:top w:val="none" w:sz="0" w:space="0" w:color="auto"/>
                <w:left w:val="none" w:sz="0" w:space="0" w:color="auto"/>
                <w:bottom w:val="none" w:sz="0" w:space="0" w:color="auto"/>
                <w:right w:val="none" w:sz="0" w:space="0" w:color="auto"/>
              </w:divBdr>
            </w:div>
            <w:div w:id="2031687314">
              <w:marLeft w:val="0"/>
              <w:marRight w:val="0"/>
              <w:marTop w:val="0"/>
              <w:marBottom w:val="0"/>
              <w:divBdr>
                <w:top w:val="none" w:sz="0" w:space="0" w:color="auto"/>
                <w:left w:val="none" w:sz="0" w:space="0" w:color="auto"/>
                <w:bottom w:val="none" w:sz="0" w:space="0" w:color="auto"/>
                <w:right w:val="none" w:sz="0" w:space="0" w:color="auto"/>
              </w:divBdr>
            </w:div>
          </w:divsChild>
        </w:div>
        <w:div w:id="340352413">
          <w:marLeft w:val="0"/>
          <w:marRight w:val="0"/>
          <w:marTop w:val="0"/>
          <w:marBottom w:val="0"/>
          <w:divBdr>
            <w:top w:val="none" w:sz="0" w:space="0" w:color="auto"/>
            <w:left w:val="none" w:sz="0" w:space="0" w:color="auto"/>
            <w:bottom w:val="none" w:sz="0" w:space="0" w:color="auto"/>
            <w:right w:val="none" w:sz="0" w:space="0" w:color="auto"/>
          </w:divBdr>
          <w:divsChild>
            <w:div w:id="861936011">
              <w:marLeft w:val="0"/>
              <w:marRight w:val="0"/>
              <w:marTop w:val="120"/>
              <w:marBottom w:val="0"/>
              <w:divBdr>
                <w:top w:val="none" w:sz="0" w:space="0" w:color="auto"/>
                <w:left w:val="none" w:sz="0" w:space="0" w:color="auto"/>
                <w:bottom w:val="none" w:sz="0" w:space="0" w:color="auto"/>
                <w:right w:val="none" w:sz="0" w:space="0" w:color="auto"/>
              </w:divBdr>
            </w:div>
            <w:div w:id="1837113290">
              <w:marLeft w:val="0"/>
              <w:marRight w:val="0"/>
              <w:marTop w:val="0"/>
              <w:marBottom w:val="0"/>
              <w:divBdr>
                <w:top w:val="none" w:sz="0" w:space="0" w:color="auto"/>
                <w:left w:val="none" w:sz="0" w:space="0" w:color="auto"/>
                <w:bottom w:val="none" w:sz="0" w:space="0" w:color="auto"/>
                <w:right w:val="none" w:sz="0" w:space="0" w:color="auto"/>
              </w:divBdr>
            </w:div>
          </w:divsChild>
        </w:div>
        <w:div w:id="1988656867">
          <w:marLeft w:val="0"/>
          <w:marRight w:val="0"/>
          <w:marTop w:val="0"/>
          <w:marBottom w:val="0"/>
          <w:divBdr>
            <w:top w:val="none" w:sz="0" w:space="0" w:color="auto"/>
            <w:left w:val="none" w:sz="0" w:space="0" w:color="auto"/>
            <w:bottom w:val="none" w:sz="0" w:space="0" w:color="auto"/>
            <w:right w:val="none" w:sz="0" w:space="0" w:color="auto"/>
          </w:divBdr>
          <w:divsChild>
            <w:div w:id="2048066489">
              <w:marLeft w:val="0"/>
              <w:marRight w:val="0"/>
              <w:marTop w:val="120"/>
              <w:marBottom w:val="0"/>
              <w:divBdr>
                <w:top w:val="none" w:sz="0" w:space="0" w:color="auto"/>
                <w:left w:val="none" w:sz="0" w:space="0" w:color="auto"/>
                <w:bottom w:val="none" w:sz="0" w:space="0" w:color="auto"/>
                <w:right w:val="none" w:sz="0" w:space="0" w:color="auto"/>
              </w:divBdr>
            </w:div>
            <w:div w:id="176070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187623">
      <w:bodyDiv w:val="1"/>
      <w:marLeft w:val="0"/>
      <w:marRight w:val="0"/>
      <w:marTop w:val="0"/>
      <w:marBottom w:val="0"/>
      <w:divBdr>
        <w:top w:val="none" w:sz="0" w:space="0" w:color="auto"/>
        <w:left w:val="none" w:sz="0" w:space="0" w:color="auto"/>
        <w:bottom w:val="none" w:sz="0" w:space="0" w:color="auto"/>
        <w:right w:val="none" w:sz="0" w:space="0" w:color="auto"/>
      </w:divBdr>
      <w:divsChild>
        <w:div w:id="1977953476">
          <w:marLeft w:val="0"/>
          <w:marRight w:val="0"/>
          <w:marTop w:val="0"/>
          <w:marBottom w:val="0"/>
          <w:divBdr>
            <w:top w:val="none" w:sz="0" w:space="0" w:color="auto"/>
            <w:left w:val="none" w:sz="0" w:space="0" w:color="auto"/>
            <w:bottom w:val="none" w:sz="0" w:space="0" w:color="auto"/>
            <w:right w:val="none" w:sz="0" w:space="0" w:color="auto"/>
          </w:divBdr>
        </w:div>
      </w:divsChild>
    </w:div>
    <w:div w:id="1772897079">
      <w:bodyDiv w:val="1"/>
      <w:marLeft w:val="0"/>
      <w:marRight w:val="0"/>
      <w:marTop w:val="0"/>
      <w:marBottom w:val="0"/>
      <w:divBdr>
        <w:top w:val="none" w:sz="0" w:space="0" w:color="auto"/>
        <w:left w:val="none" w:sz="0" w:space="0" w:color="auto"/>
        <w:bottom w:val="none" w:sz="0" w:space="0" w:color="auto"/>
        <w:right w:val="none" w:sz="0" w:space="0" w:color="auto"/>
      </w:divBdr>
      <w:divsChild>
        <w:div w:id="110589833">
          <w:marLeft w:val="0"/>
          <w:marRight w:val="0"/>
          <w:marTop w:val="0"/>
          <w:marBottom w:val="0"/>
          <w:divBdr>
            <w:top w:val="none" w:sz="0" w:space="0" w:color="auto"/>
            <w:left w:val="none" w:sz="0" w:space="0" w:color="auto"/>
            <w:bottom w:val="none" w:sz="0" w:space="0" w:color="auto"/>
            <w:right w:val="none" w:sz="0" w:space="0" w:color="auto"/>
          </w:divBdr>
        </w:div>
      </w:divsChild>
    </w:div>
    <w:div w:id="1787653073">
      <w:bodyDiv w:val="1"/>
      <w:marLeft w:val="0"/>
      <w:marRight w:val="0"/>
      <w:marTop w:val="0"/>
      <w:marBottom w:val="0"/>
      <w:divBdr>
        <w:top w:val="none" w:sz="0" w:space="0" w:color="auto"/>
        <w:left w:val="none" w:sz="0" w:space="0" w:color="auto"/>
        <w:bottom w:val="none" w:sz="0" w:space="0" w:color="auto"/>
        <w:right w:val="none" w:sz="0" w:space="0" w:color="auto"/>
      </w:divBdr>
    </w:div>
    <w:div w:id="1796560317">
      <w:bodyDiv w:val="1"/>
      <w:marLeft w:val="0"/>
      <w:marRight w:val="0"/>
      <w:marTop w:val="0"/>
      <w:marBottom w:val="0"/>
      <w:divBdr>
        <w:top w:val="none" w:sz="0" w:space="0" w:color="auto"/>
        <w:left w:val="none" w:sz="0" w:space="0" w:color="auto"/>
        <w:bottom w:val="none" w:sz="0" w:space="0" w:color="auto"/>
        <w:right w:val="none" w:sz="0" w:space="0" w:color="auto"/>
      </w:divBdr>
      <w:divsChild>
        <w:div w:id="1438058895">
          <w:marLeft w:val="0"/>
          <w:marRight w:val="0"/>
          <w:marTop w:val="0"/>
          <w:marBottom w:val="0"/>
          <w:divBdr>
            <w:top w:val="none" w:sz="0" w:space="0" w:color="auto"/>
            <w:left w:val="none" w:sz="0" w:space="0" w:color="auto"/>
            <w:bottom w:val="none" w:sz="0" w:space="0" w:color="auto"/>
            <w:right w:val="none" w:sz="0" w:space="0" w:color="auto"/>
          </w:divBdr>
          <w:divsChild>
            <w:div w:id="1263949594">
              <w:marLeft w:val="0"/>
              <w:marRight w:val="0"/>
              <w:marTop w:val="120"/>
              <w:marBottom w:val="0"/>
              <w:divBdr>
                <w:top w:val="none" w:sz="0" w:space="0" w:color="auto"/>
                <w:left w:val="none" w:sz="0" w:space="0" w:color="auto"/>
                <w:bottom w:val="none" w:sz="0" w:space="0" w:color="auto"/>
                <w:right w:val="none" w:sz="0" w:space="0" w:color="auto"/>
              </w:divBdr>
            </w:div>
            <w:div w:id="439838859">
              <w:marLeft w:val="0"/>
              <w:marRight w:val="0"/>
              <w:marTop w:val="0"/>
              <w:marBottom w:val="0"/>
              <w:divBdr>
                <w:top w:val="none" w:sz="0" w:space="0" w:color="auto"/>
                <w:left w:val="none" w:sz="0" w:space="0" w:color="auto"/>
                <w:bottom w:val="none" w:sz="0" w:space="0" w:color="auto"/>
                <w:right w:val="none" w:sz="0" w:space="0" w:color="auto"/>
              </w:divBdr>
            </w:div>
          </w:divsChild>
        </w:div>
        <w:div w:id="718432485">
          <w:marLeft w:val="0"/>
          <w:marRight w:val="0"/>
          <w:marTop w:val="0"/>
          <w:marBottom w:val="0"/>
          <w:divBdr>
            <w:top w:val="none" w:sz="0" w:space="0" w:color="auto"/>
            <w:left w:val="none" w:sz="0" w:space="0" w:color="auto"/>
            <w:bottom w:val="none" w:sz="0" w:space="0" w:color="auto"/>
            <w:right w:val="none" w:sz="0" w:space="0" w:color="auto"/>
          </w:divBdr>
          <w:divsChild>
            <w:div w:id="916130646">
              <w:marLeft w:val="0"/>
              <w:marRight w:val="0"/>
              <w:marTop w:val="120"/>
              <w:marBottom w:val="0"/>
              <w:divBdr>
                <w:top w:val="none" w:sz="0" w:space="0" w:color="auto"/>
                <w:left w:val="none" w:sz="0" w:space="0" w:color="auto"/>
                <w:bottom w:val="none" w:sz="0" w:space="0" w:color="auto"/>
                <w:right w:val="none" w:sz="0" w:space="0" w:color="auto"/>
              </w:divBdr>
            </w:div>
            <w:div w:id="1712729726">
              <w:marLeft w:val="0"/>
              <w:marRight w:val="0"/>
              <w:marTop w:val="0"/>
              <w:marBottom w:val="0"/>
              <w:divBdr>
                <w:top w:val="none" w:sz="0" w:space="0" w:color="auto"/>
                <w:left w:val="none" w:sz="0" w:space="0" w:color="auto"/>
                <w:bottom w:val="none" w:sz="0" w:space="0" w:color="auto"/>
                <w:right w:val="none" w:sz="0" w:space="0" w:color="auto"/>
              </w:divBdr>
            </w:div>
          </w:divsChild>
        </w:div>
        <w:div w:id="1484544455">
          <w:marLeft w:val="0"/>
          <w:marRight w:val="0"/>
          <w:marTop w:val="0"/>
          <w:marBottom w:val="0"/>
          <w:divBdr>
            <w:top w:val="none" w:sz="0" w:space="0" w:color="auto"/>
            <w:left w:val="none" w:sz="0" w:space="0" w:color="auto"/>
            <w:bottom w:val="none" w:sz="0" w:space="0" w:color="auto"/>
            <w:right w:val="none" w:sz="0" w:space="0" w:color="auto"/>
          </w:divBdr>
          <w:divsChild>
            <w:div w:id="1309237785">
              <w:marLeft w:val="0"/>
              <w:marRight w:val="0"/>
              <w:marTop w:val="120"/>
              <w:marBottom w:val="0"/>
              <w:divBdr>
                <w:top w:val="none" w:sz="0" w:space="0" w:color="auto"/>
                <w:left w:val="none" w:sz="0" w:space="0" w:color="auto"/>
                <w:bottom w:val="none" w:sz="0" w:space="0" w:color="auto"/>
                <w:right w:val="none" w:sz="0" w:space="0" w:color="auto"/>
              </w:divBdr>
            </w:div>
            <w:div w:id="1897475765">
              <w:marLeft w:val="0"/>
              <w:marRight w:val="0"/>
              <w:marTop w:val="0"/>
              <w:marBottom w:val="0"/>
              <w:divBdr>
                <w:top w:val="none" w:sz="0" w:space="0" w:color="auto"/>
                <w:left w:val="none" w:sz="0" w:space="0" w:color="auto"/>
                <w:bottom w:val="none" w:sz="0" w:space="0" w:color="auto"/>
                <w:right w:val="none" w:sz="0" w:space="0" w:color="auto"/>
              </w:divBdr>
            </w:div>
          </w:divsChild>
        </w:div>
        <w:div w:id="1410074175">
          <w:marLeft w:val="0"/>
          <w:marRight w:val="0"/>
          <w:marTop w:val="0"/>
          <w:marBottom w:val="0"/>
          <w:divBdr>
            <w:top w:val="none" w:sz="0" w:space="0" w:color="auto"/>
            <w:left w:val="none" w:sz="0" w:space="0" w:color="auto"/>
            <w:bottom w:val="none" w:sz="0" w:space="0" w:color="auto"/>
            <w:right w:val="none" w:sz="0" w:space="0" w:color="auto"/>
          </w:divBdr>
          <w:divsChild>
            <w:div w:id="1064522530">
              <w:marLeft w:val="0"/>
              <w:marRight w:val="0"/>
              <w:marTop w:val="120"/>
              <w:marBottom w:val="0"/>
              <w:divBdr>
                <w:top w:val="none" w:sz="0" w:space="0" w:color="auto"/>
                <w:left w:val="none" w:sz="0" w:space="0" w:color="auto"/>
                <w:bottom w:val="none" w:sz="0" w:space="0" w:color="auto"/>
                <w:right w:val="none" w:sz="0" w:space="0" w:color="auto"/>
              </w:divBdr>
            </w:div>
            <w:div w:id="1315181802">
              <w:marLeft w:val="0"/>
              <w:marRight w:val="0"/>
              <w:marTop w:val="0"/>
              <w:marBottom w:val="0"/>
              <w:divBdr>
                <w:top w:val="none" w:sz="0" w:space="0" w:color="auto"/>
                <w:left w:val="none" w:sz="0" w:space="0" w:color="auto"/>
                <w:bottom w:val="none" w:sz="0" w:space="0" w:color="auto"/>
                <w:right w:val="none" w:sz="0" w:space="0" w:color="auto"/>
              </w:divBdr>
            </w:div>
          </w:divsChild>
        </w:div>
        <w:div w:id="1117066591">
          <w:marLeft w:val="0"/>
          <w:marRight w:val="0"/>
          <w:marTop w:val="0"/>
          <w:marBottom w:val="0"/>
          <w:divBdr>
            <w:top w:val="none" w:sz="0" w:space="0" w:color="auto"/>
            <w:left w:val="none" w:sz="0" w:space="0" w:color="auto"/>
            <w:bottom w:val="none" w:sz="0" w:space="0" w:color="auto"/>
            <w:right w:val="none" w:sz="0" w:space="0" w:color="auto"/>
          </w:divBdr>
          <w:divsChild>
            <w:div w:id="500895504">
              <w:marLeft w:val="0"/>
              <w:marRight w:val="0"/>
              <w:marTop w:val="120"/>
              <w:marBottom w:val="0"/>
              <w:divBdr>
                <w:top w:val="none" w:sz="0" w:space="0" w:color="auto"/>
                <w:left w:val="none" w:sz="0" w:space="0" w:color="auto"/>
                <w:bottom w:val="none" w:sz="0" w:space="0" w:color="auto"/>
                <w:right w:val="none" w:sz="0" w:space="0" w:color="auto"/>
              </w:divBdr>
            </w:div>
            <w:div w:id="919145401">
              <w:marLeft w:val="0"/>
              <w:marRight w:val="0"/>
              <w:marTop w:val="0"/>
              <w:marBottom w:val="0"/>
              <w:divBdr>
                <w:top w:val="none" w:sz="0" w:space="0" w:color="auto"/>
                <w:left w:val="none" w:sz="0" w:space="0" w:color="auto"/>
                <w:bottom w:val="none" w:sz="0" w:space="0" w:color="auto"/>
                <w:right w:val="none" w:sz="0" w:space="0" w:color="auto"/>
              </w:divBdr>
              <w:divsChild>
                <w:div w:id="1018240533">
                  <w:marLeft w:val="0"/>
                  <w:marRight w:val="0"/>
                  <w:marTop w:val="0"/>
                  <w:marBottom w:val="0"/>
                  <w:divBdr>
                    <w:top w:val="none" w:sz="0" w:space="0" w:color="auto"/>
                    <w:left w:val="none" w:sz="0" w:space="0" w:color="auto"/>
                    <w:bottom w:val="none" w:sz="0" w:space="0" w:color="auto"/>
                    <w:right w:val="none" w:sz="0" w:space="0" w:color="auto"/>
                  </w:divBdr>
                  <w:divsChild>
                    <w:div w:id="1395549442">
                      <w:marLeft w:val="0"/>
                      <w:marRight w:val="0"/>
                      <w:marTop w:val="120"/>
                      <w:marBottom w:val="0"/>
                      <w:divBdr>
                        <w:top w:val="none" w:sz="0" w:space="0" w:color="auto"/>
                        <w:left w:val="none" w:sz="0" w:space="0" w:color="auto"/>
                        <w:bottom w:val="none" w:sz="0" w:space="0" w:color="auto"/>
                        <w:right w:val="none" w:sz="0" w:space="0" w:color="auto"/>
                      </w:divBdr>
                    </w:div>
                    <w:div w:id="715009762">
                      <w:marLeft w:val="0"/>
                      <w:marRight w:val="0"/>
                      <w:marTop w:val="0"/>
                      <w:marBottom w:val="0"/>
                      <w:divBdr>
                        <w:top w:val="none" w:sz="0" w:space="0" w:color="auto"/>
                        <w:left w:val="none" w:sz="0" w:space="0" w:color="auto"/>
                        <w:bottom w:val="none" w:sz="0" w:space="0" w:color="auto"/>
                        <w:right w:val="none" w:sz="0" w:space="0" w:color="auto"/>
                      </w:divBdr>
                    </w:div>
                  </w:divsChild>
                </w:div>
                <w:div w:id="1472480349">
                  <w:marLeft w:val="0"/>
                  <w:marRight w:val="0"/>
                  <w:marTop w:val="0"/>
                  <w:marBottom w:val="0"/>
                  <w:divBdr>
                    <w:top w:val="none" w:sz="0" w:space="0" w:color="auto"/>
                    <w:left w:val="none" w:sz="0" w:space="0" w:color="auto"/>
                    <w:bottom w:val="none" w:sz="0" w:space="0" w:color="auto"/>
                    <w:right w:val="none" w:sz="0" w:space="0" w:color="auto"/>
                  </w:divBdr>
                  <w:divsChild>
                    <w:div w:id="565721852">
                      <w:marLeft w:val="0"/>
                      <w:marRight w:val="0"/>
                      <w:marTop w:val="120"/>
                      <w:marBottom w:val="0"/>
                      <w:divBdr>
                        <w:top w:val="none" w:sz="0" w:space="0" w:color="auto"/>
                        <w:left w:val="none" w:sz="0" w:space="0" w:color="auto"/>
                        <w:bottom w:val="none" w:sz="0" w:space="0" w:color="auto"/>
                        <w:right w:val="none" w:sz="0" w:space="0" w:color="auto"/>
                      </w:divBdr>
                    </w:div>
                    <w:div w:id="93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927466">
      <w:bodyDiv w:val="1"/>
      <w:marLeft w:val="0"/>
      <w:marRight w:val="0"/>
      <w:marTop w:val="0"/>
      <w:marBottom w:val="0"/>
      <w:divBdr>
        <w:top w:val="none" w:sz="0" w:space="0" w:color="auto"/>
        <w:left w:val="none" w:sz="0" w:space="0" w:color="auto"/>
        <w:bottom w:val="none" w:sz="0" w:space="0" w:color="auto"/>
        <w:right w:val="none" w:sz="0" w:space="0" w:color="auto"/>
      </w:divBdr>
      <w:divsChild>
        <w:div w:id="1654526012">
          <w:marLeft w:val="0"/>
          <w:marRight w:val="0"/>
          <w:marTop w:val="0"/>
          <w:marBottom w:val="0"/>
          <w:divBdr>
            <w:top w:val="none" w:sz="0" w:space="0" w:color="auto"/>
            <w:left w:val="none" w:sz="0" w:space="0" w:color="auto"/>
            <w:bottom w:val="none" w:sz="0" w:space="0" w:color="auto"/>
            <w:right w:val="none" w:sz="0" w:space="0" w:color="auto"/>
          </w:divBdr>
        </w:div>
      </w:divsChild>
    </w:div>
    <w:div w:id="1828520219">
      <w:bodyDiv w:val="1"/>
      <w:marLeft w:val="0"/>
      <w:marRight w:val="0"/>
      <w:marTop w:val="0"/>
      <w:marBottom w:val="0"/>
      <w:divBdr>
        <w:top w:val="none" w:sz="0" w:space="0" w:color="auto"/>
        <w:left w:val="none" w:sz="0" w:space="0" w:color="auto"/>
        <w:bottom w:val="none" w:sz="0" w:space="0" w:color="auto"/>
        <w:right w:val="none" w:sz="0" w:space="0" w:color="auto"/>
      </w:divBdr>
      <w:divsChild>
        <w:div w:id="1434210374">
          <w:marLeft w:val="0"/>
          <w:marRight w:val="0"/>
          <w:marTop w:val="0"/>
          <w:marBottom w:val="0"/>
          <w:divBdr>
            <w:top w:val="none" w:sz="0" w:space="0" w:color="auto"/>
            <w:left w:val="none" w:sz="0" w:space="0" w:color="auto"/>
            <w:bottom w:val="none" w:sz="0" w:space="0" w:color="auto"/>
            <w:right w:val="none" w:sz="0" w:space="0" w:color="auto"/>
          </w:divBdr>
        </w:div>
        <w:div w:id="524293911">
          <w:marLeft w:val="0"/>
          <w:marRight w:val="0"/>
          <w:marTop w:val="0"/>
          <w:marBottom w:val="0"/>
          <w:divBdr>
            <w:top w:val="none" w:sz="0" w:space="0" w:color="auto"/>
            <w:left w:val="none" w:sz="0" w:space="0" w:color="auto"/>
            <w:bottom w:val="none" w:sz="0" w:space="0" w:color="auto"/>
            <w:right w:val="none" w:sz="0" w:space="0" w:color="auto"/>
          </w:divBdr>
        </w:div>
      </w:divsChild>
    </w:div>
    <w:div w:id="1829861773">
      <w:bodyDiv w:val="1"/>
      <w:marLeft w:val="0"/>
      <w:marRight w:val="0"/>
      <w:marTop w:val="0"/>
      <w:marBottom w:val="0"/>
      <w:divBdr>
        <w:top w:val="none" w:sz="0" w:space="0" w:color="auto"/>
        <w:left w:val="none" w:sz="0" w:space="0" w:color="auto"/>
        <w:bottom w:val="none" w:sz="0" w:space="0" w:color="auto"/>
        <w:right w:val="none" w:sz="0" w:space="0" w:color="auto"/>
      </w:divBdr>
      <w:divsChild>
        <w:div w:id="967778337">
          <w:marLeft w:val="0"/>
          <w:marRight w:val="0"/>
          <w:marTop w:val="0"/>
          <w:marBottom w:val="0"/>
          <w:divBdr>
            <w:top w:val="none" w:sz="0" w:space="0" w:color="auto"/>
            <w:left w:val="none" w:sz="0" w:space="0" w:color="auto"/>
            <w:bottom w:val="none" w:sz="0" w:space="0" w:color="auto"/>
            <w:right w:val="none" w:sz="0" w:space="0" w:color="auto"/>
          </w:divBdr>
          <w:divsChild>
            <w:div w:id="45492598">
              <w:marLeft w:val="0"/>
              <w:marRight w:val="0"/>
              <w:marTop w:val="0"/>
              <w:marBottom w:val="0"/>
              <w:divBdr>
                <w:top w:val="none" w:sz="0" w:space="0" w:color="auto"/>
                <w:left w:val="none" w:sz="0" w:space="0" w:color="auto"/>
                <w:bottom w:val="none" w:sz="0" w:space="0" w:color="auto"/>
                <w:right w:val="none" w:sz="0" w:space="0" w:color="auto"/>
              </w:divBdr>
              <w:divsChild>
                <w:div w:id="1601525794">
                  <w:marLeft w:val="0"/>
                  <w:marRight w:val="0"/>
                  <w:marTop w:val="0"/>
                  <w:marBottom w:val="0"/>
                  <w:divBdr>
                    <w:top w:val="none" w:sz="0" w:space="0" w:color="auto"/>
                    <w:left w:val="none" w:sz="0" w:space="0" w:color="auto"/>
                    <w:bottom w:val="none" w:sz="0" w:space="0" w:color="auto"/>
                    <w:right w:val="none" w:sz="0" w:space="0" w:color="auto"/>
                  </w:divBdr>
                  <w:divsChild>
                    <w:div w:id="309795796">
                      <w:marLeft w:val="0"/>
                      <w:marRight w:val="0"/>
                      <w:marTop w:val="120"/>
                      <w:marBottom w:val="0"/>
                      <w:divBdr>
                        <w:top w:val="none" w:sz="0" w:space="0" w:color="auto"/>
                        <w:left w:val="none" w:sz="0" w:space="0" w:color="auto"/>
                        <w:bottom w:val="none" w:sz="0" w:space="0" w:color="auto"/>
                        <w:right w:val="none" w:sz="0" w:space="0" w:color="auto"/>
                      </w:divBdr>
                    </w:div>
                    <w:div w:id="710108249">
                      <w:marLeft w:val="0"/>
                      <w:marRight w:val="0"/>
                      <w:marTop w:val="0"/>
                      <w:marBottom w:val="0"/>
                      <w:divBdr>
                        <w:top w:val="none" w:sz="0" w:space="0" w:color="auto"/>
                        <w:left w:val="none" w:sz="0" w:space="0" w:color="auto"/>
                        <w:bottom w:val="none" w:sz="0" w:space="0" w:color="auto"/>
                        <w:right w:val="none" w:sz="0" w:space="0" w:color="auto"/>
                      </w:divBdr>
                    </w:div>
                  </w:divsChild>
                </w:div>
                <w:div w:id="1654144160">
                  <w:marLeft w:val="0"/>
                  <w:marRight w:val="0"/>
                  <w:marTop w:val="0"/>
                  <w:marBottom w:val="0"/>
                  <w:divBdr>
                    <w:top w:val="none" w:sz="0" w:space="0" w:color="auto"/>
                    <w:left w:val="none" w:sz="0" w:space="0" w:color="auto"/>
                    <w:bottom w:val="none" w:sz="0" w:space="0" w:color="auto"/>
                    <w:right w:val="none" w:sz="0" w:space="0" w:color="auto"/>
                  </w:divBdr>
                  <w:divsChild>
                    <w:div w:id="640381760">
                      <w:marLeft w:val="0"/>
                      <w:marRight w:val="0"/>
                      <w:marTop w:val="120"/>
                      <w:marBottom w:val="0"/>
                      <w:divBdr>
                        <w:top w:val="none" w:sz="0" w:space="0" w:color="auto"/>
                        <w:left w:val="none" w:sz="0" w:space="0" w:color="auto"/>
                        <w:bottom w:val="none" w:sz="0" w:space="0" w:color="auto"/>
                        <w:right w:val="none" w:sz="0" w:space="0" w:color="auto"/>
                      </w:divBdr>
                    </w:div>
                    <w:div w:id="267812562">
                      <w:marLeft w:val="0"/>
                      <w:marRight w:val="0"/>
                      <w:marTop w:val="0"/>
                      <w:marBottom w:val="0"/>
                      <w:divBdr>
                        <w:top w:val="none" w:sz="0" w:space="0" w:color="auto"/>
                        <w:left w:val="none" w:sz="0" w:space="0" w:color="auto"/>
                        <w:bottom w:val="none" w:sz="0" w:space="0" w:color="auto"/>
                        <w:right w:val="none" w:sz="0" w:space="0" w:color="auto"/>
                      </w:divBdr>
                    </w:div>
                  </w:divsChild>
                </w:div>
                <w:div w:id="1684279600">
                  <w:marLeft w:val="0"/>
                  <w:marRight w:val="0"/>
                  <w:marTop w:val="0"/>
                  <w:marBottom w:val="0"/>
                  <w:divBdr>
                    <w:top w:val="none" w:sz="0" w:space="0" w:color="auto"/>
                    <w:left w:val="none" w:sz="0" w:space="0" w:color="auto"/>
                    <w:bottom w:val="none" w:sz="0" w:space="0" w:color="auto"/>
                    <w:right w:val="none" w:sz="0" w:space="0" w:color="auto"/>
                  </w:divBdr>
                  <w:divsChild>
                    <w:div w:id="1604680411">
                      <w:marLeft w:val="0"/>
                      <w:marRight w:val="0"/>
                      <w:marTop w:val="120"/>
                      <w:marBottom w:val="0"/>
                      <w:divBdr>
                        <w:top w:val="none" w:sz="0" w:space="0" w:color="auto"/>
                        <w:left w:val="none" w:sz="0" w:space="0" w:color="auto"/>
                        <w:bottom w:val="none" w:sz="0" w:space="0" w:color="auto"/>
                        <w:right w:val="none" w:sz="0" w:space="0" w:color="auto"/>
                      </w:divBdr>
                    </w:div>
                    <w:div w:id="1217357560">
                      <w:marLeft w:val="0"/>
                      <w:marRight w:val="0"/>
                      <w:marTop w:val="0"/>
                      <w:marBottom w:val="0"/>
                      <w:divBdr>
                        <w:top w:val="none" w:sz="0" w:space="0" w:color="auto"/>
                        <w:left w:val="none" w:sz="0" w:space="0" w:color="auto"/>
                        <w:bottom w:val="none" w:sz="0" w:space="0" w:color="auto"/>
                        <w:right w:val="none" w:sz="0" w:space="0" w:color="auto"/>
                      </w:divBdr>
                    </w:div>
                  </w:divsChild>
                </w:div>
                <w:div w:id="614949751">
                  <w:marLeft w:val="0"/>
                  <w:marRight w:val="0"/>
                  <w:marTop w:val="0"/>
                  <w:marBottom w:val="0"/>
                  <w:divBdr>
                    <w:top w:val="none" w:sz="0" w:space="0" w:color="auto"/>
                    <w:left w:val="none" w:sz="0" w:space="0" w:color="auto"/>
                    <w:bottom w:val="none" w:sz="0" w:space="0" w:color="auto"/>
                    <w:right w:val="none" w:sz="0" w:space="0" w:color="auto"/>
                  </w:divBdr>
                  <w:divsChild>
                    <w:div w:id="1888565689">
                      <w:marLeft w:val="0"/>
                      <w:marRight w:val="0"/>
                      <w:marTop w:val="120"/>
                      <w:marBottom w:val="0"/>
                      <w:divBdr>
                        <w:top w:val="none" w:sz="0" w:space="0" w:color="auto"/>
                        <w:left w:val="none" w:sz="0" w:space="0" w:color="auto"/>
                        <w:bottom w:val="none" w:sz="0" w:space="0" w:color="auto"/>
                        <w:right w:val="none" w:sz="0" w:space="0" w:color="auto"/>
                      </w:divBdr>
                    </w:div>
                    <w:div w:id="2041852035">
                      <w:marLeft w:val="0"/>
                      <w:marRight w:val="0"/>
                      <w:marTop w:val="0"/>
                      <w:marBottom w:val="0"/>
                      <w:divBdr>
                        <w:top w:val="none" w:sz="0" w:space="0" w:color="auto"/>
                        <w:left w:val="none" w:sz="0" w:space="0" w:color="auto"/>
                        <w:bottom w:val="none" w:sz="0" w:space="0" w:color="auto"/>
                        <w:right w:val="none" w:sz="0" w:space="0" w:color="auto"/>
                      </w:divBdr>
                      <w:divsChild>
                        <w:div w:id="1394279808">
                          <w:marLeft w:val="0"/>
                          <w:marRight w:val="0"/>
                          <w:marTop w:val="0"/>
                          <w:marBottom w:val="0"/>
                          <w:divBdr>
                            <w:top w:val="none" w:sz="0" w:space="0" w:color="auto"/>
                            <w:left w:val="none" w:sz="0" w:space="0" w:color="auto"/>
                            <w:bottom w:val="none" w:sz="0" w:space="0" w:color="auto"/>
                            <w:right w:val="none" w:sz="0" w:space="0" w:color="auto"/>
                          </w:divBdr>
                          <w:divsChild>
                            <w:div w:id="362437840">
                              <w:marLeft w:val="0"/>
                              <w:marRight w:val="0"/>
                              <w:marTop w:val="120"/>
                              <w:marBottom w:val="0"/>
                              <w:divBdr>
                                <w:top w:val="none" w:sz="0" w:space="0" w:color="auto"/>
                                <w:left w:val="none" w:sz="0" w:space="0" w:color="auto"/>
                                <w:bottom w:val="none" w:sz="0" w:space="0" w:color="auto"/>
                                <w:right w:val="none" w:sz="0" w:space="0" w:color="auto"/>
                              </w:divBdr>
                            </w:div>
                            <w:div w:id="1100759517">
                              <w:marLeft w:val="0"/>
                              <w:marRight w:val="0"/>
                              <w:marTop w:val="0"/>
                              <w:marBottom w:val="0"/>
                              <w:divBdr>
                                <w:top w:val="none" w:sz="0" w:space="0" w:color="auto"/>
                                <w:left w:val="none" w:sz="0" w:space="0" w:color="auto"/>
                                <w:bottom w:val="none" w:sz="0" w:space="0" w:color="auto"/>
                                <w:right w:val="none" w:sz="0" w:space="0" w:color="auto"/>
                              </w:divBdr>
                            </w:div>
                          </w:divsChild>
                        </w:div>
                        <w:div w:id="1373118609">
                          <w:marLeft w:val="0"/>
                          <w:marRight w:val="0"/>
                          <w:marTop w:val="0"/>
                          <w:marBottom w:val="0"/>
                          <w:divBdr>
                            <w:top w:val="none" w:sz="0" w:space="0" w:color="auto"/>
                            <w:left w:val="none" w:sz="0" w:space="0" w:color="auto"/>
                            <w:bottom w:val="none" w:sz="0" w:space="0" w:color="auto"/>
                            <w:right w:val="none" w:sz="0" w:space="0" w:color="auto"/>
                          </w:divBdr>
                          <w:divsChild>
                            <w:div w:id="128599696">
                              <w:marLeft w:val="0"/>
                              <w:marRight w:val="0"/>
                              <w:marTop w:val="120"/>
                              <w:marBottom w:val="0"/>
                              <w:divBdr>
                                <w:top w:val="none" w:sz="0" w:space="0" w:color="auto"/>
                                <w:left w:val="none" w:sz="0" w:space="0" w:color="auto"/>
                                <w:bottom w:val="none" w:sz="0" w:space="0" w:color="auto"/>
                                <w:right w:val="none" w:sz="0" w:space="0" w:color="auto"/>
                              </w:divBdr>
                            </w:div>
                            <w:div w:id="36818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3328479">
          <w:marLeft w:val="0"/>
          <w:marRight w:val="0"/>
          <w:marTop w:val="0"/>
          <w:marBottom w:val="0"/>
          <w:divBdr>
            <w:top w:val="none" w:sz="0" w:space="0" w:color="auto"/>
            <w:left w:val="none" w:sz="0" w:space="0" w:color="auto"/>
            <w:bottom w:val="none" w:sz="0" w:space="0" w:color="auto"/>
            <w:right w:val="none" w:sz="0" w:space="0" w:color="auto"/>
          </w:divBdr>
          <w:divsChild>
            <w:div w:id="2011826993">
              <w:marLeft w:val="0"/>
              <w:marRight w:val="0"/>
              <w:marTop w:val="0"/>
              <w:marBottom w:val="0"/>
              <w:divBdr>
                <w:top w:val="none" w:sz="0" w:space="0" w:color="auto"/>
                <w:left w:val="none" w:sz="0" w:space="0" w:color="auto"/>
                <w:bottom w:val="none" w:sz="0" w:space="0" w:color="auto"/>
                <w:right w:val="none" w:sz="0" w:space="0" w:color="auto"/>
              </w:divBdr>
              <w:divsChild>
                <w:div w:id="1445343159">
                  <w:marLeft w:val="0"/>
                  <w:marRight w:val="0"/>
                  <w:marTop w:val="0"/>
                  <w:marBottom w:val="0"/>
                  <w:divBdr>
                    <w:top w:val="none" w:sz="0" w:space="0" w:color="auto"/>
                    <w:left w:val="none" w:sz="0" w:space="0" w:color="auto"/>
                    <w:bottom w:val="none" w:sz="0" w:space="0" w:color="auto"/>
                    <w:right w:val="none" w:sz="0" w:space="0" w:color="auto"/>
                  </w:divBdr>
                  <w:divsChild>
                    <w:div w:id="657268226">
                      <w:marLeft w:val="0"/>
                      <w:marRight w:val="0"/>
                      <w:marTop w:val="120"/>
                      <w:marBottom w:val="0"/>
                      <w:divBdr>
                        <w:top w:val="none" w:sz="0" w:space="0" w:color="auto"/>
                        <w:left w:val="none" w:sz="0" w:space="0" w:color="auto"/>
                        <w:bottom w:val="none" w:sz="0" w:space="0" w:color="auto"/>
                        <w:right w:val="none" w:sz="0" w:space="0" w:color="auto"/>
                      </w:divBdr>
                    </w:div>
                    <w:div w:id="1340037972">
                      <w:marLeft w:val="0"/>
                      <w:marRight w:val="0"/>
                      <w:marTop w:val="0"/>
                      <w:marBottom w:val="0"/>
                      <w:divBdr>
                        <w:top w:val="none" w:sz="0" w:space="0" w:color="auto"/>
                        <w:left w:val="none" w:sz="0" w:space="0" w:color="auto"/>
                        <w:bottom w:val="none" w:sz="0" w:space="0" w:color="auto"/>
                        <w:right w:val="none" w:sz="0" w:space="0" w:color="auto"/>
                      </w:divBdr>
                    </w:div>
                  </w:divsChild>
                </w:div>
                <w:div w:id="1491752045">
                  <w:marLeft w:val="0"/>
                  <w:marRight w:val="0"/>
                  <w:marTop w:val="0"/>
                  <w:marBottom w:val="0"/>
                  <w:divBdr>
                    <w:top w:val="none" w:sz="0" w:space="0" w:color="auto"/>
                    <w:left w:val="none" w:sz="0" w:space="0" w:color="auto"/>
                    <w:bottom w:val="none" w:sz="0" w:space="0" w:color="auto"/>
                    <w:right w:val="none" w:sz="0" w:space="0" w:color="auto"/>
                  </w:divBdr>
                  <w:divsChild>
                    <w:div w:id="577256300">
                      <w:marLeft w:val="0"/>
                      <w:marRight w:val="0"/>
                      <w:marTop w:val="120"/>
                      <w:marBottom w:val="0"/>
                      <w:divBdr>
                        <w:top w:val="none" w:sz="0" w:space="0" w:color="auto"/>
                        <w:left w:val="none" w:sz="0" w:space="0" w:color="auto"/>
                        <w:bottom w:val="none" w:sz="0" w:space="0" w:color="auto"/>
                        <w:right w:val="none" w:sz="0" w:space="0" w:color="auto"/>
                      </w:divBdr>
                    </w:div>
                    <w:div w:id="92577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462716">
          <w:marLeft w:val="0"/>
          <w:marRight w:val="0"/>
          <w:marTop w:val="0"/>
          <w:marBottom w:val="0"/>
          <w:divBdr>
            <w:top w:val="none" w:sz="0" w:space="0" w:color="auto"/>
            <w:left w:val="none" w:sz="0" w:space="0" w:color="auto"/>
            <w:bottom w:val="none" w:sz="0" w:space="0" w:color="auto"/>
            <w:right w:val="none" w:sz="0" w:space="0" w:color="auto"/>
          </w:divBdr>
          <w:divsChild>
            <w:div w:id="1457942108">
              <w:marLeft w:val="0"/>
              <w:marRight w:val="0"/>
              <w:marTop w:val="0"/>
              <w:marBottom w:val="0"/>
              <w:divBdr>
                <w:top w:val="none" w:sz="0" w:space="0" w:color="auto"/>
                <w:left w:val="none" w:sz="0" w:space="0" w:color="auto"/>
                <w:bottom w:val="none" w:sz="0" w:space="0" w:color="auto"/>
                <w:right w:val="none" w:sz="0" w:space="0" w:color="auto"/>
              </w:divBdr>
            </w:div>
          </w:divsChild>
        </w:div>
        <w:div w:id="716900738">
          <w:marLeft w:val="0"/>
          <w:marRight w:val="0"/>
          <w:marTop w:val="0"/>
          <w:marBottom w:val="0"/>
          <w:divBdr>
            <w:top w:val="none" w:sz="0" w:space="0" w:color="auto"/>
            <w:left w:val="none" w:sz="0" w:space="0" w:color="auto"/>
            <w:bottom w:val="none" w:sz="0" w:space="0" w:color="auto"/>
            <w:right w:val="none" w:sz="0" w:space="0" w:color="auto"/>
          </w:divBdr>
          <w:divsChild>
            <w:div w:id="614681883">
              <w:marLeft w:val="0"/>
              <w:marRight w:val="0"/>
              <w:marTop w:val="0"/>
              <w:marBottom w:val="0"/>
              <w:divBdr>
                <w:top w:val="none" w:sz="0" w:space="0" w:color="auto"/>
                <w:left w:val="none" w:sz="0" w:space="0" w:color="auto"/>
                <w:bottom w:val="none" w:sz="0" w:space="0" w:color="auto"/>
                <w:right w:val="none" w:sz="0" w:space="0" w:color="auto"/>
              </w:divBdr>
              <w:divsChild>
                <w:div w:id="1015764904">
                  <w:marLeft w:val="0"/>
                  <w:marRight w:val="0"/>
                  <w:marTop w:val="0"/>
                  <w:marBottom w:val="0"/>
                  <w:divBdr>
                    <w:top w:val="none" w:sz="0" w:space="0" w:color="auto"/>
                    <w:left w:val="none" w:sz="0" w:space="0" w:color="auto"/>
                    <w:bottom w:val="none" w:sz="0" w:space="0" w:color="auto"/>
                    <w:right w:val="none" w:sz="0" w:space="0" w:color="auto"/>
                  </w:divBdr>
                  <w:divsChild>
                    <w:div w:id="78991752">
                      <w:marLeft w:val="0"/>
                      <w:marRight w:val="0"/>
                      <w:marTop w:val="120"/>
                      <w:marBottom w:val="0"/>
                      <w:divBdr>
                        <w:top w:val="none" w:sz="0" w:space="0" w:color="auto"/>
                        <w:left w:val="none" w:sz="0" w:space="0" w:color="auto"/>
                        <w:bottom w:val="none" w:sz="0" w:space="0" w:color="auto"/>
                        <w:right w:val="none" w:sz="0" w:space="0" w:color="auto"/>
                      </w:divBdr>
                    </w:div>
                    <w:div w:id="1793403558">
                      <w:marLeft w:val="0"/>
                      <w:marRight w:val="0"/>
                      <w:marTop w:val="0"/>
                      <w:marBottom w:val="0"/>
                      <w:divBdr>
                        <w:top w:val="none" w:sz="0" w:space="0" w:color="auto"/>
                        <w:left w:val="none" w:sz="0" w:space="0" w:color="auto"/>
                        <w:bottom w:val="none" w:sz="0" w:space="0" w:color="auto"/>
                        <w:right w:val="none" w:sz="0" w:space="0" w:color="auto"/>
                      </w:divBdr>
                    </w:div>
                  </w:divsChild>
                </w:div>
                <w:div w:id="574827657">
                  <w:marLeft w:val="0"/>
                  <w:marRight w:val="0"/>
                  <w:marTop w:val="0"/>
                  <w:marBottom w:val="0"/>
                  <w:divBdr>
                    <w:top w:val="none" w:sz="0" w:space="0" w:color="auto"/>
                    <w:left w:val="none" w:sz="0" w:space="0" w:color="auto"/>
                    <w:bottom w:val="none" w:sz="0" w:space="0" w:color="auto"/>
                    <w:right w:val="none" w:sz="0" w:space="0" w:color="auto"/>
                  </w:divBdr>
                  <w:divsChild>
                    <w:div w:id="1890875574">
                      <w:marLeft w:val="0"/>
                      <w:marRight w:val="0"/>
                      <w:marTop w:val="120"/>
                      <w:marBottom w:val="0"/>
                      <w:divBdr>
                        <w:top w:val="none" w:sz="0" w:space="0" w:color="auto"/>
                        <w:left w:val="none" w:sz="0" w:space="0" w:color="auto"/>
                        <w:bottom w:val="none" w:sz="0" w:space="0" w:color="auto"/>
                        <w:right w:val="none" w:sz="0" w:space="0" w:color="auto"/>
                      </w:divBdr>
                    </w:div>
                    <w:div w:id="672074477">
                      <w:marLeft w:val="0"/>
                      <w:marRight w:val="0"/>
                      <w:marTop w:val="0"/>
                      <w:marBottom w:val="0"/>
                      <w:divBdr>
                        <w:top w:val="none" w:sz="0" w:space="0" w:color="auto"/>
                        <w:left w:val="none" w:sz="0" w:space="0" w:color="auto"/>
                        <w:bottom w:val="none" w:sz="0" w:space="0" w:color="auto"/>
                        <w:right w:val="none" w:sz="0" w:space="0" w:color="auto"/>
                      </w:divBdr>
                      <w:divsChild>
                        <w:div w:id="513424425">
                          <w:marLeft w:val="0"/>
                          <w:marRight w:val="0"/>
                          <w:marTop w:val="0"/>
                          <w:marBottom w:val="0"/>
                          <w:divBdr>
                            <w:top w:val="none" w:sz="0" w:space="0" w:color="auto"/>
                            <w:left w:val="none" w:sz="0" w:space="0" w:color="auto"/>
                            <w:bottom w:val="none" w:sz="0" w:space="0" w:color="auto"/>
                            <w:right w:val="none" w:sz="0" w:space="0" w:color="auto"/>
                          </w:divBdr>
                          <w:divsChild>
                            <w:div w:id="184948948">
                              <w:marLeft w:val="0"/>
                              <w:marRight w:val="0"/>
                              <w:marTop w:val="120"/>
                              <w:marBottom w:val="0"/>
                              <w:divBdr>
                                <w:top w:val="none" w:sz="0" w:space="0" w:color="auto"/>
                                <w:left w:val="none" w:sz="0" w:space="0" w:color="auto"/>
                                <w:bottom w:val="none" w:sz="0" w:space="0" w:color="auto"/>
                                <w:right w:val="none" w:sz="0" w:space="0" w:color="auto"/>
                              </w:divBdr>
                            </w:div>
                            <w:div w:id="70322671">
                              <w:marLeft w:val="0"/>
                              <w:marRight w:val="0"/>
                              <w:marTop w:val="0"/>
                              <w:marBottom w:val="0"/>
                              <w:divBdr>
                                <w:top w:val="none" w:sz="0" w:space="0" w:color="auto"/>
                                <w:left w:val="none" w:sz="0" w:space="0" w:color="auto"/>
                                <w:bottom w:val="none" w:sz="0" w:space="0" w:color="auto"/>
                                <w:right w:val="none" w:sz="0" w:space="0" w:color="auto"/>
                              </w:divBdr>
                            </w:div>
                          </w:divsChild>
                        </w:div>
                        <w:div w:id="189496059">
                          <w:marLeft w:val="0"/>
                          <w:marRight w:val="0"/>
                          <w:marTop w:val="0"/>
                          <w:marBottom w:val="0"/>
                          <w:divBdr>
                            <w:top w:val="none" w:sz="0" w:space="0" w:color="auto"/>
                            <w:left w:val="none" w:sz="0" w:space="0" w:color="auto"/>
                            <w:bottom w:val="none" w:sz="0" w:space="0" w:color="auto"/>
                            <w:right w:val="none" w:sz="0" w:space="0" w:color="auto"/>
                          </w:divBdr>
                          <w:divsChild>
                            <w:div w:id="478379339">
                              <w:marLeft w:val="0"/>
                              <w:marRight w:val="0"/>
                              <w:marTop w:val="120"/>
                              <w:marBottom w:val="0"/>
                              <w:divBdr>
                                <w:top w:val="none" w:sz="0" w:space="0" w:color="auto"/>
                                <w:left w:val="none" w:sz="0" w:space="0" w:color="auto"/>
                                <w:bottom w:val="none" w:sz="0" w:space="0" w:color="auto"/>
                                <w:right w:val="none" w:sz="0" w:space="0" w:color="auto"/>
                              </w:divBdr>
                            </w:div>
                            <w:div w:id="165055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6113108">
          <w:marLeft w:val="0"/>
          <w:marRight w:val="0"/>
          <w:marTop w:val="0"/>
          <w:marBottom w:val="0"/>
          <w:divBdr>
            <w:top w:val="none" w:sz="0" w:space="0" w:color="auto"/>
            <w:left w:val="none" w:sz="0" w:space="0" w:color="auto"/>
            <w:bottom w:val="none" w:sz="0" w:space="0" w:color="auto"/>
            <w:right w:val="none" w:sz="0" w:space="0" w:color="auto"/>
          </w:divBdr>
          <w:divsChild>
            <w:div w:id="156973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457477">
      <w:bodyDiv w:val="1"/>
      <w:marLeft w:val="0"/>
      <w:marRight w:val="0"/>
      <w:marTop w:val="0"/>
      <w:marBottom w:val="0"/>
      <w:divBdr>
        <w:top w:val="none" w:sz="0" w:space="0" w:color="auto"/>
        <w:left w:val="none" w:sz="0" w:space="0" w:color="auto"/>
        <w:bottom w:val="none" w:sz="0" w:space="0" w:color="auto"/>
        <w:right w:val="none" w:sz="0" w:space="0" w:color="auto"/>
      </w:divBdr>
      <w:divsChild>
        <w:div w:id="182090674">
          <w:marLeft w:val="0"/>
          <w:marRight w:val="0"/>
          <w:marTop w:val="0"/>
          <w:marBottom w:val="0"/>
          <w:divBdr>
            <w:top w:val="none" w:sz="0" w:space="0" w:color="auto"/>
            <w:left w:val="none" w:sz="0" w:space="0" w:color="auto"/>
            <w:bottom w:val="none" w:sz="0" w:space="0" w:color="auto"/>
            <w:right w:val="none" w:sz="0" w:space="0" w:color="auto"/>
          </w:divBdr>
          <w:divsChild>
            <w:div w:id="919750895">
              <w:marLeft w:val="0"/>
              <w:marRight w:val="0"/>
              <w:marTop w:val="0"/>
              <w:marBottom w:val="0"/>
              <w:divBdr>
                <w:top w:val="none" w:sz="0" w:space="0" w:color="auto"/>
                <w:left w:val="none" w:sz="0" w:space="0" w:color="auto"/>
                <w:bottom w:val="none" w:sz="0" w:space="0" w:color="auto"/>
                <w:right w:val="none" w:sz="0" w:space="0" w:color="auto"/>
              </w:divBdr>
            </w:div>
          </w:divsChild>
        </w:div>
        <w:div w:id="128209582">
          <w:marLeft w:val="0"/>
          <w:marRight w:val="0"/>
          <w:marTop w:val="0"/>
          <w:marBottom w:val="0"/>
          <w:divBdr>
            <w:top w:val="none" w:sz="0" w:space="0" w:color="auto"/>
            <w:left w:val="none" w:sz="0" w:space="0" w:color="auto"/>
            <w:bottom w:val="none" w:sz="0" w:space="0" w:color="auto"/>
            <w:right w:val="none" w:sz="0" w:space="0" w:color="auto"/>
          </w:divBdr>
          <w:divsChild>
            <w:div w:id="331838315">
              <w:marLeft w:val="0"/>
              <w:marRight w:val="0"/>
              <w:marTop w:val="0"/>
              <w:marBottom w:val="0"/>
              <w:divBdr>
                <w:top w:val="none" w:sz="0" w:space="0" w:color="auto"/>
                <w:left w:val="none" w:sz="0" w:space="0" w:color="auto"/>
                <w:bottom w:val="none" w:sz="0" w:space="0" w:color="auto"/>
                <w:right w:val="none" w:sz="0" w:space="0" w:color="auto"/>
              </w:divBdr>
              <w:divsChild>
                <w:div w:id="1590581741">
                  <w:marLeft w:val="0"/>
                  <w:marRight w:val="0"/>
                  <w:marTop w:val="0"/>
                  <w:marBottom w:val="0"/>
                  <w:divBdr>
                    <w:top w:val="none" w:sz="0" w:space="0" w:color="auto"/>
                    <w:left w:val="none" w:sz="0" w:space="0" w:color="auto"/>
                    <w:bottom w:val="none" w:sz="0" w:space="0" w:color="auto"/>
                    <w:right w:val="none" w:sz="0" w:space="0" w:color="auto"/>
                  </w:divBdr>
                  <w:divsChild>
                    <w:div w:id="431125026">
                      <w:marLeft w:val="0"/>
                      <w:marRight w:val="0"/>
                      <w:marTop w:val="120"/>
                      <w:marBottom w:val="0"/>
                      <w:divBdr>
                        <w:top w:val="none" w:sz="0" w:space="0" w:color="auto"/>
                        <w:left w:val="none" w:sz="0" w:space="0" w:color="auto"/>
                        <w:bottom w:val="none" w:sz="0" w:space="0" w:color="auto"/>
                        <w:right w:val="none" w:sz="0" w:space="0" w:color="auto"/>
                      </w:divBdr>
                    </w:div>
                    <w:div w:id="645279206">
                      <w:marLeft w:val="0"/>
                      <w:marRight w:val="0"/>
                      <w:marTop w:val="0"/>
                      <w:marBottom w:val="0"/>
                      <w:divBdr>
                        <w:top w:val="none" w:sz="0" w:space="0" w:color="auto"/>
                        <w:left w:val="none" w:sz="0" w:space="0" w:color="auto"/>
                        <w:bottom w:val="none" w:sz="0" w:space="0" w:color="auto"/>
                        <w:right w:val="none" w:sz="0" w:space="0" w:color="auto"/>
                      </w:divBdr>
                    </w:div>
                  </w:divsChild>
                </w:div>
                <w:div w:id="207305682">
                  <w:marLeft w:val="0"/>
                  <w:marRight w:val="0"/>
                  <w:marTop w:val="0"/>
                  <w:marBottom w:val="0"/>
                  <w:divBdr>
                    <w:top w:val="none" w:sz="0" w:space="0" w:color="auto"/>
                    <w:left w:val="none" w:sz="0" w:space="0" w:color="auto"/>
                    <w:bottom w:val="none" w:sz="0" w:space="0" w:color="auto"/>
                    <w:right w:val="none" w:sz="0" w:space="0" w:color="auto"/>
                  </w:divBdr>
                  <w:divsChild>
                    <w:div w:id="2085836479">
                      <w:marLeft w:val="0"/>
                      <w:marRight w:val="0"/>
                      <w:marTop w:val="120"/>
                      <w:marBottom w:val="0"/>
                      <w:divBdr>
                        <w:top w:val="none" w:sz="0" w:space="0" w:color="auto"/>
                        <w:left w:val="none" w:sz="0" w:space="0" w:color="auto"/>
                        <w:bottom w:val="none" w:sz="0" w:space="0" w:color="auto"/>
                        <w:right w:val="none" w:sz="0" w:space="0" w:color="auto"/>
                      </w:divBdr>
                    </w:div>
                    <w:div w:id="2098286361">
                      <w:marLeft w:val="0"/>
                      <w:marRight w:val="0"/>
                      <w:marTop w:val="0"/>
                      <w:marBottom w:val="0"/>
                      <w:divBdr>
                        <w:top w:val="none" w:sz="0" w:space="0" w:color="auto"/>
                        <w:left w:val="none" w:sz="0" w:space="0" w:color="auto"/>
                        <w:bottom w:val="none" w:sz="0" w:space="0" w:color="auto"/>
                        <w:right w:val="none" w:sz="0" w:space="0" w:color="auto"/>
                      </w:divBdr>
                    </w:div>
                  </w:divsChild>
                </w:div>
                <w:div w:id="326908255">
                  <w:marLeft w:val="0"/>
                  <w:marRight w:val="0"/>
                  <w:marTop w:val="0"/>
                  <w:marBottom w:val="0"/>
                  <w:divBdr>
                    <w:top w:val="none" w:sz="0" w:space="0" w:color="auto"/>
                    <w:left w:val="none" w:sz="0" w:space="0" w:color="auto"/>
                    <w:bottom w:val="none" w:sz="0" w:space="0" w:color="auto"/>
                    <w:right w:val="none" w:sz="0" w:space="0" w:color="auto"/>
                  </w:divBdr>
                  <w:divsChild>
                    <w:div w:id="1909461656">
                      <w:marLeft w:val="0"/>
                      <w:marRight w:val="0"/>
                      <w:marTop w:val="120"/>
                      <w:marBottom w:val="0"/>
                      <w:divBdr>
                        <w:top w:val="none" w:sz="0" w:space="0" w:color="auto"/>
                        <w:left w:val="none" w:sz="0" w:space="0" w:color="auto"/>
                        <w:bottom w:val="none" w:sz="0" w:space="0" w:color="auto"/>
                        <w:right w:val="none" w:sz="0" w:space="0" w:color="auto"/>
                      </w:divBdr>
                    </w:div>
                    <w:div w:id="1311595093">
                      <w:marLeft w:val="0"/>
                      <w:marRight w:val="0"/>
                      <w:marTop w:val="0"/>
                      <w:marBottom w:val="0"/>
                      <w:divBdr>
                        <w:top w:val="none" w:sz="0" w:space="0" w:color="auto"/>
                        <w:left w:val="none" w:sz="0" w:space="0" w:color="auto"/>
                        <w:bottom w:val="none" w:sz="0" w:space="0" w:color="auto"/>
                        <w:right w:val="none" w:sz="0" w:space="0" w:color="auto"/>
                      </w:divBdr>
                    </w:div>
                  </w:divsChild>
                </w:div>
                <w:div w:id="1042747298">
                  <w:marLeft w:val="0"/>
                  <w:marRight w:val="0"/>
                  <w:marTop w:val="0"/>
                  <w:marBottom w:val="0"/>
                  <w:divBdr>
                    <w:top w:val="none" w:sz="0" w:space="0" w:color="auto"/>
                    <w:left w:val="none" w:sz="0" w:space="0" w:color="auto"/>
                    <w:bottom w:val="none" w:sz="0" w:space="0" w:color="auto"/>
                    <w:right w:val="none" w:sz="0" w:space="0" w:color="auto"/>
                  </w:divBdr>
                  <w:divsChild>
                    <w:div w:id="2059816674">
                      <w:marLeft w:val="0"/>
                      <w:marRight w:val="0"/>
                      <w:marTop w:val="120"/>
                      <w:marBottom w:val="0"/>
                      <w:divBdr>
                        <w:top w:val="none" w:sz="0" w:space="0" w:color="auto"/>
                        <w:left w:val="none" w:sz="0" w:space="0" w:color="auto"/>
                        <w:bottom w:val="none" w:sz="0" w:space="0" w:color="auto"/>
                        <w:right w:val="none" w:sz="0" w:space="0" w:color="auto"/>
                      </w:divBdr>
                    </w:div>
                    <w:div w:id="147213752">
                      <w:marLeft w:val="0"/>
                      <w:marRight w:val="0"/>
                      <w:marTop w:val="0"/>
                      <w:marBottom w:val="0"/>
                      <w:divBdr>
                        <w:top w:val="none" w:sz="0" w:space="0" w:color="auto"/>
                        <w:left w:val="none" w:sz="0" w:space="0" w:color="auto"/>
                        <w:bottom w:val="none" w:sz="0" w:space="0" w:color="auto"/>
                        <w:right w:val="none" w:sz="0" w:space="0" w:color="auto"/>
                      </w:divBdr>
                      <w:divsChild>
                        <w:div w:id="1688289329">
                          <w:marLeft w:val="0"/>
                          <w:marRight w:val="0"/>
                          <w:marTop w:val="0"/>
                          <w:marBottom w:val="0"/>
                          <w:divBdr>
                            <w:top w:val="none" w:sz="0" w:space="0" w:color="auto"/>
                            <w:left w:val="none" w:sz="0" w:space="0" w:color="auto"/>
                            <w:bottom w:val="none" w:sz="0" w:space="0" w:color="auto"/>
                            <w:right w:val="none" w:sz="0" w:space="0" w:color="auto"/>
                          </w:divBdr>
                          <w:divsChild>
                            <w:div w:id="1566262298">
                              <w:marLeft w:val="0"/>
                              <w:marRight w:val="0"/>
                              <w:marTop w:val="120"/>
                              <w:marBottom w:val="0"/>
                              <w:divBdr>
                                <w:top w:val="none" w:sz="0" w:space="0" w:color="auto"/>
                                <w:left w:val="none" w:sz="0" w:space="0" w:color="auto"/>
                                <w:bottom w:val="none" w:sz="0" w:space="0" w:color="auto"/>
                                <w:right w:val="none" w:sz="0" w:space="0" w:color="auto"/>
                              </w:divBdr>
                            </w:div>
                            <w:div w:id="655377625">
                              <w:marLeft w:val="0"/>
                              <w:marRight w:val="0"/>
                              <w:marTop w:val="0"/>
                              <w:marBottom w:val="0"/>
                              <w:divBdr>
                                <w:top w:val="none" w:sz="0" w:space="0" w:color="auto"/>
                                <w:left w:val="none" w:sz="0" w:space="0" w:color="auto"/>
                                <w:bottom w:val="none" w:sz="0" w:space="0" w:color="auto"/>
                                <w:right w:val="none" w:sz="0" w:space="0" w:color="auto"/>
                              </w:divBdr>
                            </w:div>
                          </w:divsChild>
                        </w:div>
                        <w:div w:id="1859269833">
                          <w:marLeft w:val="0"/>
                          <w:marRight w:val="0"/>
                          <w:marTop w:val="0"/>
                          <w:marBottom w:val="0"/>
                          <w:divBdr>
                            <w:top w:val="none" w:sz="0" w:space="0" w:color="auto"/>
                            <w:left w:val="none" w:sz="0" w:space="0" w:color="auto"/>
                            <w:bottom w:val="none" w:sz="0" w:space="0" w:color="auto"/>
                            <w:right w:val="none" w:sz="0" w:space="0" w:color="auto"/>
                          </w:divBdr>
                          <w:divsChild>
                            <w:div w:id="905917011">
                              <w:marLeft w:val="0"/>
                              <w:marRight w:val="0"/>
                              <w:marTop w:val="120"/>
                              <w:marBottom w:val="0"/>
                              <w:divBdr>
                                <w:top w:val="none" w:sz="0" w:space="0" w:color="auto"/>
                                <w:left w:val="none" w:sz="0" w:space="0" w:color="auto"/>
                                <w:bottom w:val="none" w:sz="0" w:space="0" w:color="auto"/>
                                <w:right w:val="none" w:sz="0" w:space="0" w:color="auto"/>
                              </w:divBdr>
                            </w:div>
                            <w:div w:id="57937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05027">
                  <w:marLeft w:val="0"/>
                  <w:marRight w:val="0"/>
                  <w:marTop w:val="0"/>
                  <w:marBottom w:val="0"/>
                  <w:divBdr>
                    <w:top w:val="none" w:sz="0" w:space="0" w:color="auto"/>
                    <w:left w:val="none" w:sz="0" w:space="0" w:color="auto"/>
                    <w:bottom w:val="none" w:sz="0" w:space="0" w:color="auto"/>
                    <w:right w:val="none" w:sz="0" w:space="0" w:color="auto"/>
                  </w:divBdr>
                  <w:divsChild>
                    <w:div w:id="1442608735">
                      <w:marLeft w:val="0"/>
                      <w:marRight w:val="0"/>
                      <w:marTop w:val="120"/>
                      <w:marBottom w:val="0"/>
                      <w:divBdr>
                        <w:top w:val="none" w:sz="0" w:space="0" w:color="auto"/>
                        <w:left w:val="none" w:sz="0" w:space="0" w:color="auto"/>
                        <w:bottom w:val="none" w:sz="0" w:space="0" w:color="auto"/>
                        <w:right w:val="none" w:sz="0" w:space="0" w:color="auto"/>
                      </w:divBdr>
                    </w:div>
                    <w:div w:id="1412040024">
                      <w:marLeft w:val="0"/>
                      <w:marRight w:val="0"/>
                      <w:marTop w:val="0"/>
                      <w:marBottom w:val="0"/>
                      <w:divBdr>
                        <w:top w:val="none" w:sz="0" w:space="0" w:color="auto"/>
                        <w:left w:val="none" w:sz="0" w:space="0" w:color="auto"/>
                        <w:bottom w:val="none" w:sz="0" w:space="0" w:color="auto"/>
                        <w:right w:val="none" w:sz="0" w:space="0" w:color="auto"/>
                      </w:divBdr>
                    </w:div>
                  </w:divsChild>
                </w:div>
                <w:div w:id="68428984">
                  <w:marLeft w:val="0"/>
                  <w:marRight w:val="0"/>
                  <w:marTop w:val="0"/>
                  <w:marBottom w:val="0"/>
                  <w:divBdr>
                    <w:top w:val="none" w:sz="0" w:space="0" w:color="auto"/>
                    <w:left w:val="none" w:sz="0" w:space="0" w:color="auto"/>
                    <w:bottom w:val="none" w:sz="0" w:space="0" w:color="auto"/>
                    <w:right w:val="none" w:sz="0" w:space="0" w:color="auto"/>
                  </w:divBdr>
                  <w:divsChild>
                    <w:div w:id="1448158546">
                      <w:marLeft w:val="0"/>
                      <w:marRight w:val="0"/>
                      <w:marTop w:val="120"/>
                      <w:marBottom w:val="0"/>
                      <w:divBdr>
                        <w:top w:val="none" w:sz="0" w:space="0" w:color="auto"/>
                        <w:left w:val="none" w:sz="0" w:space="0" w:color="auto"/>
                        <w:bottom w:val="none" w:sz="0" w:space="0" w:color="auto"/>
                        <w:right w:val="none" w:sz="0" w:space="0" w:color="auto"/>
                      </w:divBdr>
                    </w:div>
                    <w:div w:id="1101296268">
                      <w:marLeft w:val="0"/>
                      <w:marRight w:val="0"/>
                      <w:marTop w:val="0"/>
                      <w:marBottom w:val="0"/>
                      <w:divBdr>
                        <w:top w:val="none" w:sz="0" w:space="0" w:color="auto"/>
                        <w:left w:val="none" w:sz="0" w:space="0" w:color="auto"/>
                        <w:bottom w:val="none" w:sz="0" w:space="0" w:color="auto"/>
                        <w:right w:val="none" w:sz="0" w:space="0" w:color="auto"/>
                      </w:divBdr>
                    </w:div>
                  </w:divsChild>
                </w:div>
                <w:div w:id="398138146">
                  <w:marLeft w:val="0"/>
                  <w:marRight w:val="0"/>
                  <w:marTop w:val="0"/>
                  <w:marBottom w:val="0"/>
                  <w:divBdr>
                    <w:top w:val="none" w:sz="0" w:space="0" w:color="auto"/>
                    <w:left w:val="none" w:sz="0" w:space="0" w:color="auto"/>
                    <w:bottom w:val="none" w:sz="0" w:space="0" w:color="auto"/>
                    <w:right w:val="none" w:sz="0" w:space="0" w:color="auto"/>
                  </w:divBdr>
                  <w:divsChild>
                    <w:div w:id="1004404890">
                      <w:marLeft w:val="0"/>
                      <w:marRight w:val="0"/>
                      <w:marTop w:val="120"/>
                      <w:marBottom w:val="0"/>
                      <w:divBdr>
                        <w:top w:val="none" w:sz="0" w:space="0" w:color="auto"/>
                        <w:left w:val="none" w:sz="0" w:space="0" w:color="auto"/>
                        <w:bottom w:val="none" w:sz="0" w:space="0" w:color="auto"/>
                        <w:right w:val="none" w:sz="0" w:space="0" w:color="auto"/>
                      </w:divBdr>
                    </w:div>
                    <w:div w:id="275908125">
                      <w:marLeft w:val="0"/>
                      <w:marRight w:val="0"/>
                      <w:marTop w:val="0"/>
                      <w:marBottom w:val="0"/>
                      <w:divBdr>
                        <w:top w:val="none" w:sz="0" w:space="0" w:color="auto"/>
                        <w:left w:val="none" w:sz="0" w:space="0" w:color="auto"/>
                        <w:bottom w:val="none" w:sz="0" w:space="0" w:color="auto"/>
                        <w:right w:val="none" w:sz="0" w:space="0" w:color="auto"/>
                      </w:divBdr>
                    </w:div>
                  </w:divsChild>
                </w:div>
                <w:div w:id="897397240">
                  <w:marLeft w:val="0"/>
                  <w:marRight w:val="0"/>
                  <w:marTop w:val="0"/>
                  <w:marBottom w:val="0"/>
                  <w:divBdr>
                    <w:top w:val="none" w:sz="0" w:space="0" w:color="auto"/>
                    <w:left w:val="none" w:sz="0" w:space="0" w:color="auto"/>
                    <w:bottom w:val="none" w:sz="0" w:space="0" w:color="auto"/>
                    <w:right w:val="none" w:sz="0" w:space="0" w:color="auto"/>
                  </w:divBdr>
                  <w:divsChild>
                    <w:div w:id="1759903855">
                      <w:marLeft w:val="0"/>
                      <w:marRight w:val="0"/>
                      <w:marTop w:val="120"/>
                      <w:marBottom w:val="0"/>
                      <w:divBdr>
                        <w:top w:val="none" w:sz="0" w:space="0" w:color="auto"/>
                        <w:left w:val="none" w:sz="0" w:space="0" w:color="auto"/>
                        <w:bottom w:val="none" w:sz="0" w:space="0" w:color="auto"/>
                        <w:right w:val="none" w:sz="0" w:space="0" w:color="auto"/>
                      </w:divBdr>
                    </w:div>
                    <w:div w:id="78631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893218">
      <w:bodyDiv w:val="1"/>
      <w:marLeft w:val="0"/>
      <w:marRight w:val="0"/>
      <w:marTop w:val="0"/>
      <w:marBottom w:val="0"/>
      <w:divBdr>
        <w:top w:val="none" w:sz="0" w:space="0" w:color="auto"/>
        <w:left w:val="none" w:sz="0" w:space="0" w:color="auto"/>
        <w:bottom w:val="none" w:sz="0" w:space="0" w:color="auto"/>
        <w:right w:val="none" w:sz="0" w:space="0" w:color="auto"/>
      </w:divBdr>
    </w:div>
    <w:div w:id="1850676258">
      <w:bodyDiv w:val="1"/>
      <w:marLeft w:val="0"/>
      <w:marRight w:val="0"/>
      <w:marTop w:val="0"/>
      <w:marBottom w:val="0"/>
      <w:divBdr>
        <w:top w:val="none" w:sz="0" w:space="0" w:color="auto"/>
        <w:left w:val="none" w:sz="0" w:space="0" w:color="auto"/>
        <w:bottom w:val="none" w:sz="0" w:space="0" w:color="auto"/>
        <w:right w:val="none" w:sz="0" w:space="0" w:color="auto"/>
      </w:divBdr>
      <w:divsChild>
        <w:div w:id="528102467">
          <w:marLeft w:val="0"/>
          <w:marRight w:val="0"/>
          <w:marTop w:val="0"/>
          <w:marBottom w:val="0"/>
          <w:divBdr>
            <w:top w:val="none" w:sz="0" w:space="0" w:color="auto"/>
            <w:left w:val="none" w:sz="0" w:space="0" w:color="auto"/>
            <w:bottom w:val="none" w:sz="0" w:space="0" w:color="auto"/>
            <w:right w:val="none" w:sz="0" w:space="0" w:color="auto"/>
          </w:divBdr>
          <w:divsChild>
            <w:div w:id="563100410">
              <w:marLeft w:val="0"/>
              <w:marRight w:val="0"/>
              <w:marTop w:val="0"/>
              <w:marBottom w:val="0"/>
              <w:divBdr>
                <w:top w:val="none" w:sz="0" w:space="0" w:color="auto"/>
                <w:left w:val="none" w:sz="0" w:space="0" w:color="auto"/>
                <w:bottom w:val="none" w:sz="0" w:space="0" w:color="auto"/>
                <w:right w:val="none" w:sz="0" w:space="0" w:color="auto"/>
              </w:divBdr>
            </w:div>
          </w:divsChild>
        </w:div>
        <w:div w:id="1479954327">
          <w:marLeft w:val="0"/>
          <w:marRight w:val="0"/>
          <w:marTop w:val="0"/>
          <w:marBottom w:val="0"/>
          <w:divBdr>
            <w:top w:val="none" w:sz="0" w:space="0" w:color="auto"/>
            <w:left w:val="none" w:sz="0" w:space="0" w:color="auto"/>
            <w:bottom w:val="none" w:sz="0" w:space="0" w:color="auto"/>
            <w:right w:val="none" w:sz="0" w:space="0" w:color="auto"/>
          </w:divBdr>
          <w:divsChild>
            <w:div w:id="372460038">
              <w:marLeft w:val="0"/>
              <w:marRight w:val="0"/>
              <w:marTop w:val="0"/>
              <w:marBottom w:val="0"/>
              <w:divBdr>
                <w:top w:val="none" w:sz="0" w:space="0" w:color="auto"/>
                <w:left w:val="none" w:sz="0" w:space="0" w:color="auto"/>
                <w:bottom w:val="none" w:sz="0" w:space="0" w:color="auto"/>
                <w:right w:val="none" w:sz="0" w:space="0" w:color="auto"/>
              </w:divBdr>
              <w:divsChild>
                <w:div w:id="1944334890">
                  <w:marLeft w:val="0"/>
                  <w:marRight w:val="0"/>
                  <w:marTop w:val="0"/>
                  <w:marBottom w:val="0"/>
                  <w:divBdr>
                    <w:top w:val="none" w:sz="0" w:space="0" w:color="auto"/>
                    <w:left w:val="none" w:sz="0" w:space="0" w:color="auto"/>
                    <w:bottom w:val="none" w:sz="0" w:space="0" w:color="auto"/>
                    <w:right w:val="none" w:sz="0" w:space="0" w:color="auto"/>
                  </w:divBdr>
                  <w:divsChild>
                    <w:div w:id="65957506">
                      <w:marLeft w:val="0"/>
                      <w:marRight w:val="0"/>
                      <w:marTop w:val="120"/>
                      <w:marBottom w:val="0"/>
                      <w:divBdr>
                        <w:top w:val="none" w:sz="0" w:space="0" w:color="auto"/>
                        <w:left w:val="none" w:sz="0" w:space="0" w:color="auto"/>
                        <w:bottom w:val="none" w:sz="0" w:space="0" w:color="auto"/>
                        <w:right w:val="none" w:sz="0" w:space="0" w:color="auto"/>
                      </w:divBdr>
                    </w:div>
                    <w:div w:id="604731116">
                      <w:marLeft w:val="0"/>
                      <w:marRight w:val="0"/>
                      <w:marTop w:val="0"/>
                      <w:marBottom w:val="0"/>
                      <w:divBdr>
                        <w:top w:val="none" w:sz="0" w:space="0" w:color="auto"/>
                        <w:left w:val="none" w:sz="0" w:space="0" w:color="auto"/>
                        <w:bottom w:val="none" w:sz="0" w:space="0" w:color="auto"/>
                        <w:right w:val="none" w:sz="0" w:space="0" w:color="auto"/>
                      </w:divBdr>
                    </w:div>
                  </w:divsChild>
                </w:div>
                <w:div w:id="107356993">
                  <w:marLeft w:val="0"/>
                  <w:marRight w:val="0"/>
                  <w:marTop w:val="0"/>
                  <w:marBottom w:val="0"/>
                  <w:divBdr>
                    <w:top w:val="none" w:sz="0" w:space="0" w:color="auto"/>
                    <w:left w:val="none" w:sz="0" w:space="0" w:color="auto"/>
                    <w:bottom w:val="none" w:sz="0" w:space="0" w:color="auto"/>
                    <w:right w:val="none" w:sz="0" w:space="0" w:color="auto"/>
                  </w:divBdr>
                  <w:divsChild>
                    <w:div w:id="61145442">
                      <w:marLeft w:val="0"/>
                      <w:marRight w:val="0"/>
                      <w:marTop w:val="120"/>
                      <w:marBottom w:val="0"/>
                      <w:divBdr>
                        <w:top w:val="none" w:sz="0" w:space="0" w:color="auto"/>
                        <w:left w:val="none" w:sz="0" w:space="0" w:color="auto"/>
                        <w:bottom w:val="none" w:sz="0" w:space="0" w:color="auto"/>
                        <w:right w:val="none" w:sz="0" w:space="0" w:color="auto"/>
                      </w:divBdr>
                    </w:div>
                    <w:div w:id="55412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006456">
      <w:bodyDiv w:val="1"/>
      <w:marLeft w:val="0"/>
      <w:marRight w:val="0"/>
      <w:marTop w:val="0"/>
      <w:marBottom w:val="0"/>
      <w:divBdr>
        <w:top w:val="none" w:sz="0" w:space="0" w:color="auto"/>
        <w:left w:val="none" w:sz="0" w:space="0" w:color="auto"/>
        <w:bottom w:val="none" w:sz="0" w:space="0" w:color="auto"/>
        <w:right w:val="none" w:sz="0" w:space="0" w:color="auto"/>
      </w:divBdr>
    </w:div>
    <w:div w:id="1874996446">
      <w:bodyDiv w:val="1"/>
      <w:marLeft w:val="0"/>
      <w:marRight w:val="0"/>
      <w:marTop w:val="0"/>
      <w:marBottom w:val="0"/>
      <w:divBdr>
        <w:top w:val="none" w:sz="0" w:space="0" w:color="auto"/>
        <w:left w:val="none" w:sz="0" w:space="0" w:color="auto"/>
        <w:bottom w:val="none" w:sz="0" w:space="0" w:color="auto"/>
        <w:right w:val="none" w:sz="0" w:space="0" w:color="auto"/>
      </w:divBdr>
      <w:divsChild>
        <w:div w:id="1425877890">
          <w:marLeft w:val="0"/>
          <w:marRight w:val="0"/>
          <w:marTop w:val="0"/>
          <w:marBottom w:val="0"/>
          <w:divBdr>
            <w:top w:val="none" w:sz="0" w:space="0" w:color="auto"/>
            <w:left w:val="none" w:sz="0" w:space="0" w:color="auto"/>
            <w:bottom w:val="none" w:sz="0" w:space="0" w:color="auto"/>
            <w:right w:val="none" w:sz="0" w:space="0" w:color="auto"/>
          </w:divBdr>
          <w:divsChild>
            <w:div w:id="1712456666">
              <w:marLeft w:val="0"/>
              <w:marRight w:val="0"/>
              <w:marTop w:val="0"/>
              <w:marBottom w:val="0"/>
              <w:divBdr>
                <w:top w:val="none" w:sz="0" w:space="0" w:color="auto"/>
                <w:left w:val="none" w:sz="0" w:space="0" w:color="auto"/>
                <w:bottom w:val="none" w:sz="0" w:space="0" w:color="auto"/>
                <w:right w:val="none" w:sz="0" w:space="0" w:color="auto"/>
              </w:divBdr>
            </w:div>
          </w:divsChild>
        </w:div>
        <w:div w:id="1076708340">
          <w:marLeft w:val="0"/>
          <w:marRight w:val="0"/>
          <w:marTop w:val="0"/>
          <w:marBottom w:val="0"/>
          <w:divBdr>
            <w:top w:val="none" w:sz="0" w:space="0" w:color="auto"/>
            <w:left w:val="none" w:sz="0" w:space="0" w:color="auto"/>
            <w:bottom w:val="none" w:sz="0" w:space="0" w:color="auto"/>
            <w:right w:val="none" w:sz="0" w:space="0" w:color="auto"/>
          </w:divBdr>
          <w:divsChild>
            <w:div w:id="1014575792">
              <w:marLeft w:val="0"/>
              <w:marRight w:val="0"/>
              <w:marTop w:val="120"/>
              <w:marBottom w:val="0"/>
              <w:divBdr>
                <w:top w:val="none" w:sz="0" w:space="0" w:color="auto"/>
                <w:left w:val="none" w:sz="0" w:space="0" w:color="auto"/>
                <w:bottom w:val="none" w:sz="0" w:space="0" w:color="auto"/>
                <w:right w:val="none" w:sz="0" w:space="0" w:color="auto"/>
              </w:divBdr>
            </w:div>
            <w:div w:id="349835941">
              <w:marLeft w:val="0"/>
              <w:marRight w:val="0"/>
              <w:marTop w:val="0"/>
              <w:marBottom w:val="0"/>
              <w:divBdr>
                <w:top w:val="none" w:sz="0" w:space="0" w:color="auto"/>
                <w:left w:val="none" w:sz="0" w:space="0" w:color="auto"/>
                <w:bottom w:val="none" w:sz="0" w:space="0" w:color="auto"/>
                <w:right w:val="none" w:sz="0" w:space="0" w:color="auto"/>
              </w:divBdr>
            </w:div>
          </w:divsChild>
        </w:div>
        <w:div w:id="891775483">
          <w:marLeft w:val="0"/>
          <w:marRight w:val="0"/>
          <w:marTop w:val="0"/>
          <w:marBottom w:val="0"/>
          <w:divBdr>
            <w:top w:val="none" w:sz="0" w:space="0" w:color="auto"/>
            <w:left w:val="none" w:sz="0" w:space="0" w:color="auto"/>
            <w:bottom w:val="none" w:sz="0" w:space="0" w:color="auto"/>
            <w:right w:val="none" w:sz="0" w:space="0" w:color="auto"/>
          </w:divBdr>
          <w:divsChild>
            <w:div w:id="1999730238">
              <w:marLeft w:val="0"/>
              <w:marRight w:val="0"/>
              <w:marTop w:val="120"/>
              <w:marBottom w:val="0"/>
              <w:divBdr>
                <w:top w:val="none" w:sz="0" w:space="0" w:color="auto"/>
                <w:left w:val="none" w:sz="0" w:space="0" w:color="auto"/>
                <w:bottom w:val="none" w:sz="0" w:space="0" w:color="auto"/>
                <w:right w:val="none" w:sz="0" w:space="0" w:color="auto"/>
              </w:divBdr>
            </w:div>
            <w:div w:id="1575771698">
              <w:marLeft w:val="0"/>
              <w:marRight w:val="0"/>
              <w:marTop w:val="0"/>
              <w:marBottom w:val="0"/>
              <w:divBdr>
                <w:top w:val="none" w:sz="0" w:space="0" w:color="auto"/>
                <w:left w:val="none" w:sz="0" w:space="0" w:color="auto"/>
                <w:bottom w:val="none" w:sz="0" w:space="0" w:color="auto"/>
                <w:right w:val="none" w:sz="0" w:space="0" w:color="auto"/>
              </w:divBdr>
              <w:divsChild>
                <w:div w:id="933056602">
                  <w:marLeft w:val="0"/>
                  <w:marRight w:val="0"/>
                  <w:marTop w:val="0"/>
                  <w:marBottom w:val="0"/>
                  <w:divBdr>
                    <w:top w:val="none" w:sz="0" w:space="0" w:color="auto"/>
                    <w:left w:val="none" w:sz="0" w:space="0" w:color="auto"/>
                    <w:bottom w:val="none" w:sz="0" w:space="0" w:color="auto"/>
                    <w:right w:val="none" w:sz="0" w:space="0" w:color="auto"/>
                  </w:divBdr>
                  <w:divsChild>
                    <w:div w:id="1173030018">
                      <w:marLeft w:val="0"/>
                      <w:marRight w:val="0"/>
                      <w:marTop w:val="120"/>
                      <w:marBottom w:val="0"/>
                      <w:divBdr>
                        <w:top w:val="none" w:sz="0" w:space="0" w:color="auto"/>
                        <w:left w:val="none" w:sz="0" w:space="0" w:color="auto"/>
                        <w:bottom w:val="none" w:sz="0" w:space="0" w:color="auto"/>
                        <w:right w:val="none" w:sz="0" w:space="0" w:color="auto"/>
                      </w:divBdr>
                    </w:div>
                    <w:div w:id="2015691150">
                      <w:marLeft w:val="0"/>
                      <w:marRight w:val="0"/>
                      <w:marTop w:val="0"/>
                      <w:marBottom w:val="0"/>
                      <w:divBdr>
                        <w:top w:val="none" w:sz="0" w:space="0" w:color="auto"/>
                        <w:left w:val="none" w:sz="0" w:space="0" w:color="auto"/>
                        <w:bottom w:val="none" w:sz="0" w:space="0" w:color="auto"/>
                        <w:right w:val="none" w:sz="0" w:space="0" w:color="auto"/>
                      </w:divBdr>
                    </w:div>
                  </w:divsChild>
                </w:div>
                <w:div w:id="170417762">
                  <w:marLeft w:val="0"/>
                  <w:marRight w:val="0"/>
                  <w:marTop w:val="0"/>
                  <w:marBottom w:val="0"/>
                  <w:divBdr>
                    <w:top w:val="none" w:sz="0" w:space="0" w:color="auto"/>
                    <w:left w:val="none" w:sz="0" w:space="0" w:color="auto"/>
                    <w:bottom w:val="none" w:sz="0" w:space="0" w:color="auto"/>
                    <w:right w:val="none" w:sz="0" w:space="0" w:color="auto"/>
                  </w:divBdr>
                  <w:divsChild>
                    <w:div w:id="828207177">
                      <w:marLeft w:val="0"/>
                      <w:marRight w:val="0"/>
                      <w:marTop w:val="120"/>
                      <w:marBottom w:val="0"/>
                      <w:divBdr>
                        <w:top w:val="none" w:sz="0" w:space="0" w:color="auto"/>
                        <w:left w:val="none" w:sz="0" w:space="0" w:color="auto"/>
                        <w:bottom w:val="none" w:sz="0" w:space="0" w:color="auto"/>
                        <w:right w:val="none" w:sz="0" w:space="0" w:color="auto"/>
                      </w:divBdr>
                    </w:div>
                    <w:div w:id="1313025024">
                      <w:marLeft w:val="0"/>
                      <w:marRight w:val="0"/>
                      <w:marTop w:val="0"/>
                      <w:marBottom w:val="0"/>
                      <w:divBdr>
                        <w:top w:val="none" w:sz="0" w:space="0" w:color="auto"/>
                        <w:left w:val="none" w:sz="0" w:space="0" w:color="auto"/>
                        <w:bottom w:val="none" w:sz="0" w:space="0" w:color="auto"/>
                        <w:right w:val="none" w:sz="0" w:space="0" w:color="auto"/>
                      </w:divBdr>
                    </w:div>
                  </w:divsChild>
                </w:div>
                <w:div w:id="1076826744">
                  <w:marLeft w:val="0"/>
                  <w:marRight w:val="0"/>
                  <w:marTop w:val="0"/>
                  <w:marBottom w:val="0"/>
                  <w:divBdr>
                    <w:top w:val="none" w:sz="0" w:space="0" w:color="auto"/>
                    <w:left w:val="none" w:sz="0" w:space="0" w:color="auto"/>
                    <w:bottom w:val="none" w:sz="0" w:space="0" w:color="auto"/>
                    <w:right w:val="none" w:sz="0" w:space="0" w:color="auto"/>
                  </w:divBdr>
                  <w:divsChild>
                    <w:div w:id="2007510887">
                      <w:marLeft w:val="0"/>
                      <w:marRight w:val="0"/>
                      <w:marTop w:val="120"/>
                      <w:marBottom w:val="0"/>
                      <w:divBdr>
                        <w:top w:val="none" w:sz="0" w:space="0" w:color="auto"/>
                        <w:left w:val="none" w:sz="0" w:space="0" w:color="auto"/>
                        <w:bottom w:val="none" w:sz="0" w:space="0" w:color="auto"/>
                        <w:right w:val="none" w:sz="0" w:space="0" w:color="auto"/>
                      </w:divBdr>
                    </w:div>
                    <w:div w:id="677343735">
                      <w:marLeft w:val="0"/>
                      <w:marRight w:val="0"/>
                      <w:marTop w:val="0"/>
                      <w:marBottom w:val="0"/>
                      <w:divBdr>
                        <w:top w:val="none" w:sz="0" w:space="0" w:color="auto"/>
                        <w:left w:val="none" w:sz="0" w:space="0" w:color="auto"/>
                        <w:bottom w:val="none" w:sz="0" w:space="0" w:color="auto"/>
                        <w:right w:val="none" w:sz="0" w:space="0" w:color="auto"/>
                      </w:divBdr>
                    </w:div>
                  </w:divsChild>
                </w:div>
                <w:div w:id="1660229496">
                  <w:marLeft w:val="0"/>
                  <w:marRight w:val="0"/>
                  <w:marTop w:val="0"/>
                  <w:marBottom w:val="0"/>
                  <w:divBdr>
                    <w:top w:val="none" w:sz="0" w:space="0" w:color="auto"/>
                    <w:left w:val="none" w:sz="0" w:space="0" w:color="auto"/>
                    <w:bottom w:val="none" w:sz="0" w:space="0" w:color="auto"/>
                    <w:right w:val="none" w:sz="0" w:space="0" w:color="auto"/>
                  </w:divBdr>
                  <w:divsChild>
                    <w:div w:id="222445847">
                      <w:marLeft w:val="0"/>
                      <w:marRight w:val="0"/>
                      <w:marTop w:val="120"/>
                      <w:marBottom w:val="0"/>
                      <w:divBdr>
                        <w:top w:val="none" w:sz="0" w:space="0" w:color="auto"/>
                        <w:left w:val="none" w:sz="0" w:space="0" w:color="auto"/>
                        <w:bottom w:val="none" w:sz="0" w:space="0" w:color="auto"/>
                        <w:right w:val="none" w:sz="0" w:space="0" w:color="auto"/>
                      </w:divBdr>
                    </w:div>
                    <w:div w:id="836846823">
                      <w:marLeft w:val="0"/>
                      <w:marRight w:val="0"/>
                      <w:marTop w:val="0"/>
                      <w:marBottom w:val="0"/>
                      <w:divBdr>
                        <w:top w:val="none" w:sz="0" w:space="0" w:color="auto"/>
                        <w:left w:val="none" w:sz="0" w:space="0" w:color="auto"/>
                        <w:bottom w:val="none" w:sz="0" w:space="0" w:color="auto"/>
                        <w:right w:val="none" w:sz="0" w:space="0" w:color="auto"/>
                      </w:divBdr>
                    </w:div>
                  </w:divsChild>
                </w:div>
                <w:div w:id="795178953">
                  <w:marLeft w:val="0"/>
                  <w:marRight w:val="0"/>
                  <w:marTop w:val="0"/>
                  <w:marBottom w:val="0"/>
                  <w:divBdr>
                    <w:top w:val="none" w:sz="0" w:space="0" w:color="auto"/>
                    <w:left w:val="none" w:sz="0" w:space="0" w:color="auto"/>
                    <w:bottom w:val="none" w:sz="0" w:space="0" w:color="auto"/>
                    <w:right w:val="none" w:sz="0" w:space="0" w:color="auto"/>
                  </w:divBdr>
                  <w:divsChild>
                    <w:div w:id="1752510757">
                      <w:marLeft w:val="0"/>
                      <w:marRight w:val="0"/>
                      <w:marTop w:val="120"/>
                      <w:marBottom w:val="0"/>
                      <w:divBdr>
                        <w:top w:val="none" w:sz="0" w:space="0" w:color="auto"/>
                        <w:left w:val="none" w:sz="0" w:space="0" w:color="auto"/>
                        <w:bottom w:val="none" w:sz="0" w:space="0" w:color="auto"/>
                        <w:right w:val="none" w:sz="0" w:space="0" w:color="auto"/>
                      </w:divBdr>
                    </w:div>
                    <w:div w:id="2032796086">
                      <w:marLeft w:val="0"/>
                      <w:marRight w:val="0"/>
                      <w:marTop w:val="0"/>
                      <w:marBottom w:val="0"/>
                      <w:divBdr>
                        <w:top w:val="none" w:sz="0" w:space="0" w:color="auto"/>
                        <w:left w:val="none" w:sz="0" w:space="0" w:color="auto"/>
                        <w:bottom w:val="none" w:sz="0" w:space="0" w:color="auto"/>
                        <w:right w:val="none" w:sz="0" w:space="0" w:color="auto"/>
                      </w:divBdr>
                    </w:div>
                  </w:divsChild>
                </w:div>
                <w:div w:id="649407075">
                  <w:marLeft w:val="0"/>
                  <w:marRight w:val="0"/>
                  <w:marTop w:val="0"/>
                  <w:marBottom w:val="0"/>
                  <w:divBdr>
                    <w:top w:val="none" w:sz="0" w:space="0" w:color="auto"/>
                    <w:left w:val="none" w:sz="0" w:space="0" w:color="auto"/>
                    <w:bottom w:val="none" w:sz="0" w:space="0" w:color="auto"/>
                    <w:right w:val="none" w:sz="0" w:space="0" w:color="auto"/>
                  </w:divBdr>
                  <w:divsChild>
                    <w:div w:id="2009478919">
                      <w:marLeft w:val="0"/>
                      <w:marRight w:val="0"/>
                      <w:marTop w:val="120"/>
                      <w:marBottom w:val="0"/>
                      <w:divBdr>
                        <w:top w:val="none" w:sz="0" w:space="0" w:color="auto"/>
                        <w:left w:val="none" w:sz="0" w:space="0" w:color="auto"/>
                        <w:bottom w:val="none" w:sz="0" w:space="0" w:color="auto"/>
                        <w:right w:val="none" w:sz="0" w:space="0" w:color="auto"/>
                      </w:divBdr>
                    </w:div>
                    <w:div w:id="395326539">
                      <w:marLeft w:val="0"/>
                      <w:marRight w:val="0"/>
                      <w:marTop w:val="0"/>
                      <w:marBottom w:val="0"/>
                      <w:divBdr>
                        <w:top w:val="none" w:sz="0" w:space="0" w:color="auto"/>
                        <w:left w:val="none" w:sz="0" w:space="0" w:color="auto"/>
                        <w:bottom w:val="none" w:sz="0" w:space="0" w:color="auto"/>
                        <w:right w:val="none" w:sz="0" w:space="0" w:color="auto"/>
                      </w:divBdr>
                    </w:div>
                  </w:divsChild>
                </w:div>
                <w:div w:id="836923746">
                  <w:marLeft w:val="0"/>
                  <w:marRight w:val="0"/>
                  <w:marTop w:val="0"/>
                  <w:marBottom w:val="0"/>
                  <w:divBdr>
                    <w:top w:val="none" w:sz="0" w:space="0" w:color="auto"/>
                    <w:left w:val="none" w:sz="0" w:space="0" w:color="auto"/>
                    <w:bottom w:val="none" w:sz="0" w:space="0" w:color="auto"/>
                    <w:right w:val="none" w:sz="0" w:space="0" w:color="auto"/>
                  </w:divBdr>
                  <w:divsChild>
                    <w:div w:id="809596891">
                      <w:marLeft w:val="0"/>
                      <w:marRight w:val="0"/>
                      <w:marTop w:val="120"/>
                      <w:marBottom w:val="0"/>
                      <w:divBdr>
                        <w:top w:val="none" w:sz="0" w:space="0" w:color="auto"/>
                        <w:left w:val="none" w:sz="0" w:space="0" w:color="auto"/>
                        <w:bottom w:val="none" w:sz="0" w:space="0" w:color="auto"/>
                        <w:right w:val="none" w:sz="0" w:space="0" w:color="auto"/>
                      </w:divBdr>
                    </w:div>
                    <w:div w:id="115896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8660441">
      <w:bodyDiv w:val="1"/>
      <w:marLeft w:val="0"/>
      <w:marRight w:val="0"/>
      <w:marTop w:val="0"/>
      <w:marBottom w:val="0"/>
      <w:divBdr>
        <w:top w:val="none" w:sz="0" w:space="0" w:color="auto"/>
        <w:left w:val="none" w:sz="0" w:space="0" w:color="auto"/>
        <w:bottom w:val="none" w:sz="0" w:space="0" w:color="auto"/>
        <w:right w:val="none" w:sz="0" w:space="0" w:color="auto"/>
      </w:divBdr>
      <w:divsChild>
        <w:div w:id="938416697">
          <w:marLeft w:val="0"/>
          <w:marRight w:val="0"/>
          <w:marTop w:val="0"/>
          <w:marBottom w:val="0"/>
          <w:divBdr>
            <w:top w:val="none" w:sz="0" w:space="0" w:color="auto"/>
            <w:left w:val="none" w:sz="0" w:space="0" w:color="auto"/>
            <w:bottom w:val="none" w:sz="0" w:space="0" w:color="auto"/>
            <w:right w:val="none" w:sz="0" w:space="0" w:color="auto"/>
          </w:divBdr>
        </w:div>
      </w:divsChild>
    </w:div>
    <w:div w:id="1878734852">
      <w:bodyDiv w:val="1"/>
      <w:marLeft w:val="0"/>
      <w:marRight w:val="0"/>
      <w:marTop w:val="0"/>
      <w:marBottom w:val="0"/>
      <w:divBdr>
        <w:top w:val="none" w:sz="0" w:space="0" w:color="auto"/>
        <w:left w:val="none" w:sz="0" w:space="0" w:color="auto"/>
        <w:bottom w:val="none" w:sz="0" w:space="0" w:color="auto"/>
        <w:right w:val="none" w:sz="0" w:space="0" w:color="auto"/>
      </w:divBdr>
      <w:divsChild>
        <w:div w:id="300237955">
          <w:marLeft w:val="0"/>
          <w:marRight w:val="0"/>
          <w:marTop w:val="0"/>
          <w:marBottom w:val="0"/>
          <w:divBdr>
            <w:top w:val="none" w:sz="0" w:space="0" w:color="auto"/>
            <w:left w:val="none" w:sz="0" w:space="0" w:color="auto"/>
            <w:bottom w:val="none" w:sz="0" w:space="0" w:color="auto"/>
            <w:right w:val="none" w:sz="0" w:space="0" w:color="auto"/>
          </w:divBdr>
          <w:divsChild>
            <w:div w:id="1975914804">
              <w:marLeft w:val="0"/>
              <w:marRight w:val="0"/>
              <w:marTop w:val="0"/>
              <w:marBottom w:val="0"/>
              <w:divBdr>
                <w:top w:val="none" w:sz="0" w:space="0" w:color="auto"/>
                <w:left w:val="none" w:sz="0" w:space="0" w:color="auto"/>
                <w:bottom w:val="none" w:sz="0" w:space="0" w:color="auto"/>
                <w:right w:val="none" w:sz="0" w:space="0" w:color="auto"/>
              </w:divBdr>
              <w:divsChild>
                <w:div w:id="2102796477">
                  <w:marLeft w:val="0"/>
                  <w:marRight w:val="0"/>
                  <w:marTop w:val="120"/>
                  <w:marBottom w:val="0"/>
                  <w:divBdr>
                    <w:top w:val="none" w:sz="0" w:space="0" w:color="auto"/>
                    <w:left w:val="none" w:sz="0" w:space="0" w:color="auto"/>
                    <w:bottom w:val="none" w:sz="0" w:space="0" w:color="auto"/>
                    <w:right w:val="none" w:sz="0" w:space="0" w:color="auto"/>
                  </w:divBdr>
                </w:div>
                <w:div w:id="186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206096">
      <w:bodyDiv w:val="1"/>
      <w:marLeft w:val="0"/>
      <w:marRight w:val="0"/>
      <w:marTop w:val="0"/>
      <w:marBottom w:val="0"/>
      <w:divBdr>
        <w:top w:val="none" w:sz="0" w:space="0" w:color="auto"/>
        <w:left w:val="none" w:sz="0" w:space="0" w:color="auto"/>
        <w:bottom w:val="none" w:sz="0" w:space="0" w:color="auto"/>
        <w:right w:val="none" w:sz="0" w:space="0" w:color="auto"/>
      </w:divBdr>
      <w:divsChild>
        <w:div w:id="328557344">
          <w:marLeft w:val="0"/>
          <w:marRight w:val="0"/>
          <w:marTop w:val="0"/>
          <w:marBottom w:val="0"/>
          <w:divBdr>
            <w:top w:val="none" w:sz="0" w:space="0" w:color="auto"/>
            <w:left w:val="none" w:sz="0" w:space="0" w:color="auto"/>
            <w:bottom w:val="none" w:sz="0" w:space="0" w:color="auto"/>
            <w:right w:val="none" w:sz="0" w:space="0" w:color="auto"/>
          </w:divBdr>
          <w:divsChild>
            <w:div w:id="976839684">
              <w:marLeft w:val="0"/>
              <w:marRight w:val="0"/>
              <w:marTop w:val="0"/>
              <w:marBottom w:val="0"/>
              <w:divBdr>
                <w:top w:val="none" w:sz="0" w:space="0" w:color="auto"/>
                <w:left w:val="none" w:sz="0" w:space="0" w:color="auto"/>
                <w:bottom w:val="none" w:sz="0" w:space="0" w:color="auto"/>
                <w:right w:val="none" w:sz="0" w:space="0" w:color="auto"/>
              </w:divBdr>
              <w:divsChild>
                <w:div w:id="1892574705">
                  <w:marLeft w:val="0"/>
                  <w:marRight w:val="0"/>
                  <w:marTop w:val="0"/>
                  <w:marBottom w:val="0"/>
                  <w:divBdr>
                    <w:top w:val="none" w:sz="0" w:space="0" w:color="auto"/>
                    <w:left w:val="none" w:sz="0" w:space="0" w:color="auto"/>
                    <w:bottom w:val="none" w:sz="0" w:space="0" w:color="auto"/>
                    <w:right w:val="none" w:sz="0" w:space="0" w:color="auto"/>
                  </w:divBdr>
                  <w:divsChild>
                    <w:div w:id="1690720212">
                      <w:marLeft w:val="0"/>
                      <w:marRight w:val="0"/>
                      <w:marTop w:val="120"/>
                      <w:marBottom w:val="0"/>
                      <w:divBdr>
                        <w:top w:val="none" w:sz="0" w:space="0" w:color="auto"/>
                        <w:left w:val="none" w:sz="0" w:space="0" w:color="auto"/>
                        <w:bottom w:val="none" w:sz="0" w:space="0" w:color="auto"/>
                        <w:right w:val="none" w:sz="0" w:space="0" w:color="auto"/>
                      </w:divBdr>
                    </w:div>
                    <w:div w:id="2088796038">
                      <w:marLeft w:val="0"/>
                      <w:marRight w:val="0"/>
                      <w:marTop w:val="0"/>
                      <w:marBottom w:val="0"/>
                      <w:divBdr>
                        <w:top w:val="none" w:sz="0" w:space="0" w:color="auto"/>
                        <w:left w:val="none" w:sz="0" w:space="0" w:color="auto"/>
                        <w:bottom w:val="none" w:sz="0" w:space="0" w:color="auto"/>
                        <w:right w:val="none" w:sz="0" w:space="0" w:color="auto"/>
                      </w:divBdr>
                    </w:div>
                  </w:divsChild>
                </w:div>
                <w:div w:id="2106800201">
                  <w:marLeft w:val="0"/>
                  <w:marRight w:val="0"/>
                  <w:marTop w:val="0"/>
                  <w:marBottom w:val="0"/>
                  <w:divBdr>
                    <w:top w:val="none" w:sz="0" w:space="0" w:color="auto"/>
                    <w:left w:val="none" w:sz="0" w:space="0" w:color="auto"/>
                    <w:bottom w:val="none" w:sz="0" w:space="0" w:color="auto"/>
                    <w:right w:val="none" w:sz="0" w:space="0" w:color="auto"/>
                  </w:divBdr>
                  <w:divsChild>
                    <w:div w:id="2076202638">
                      <w:marLeft w:val="0"/>
                      <w:marRight w:val="0"/>
                      <w:marTop w:val="120"/>
                      <w:marBottom w:val="0"/>
                      <w:divBdr>
                        <w:top w:val="none" w:sz="0" w:space="0" w:color="auto"/>
                        <w:left w:val="none" w:sz="0" w:space="0" w:color="auto"/>
                        <w:bottom w:val="none" w:sz="0" w:space="0" w:color="auto"/>
                        <w:right w:val="none" w:sz="0" w:space="0" w:color="auto"/>
                      </w:divBdr>
                    </w:div>
                    <w:div w:id="840580520">
                      <w:marLeft w:val="0"/>
                      <w:marRight w:val="0"/>
                      <w:marTop w:val="0"/>
                      <w:marBottom w:val="0"/>
                      <w:divBdr>
                        <w:top w:val="none" w:sz="0" w:space="0" w:color="auto"/>
                        <w:left w:val="none" w:sz="0" w:space="0" w:color="auto"/>
                        <w:bottom w:val="none" w:sz="0" w:space="0" w:color="auto"/>
                        <w:right w:val="none" w:sz="0" w:space="0" w:color="auto"/>
                      </w:divBdr>
                    </w:div>
                  </w:divsChild>
                </w:div>
                <w:div w:id="739786899">
                  <w:marLeft w:val="0"/>
                  <w:marRight w:val="0"/>
                  <w:marTop w:val="0"/>
                  <w:marBottom w:val="0"/>
                  <w:divBdr>
                    <w:top w:val="none" w:sz="0" w:space="0" w:color="auto"/>
                    <w:left w:val="none" w:sz="0" w:space="0" w:color="auto"/>
                    <w:bottom w:val="none" w:sz="0" w:space="0" w:color="auto"/>
                    <w:right w:val="none" w:sz="0" w:space="0" w:color="auto"/>
                  </w:divBdr>
                  <w:divsChild>
                    <w:div w:id="1743093588">
                      <w:marLeft w:val="0"/>
                      <w:marRight w:val="0"/>
                      <w:marTop w:val="120"/>
                      <w:marBottom w:val="0"/>
                      <w:divBdr>
                        <w:top w:val="none" w:sz="0" w:space="0" w:color="auto"/>
                        <w:left w:val="none" w:sz="0" w:space="0" w:color="auto"/>
                        <w:bottom w:val="none" w:sz="0" w:space="0" w:color="auto"/>
                        <w:right w:val="none" w:sz="0" w:space="0" w:color="auto"/>
                      </w:divBdr>
                    </w:div>
                    <w:div w:id="1504080071">
                      <w:marLeft w:val="0"/>
                      <w:marRight w:val="0"/>
                      <w:marTop w:val="0"/>
                      <w:marBottom w:val="0"/>
                      <w:divBdr>
                        <w:top w:val="none" w:sz="0" w:space="0" w:color="auto"/>
                        <w:left w:val="none" w:sz="0" w:space="0" w:color="auto"/>
                        <w:bottom w:val="none" w:sz="0" w:space="0" w:color="auto"/>
                        <w:right w:val="none" w:sz="0" w:space="0" w:color="auto"/>
                      </w:divBdr>
                    </w:div>
                  </w:divsChild>
                </w:div>
                <w:div w:id="1654676887">
                  <w:marLeft w:val="0"/>
                  <w:marRight w:val="0"/>
                  <w:marTop w:val="0"/>
                  <w:marBottom w:val="0"/>
                  <w:divBdr>
                    <w:top w:val="none" w:sz="0" w:space="0" w:color="auto"/>
                    <w:left w:val="none" w:sz="0" w:space="0" w:color="auto"/>
                    <w:bottom w:val="none" w:sz="0" w:space="0" w:color="auto"/>
                    <w:right w:val="none" w:sz="0" w:space="0" w:color="auto"/>
                  </w:divBdr>
                  <w:divsChild>
                    <w:div w:id="1892039065">
                      <w:marLeft w:val="0"/>
                      <w:marRight w:val="0"/>
                      <w:marTop w:val="120"/>
                      <w:marBottom w:val="0"/>
                      <w:divBdr>
                        <w:top w:val="none" w:sz="0" w:space="0" w:color="auto"/>
                        <w:left w:val="none" w:sz="0" w:space="0" w:color="auto"/>
                        <w:bottom w:val="none" w:sz="0" w:space="0" w:color="auto"/>
                        <w:right w:val="none" w:sz="0" w:space="0" w:color="auto"/>
                      </w:divBdr>
                    </w:div>
                    <w:div w:id="867910206">
                      <w:marLeft w:val="0"/>
                      <w:marRight w:val="0"/>
                      <w:marTop w:val="0"/>
                      <w:marBottom w:val="0"/>
                      <w:divBdr>
                        <w:top w:val="none" w:sz="0" w:space="0" w:color="auto"/>
                        <w:left w:val="none" w:sz="0" w:space="0" w:color="auto"/>
                        <w:bottom w:val="none" w:sz="0" w:space="0" w:color="auto"/>
                        <w:right w:val="none" w:sz="0" w:space="0" w:color="auto"/>
                      </w:divBdr>
                    </w:div>
                  </w:divsChild>
                </w:div>
                <w:div w:id="2097051017">
                  <w:marLeft w:val="0"/>
                  <w:marRight w:val="0"/>
                  <w:marTop w:val="0"/>
                  <w:marBottom w:val="0"/>
                  <w:divBdr>
                    <w:top w:val="none" w:sz="0" w:space="0" w:color="auto"/>
                    <w:left w:val="none" w:sz="0" w:space="0" w:color="auto"/>
                    <w:bottom w:val="none" w:sz="0" w:space="0" w:color="auto"/>
                    <w:right w:val="none" w:sz="0" w:space="0" w:color="auto"/>
                  </w:divBdr>
                  <w:divsChild>
                    <w:div w:id="418411240">
                      <w:marLeft w:val="0"/>
                      <w:marRight w:val="0"/>
                      <w:marTop w:val="120"/>
                      <w:marBottom w:val="0"/>
                      <w:divBdr>
                        <w:top w:val="none" w:sz="0" w:space="0" w:color="auto"/>
                        <w:left w:val="none" w:sz="0" w:space="0" w:color="auto"/>
                        <w:bottom w:val="none" w:sz="0" w:space="0" w:color="auto"/>
                        <w:right w:val="none" w:sz="0" w:space="0" w:color="auto"/>
                      </w:divBdr>
                    </w:div>
                    <w:div w:id="163514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026450">
      <w:bodyDiv w:val="1"/>
      <w:marLeft w:val="0"/>
      <w:marRight w:val="0"/>
      <w:marTop w:val="0"/>
      <w:marBottom w:val="0"/>
      <w:divBdr>
        <w:top w:val="none" w:sz="0" w:space="0" w:color="auto"/>
        <w:left w:val="none" w:sz="0" w:space="0" w:color="auto"/>
        <w:bottom w:val="none" w:sz="0" w:space="0" w:color="auto"/>
        <w:right w:val="none" w:sz="0" w:space="0" w:color="auto"/>
      </w:divBdr>
      <w:divsChild>
        <w:div w:id="1350254097">
          <w:marLeft w:val="0"/>
          <w:marRight w:val="0"/>
          <w:marTop w:val="0"/>
          <w:marBottom w:val="0"/>
          <w:divBdr>
            <w:top w:val="none" w:sz="0" w:space="0" w:color="auto"/>
            <w:left w:val="none" w:sz="0" w:space="0" w:color="auto"/>
            <w:bottom w:val="none" w:sz="0" w:space="0" w:color="auto"/>
            <w:right w:val="none" w:sz="0" w:space="0" w:color="auto"/>
          </w:divBdr>
          <w:divsChild>
            <w:div w:id="1227565561">
              <w:marLeft w:val="0"/>
              <w:marRight w:val="0"/>
              <w:marTop w:val="0"/>
              <w:marBottom w:val="0"/>
              <w:divBdr>
                <w:top w:val="none" w:sz="0" w:space="0" w:color="auto"/>
                <w:left w:val="none" w:sz="0" w:space="0" w:color="auto"/>
                <w:bottom w:val="none" w:sz="0" w:space="0" w:color="auto"/>
                <w:right w:val="none" w:sz="0" w:space="0" w:color="auto"/>
              </w:divBdr>
            </w:div>
          </w:divsChild>
        </w:div>
        <w:div w:id="607278901">
          <w:marLeft w:val="0"/>
          <w:marRight w:val="0"/>
          <w:marTop w:val="0"/>
          <w:marBottom w:val="0"/>
          <w:divBdr>
            <w:top w:val="none" w:sz="0" w:space="0" w:color="auto"/>
            <w:left w:val="none" w:sz="0" w:space="0" w:color="auto"/>
            <w:bottom w:val="none" w:sz="0" w:space="0" w:color="auto"/>
            <w:right w:val="none" w:sz="0" w:space="0" w:color="auto"/>
          </w:divBdr>
          <w:divsChild>
            <w:div w:id="1038818600">
              <w:marLeft w:val="0"/>
              <w:marRight w:val="0"/>
              <w:marTop w:val="0"/>
              <w:marBottom w:val="0"/>
              <w:divBdr>
                <w:top w:val="none" w:sz="0" w:space="0" w:color="auto"/>
                <w:left w:val="none" w:sz="0" w:space="0" w:color="auto"/>
                <w:bottom w:val="none" w:sz="0" w:space="0" w:color="auto"/>
                <w:right w:val="none" w:sz="0" w:space="0" w:color="auto"/>
              </w:divBdr>
            </w:div>
          </w:divsChild>
        </w:div>
        <w:div w:id="1150438338">
          <w:marLeft w:val="0"/>
          <w:marRight w:val="0"/>
          <w:marTop w:val="0"/>
          <w:marBottom w:val="0"/>
          <w:divBdr>
            <w:top w:val="none" w:sz="0" w:space="0" w:color="auto"/>
            <w:left w:val="none" w:sz="0" w:space="0" w:color="auto"/>
            <w:bottom w:val="none" w:sz="0" w:space="0" w:color="auto"/>
            <w:right w:val="none" w:sz="0" w:space="0" w:color="auto"/>
          </w:divBdr>
          <w:divsChild>
            <w:div w:id="50659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636545">
      <w:bodyDiv w:val="1"/>
      <w:marLeft w:val="0"/>
      <w:marRight w:val="0"/>
      <w:marTop w:val="0"/>
      <w:marBottom w:val="0"/>
      <w:divBdr>
        <w:top w:val="none" w:sz="0" w:space="0" w:color="auto"/>
        <w:left w:val="none" w:sz="0" w:space="0" w:color="auto"/>
        <w:bottom w:val="none" w:sz="0" w:space="0" w:color="auto"/>
        <w:right w:val="none" w:sz="0" w:space="0" w:color="auto"/>
      </w:divBdr>
      <w:divsChild>
        <w:div w:id="1626429406">
          <w:marLeft w:val="0"/>
          <w:marRight w:val="0"/>
          <w:marTop w:val="0"/>
          <w:marBottom w:val="0"/>
          <w:divBdr>
            <w:top w:val="none" w:sz="0" w:space="0" w:color="auto"/>
            <w:left w:val="none" w:sz="0" w:space="0" w:color="auto"/>
            <w:bottom w:val="none" w:sz="0" w:space="0" w:color="auto"/>
            <w:right w:val="none" w:sz="0" w:space="0" w:color="auto"/>
          </w:divBdr>
          <w:divsChild>
            <w:div w:id="209415034">
              <w:marLeft w:val="0"/>
              <w:marRight w:val="0"/>
              <w:marTop w:val="0"/>
              <w:marBottom w:val="0"/>
              <w:divBdr>
                <w:top w:val="none" w:sz="0" w:space="0" w:color="auto"/>
                <w:left w:val="none" w:sz="0" w:space="0" w:color="auto"/>
                <w:bottom w:val="none" w:sz="0" w:space="0" w:color="auto"/>
                <w:right w:val="none" w:sz="0" w:space="0" w:color="auto"/>
              </w:divBdr>
            </w:div>
          </w:divsChild>
        </w:div>
        <w:div w:id="206138649">
          <w:marLeft w:val="0"/>
          <w:marRight w:val="0"/>
          <w:marTop w:val="0"/>
          <w:marBottom w:val="0"/>
          <w:divBdr>
            <w:top w:val="none" w:sz="0" w:space="0" w:color="auto"/>
            <w:left w:val="none" w:sz="0" w:space="0" w:color="auto"/>
            <w:bottom w:val="none" w:sz="0" w:space="0" w:color="auto"/>
            <w:right w:val="none" w:sz="0" w:space="0" w:color="auto"/>
          </w:divBdr>
          <w:divsChild>
            <w:div w:id="308362354">
              <w:marLeft w:val="0"/>
              <w:marRight w:val="0"/>
              <w:marTop w:val="0"/>
              <w:marBottom w:val="0"/>
              <w:divBdr>
                <w:top w:val="none" w:sz="0" w:space="0" w:color="auto"/>
                <w:left w:val="none" w:sz="0" w:space="0" w:color="auto"/>
                <w:bottom w:val="none" w:sz="0" w:space="0" w:color="auto"/>
                <w:right w:val="none" w:sz="0" w:space="0" w:color="auto"/>
              </w:divBdr>
              <w:divsChild>
                <w:div w:id="1345208332">
                  <w:marLeft w:val="0"/>
                  <w:marRight w:val="0"/>
                  <w:marTop w:val="0"/>
                  <w:marBottom w:val="0"/>
                  <w:divBdr>
                    <w:top w:val="none" w:sz="0" w:space="0" w:color="auto"/>
                    <w:left w:val="none" w:sz="0" w:space="0" w:color="auto"/>
                    <w:bottom w:val="none" w:sz="0" w:space="0" w:color="auto"/>
                    <w:right w:val="none" w:sz="0" w:space="0" w:color="auto"/>
                  </w:divBdr>
                  <w:divsChild>
                    <w:div w:id="1979609973">
                      <w:marLeft w:val="0"/>
                      <w:marRight w:val="0"/>
                      <w:marTop w:val="120"/>
                      <w:marBottom w:val="0"/>
                      <w:divBdr>
                        <w:top w:val="none" w:sz="0" w:space="0" w:color="auto"/>
                        <w:left w:val="none" w:sz="0" w:space="0" w:color="auto"/>
                        <w:bottom w:val="none" w:sz="0" w:space="0" w:color="auto"/>
                        <w:right w:val="none" w:sz="0" w:space="0" w:color="auto"/>
                      </w:divBdr>
                    </w:div>
                    <w:div w:id="1859655583">
                      <w:marLeft w:val="0"/>
                      <w:marRight w:val="0"/>
                      <w:marTop w:val="0"/>
                      <w:marBottom w:val="0"/>
                      <w:divBdr>
                        <w:top w:val="none" w:sz="0" w:space="0" w:color="auto"/>
                        <w:left w:val="none" w:sz="0" w:space="0" w:color="auto"/>
                        <w:bottom w:val="none" w:sz="0" w:space="0" w:color="auto"/>
                        <w:right w:val="none" w:sz="0" w:space="0" w:color="auto"/>
                      </w:divBdr>
                    </w:div>
                  </w:divsChild>
                </w:div>
                <w:div w:id="1327041">
                  <w:marLeft w:val="0"/>
                  <w:marRight w:val="0"/>
                  <w:marTop w:val="0"/>
                  <w:marBottom w:val="0"/>
                  <w:divBdr>
                    <w:top w:val="none" w:sz="0" w:space="0" w:color="auto"/>
                    <w:left w:val="none" w:sz="0" w:space="0" w:color="auto"/>
                    <w:bottom w:val="none" w:sz="0" w:space="0" w:color="auto"/>
                    <w:right w:val="none" w:sz="0" w:space="0" w:color="auto"/>
                  </w:divBdr>
                  <w:divsChild>
                    <w:div w:id="383256826">
                      <w:marLeft w:val="0"/>
                      <w:marRight w:val="0"/>
                      <w:marTop w:val="120"/>
                      <w:marBottom w:val="0"/>
                      <w:divBdr>
                        <w:top w:val="none" w:sz="0" w:space="0" w:color="auto"/>
                        <w:left w:val="none" w:sz="0" w:space="0" w:color="auto"/>
                        <w:bottom w:val="none" w:sz="0" w:space="0" w:color="auto"/>
                        <w:right w:val="none" w:sz="0" w:space="0" w:color="auto"/>
                      </w:divBdr>
                    </w:div>
                    <w:div w:id="2059812441">
                      <w:marLeft w:val="0"/>
                      <w:marRight w:val="0"/>
                      <w:marTop w:val="0"/>
                      <w:marBottom w:val="0"/>
                      <w:divBdr>
                        <w:top w:val="none" w:sz="0" w:space="0" w:color="auto"/>
                        <w:left w:val="none" w:sz="0" w:space="0" w:color="auto"/>
                        <w:bottom w:val="none" w:sz="0" w:space="0" w:color="auto"/>
                        <w:right w:val="none" w:sz="0" w:space="0" w:color="auto"/>
                      </w:divBdr>
                    </w:div>
                  </w:divsChild>
                </w:div>
                <w:div w:id="969939857">
                  <w:marLeft w:val="0"/>
                  <w:marRight w:val="0"/>
                  <w:marTop w:val="0"/>
                  <w:marBottom w:val="0"/>
                  <w:divBdr>
                    <w:top w:val="none" w:sz="0" w:space="0" w:color="auto"/>
                    <w:left w:val="none" w:sz="0" w:space="0" w:color="auto"/>
                    <w:bottom w:val="none" w:sz="0" w:space="0" w:color="auto"/>
                    <w:right w:val="none" w:sz="0" w:space="0" w:color="auto"/>
                  </w:divBdr>
                  <w:divsChild>
                    <w:div w:id="2014643625">
                      <w:marLeft w:val="0"/>
                      <w:marRight w:val="0"/>
                      <w:marTop w:val="120"/>
                      <w:marBottom w:val="0"/>
                      <w:divBdr>
                        <w:top w:val="none" w:sz="0" w:space="0" w:color="auto"/>
                        <w:left w:val="none" w:sz="0" w:space="0" w:color="auto"/>
                        <w:bottom w:val="none" w:sz="0" w:space="0" w:color="auto"/>
                        <w:right w:val="none" w:sz="0" w:space="0" w:color="auto"/>
                      </w:divBdr>
                    </w:div>
                    <w:div w:id="531067260">
                      <w:marLeft w:val="0"/>
                      <w:marRight w:val="0"/>
                      <w:marTop w:val="0"/>
                      <w:marBottom w:val="0"/>
                      <w:divBdr>
                        <w:top w:val="none" w:sz="0" w:space="0" w:color="auto"/>
                        <w:left w:val="none" w:sz="0" w:space="0" w:color="auto"/>
                        <w:bottom w:val="none" w:sz="0" w:space="0" w:color="auto"/>
                        <w:right w:val="none" w:sz="0" w:space="0" w:color="auto"/>
                      </w:divBdr>
                    </w:div>
                  </w:divsChild>
                </w:div>
                <w:div w:id="824398484">
                  <w:marLeft w:val="0"/>
                  <w:marRight w:val="0"/>
                  <w:marTop w:val="0"/>
                  <w:marBottom w:val="0"/>
                  <w:divBdr>
                    <w:top w:val="none" w:sz="0" w:space="0" w:color="auto"/>
                    <w:left w:val="none" w:sz="0" w:space="0" w:color="auto"/>
                    <w:bottom w:val="none" w:sz="0" w:space="0" w:color="auto"/>
                    <w:right w:val="none" w:sz="0" w:space="0" w:color="auto"/>
                  </w:divBdr>
                  <w:divsChild>
                    <w:div w:id="286401791">
                      <w:marLeft w:val="0"/>
                      <w:marRight w:val="0"/>
                      <w:marTop w:val="120"/>
                      <w:marBottom w:val="0"/>
                      <w:divBdr>
                        <w:top w:val="none" w:sz="0" w:space="0" w:color="auto"/>
                        <w:left w:val="none" w:sz="0" w:space="0" w:color="auto"/>
                        <w:bottom w:val="none" w:sz="0" w:space="0" w:color="auto"/>
                        <w:right w:val="none" w:sz="0" w:space="0" w:color="auto"/>
                      </w:divBdr>
                    </w:div>
                    <w:div w:id="156980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454971">
      <w:bodyDiv w:val="1"/>
      <w:marLeft w:val="0"/>
      <w:marRight w:val="0"/>
      <w:marTop w:val="0"/>
      <w:marBottom w:val="0"/>
      <w:divBdr>
        <w:top w:val="none" w:sz="0" w:space="0" w:color="auto"/>
        <w:left w:val="none" w:sz="0" w:space="0" w:color="auto"/>
        <w:bottom w:val="none" w:sz="0" w:space="0" w:color="auto"/>
        <w:right w:val="none" w:sz="0" w:space="0" w:color="auto"/>
      </w:divBdr>
      <w:divsChild>
        <w:div w:id="1136722567">
          <w:marLeft w:val="0"/>
          <w:marRight w:val="0"/>
          <w:marTop w:val="0"/>
          <w:marBottom w:val="0"/>
          <w:divBdr>
            <w:top w:val="none" w:sz="0" w:space="0" w:color="auto"/>
            <w:left w:val="none" w:sz="0" w:space="0" w:color="auto"/>
            <w:bottom w:val="none" w:sz="0" w:space="0" w:color="auto"/>
            <w:right w:val="none" w:sz="0" w:space="0" w:color="auto"/>
          </w:divBdr>
        </w:div>
      </w:divsChild>
    </w:div>
    <w:div w:id="1910654219">
      <w:bodyDiv w:val="1"/>
      <w:marLeft w:val="0"/>
      <w:marRight w:val="0"/>
      <w:marTop w:val="0"/>
      <w:marBottom w:val="0"/>
      <w:divBdr>
        <w:top w:val="none" w:sz="0" w:space="0" w:color="auto"/>
        <w:left w:val="none" w:sz="0" w:space="0" w:color="auto"/>
        <w:bottom w:val="none" w:sz="0" w:space="0" w:color="auto"/>
        <w:right w:val="none" w:sz="0" w:space="0" w:color="auto"/>
      </w:divBdr>
      <w:divsChild>
        <w:div w:id="1511525193">
          <w:marLeft w:val="0"/>
          <w:marRight w:val="0"/>
          <w:marTop w:val="0"/>
          <w:marBottom w:val="0"/>
          <w:divBdr>
            <w:top w:val="none" w:sz="0" w:space="0" w:color="auto"/>
            <w:left w:val="none" w:sz="0" w:space="0" w:color="auto"/>
            <w:bottom w:val="none" w:sz="0" w:space="0" w:color="auto"/>
            <w:right w:val="none" w:sz="0" w:space="0" w:color="auto"/>
          </w:divBdr>
        </w:div>
      </w:divsChild>
    </w:div>
    <w:div w:id="1912302619">
      <w:bodyDiv w:val="1"/>
      <w:marLeft w:val="0"/>
      <w:marRight w:val="0"/>
      <w:marTop w:val="0"/>
      <w:marBottom w:val="0"/>
      <w:divBdr>
        <w:top w:val="none" w:sz="0" w:space="0" w:color="auto"/>
        <w:left w:val="none" w:sz="0" w:space="0" w:color="auto"/>
        <w:bottom w:val="none" w:sz="0" w:space="0" w:color="auto"/>
        <w:right w:val="none" w:sz="0" w:space="0" w:color="auto"/>
      </w:divBdr>
    </w:div>
    <w:div w:id="1919049031">
      <w:bodyDiv w:val="1"/>
      <w:marLeft w:val="0"/>
      <w:marRight w:val="0"/>
      <w:marTop w:val="0"/>
      <w:marBottom w:val="0"/>
      <w:divBdr>
        <w:top w:val="none" w:sz="0" w:space="0" w:color="auto"/>
        <w:left w:val="none" w:sz="0" w:space="0" w:color="auto"/>
        <w:bottom w:val="none" w:sz="0" w:space="0" w:color="auto"/>
        <w:right w:val="none" w:sz="0" w:space="0" w:color="auto"/>
      </w:divBdr>
      <w:divsChild>
        <w:div w:id="375009845">
          <w:marLeft w:val="0"/>
          <w:marRight w:val="0"/>
          <w:marTop w:val="120"/>
          <w:marBottom w:val="0"/>
          <w:divBdr>
            <w:top w:val="none" w:sz="0" w:space="0" w:color="auto"/>
            <w:left w:val="none" w:sz="0" w:space="0" w:color="auto"/>
            <w:bottom w:val="none" w:sz="0" w:space="0" w:color="auto"/>
            <w:right w:val="none" w:sz="0" w:space="0" w:color="auto"/>
          </w:divBdr>
        </w:div>
        <w:div w:id="1092772991">
          <w:marLeft w:val="0"/>
          <w:marRight w:val="0"/>
          <w:marTop w:val="0"/>
          <w:marBottom w:val="0"/>
          <w:divBdr>
            <w:top w:val="none" w:sz="0" w:space="0" w:color="auto"/>
            <w:left w:val="none" w:sz="0" w:space="0" w:color="auto"/>
            <w:bottom w:val="none" w:sz="0" w:space="0" w:color="auto"/>
            <w:right w:val="none" w:sz="0" w:space="0" w:color="auto"/>
          </w:divBdr>
        </w:div>
      </w:divsChild>
    </w:div>
    <w:div w:id="1920362738">
      <w:bodyDiv w:val="1"/>
      <w:marLeft w:val="0"/>
      <w:marRight w:val="0"/>
      <w:marTop w:val="0"/>
      <w:marBottom w:val="0"/>
      <w:divBdr>
        <w:top w:val="none" w:sz="0" w:space="0" w:color="auto"/>
        <w:left w:val="none" w:sz="0" w:space="0" w:color="auto"/>
        <w:bottom w:val="none" w:sz="0" w:space="0" w:color="auto"/>
        <w:right w:val="none" w:sz="0" w:space="0" w:color="auto"/>
      </w:divBdr>
      <w:divsChild>
        <w:div w:id="566570856">
          <w:marLeft w:val="0"/>
          <w:marRight w:val="0"/>
          <w:marTop w:val="0"/>
          <w:marBottom w:val="0"/>
          <w:divBdr>
            <w:top w:val="none" w:sz="0" w:space="0" w:color="auto"/>
            <w:left w:val="none" w:sz="0" w:space="0" w:color="auto"/>
            <w:bottom w:val="none" w:sz="0" w:space="0" w:color="auto"/>
            <w:right w:val="none" w:sz="0" w:space="0" w:color="auto"/>
          </w:divBdr>
        </w:div>
      </w:divsChild>
    </w:div>
    <w:div w:id="1928074327">
      <w:bodyDiv w:val="1"/>
      <w:marLeft w:val="0"/>
      <w:marRight w:val="0"/>
      <w:marTop w:val="0"/>
      <w:marBottom w:val="0"/>
      <w:divBdr>
        <w:top w:val="none" w:sz="0" w:space="0" w:color="auto"/>
        <w:left w:val="none" w:sz="0" w:space="0" w:color="auto"/>
        <w:bottom w:val="none" w:sz="0" w:space="0" w:color="auto"/>
        <w:right w:val="none" w:sz="0" w:space="0" w:color="auto"/>
      </w:divBdr>
    </w:div>
    <w:div w:id="1932161929">
      <w:bodyDiv w:val="1"/>
      <w:marLeft w:val="0"/>
      <w:marRight w:val="0"/>
      <w:marTop w:val="0"/>
      <w:marBottom w:val="0"/>
      <w:divBdr>
        <w:top w:val="none" w:sz="0" w:space="0" w:color="auto"/>
        <w:left w:val="none" w:sz="0" w:space="0" w:color="auto"/>
        <w:bottom w:val="none" w:sz="0" w:space="0" w:color="auto"/>
        <w:right w:val="none" w:sz="0" w:space="0" w:color="auto"/>
      </w:divBdr>
      <w:divsChild>
        <w:div w:id="8415838">
          <w:marLeft w:val="0"/>
          <w:marRight w:val="0"/>
          <w:marTop w:val="120"/>
          <w:marBottom w:val="0"/>
          <w:divBdr>
            <w:top w:val="none" w:sz="0" w:space="0" w:color="auto"/>
            <w:left w:val="none" w:sz="0" w:space="0" w:color="auto"/>
            <w:bottom w:val="none" w:sz="0" w:space="0" w:color="auto"/>
            <w:right w:val="none" w:sz="0" w:space="0" w:color="auto"/>
          </w:divBdr>
        </w:div>
        <w:div w:id="892694836">
          <w:marLeft w:val="0"/>
          <w:marRight w:val="0"/>
          <w:marTop w:val="0"/>
          <w:marBottom w:val="0"/>
          <w:divBdr>
            <w:top w:val="none" w:sz="0" w:space="0" w:color="auto"/>
            <w:left w:val="none" w:sz="0" w:space="0" w:color="auto"/>
            <w:bottom w:val="none" w:sz="0" w:space="0" w:color="auto"/>
            <w:right w:val="none" w:sz="0" w:space="0" w:color="auto"/>
          </w:divBdr>
        </w:div>
      </w:divsChild>
    </w:div>
    <w:div w:id="1946040082">
      <w:bodyDiv w:val="1"/>
      <w:marLeft w:val="0"/>
      <w:marRight w:val="0"/>
      <w:marTop w:val="0"/>
      <w:marBottom w:val="0"/>
      <w:divBdr>
        <w:top w:val="none" w:sz="0" w:space="0" w:color="auto"/>
        <w:left w:val="none" w:sz="0" w:space="0" w:color="auto"/>
        <w:bottom w:val="none" w:sz="0" w:space="0" w:color="auto"/>
        <w:right w:val="none" w:sz="0" w:space="0" w:color="auto"/>
      </w:divBdr>
      <w:divsChild>
        <w:div w:id="1846748774">
          <w:marLeft w:val="0"/>
          <w:marRight w:val="0"/>
          <w:marTop w:val="0"/>
          <w:marBottom w:val="0"/>
          <w:divBdr>
            <w:top w:val="none" w:sz="0" w:space="0" w:color="auto"/>
            <w:left w:val="none" w:sz="0" w:space="0" w:color="auto"/>
            <w:bottom w:val="none" w:sz="0" w:space="0" w:color="auto"/>
            <w:right w:val="none" w:sz="0" w:space="0" w:color="auto"/>
          </w:divBdr>
        </w:div>
        <w:div w:id="975263319">
          <w:marLeft w:val="0"/>
          <w:marRight w:val="0"/>
          <w:marTop w:val="0"/>
          <w:marBottom w:val="0"/>
          <w:divBdr>
            <w:top w:val="none" w:sz="0" w:space="0" w:color="auto"/>
            <w:left w:val="none" w:sz="0" w:space="0" w:color="auto"/>
            <w:bottom w:val="none" w:sz="0" w:space="0" w:color="auto"/>
            <w:right w:val="none" w:sz="0" w:space="0" w:color="auto"/>
          </w:divBdr>
        </w:div>
      </w:divsChild>
    </w:div>
    <w:div w:id="1956328137">
      <w:bodyDiv w:val="1"/>
      <w:marLeft w:val="0"/>
      <w:marRight w:val="0"/>
      <w:marTop w:val="0"/>
      <w:marBottom w:val="0"/>
      <w:divBdr>
        <w:top w:val="none" w:sz="0" w:space="0" w:color="auto"/>
        <w:left w:val="none" w:sz="0" w:space="0" w:color="auto"/>
        <w:bottom w:val="none" w:sz="0" w:space="0" w:color="auto"/>
        <w:right w:val="none" w:sz="0" w:space="0" w:color="auto"/>
      </w:divBdr>
      <w:divsChild>
        <w:div w:id="1939679581">
          <w:marLeft w:val="0"/>
          <w:marRight w:val="0"/>
          <w:marTop w:val="0"/>
          <w:marBottom w:val="0"/>
          <w:divBdr>
            <w:top w:val="none" w:sz="0" w:space="0" w:color="auto"/>
            <w:left w:val="none" w:sz="0" w:space="0" w:color="auto"/>
            <w:bottom w:val="none" w:sz="0" w:space="0" w:color="auto"/>
            <w:right w:val="none" w:sz="0" w:space="0" w:color="auto"/>
          </w:divBdr>
          <w:divsChild>
            <w:div w:id="146678532">
              <w:marLeft w:val="0"/>
              <w:marRight w:val="0"/>
              <w:marTop w:val="0"/>
              <w:marBottom w:val="0"/>
              <w:divBdr>
                <w:top w:val="none" w:sz="0" w:space="0" w:color="auto"/>
                <w:left w:val="none" w:sz="0" w:space="0" w:color="auto"/>
                <w:bottom w:val="none" w:sz="0" w:space="0" w:color="auto"/>
                <w:right w:val="none" w:sz="0" w:space="0" w:color="auto"/>
              </w:divBdr>
              <w:divsChild>
                <w:div w:id="996108809">
                  <w:marLeft w:val="0"/>
                  <w:marRight w:val="0"/>
                  <w:marTop w:val="0"/>
                  <w:marBottom w:val="0"/>
                  <w:divBdr>
                    <w:top w:val="none" w:sz="0" w:space="0" w:color="auto"/>
                    <w:left w:val="none" w:sz="0" w:space="0" w:color="auto"/>
                    <w:bottom w:val="none" w:sz="0" w:space="0" w:color="auto"/>
                    <w:right w:val="none" w:sz="0" w:space="0" w:color="auto"/>
                  </w:divBdr>
                  <w:divsChild>
                    <w:div w:id="311953051">
                      <w:marLeft w:val="0"/>
                      <w:marRight w:val="0"/>
                      <w:marTop w:val="120"/>
                      <w:marBottom w:val="0"/>
                      <w:divBdr>
                        <w:top w:val="none" w:sz="0" w:space="0" w:color="auto"/>
                        <w:left w:val="none" w:sz="0" w:space="0" w:color="auto"/>
                        <w:bottom w:val="none" w:sz="0" w:space="0" w:color="auto"/>
                        <w:right w:val="none" w:sz="0" w:space="0" w:color="auto"/>
                      </w:divBdr>
                    </w:div>
                    <w:div w:id="1866626992">
                      <w:marLeft w:val="0"/>
                      <w:marRight w:val="0"/>
                      <w:marTop w:val="0"/>
                      <w:marBottom w:val="0"/>
                      <w:divBdr>
                        <w:top w:val="none" w:sz="0" w:space="0" w:color="auto"/>
                        <w:left w:val="none" w:sz="0" w:space="0" w:color="auto"/>
                        <w:bottom w:val="none" w:sz="0" w:space="0" w:color="auto"/>
                        <w:right w:val="none" w:sz="0" w:space="0" w:color="auto"/>
                      </w:divBdr>
                    </w:div>
                  </w:divsChild>
                </w:div>
                <w:div w:id="1269195681">
                  <w:marLeft w:val="0"/>
                  <w:marRight w:val="0"/>
                  <w:marTop w:val="0"/>
                  <w:marBottom w:val="0"/>
                  <w:divBdr>
                    <w:top w:val="none" w:sz="0" w:space="0" w:color="auto"/>
                    <w:left w:val="none" w:sz="0" w:space="0" w:color="auto"/>
                    <w:bottom w:val="none" w:sz="0" w:space="0" w:color="auto"/>
                    <w:right w:val="none" w:sz="0" w:space="0" w:color="auto"/>
                  </w:divBdr>
                  <w:divsChild>
                    <w:div w:id="220942849">
                      <w:marLeft w:val="0"/>
                      <w:marRight w:val="0"/>
                      <w:marTop w:val="120"/>
                      <w:marBottom w:val="0"/>
                      <w:divBdr>
                        <w:top w:val="none" w:sz="0" w:space="0" w:color="auto"/>
                        <w:left w:val="none" w:sz="0" w:space="0" w:color="auto"/>
                        <w:bottom w:val="none" w:sz="0" w:space="0" w:color="auto"/>
                        <w:right w:val="none" w:sz="0" w:space="0" w:color="auto"/>
                      </w:divBdr>
                    </w:div>
                    <w:div w:id="86267892">
                      <w:marLeft w:val="0"/>
                      <w:marRight w:val="0"/>
                      <w:marTop w:val="0"/>
                      <w:marBottom w:val="0"/>
                      <w:divBdr>
                        <w:top w:val="none" w:sz="0" w:space="0" w:color="auto"/>
                        <w:left w:val="none" w:sz="0" w:space="0" w:color="auto"/>
                        <w:bottom w:val="none" w:sz="0" w:space="0" w:color="auto"/>
                        <w:right w:val="none" w:sz="0" w:space="0" w:color="auto"/>
                      </w:divBdr>
                    </w:div>
                  </w:divsChild>
                </w:div>
                <w:div w:id="759715951">
                  <w:marLeft w:val="0"/>
                  <w:marRight w:val="0"/>
                  <w:marTop w:val="0"/>
                  <w:marBottom w:val="0"/>
                  <w:divBdr>
                    <w:top w:val="none" w:sz="0" w:space="0" w:color="auto"/>
                    <w:left w:val="none" w:sz="0" w:space="0" w:color="auto"/>
                    <w:bottom w:val="none" w:sz="0" w:space="0" w:color="auto"/>
                    <w:right w:val="none" w:sz="0" w:space="0" w:color="auto"/>
                  </w:divBdr>
                  <w:divsChild>
                    <w:div w:id="907619171">
                      <w:marLeft w:val="0"/>
                      <w:marRight w:val="0"/>
                      <w:marTop w:val="120"/>
                      <w:marBottom w:val="0"/>
                      <w:divBdr>
                        <w:top w:val="none" w:sz="0" w:space="0" w:color="auto"/>
                        <w:left w:val="none" w:sz="0" w:space="0" w:color="auto"/>
                        <w:bottom w:val="none" w:sz="0" w:space="0" w:color="auto"/>
                        <w:right w:val="none" w:sz="0" w:space="0" w:color="auto"/>
                      </w:divBdr>
                    </w:div>
                    <w:div w:id="461849646">
                      <w:marLeft w:val="0"/>
                      <w:marRight w:val="0"/>
                      <w:marTop w:val="0"/>
                      <w:marBottom w:val="0"/>
                      <w:divBdr>
                        <w:top w:val="none" w:sz="0" w:space="0" w:color="auto"/>
                        <w:left w:val="none" w:sz="0" w:space="0" w:color="auto"/>
                        <w:bottom w:val="none" w:sz="0" w:space="0" w:color="auto"/>
                        <w:right w:val="none" w:sz="0" w:space="0" w:color="auto"/>
                      </w:divBdr>
                    </w:div>
                  </w:divsChild>
                </w:div>
                <w:div w:id="1578513478">
                  <w:marLeft w:val="0"/>
                  <w:marRight w:val="0"/>
                  <w:marTop w:val="0"/>
                  <w:marBottom w:val="0"/>
                  <w:divBdr>
                    <w:top w:val="none" w:sz="0" w:space="0" w:color="auto"/>
                    <w:left w:val="none" w:sz="0" w:space="0" w:color="auto"/>
                    <w:bottom w:val="none" w:sz="0" w:space="0" w:color="auto"/>
                    <w:right w:val="none" w:sz="0" w:space="0" w:color="auto"/>
                  </w:divBdr>
                  <w:divsChild>
                    <w:div w:id="724374721">
                      <w:marLeft w:val="0"/>
                      <w:marRight w:val="0"/>
                      <w:marTop w:val="120"/>
                      <w:marBottom w:val="0"/>
                      <w:divBdr>
                        <w:top w:val="none" w:sz="0" w:space="0" w:color="auto"/>
                        <w:left w:val="none" w:sz="0" w:space="0" w:color="auto"/>
                        <w:bottom w:val="none" w:sz="0" w:space="0" w:color="auto"/>
                        <w:right w:val="none" w:sz="0" w:space="0" w:color="auto"/>
                      </w:divBdr>
                    </w:div>
                    <w:div w:id="1134710165">
                      <w:marLeft w:val="0"/>
                      <w:marRight w:val="0"/>
                      <w:marTop w:val="0"/>
                      <w:marBottom w:val="0"/>
                      <w:divBdr>
                        <w:top w:val="none" w:sz="0" w:space="0" w:color="auto"/>
                        <w:left w:val="none" w:sz="0" w:space="0" w:color="auto"/>
                        <w:bottom w:val="none" w:sz="0" w:space="0" w:color="auto"/>
                        <w:right w:val="none" w:sz="0" w:space="0" w:color="auto"/>
                      </w:divBdr>
                      <w:divsChild>
                        <w:div w:id="700323398">
                          <w:marLeft w:val="0"/>
                          <w:marRight w:val="0"/>
                          <w:marTop w:val="0"/>
                          <w:marBottom w:val="0"/>
                          <w:divBdr>
                            <w:top w:val="none" w:sz="0" w:space="0" w:color="auto"/>
                            <w:left w:val="none" w:sz="0" w:space="0" w:color="auto"/>
                            <w:bottom w:val="none" w:sz="0" w:space="0" w:color="auto"/>
                            <w:right w:val="none" w:sz="0" w:space="0" w:color="auto"/>
                          </w:divBdr>
                          <w:divsChild>
                            <w:div w:id="962348574">
                              <w:marLeft w:val="0"/>
                              <w:marRight w:val="0"/>
                              <w:marTop w:val="120"/>
                              <w:marBottom w:val="0"/>
                              <w:divBdr>
                                <w:top w:val="none" w:sz="0" w:space="0" w:color="auto"/>
                                <w:left w:val="none" w:sz="0" w:space="0" w:color="auto"/>
                                <w:bottom w:val="none" w:sz="0" w:space="0" w:color="auto"/>
                                <w:right w:val="none" w:sz="0" w:space="0" w:color="auto"/>
                              </w:divBdr>
                            </w:div>
                            <w:div w:id="175774806">
                              <w:marLeft w:val="0"/>
                              <w:marRight w:val="0"/>
                              <w:marTop w:val="0"/>
                              <w:marBottom w:val="0"/>
                              <w:divBdr>
                                <w:top w:val="none" w:sz="0" w:space="0" w:color="auto"/>
                                <w:left w:val="none" w:sz="0" w:space="0" w:color="auto"/>
                                <w:bottom w:val="none" w:sz="0" w:space="0" w:color="auto"/>
                                <w:right w:val="none" w:sz="0" w:space="0" w:color="auto"/>
                              </w:divBdr>
                            </w:div>
                          </w:divsChild>
                        </w:div>
                        <w:div w:id="1432968477">
                          <w:marLeft w:val="0"/>
                          <w:marRight w:val="0"/>
                          <w:marTop w:val="0"/>
                          <w:marBottom w:val="0"/>
                          <w:divBdr>
                            <w:top w:val="none" w:sz="0" w:space="0" w:color="auto"/>
                            <w:left w:val="none" w:sz="0" w:space="0" w:color="auto"/>
                            <w:bottom w:val="none" w:sz="0" w:space="0" w:color="auto"/>
                            <w:right w:val="none" w:sz="0" w:space="0" w:color="auto"/>
                          </w:divBdr>
                          <w:divsChild>
                            <w:div w:id="80836533">
                              <w:marLeft w:val="0"/>
                              <w:marRight w:val="0"/>
                              <w:marTop w:val="120"/>
                              <w:marBottom w:val="0"/>
                              <w:divBdr>
                                <w:top w:val="none" w:sz="0" w:space="0" w:color="auto"/>
                                <w:left w:val="none" w:sz="0" w:space="0" w:color="auto"/>
                                <w:bottom w:val="none" w:sz="0" w:space="0" w:color="auto"/>
                                <w:right w:val="none" w:sz="0" w:space="0" w:color="auto"/>
                              </w:divBdr>
                            </w:div>
                            <w:div w:id="208321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1722857">
          <w:marLeft w:val="0"/>
          <w:marRight w:val="0"/>
          <w:marTop w:val="0"/>
          <w:marBottom w:val="0"/>
          <w:divBdr>
            <w:top w:val="none" w:sz="0" w:space="0" w:color="auto"/>
            <w:left w:val="none" w:sz="0" w:space="0" w:color="auto"/>
            <w:bottom w:val="none" w:sz="0" w:space="0" w:color="auto"/>
            <w:right w:val="none" w:sz="0" w:space="0" w:color="auto"/>
          </w:divBdr>
          <w:divsChild>
            <w:div w:id="873074633">
              <w:marLeft w:val="0"/>
              <w:marRight w:val="0"/>
              <w:marTop w:val="0"/>
              <w:marBottom w:val="0"/>
              <w:divBdr>
                <w:top w:val="none" w:sz="0" w:space="0" w:color="auto"/>
                <w:left w:val="none" w:sz="0" w:space="0" w:color="auto"/>
                <w:bottom w:val="none" w:sz="0" w:space="0" w:color="auto"/>
                <w:right w:val="none" w:sz="0" w:space="0" w:color="auto"/>
              </w:divBdr>
              <w:divsChild>
                <w:div w:id="2048338008">
                  <w:marLeft w:val="0"/>
                  <w:marRight w:val="0"/>
                  <w:marTop w:val="0"/>
                  <w:marBottom w:val="0"/>
                  <w:divBdr>
                    <w:top w:val="none" w:sz="0" w:space="0" w:color="auto"/>
                    <w:left w:val="none" w:sz="0" w:space="0" w:color="auto"/>
                    <w:bottom w:val="none" w:sz="0" w:space="0" w:color="auto"/>
                    <w:right w:val="none" w:sz="0" w:space="0" w:color="auto"/>
                  </w:divBdr>
                  <w:divsChild>
                    <w:div w:id="1589725719">
                      <w:marLeft w:val="0"/>
                      <w:marRight w:val="0"/>
                      <w:marTop w:val="120"/>
                      <w:marBottom w:val="0"/>
                      <w:divBdr>
                        <w:top w:val="none" w:sz="0" w:space="0" w:color="auto"/>
                        <w:left w:val="none" w:sz="0" w:space="0" w:color="auto"/>
                        <w:bottom w:val="none" w:sz="0" w:space="0" w:color="auto"/>
                        <w:right w:val="none" w:sz="0" w:space="0" w:color="auto"/>
                      </w:divBdr>
                    </w:div>
                    <w:div w:id="1604535030">
                      <w:marLeft w:val="0"/>
                      <w:marRight w:val="0"/>
                      <w:marTop w:val="0"/>
                      <w:marBottom w:val="0"/>
                      <w:divBdr>
                        <w:top w:val="none" w:sz="0" w:space="0" w:color="auto"/>
                        <w:left w:val="none" w:sz="0" w:space="0" w:color="auto"/>
                        <w:bottom w:val="none" w:sz="0" w:space="0" w:color="auto"/>
                        <w:right w:val="none" w:sz="0" w:space="0" w:color="auto"/>
                      </w:divBdr>
                    </w:div>
                  </w:divsChild>
                </w:div>
                <w:div w:id="473716643">
                  <w:marLeft w:val="0"/>
                  <w:marRight w:val="0"/>
                  <w:marTop w:val="0"/>
                  <w:marBottom w:val="0"/>
                  <w:divBdr>
                    <w:top w:val="none" w:sz="0" w:space="0" w:color="auto"/>
                    <w:left w:val="none" w:sz="0" w:space="0" w:color="auto"/>
                    <w:bottom w:val="none" w:sz="0" w:space="0" w:color="auto"/>
                    <w:right w:val="none" w:sz="0" w:space="0" w:color="auto"/>
                  </w:divBdr>
                  <w:divsChild>
                    <w:div w:id="1055935566">
                      <w:marLeft w:val="0"/>
                      <w:marRight w:val="0"/>
                      <w:marTop w:val="120"/>
                      <w:marBottom w:val="0"/>
                      <w:divBdr>
                        <w:top w:val="none" w:sz="0" w:space="0" w:color="auto"/>
                        <w:left w:val="none" w:sz="0" w:space="0" w:color="auto"/>
                        <w:bottom w:val="none" w:sz="0" w:space="0" w:color="auto"/>
                        <w:right w:val="none" w:sz="0" w:space="0" w:color="auto"/>
                      </w:divBdr>
                    </w:div>
                    <w:div w:id="180670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892017">
          <w:marLeft w:val="0"/>
          <w:marRight w:val="0"/>
          <w:marTop w:val="0"/>
          <w:marBottom w:val="0"/>
          <w:divBdr>
            <w:top w:val="none" w:sz="0" w:space="0" w:color="auto"/>
            <w:left w:val="none" w:sz="0" w:space="0" w:color="auto"/>
            <w:bottom w:val="none" w:sz="0" w:space="0" w:color="auto"/>
            <w:right w:val="none" w:sz="0" w:space="0" w:color="auto"/>
          </w:divBdr>
          <w:divsChild>
            <w:div w:id="1478914354">
              <w:marLeft w:val="0"/>
              <w:marRight w:val="0"/>
              <w:marTop w:val="0"/>
              <w:marBottom w:val="0"/>
              <w:divBdr>
                <w:top w:val="none" w:sz="0" w:space="0" w:color="auto"/>
                <w:left w:val="none" w:sz="0" w:space="0" w:color="auto"/>
                <w:bottom w:val="none" w:sz="0" w:space="0" w:color="auto"/>
                <w:right w:val="none" w:sz="0" w:space="0" w:color="auto"/>
              </w:divBdr>
            </w:div>
          </w:divsChild>
        </w:div>
        <w:div w:id="366413406">
          <w:marLeft w:val="0"/>
          <w:marRight w:val="0"/>
          <w:marTop w:val="0"/>
          <w:marBottom w:val="0"/>
          <w:divBdr>
            <w:top w:val="none" w:sz="0" w:space="0" w:color="auto"/>
            <w:left w:val="none" w:sz="0" w:space="0" w:color="auto"/>
            <w:bottom w:val="none" w:sz="0" w:space="0" w:color="auto"/>
            <w:right w:val="none" w:sz="0" w:space="0" w:color="auto"/>
          </w:divBdr>
          <w:divsChild>
            <w:div w:id="1102720114">
              <w:marLeft w:val="0"/>
              <w:marRight w:val="0"/>
              <w:marTop w:val="0"/>
              <w:marBottom w:val="0"/>
              <w:divBdr>
                <w:top w:val="none" w:sz="0" w:space="0" w:color="auto"/>
                <w:left w:val="none" w:sz="0" w:space="0" w:color="auto"/>
                <w:bottom w:val="none" w:sz="0" w:space="0" w:color="auto"/>
                <w:right w:val="none" w:sz="0" w:space="0" w:color="auto"/>
              </w:divBdr>
              <w:divsChild>
                <w:div w:id="941962008">
                  <w:marLeft w:val="0"/>
                  <w:marRight w:val="0"/>
                  <w:marTop w:val="0"/>
                  <w:marBottom w:val="0"/>
                  <w:divBdr>
                    <w:top w:val="none" w:sz="0" w:space="0" w:color="auto"/>
                    <w:left w:val="none" w:sz="0" w:space="0" w:color="auto"/>
                    <w:bottom w:val="none" w:sz="0" w:space="0" w:color="auto"/>
                    <w:right w:val="none" w:sz="0" w:space="0" w:color="auto"/>
                  </w:divBdr>
                  <w:divsChild>
                    <w:div w:id="1080172528">
                      <w:marLeft w:val="0"/>
                      <w:marRight w:val="0"/>
                      <w:marTop w:val="120"/>
                      <w:marBottom w:val="0"/>
                      <w:divBdr>
                        <w:top w:val="none" w:sz="0" w:space="0" w:color="auto"/>
                        <w:left w:val="none" w:sz="0" w:space="0" w:color="auto"/>
                        <w:bottom w:val="none" w:sz="0" w:space="0" w:color="auto"/>
                        <w:right w:val="none" w:sz="0" w:space="0" w:color="auto"/>
                      </w:divBdr>
                    </w:div>
                    <w:div w:id="1282571958">
                      <w:marLeft w:val="0"/>
                      <w:marRight w:val="0"/>
                      <w:marTop w:val="0"/>
                      <w:marBottom w:val="0"/>
                      <w:divBdr>
                        <w:top w:val="none" w:sz="0" w:space="0" w:color="auto"/>
                        <w:left w:val="none" w:sz="0" w:space="0" w:color="auto"/>
                        <w:bottom w:val="none" w:sz="0" w:space="0" w:color="auto"/>
                        <w:right w:val="none" w:sz="0" w:space="0" w:color="auto"/>
                      </w:divBdr>
                    </w:div>
                  </w:divsChild>
                </w:div>
                <w:div w:id="340592635">
                  <w:marLeft w:val="0"/>
                  <w:marRight w:val="0"/>
                  <w:marTop w:val="0"/>
                  <w:marBottom w:val="0"/>
                  <w:divBdr>
                    <w:top w:val="none" w:sz="0" w:space="0" w:color="auto"/>
                    <w:left w:val="none" w:sz="0" w:space="0" w:color="auto"/>
                    <w:bottom w:val="none" w:sz="0" w:space="0" w:color="auto"/>
                    <w:right w:val="none" w:sz="0" w:space="0" w:color="auto"/>
                  </w:divBdr>
                  <w:divsChild>
                    <w:div w:id="790510512">
                      <w:marLeft w:val="0"/>
                      <w:marRight w:val="0"/>
                      <w:marTop w:val="120"/>
                      <w:marBottom w:val="0"/>
                      <w:divBdr>
                        <w:top w:val="none" w:sz="0" w:space="0" w:color="auto"/>
                        <w:left w:val="none" w:sz="0" w:space="0" w:color="auto"/>
                        <w:bottom w:val="none" w:sz="0" w:space="0" w:color="auto"/>
                        <w:right w:val="none" w:sz="0" w:space="0" w:color="auto"/>
                      </w:divBdr>
                    </w:div>
                    <w:div w:id="2141723817">
                      <w:marLeft w:val="0"/>
                      <w:marRight w:val="0"/>
                      <w:marTop w:val="0"/>
                      <w:marBottom w:val="0"/>
                      <w:divBdr>
                        <w:top w:val="none" w:sz="0" w:space="0" w:color="auto"/>
                        <w:left w:val="none" w:sz="0" w:space="0" w:color="auto"/>
                        <w:bottom w:val="none" w:sz="0" w:space="0" w:color="auto"/>
                        <w:right w:val="none" w:sz="0" w:space="0" w:color="auto"/>
                      </w:divBdr>
                      <w:divsChild>
                        <w:div w:id="1557426188">
                          <w:marLeft w:val="0"/>
                          <w:marRight w:val="0"/>
                          <w:marTop w:val="0"/>
                          <w:marBottom w:val="0"/>
                          <w:divBdr>
                            <w:top w:val="none" w:sz="0" w:space="0" w:color="auto"/>
                            <w:left w:val="none" w:sz="0" w:space="0" w:color="auto"/>
                            <w:bottom w:val="none" w:sz="0" w:space="0" w:color="auto"/>
                            <w:right w:val="none" w:sz="0" w:space="0" w:color="auto"/>
                          </w:divBdr>
                          <w:divsChild>
                            <w:div w:id="1597206368">
                              <w:marLeft w:val="0"/>
                              <w:marRight w:val="0"/>
                              <w:marTop w:val="120"/>
                              <w:marBottom w:val="0"/>
                              <w:divBdr>
                                <w:top w:val="none" w:sz="0" w:space="0" w:color="auto"/>
                                <w:left w:val="none" w:sz="0" w:space="0" w:color="auto"/>
                                <w:bottom w:val="none" w:sz="0" w:space="0" w:color="auto"/>
                                <w:right w:val="none" w:sz="0" w:space="0" w:color="auto"/>
                              </w:divBdr>
                            </w:div>
                            <w:div w:id="1789742244">
                              <w:marLeft w:val="0"/>
                              <w:marRight w:val="0"/>
                              <w:marTop w:val="0"/>
                              <w:marBottom w:val="0"/>
                              <w:divBdr>
                                <w:top w:val="none" w:sz="0" w:space="0" w:color="auto"/>
                                <w:left w:val="none" w:sz="0" w:space="0" w:color="auto"/>
                                <w:bottom w:val="none" w:sz="0" w:space="0" w:color="auto"/>
                                <w:right w:val="none" w:sz="0" w:space="0" w:color="auto"/>
                              </w:divBdr>
                            </w:div>
                          </w:divsChild>
                        </w:div>
                        <w:div w:id="378239161">
                          <w:marLeft w:val="0"/>
                          <w:marRight w:val="0"/>
                          <w:marTop w:val="0"/>
                          <w:marBottom w:val="0"/>
                          <w:divBdr>
                            <w:top w:val="none" w:sz="0" w:space="0" w:color="auto"/>
                            <w:left w:val="none" w:sz="0" w:space="0" w:color="auto"/>
                            <w:bottom w:val="none" w:sz="0" w:space="0" w:color="auto"/>
                            <w:right w:val="none" w:sz="0" w:space="0" w:color="auto"/>
                          </w:divBdr>
                          <w:divsChild>
                            <w:div w:id="847670506">
                              <w:marLeft w:val="0"/>
                              <w:marRight w:val="0"/>
                              <w:marTop w:val="120"/>
                              <w:marBottom w:val="0"/>
                              <w:divBdr>
                                <w:top w:val="none" w:sz="0" w:space="0" w:color="auto"/>
                                <w:left w:val="none" w:sz="0" w:space="0" w:color="auto"/>
                                <w:bottom w:val="none" w:sz="0" w:space="0" w:color="auto"/>
                                <w:right w:val="none" w:sz="0" w:space="0" w:color="auto"/>
                              </w:divBdr>
                            </w:div>
                            <w:div w:id="206190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4687517">
          <w:marLeft w:val="0"/>
          <w:marRight w:val="0"/>
          <w:marTop w:val="0"/>
          <w:marBottom w:val="0"/>
          <w:divBdr>
            <w:top w:val="none" w:sz="0" w:space="0" w:color="auto"/>
            <w:left w:val="none" w:sz="0" w:space="0" w:color="auto"/>
            <w:bottom w:val="none" w:sz="0" w:space="0" w:color="auto"/>
            <w:right w:val="none" w:sz="0" w:space="0" w:color="auto"/>
          </w:divBdr>
          <w:divsChild>
            <w:div w:id="1602563648">
              <w:marLeft w:val="0"/>
              <w:marRight w:val="0"/>
              <w:marTop w:val="0"/>
              <w:marBottom w:val="0"/>
              <w:divBdr>
                <w:top w:val="none" w:sz="0" w:space="0" w:color="auto"/>
                <w:left w:val="none" w:sz="0" w:space="0" w:color="auto"/>
                <w:bottom w:val="none" w:sz="0" w:space="0" w:color="auto"/>
                <w:right w:val="none" w:sz="0" w:space="0" w:color="auto"/>
              </w:divBdr>
            </w:div>
          </w:divsChild>
        </w:div>
        <w:div w:id="1415858103">
          <w:marLeft w:val="0"/>
          <w:marRight w:val="0"/>
          <w:marTop w:val="0"/>
          <w:marBottom w:val="0"/>
          <w:divBdr>
            <w:top w:val="none" w:sz="0" w:space="0" w:color="auto"/>
            <w:left w:val="none" w:sz="0" w:space="0" w:color="auto"/>
            <w:bottom w:val="none" w:sz="0" w:space="0" w:color="auto"/>
            <w:right w:val="none" w:sz="0" w:space="0" w:color="auto"/>
          </w:divBdr>
          <w:divsChild>
            <w:div w:id="1243834394">
              <w:marLeft w:val="0"/>
              <w:marRight w:val="0"/>
              <w:marTop w:val="0"/>
              <w:marBottom w:val="0"/>
              <w:divBdr>
                <w:top w:val="none" w:sz="0" w:space="0" w:color="auto"/>
                <w:left w:val="none" w:sz="0" w:space="0" w:color="auto"/>
                <w:bottom w:val="none" w:sz="0" w:space="0" w:color="auto"/>
                <w:right w:val="none" w:sz="0" w:space="0" w:color="auto"/>
              </w:divBdr>
            </w:div>
          </w:divsChild>
        </w:div>
        <w:div w:id="1999261846">
          <w:marLeft w:val="0"/>
          <w:marRight w:val="0"/>
          <w:marTop w:val="0"/>
          <w:marBottom w:val="0"/>
          <w:divBdr>
            <w:top w:val="none" w:sz="0" w:space="0" w:color="auto"/>
            <w:left w:val="none" w:sz="0" w:space="0" w:color="auto"/>
            <w:bottom w:val="none" w:sz="0" w:space="0" w:color="auto"/>
            <w:right w:val="none" w:sz="0" w:space="0" w:color="auto"/>
          </w:divBdr>
          <w:divsChild>
            <w:div w:id="317610190">
              <w:marLeft w:val="0"/>
              <w:marRight w:val="0"/>
              <w:marTop w:val="0"/>
              <w:marBottom w:val="0"/>
              <w:divBdr>
                <w:top w:val="none" w:sz="0" w:space="0" w:color="auto"/>
                <w:left w:val="none" w:sz="0" w:space="0" w:color="auto"/>
                <w:bottom w:val="none" w:sz="0" w:space="0" w:color="auto"/>
                <w:right w:val="none" w:sz="0" w:space="0" w:color="auto"/>
              </w:divBdr>
              <w:divsChild>
                <w:div w:id="1499344495">
                  <w:marLeft w:val="0"/>
                  <w:marRight w:val="0"/>
                  <w:marTop w:val="0"/>
                  <w:marBottom w:val="0"/>
                  <w:divBdr>
                    <w:top w:val="none" w:sz="0" w:space="0" w:color="auto"/>
                    <w:left w:val="none" w:sz="0" w:space="0" w:color="auto"/>
                    <w:bottom w:val="none" w:sz="0" w:space="0" w:color="auto"/>
                    <w:right w:val="none" w:sz="0" w:space="0" w:color="auto"/>
                  </w:divBdr>
                  <w:divsChild>
                    <w:div w:id="1521312542">
                      <w:marLeft w:val="0"/>
                      <w:marRight w:val="0"/>
                      <w:marTop w:val="120"/>
                      <w:marBottom w:val="0"/>
                      <w:divBdr>
                        <w:top w:val="none" w:sz="0" w:space="0" w:color="auto"/>
                        <w:left w:val="none" w:sz="0" w:space="0" w:color="auto"/>
                        <w:bottom w:val="none" w:sz="0" w:space="0" w:color="auto"/>
                        <w:right w:val="none" w:sz="0" w:space="0" w:color="auto"/>
                      </w:divBdr>
                    </w:div>
                    <w:div w:id="2585527">
                      <w:marLeft w:val="0"/>
                      <w:marRight w:val="0"/>
                      <w:marTop w:val="0"/>
                      <w:marBottom w:val="0"/>
                      <w:divBdr>
                        <w:top w:val="none" w:sz="0" w:space="0" w:color="auto"/>
                        <w:left w:val="none" w:sz="0" w:space="0" w:color="auto"/>
                        <w:bottom w:val="none" w:sz="0" w:space="0" w:color="auto"/>
                        <w:right w:val="none" w:sz="0" w:space="0" w:color="auto"/>
                      </w:divBdr>
                      <w:divsChild>
                        <w:div w:id="1250625415">
                          <w:marLeft w:val="0"/>
                          <w:marRight w:val="0"/>
                          <w:marTop w:val="0"/>
                          <w:marBottom w:val="0"/>
                          <w:divBdr>
                            <w:top w:val="none" w:sz="0" w:space="0" w:color="auto"/>
                            <w:left w:val="none" w:sz="0" w:space="0" w:color="auto"/>
                            <w:bottom w:val="none" w:sz="0" w:space="0" w:color="auto"/>
                            <w:right w:val="none" w:sz="0" w:space="0" w:color="auto"/>
                          </w:divBdr>
                          <w:divsChild>
                            <w:div w:id="321812338">
                              <w:marLeft w:val="0"/>
                              <w:marRight w:val="0"/>
                              <w:marTop w:val="120"/>
                              <w:marBottom w:val="0"/>
                              <w:divBdr>
                                <w:top w:val="none" w:sz="0" w:space="0" w:color="auto"/>
                                <w:left w:val="none" w:sz="0" w:space="0" w:color="auto"/>
                                <w:bottom w:val="none" w:sz="0" w:space="0" w:color="auto"/>
                                <w:right w:val="none" w:sz="0" w:space="0" w:color="auto"/>
                              </w:divBdr>
                            </w:div>
                            <w:div w:id="1847281844">
                              <w:marLeft w:val="0"/>
                              <w:marRight w:val="0"/>
                              <w:marTop w:val="0"/>
                              <w:marBottom w:val="0"/>
                              <w:divBdr>
                                <w:top w:val="none" w:sz="0" w:space="0" w:color="auto"/>
                                <w:left w:val="none" w:sz="0" w:space="0" w:color="auto"/>
                                <w:bottom w:val="none" w:sz="0" w:space="0" w:color="auto"/>
                                <w:right w:val="none" w:sz="0" w:space="0" w:color="auto"/>
                              </w:divBdr>
                            </w:div>
                          </w:divsChild>
                        </w:div>
                        <w:div w:id="1596934603">
                          <w:marLeft w:val="0"/>
                          <w:marRight w:val="0"/>
                          <w:marTop w:val="0"/>
                          <w:marBottom w:val="0"/>
                          <w:divBdr>
                            <w:top w:val="none" w:sz="0" w:space="0" w:color="auto"/>
                            <w:left w:val="none" w:sz="0" w:space="0" w:color="auto"/>
                            <w:bottom w:val="none" w:sz="0" w:space="0" w:color="auto"/>
                            <w:right w:val="none" w:sz="0" w:space="0" w:color="auto"/>
                          </w:divBdr>
                          <w:divsChild>
                            <w:div w:id="1526676626">
                              <w:marLeft w:val="0"/>
                              <w:marRight w:val="0"/>
                              <w:marTop w:val="120"/>
                              <w:marBottom w:val="0"/>
                              <w:divBdr>
                                <w:top w:val="none" w:sz="0" w:space="0" w:color="auto"/>
                                <w:left w:val="none" w:sz="0" w:space="0" w:color="auto"/>
                                <w:bottom w:val="none" w:sz="0" w:space="0" w:color="auto"/>
                                <w:right w:val="none" w:sz="0" w:space="0" w:color="auto"/>
                              </w:divBdr>
                            </w:div>
                            <w:div w:id="940650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535319">
                  <w:marLeft w:val="0"/>
                  <w:marRight w:val="0"/>
                  <w:marTop w:val="0"/>
                  <w:marBottom w:val="0"/>
                  <w:divBdr>
                    <w:top w:val="none" w:sz="0" w:space="0" w:color="auto"/>
                    <w:left w:val="none" w:sz="0" w:space="0" w:color="auto"/>
                    <w:bottom w:val="none" w:sz="0" w:space="0" w:color="auto"/>
                    <w:right w:val="none" w:sz="0" w:space="0" w:color="auto"/>
                  </w:divBdr>
                  <w:divsChild>
                    <w:div w:id="2063167025">
                      <w:marLeft w:val="0"/>
                      <w:marRight w:val="0"/>
                      <w:marTop w:val="120"/>
                      <w:marBottom w:val="0"/>
                      <w:divBdr>
                        <w:top w:val="none" w:sz="0" w:space="0" w:color="auto"/>
                        <w:left w:val="none" w:sz="0" w:space="0" w:color="auto"/>
                        <w:bottom w:val="none" w:sz="0" w:space="0" w:color="auto"/>
                        <w:right w:val="none" w:sz="0" w:space="0" w:color="auto"/>
                      </w:divBdr>
                    </w:div>
                    <w:div w:id="8566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777381">
          <w:marLeft w:val="0"/>
          <w:marRight w:val="0"/>
          <w:marTop w:val="0"/>
          <w:marBottom w:val="0"/>
          <w:divBdr>
            <w:top w:val="none" w:sz="0" w:space="0" w:color="auto"/>
            <w:left w:val="none" w:sz="0" w:space="0" w:color="auto"/>
            <w:bottom w:val="none" w:sz="0" w:space="0" w:color="auto"/>
            <w:right w:val="none" w:sz="0" w:space="0" w:color="auto"/>
          </w:divBdr>
          <w:divsChild>
            <w:div w:id="817190532">
              <w:marLeft w:val="0"/>
              <w:marRight w:val="0"/>
              <w:marTop w:val="0"/>
              <w:marBottom w:val="0"/>
              <w:divBdr>
                <w:top w:val="none" w:sz="0" w:space="0" w:color="auto"/>
                <w:left w:val="none" w:sz="0" w:space="0" w:color="auto"/>
                <w:bottom w:val="none" w:sz="0" w:space="0" w:color="auto"/>
                <w:right w:val="none" w:sz="0" w:space="0" w:color="auto"/>
              </w:divBdr>
            </w:div>
          </w:divsChild>
        </w:div>
        <w:div w:id="729573133">
          <w:marLeft w:val="0"/>
          <w:marRight w:val="0"/>
          <w:marTop w:val="0"/>
          <w:marBottom w:val="0"/>
          <w:divBdr>
            <w:top w:val="none" w:sz="0" w:space="0" w:color="auto"/>
            <w:left w:val="none" w:sz="0" w:space="0" w:color="auto"/>
            <w:bottom w:val="none" w:sz="0" w:space="0" w:color="auto"/>
            <w:right w:val="none" w:sz="0" w:space="0" w:color="auto"/>
          </w:divBdr>
          <w:divsChild>
            <w:div w:id="261963054">
              <w:marLeft w:val="0"/>
              <w:marRight w:val="0"/>
              <w:marTop w:val="0"/>
              <w:marBottom w:val="0"/>
              <w:divBdr>
                <w:top w:val="none" w:sz="0" w:space="0" w:color="auto"/>
                <w:left w:val="none" w:sz="0" w:space="0" w:color="auto"/>
                <w:bottom w:val="none" w:sz="0" w:space="0" w:color="auto"/>
                <w:right w:val="none" w:sz="0" w:space="0" w:color="auto"/>
              </w:divBdr>
              <w:divsChild>
                <w:div w:id="878468147">
                  <w:marLeft w:val="0"/>
                  <w:marRight w:val="0"/>
                  <w:marTop w:val="0"/>
                  <w:marBottom w:val="0"/>
                  <w:divBdr>
                    <w:top w:val="none" w:sz="0" w:space="0" w:color="auto"/>
                    <w:left w:val="none" w:sz="0" w:space="0" w:color="auto"/>
                    <w:bottom w:val="none" w:sz="0" w:space="0" w:color="auto"/>
                    <w:right w:val="none" w:sz="0" w:space="0" w:color="auto"/>
                  </w:divBdr>
                  <w:divsChild>
                    <w:div w:id="338584987">
                      <w:marLeft w:val="0"/>
                      <w:marRight w:val="0"/>
                      <w:marTop w:val="120"/>
                      <w:marBottom w:val="0"/>
                      <w:divBdr>
                        <w:top w:val="none" w:sz="0" w:space="0" w:color="auto"/>
                        <w:left w:val="none" w:sz="0" w:space="0" w:color="auto"/>
                        <w:bottom w:val="none" w:sz="0" w:space="0" w:color="auto"/>
                        <w:right w:val="none" w:sz="0" w:space="0" w:color="auto"/>
                      </w:divBdr>
                    </w:div>
                    <w:div w:id="605190571">
                      <w:marLeft w:val="0"/>
                      <w:marRight w:val="0"/>
                      <w:marTop w:val="0"/>
                      <w:marBottom w:val="0"/>
                      <w:divBdr>
                        <w:top w:val="none" w:sz="0" w:space="0" w:color="auto"/>
                        <w:left w:val="none" w:sz="0" w:space="0" w:color="auto"/>
                        <w:bottom w:val="none" w:sz="0" w:space="0" w:color="auto"/>
                        <w:right w:val="none" w:sz="0" w:space="0" w:color="auto"/>
                      </w:divBdr>
                    </w:div>
                  </w:divsChild>
                </w:div>
                <w:div w:id="1528057201">
                  <w:marLeft w:val="0"/>
                  <w:marRight w:val="0"/>
                  <w:marTop w:val="0"/>
                  <w:marBottom w:val="0"/>
                  <w:divBdr>
                    <w:top w:val="none" w:sz="0" w:space="0" w:color="auto"/>
                    <w:left w:val="none" w:sz="0" w:space="0" w:color="auto"/>
                    <w:bottom w:val="none" w:sz="0" w:space="0" w:color="auto"/>
                    <w:right w:val="none" w:sz="0" w:space="0" w:color="auto"/>
                  </w:divBdr>
                  <w:divsChild>
                    <w:div w:id="1187134632">
                      <w:marLeft w:val="0"/>
                      <w:marRight w:val="0"/>
                      <w:marTop w:val="120"/>
                      <w:marBottom w:val="0"/>
                      <w:divBdr>
                        <w:top w:val="none" w:sz="0" w:space="0" w:color="auto"/>
                        <w:left w:val="none" w:sz="0" w:space="0" w:color="auto"/>
                        <w:bottom w:val="none" w:sz="0" w:space="0" w:color="auto"/>
                        <w:right w:val="none" w:sz="0" w:space="0" w:color="auto"/>
                      </w:divBdr>
                    </w:div>
                    <w:div w:id="35103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351250">
      <w:bodyDiv w:val="1"/>
      <w:marLeft w:val="0"/>
      <w:marRight w:val="0"/>
      <w:marTop w:val="0"/>
      <w:marBottom w:val="0"/>
      <w:divBdr>
        <w:top w:val="none" w:sz="0" w:space="0" w:color="auto"/>
        <w:left w:val="none" w:sz="0" w:space="0" w:color="auto"/>
        <w:bottom w:val="none" w:sz="0" w:space="0" w:color="auto"/>
        <w:right w:val="none" w:sz="0" w:space="0" w:color="auto"/>
      </w:divBdr>
    </w:div>
    <w:div w:id="1977106688">
      <w:bodyDiv w:val="1"/>
      <w:marLeft w:val="0"/>
      <w:marRight w:val="0"/>
      <w:marTop w:val="0"/>
      <w:marBottom w:val="0"/>
      <w:divBdr>
        <w:top w:val="none" w:sz="0" w:space="0" w:color="auto"/>
        <w:left w:val="none" w:sz="0" w:space="0" w:color="auto"/>
        <w:bottom w:val="none" w:sz="0" w:space="0" w:color="auto"/>
        <w:right w:val="none" w:sz="0" w:space="0" w:color="auto"/>
      </w:divBdr>
      <w:divsChild>
        <w:div w:id="2101637094">
          <w:marLeft w:val="0"/>
          <w:marRight w:val="0"/>
          <w:marTop w:val="0"/>
          <w:marBottom w:val="0"/>
          <w:divBdr>
            <w:top w:val="none" w:sz="0" w:space="0" w:color="auto"/>
            <w:left w:val="none" w:sz="0" w:space="0" w:color="auto"/>
            <w:bottom w:val="none" w:sz="0" w:space="0" w:color="auto"/>
            <w:right w:val="none" w:sz="0" w:space="0" w:color="auto"/>
          </w:divBdr>
          <w:divsChild>
            <w:div w:id="807285216">
              <w:marLeft w:val="0"/>
              <w:marRight w:val="0"/>
              <w:marTop w:val="0"/>
              <w:marBottom w:val="0"/>
              <w:divBdr>
                <w:top w:val="none" w:sz="0" w:space="0" w:color="auto"/>
                <w:left w:val="none" w:sz="0" w:space="0" w:color="auto"/>
                <w:bottom w:val="none" w:sz="0" w:space="0" w:color="auto"/>
                <w:right w:val="none" w:sz="0" w:space="0" w:color="auto"/>
              </w:divBdr>
              <w:divsChild>
                <w:div w:id="1859810265">
                  <w:marLeft w:val="0"/>
                  <w:marRight w:val="0"/>
                  <w:marTop w:val="0"/>
                  <w:marBottom w:val="0"/>
                  <w:divBdr>
                    <w:top w:val="none" w:sz="0" w:space="0" w:color="auto"/>
                    <w:left w:val="none" w:sz="0" w:space="0" w:color="auto"/>
                    <w:bottom w:val="none" w:sz="0" w:space="0" w:color="auto"/>
                    <w:right w:val="none" w:sz="0" w:space="0" w:color="auto"/>
                  </w:divBdr>
                  <w:divsChild>
                    <w:div w:id="793792737">
                      <w:marLeft w:val="0"/>
                      <w:marRight w:val="0"/>
                      <w:marTop w:val="120"/>
                      <w:marBottom w:val="0"/>
                      <w:divBdr>
                        <w:top w:val="none" w:sz="0" w:space="0" w:color="auto"/>
                        <w:left w:val="none" w:sz="0" w:space="0" w:color="auto"/>
                        <w:bottom w:val="none" w:sz="0" w:space="0" w:color="auto"/>
                        <w:right w:val="none" w:sz="0" w:space="0" w:color="auto"/>
                      </w:divBdr>
                    </w:div>
                    <w:div w:id="1762336993">
                      <w:marLeft w:val="0"/>
                      <w:marRight w:val="0"/>
                      <w:marTop w:val="0"/>
                      <w:marBottom w:val="0"/>
                      <w:divBdr>
                        <w:top w:val="none" w:sz="0" w:space="0" w:color="auto"/>
                        <w:left w:val="none" w:sz="0" w:space="0" w:color="auto"/>
                        <w:bottom w:val="none" w:sz="0" w:space="0" w:color="auto"/>
                        <w:right w:val="none" w:sz="0" w:space="0" w:color="auto"/>
                      </w:divBdr>
                    </w:div>
                  </w:divsChild>
                </w:div>
                <w:div w:id="1215431998">
                  <w:marLeft w:val="0"/>
                  <w:marRight w:val="0"/>
                  <w:marTop w:val="0"/>
                  <w:marBottom w:val="0"/>
                  <w:divBdr>
                    <w:top w:val="none" w:sz="0" w:space="0" w:color="auto"/>
                    <w:left w:val="none" w:sz="0" w:space="0" w:color="auto"/>
                    <w:bottom w:val="none" w:sz="0" w:space="0" w:color="auto"/>
                    <w:right w:val="none" w:sz="0" w:space="0" w:color="auto"/>
                  </w:divBdr>
                  <w:divsChild>
                    <w:div w:id="1671062059">
                      <w:marLeft w:val="0"/>
                      <w:marRight w:val="0"/>
                      <w:marTop w:val="120"/>
                      <w:marBottom w:val="0"/>
                      <w:divBdr>
                        <w:top w:val="none" w:sz="0" w:space="0" w:color="auto"/>
                        <w:left w:val="none" w:sz="0" w:space="0" w:color="auto"/>
                        <w:bottom w:val="none" w:sz="0" w:space="0" w:color="auto"/>
                        <w:right w:val="none" w:sz="0" w:space="0" w:color="auto"/>
                      </w:divBdr>
                    </w:div>
                    <w:div w:id="257518558">
                      <w:marLeft w:val="0"/>
                      <w:marRight w:val="0"/>
                      <w:marTop w:val="0"/>
                      <w:marBottom w:val="0"/>
                      <w:divBdr>
                        <w:top w:val="none" w:sz="0" w:space="0" w:color="auto"/>
                        <w:left w:val="none" w:sz="0" w:space="0" w:color="auto"/>
                        <w:bottom w:val="none" w:sz="0" w:space="0" w:color="auto"/>
                        <w:right w:val="none" w:sz="0" w:space="0" w:color="auto"/>
                      </w:divBdr>
                      <w:divsChild>
                        <w:div w:id="611254317">
                          <w:marLeft w:val="0"/>
                          <w:marRight w:val="0"/>
                          <w:marTop w:val="0"/>
                          <w:marBottom w:val="0"/>
                          <w:divBdr>
                            <w:top w:val="none" w:sz="0" w:space="0" w:color="auto"/>
                            <w:left w:val="none" w:sz="0" w:space="0" w:color="auto"/>
                            <w:bottom w:val="none" w:sz="0" w:space="0" w:color="auto"/>
                            <w:right w:val="none" w:sz="0" w:space="0" w:color="auto"/>
                          </w:divBdr>
                          <w:divsChild>
                            <w:div w:id="804545445">
                              <w:marLeft w:val="0"/>
                              <w:marRight w:val="0"/>
                              <w:marTop w:val="120"/>
                              <w:marBottom w:val="0"/>
                              <w:divBdr>
                                <w:top w:val="none" w:sz="0" w:space="0" w:color="auto"/>
                                <w:left w:val="none" w:sz="0" w:space="0" w:color="auto"/>
                                <w:bottom w:val="none" w:sz="0" w:space="0" w:color="auto"/>
                                <w:right w:val="none" w:sz="0" w:space="0" w:color="auto"/>
                              </w:divBdr>
                            </w:div>
                            <w:div w:id="1667708656">
                              <w:marLeft w:val="0"/>
                              <w:marRight w:val="0"/>
                              <w:marTop w:val="0"/>
                              <w:marBottom w:val="0"/>
                              <w:divBdr>
                                <w:top w:val="none" w:sz="0" w:space="0" w:color="auto"/>
                                <w:left w:val="none" w:sz="0" w:space="0" w:color="auto"/>
                                <w:bottom w:val="none" w:sz="0" w:space="0" w:color="auto"/>
                                <w:right w:val="none" w:sz="0" w:space="0" w:color="auto"/>
                              </w:divBdr>
                            </w:div>
                          </w:divsChild>
                        </w:div>
                        <w:div w:id="2032418655">
                          <w:marLeft w:val="0"/>
                          <w:marRight w:val="0"/>
                          <w:marTop w:val="0"/>
                          <w:marBottom w:val="0"/>
                          <w:divBdr>
                            <w:top w:val="none" w:sz="0" w:space="0" w:color="auto"/>
                            <w:left w:val="none" w:sz="0" w:space="0" w:color="auto"/>
                            <w:bottom w:val="none" w:sz="0" w:space="0" w:color="auto"/>
                            <w:right w:val="none" w:sz="0" w:space="0" w:color="auto"/>
                          </w:divBdr>
                          <w:divsChild>
                            <w:div w:id="1236016390">
                              <w:marLeft w:val="0"/>
                              <w:marRight w:val="0"/>
                              <w:marTop w:val="120"/>
                              <w:marBottom w:val="0"/>
                              <w:divBdr>
                                <w:top w:val="none" w:sz="0" w:space="0" w:color="auto"/>
                                <w:left w:val="none" w:sz="0" w:space="0" w:color="auto"/>
                                <w:bottom w:val="none" w:sz="0" w:space="0" w:color="auto"/>
                                <w:right w:val="none" w:sz="0" w:space="0" w:color="auto"/>
                              </w:divBdr>
                            </w:div>
                            <w:div w:id="103119030">
                              <w:marLeft w:val="0"/>
                              <w:marRight w:val="0"/>
                              <w:marTop w:val="0"/>
                              <w:marBottom w:val="0"/>
                              <w:divBdr>
                                <w:top w:val="none" w:sz="0" w:space="0" w:color="auto"/>
                                <w:left w:val="none" w:sz="0" w:space="0" w:color="auto"/>
                                <w:bottom w:val="none" w:sz="0" w:space="0" w:color="auto"/>
                                <w:right w:val="none" w:sz="0" w:space="0" w:color="auto"/>
                              </w:divBdr>
                            </w:div>
                          </w:divsChild>
                        </w:div>
                        <w:div w:id="251471733">
                          <w:marLeft w:val="0"/>
                          <w:marRight w:val="0"/>
                          <w:marTop w:val="0"/>
                          <w:marBottom w:val="0"/>
                          <w:divBdr>
                            <w:top w:val="none" w:sz="0" w:space="0" w:color="auto"/>
                            <w:left w:val="none" w:sz="0" w:space="0" w:color="auto"/>
                            <w:bottom w:val="none" w:sz="0" w:space="0" w:color="auto"/>
                            <w:right w:val="none" w:sz="0" w:space="0" w:color="auto"/>
                          </w:divBdr>
                          <w:divsChild>
                            <w:div w:id="808480473">
                              <w:marLeft w:val="0"/>
                              <w:marRight w:val="0"/>
                              <w:marTop w:val="120"/>
                              <w:marBottom w:val="0"/>
                              <w:divBdr>
                                <w:top w:val="none" w:sz="0" w:space="0" w:color="auto"/>
                                <w:left w:val="none" w:sz="0" w:space="0" w:color="auto"/>
                                <w:bottom w:val="none" w:sz="0" w:space="0" w:color="auto"/>
                                <w:right w:val="none" w:sz="0" w:space="0" w:color="auto"/>
                              </w:divBdr>
                            </w:div>
                            <w:div w:id="747265928">
                              <w:marLeft w:val="0"/>
                              <w:marRight w:val="0"/>
                              <w:marTop w:val="0"/>
                              <w:marBottom w:val="0"/>
                              <w:divBdr>
                                <w:top w:val="none" w:sz="0" w:space="0" w:color="auto"/>
                                <w:left w:val="none" w:sz="0" w:space="0" w:color="auto"/>
                                <w:bottom w:val="none" w:sz="0" w:space="0" w:color="auto"/>
                                <w:right w:val="none" w:sz="0" w:space="0" w:color="auto"/>
                              </w:divBdr>
                            </w:div>
                          </w:divsChild>
                        </w:div>
                        <w:div w:id="1039473523">
                          <w:marLeft w:val="0"/>
                          <w:marRight w:val="0"/>
                          <w:marTop w:val="0"/>
                          <w:marBottom w:val="0"/>
                          <w:divBdr>
                            <w:top w:val="none" w:sz="0" w:space="0" w:color="auto"/>
                            <w:left w:val="none" w:sz="0" w:space="0" w:color="auto"/>
                            <w:bottom w:val="none" w:sz="0" w:space="0" w:color="auto"/>
                            <w:right w:val="none" w:sz="0" w:space="0" w:color="auto"/>
                          </w:divBdr>
                          <w:divsChild>
                            <w:div w:id="911356560">
                              <w:marLeft w:val="0"/>
                              <w:marRight w:val="0"/>
                              <w:marTop w:val="120"/>
                              <w:marBottom w:val="0"/>
                              <w:divBdr>
                                <w:top w:val="none" w:sz="0" w:space="0" w:color="auto"/>
                                <w:left w:val="none" w:sz="0" w:space="0" w:color="auto"/>
                                <w:bottom w:val="none" w:sz="0" w:space="0" w:color="auto"/>
                                <w:right w:val="none" w:sz="0" w:space="0" w:color="auto"/>
                              </w:divBdr>
                            </w:div>
                            <w:div w:id="160584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483835">
                  <w:marLeft w:val="0"/>
                  <w:marRight w:val="0"/>
                  <w:marTop w:val="0"/>
                  <w:marBottom w:val="0"/>
                  <w:divBdr>
                    <w:top w:val="none" w:sz="0" w:space="0" w:color="auto"/>
                    <w:left w:val="none" w:sz="0" w:space="0" w:color="auto"/>
                    <w:bottom w:val="none" w:sz="0" w:space="0" w:color="auto"/>
                    <w:right w:val="none" w:sz="0" w:space="0" w:color="auto"/>
                  </w:divBdr>
                  <w:divsChild>
                    <w:div w:id="829061866">
                      <w:marLeft w:val="0"/>
                      <w:marRight w:val="0"/>
                      <w:marTop w:val="120"/>
                      <w:marBottom w:val="0"/>
                      <w:divBdr>
                        <w:top w:val="none" w:sz="0" w:space="0" w:color="auto"/>
                        <w:left w:val="none" w:sz="0" w:space="0" w:color="auto"/>
                        <w:bottom w:val="none" w:sz="0" w:space="0" w:color="auto"/>
                        <w:right w:val="none" w:sz="0" w:space="0" w:color="auto"/>
                      </w:divBdr>
                    </w:div>
                    <w:div w:id="35488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1850">
      <w:bodyDiv w:val="1"/>
      <w:marLeft w:val="0"/>
      <w:marRight w:val="0"/>
      <w:marTop w:val="0"/>
      <w:marBottom w:val="0"/>
      <w:divBdr>
        <w:top w:val="none" w:sz="0" w:space="0" w:color="auto"/>
        <w:left w:val="none" w:sz="0" w:space="0" w:color="auto"/>
        <w:bottom w:val="none" w:sz="0" w:space="0" w:color="auto"/>
        <w:right w:val="none" w:sz="0" w:space="0" w:color="auto"/>
      </w:divBdr>
      <w:divsChild>
        <w:div w:id="709691184">
          <w:marLeft w:val="0"/>
          <w:marRight w:val="0"/>
          <w:marTop w:val="0"/>
          <w:marBottom w:val="0"/>
          <w:divBdr>
            <w:top w:val="none" w:sz="0" w:space="0" w:color="auto"/>
            <w:left w:val="none" w:sz="0" w:space="0" w:color="auto"/>
            <w:bottom w:val="none" w:sz="0" w:space="0" w:color="auto"/>
            <w:right w:val="none" w:sz="0" w:space="0" w:color="auto"/>
          </w:divBdr>
        </w:div>
        <w:div w:id="385034939">
          <w:marLeft w:val="0"/>
          <w:marRight w:val="0"/>
          <w:marTop w:val="0"/>
          <w:marBottom w:val="0"/>
          <w:divBdr>
            <w:top w:val="none" w:sz="0" w:space="0" w:color="auto"/>
            <w:left w:val="none" w:sz="0" w:space="0" w:color="auto"/>
            <w:bottom w:val="none" w:sz="0" w:space="0" w:color="auto"/>
            <w:right w:val="none" w:sz="0" w:space="0" w:color="auto"/>
          </w:divBdr>
        </w:div>
        <w:div w:id="1443383448">
          <w:marLeft w:val="0"/>
          <w:marRight w:val="0"/>
          <w:marTop w:val="0"/>
          <w:marBottom w:val="0"/>
          <w:divBdr>
            <w:top w:val="none" w:sz="0" w:space="0" w:color="auto"/>
            <w:left w:val="none" w:sz="0" w:space="0" w:color="auto"/>
            <w:bottom w:val="none" w:sz="0" w:space="0" w:color="auto"/>
            <w:right w:val="none" w:sz="0" w:space="0" w:color="auto"/>
          </w:divBdr>
        </w:div>
        <w:div w:id="1981956487">
          <w:marLeft w:val="0"/>
          <w:marRight w:val="0"/>
          <w:marTop w:val="0"/>
          <w:marBottom w:val="0"/>
          <w:divBdr>
            <w:top w:val="none" w:sz="0" w:space="0" w:color="auto"/>
            <w:left w:val="none" w:sz="0" w:space="0" w:color="auto"/>
            <w:bottom w:val="none" w:sz="0" w:space="0" w:color="auto"/>
            <w:right w:val="none" w:sz="0" w:space="0" w:color="auto"/>
          </w:divBdr>
        </w:div>
        <w:div w:id="1890261398">
          <w:marLeft w:val="0"/>
          <w:marRight w:val="0"/>
          <w:marTop w:val="0"/>
          <w:marBottom w:val="0"/>
          <w:divBdr>
            <w:top w:val="none" w:sz="0" w:space="0" w:color="auto"/>
            <w:left w:val="none" w:sz="0" w:space="0" w:color="auto"/>
            <w:bottom w:val="none" w:sz="0" w:space="0" w:color="auto"/>
            <w:right w:val="none" w:sz="0" w:space="0" w:color="auto"/>
          </w:divBdr>
        </w:div>
        <w:div w:id="467747637">
          <w:marLeft w:val="0"/>
          <w:marRight w:val="0"/>
          <w:marTop w:val="0"/>
          <w:marBottom w:val="0"/>
          <w:divBdr>
            <w:top w:val="none" w:sz="0" w:space="0" w:color="auto"/>
            <w:left w:val="none" w:sz="0" w:space="0" w:color="auto"/>
            <w:bottom w:val="none" w:sz="0" w:space="0" w:color="auto"/>
            <w:right w:val="none" w:sz="0" w:space="0" w:color="auto"/>
          </w:divBdr>
        </w:div>
      </w:divsChild>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sChild>
        <w:div w:id="741676544">
          <w:marLeft w:val="0"/>
          <w:marRight w:val="0"/>
          <w:marTop w:val="0"/>
          <w:marBottom w:val="0"/>
          <w:divBdr>
            <w:top w:val="none" w:sz="0" w:space="0" w:color="auto"/>
            <w:left w:val="none" w:sz="0" w:space="0" w:color="auto"/>
            <w:bottom w:val="none" w:sz="0" w:space="0" w:color="auto"/>
            <w:right w:val="none" w:sz="0" w:space="0" w:color="auto"/>
          </w:divBdr>
          <w:divsChild>
            <w:div w:id="1386950414">
              <w:marLeft w:val="0"/>
              <w:marRight w:val="0"/>
              <w:marTop w:val="120"/>
              <w:marBottom w:val="0"/>
              <w:divBdr>
                <w:top w:val="none" w:sz="0" w:space="0" w:color="auto"/>
                <w:left w:val="none" w:sz="0" w:space="0" w:color="auto"/>
                <w:bottom w:val="none" w:sz="0" w:space="0" w:color="auto"/>
                <w:right w:val="none" w:sz="0" w:space="0" w:color="auto"/>
              </w:divBdr>
            </w:div>
            <w:div w:id="795685125">
              <w:marLeft w:val="0"/>
              <w:marRight w:val="0"/>
              <w:marTop w:val="0"/>
              <w:marBottom w:val="0"/>
              <w:divBdr>
                <w:top w:val="none" w:sz="0" w:space="0" w:color="auto"/>
                <w:left w:val="none" w:sz="0" w:space="0" w:color="auto"/>
                <w:bottom w:val="none" w:sz="0" w:space="0" w:color="auto"/>
                <w:right w:val="none" w:sz="0" w:space="0" w:color="auto"/>
              </w:divBdr>
            </w:div>
          </w:divsChild>
        </w:div>
        <w:div w:id="1780949093">
          <w:marLeft w:val="0"/>
          <w:marRight w:val="0"/>
          <w:marTop w:val="0"/>
          <w:marBottom w:val="0"/>
          <w:divBdr>
            <w:top w:val="none" w:sz="0" w:space="0" w:color="auto"/>
            <w:left w:val="none" w:sz="0" w:space="0" w:color="auto"/>
            <w:bottom w:val="none" w:sz="0" w:space="0" w:color="auto"/>
            <w:right w:val="none" w:sz="0" w:space="0" w:color="auto"/>
          </w:divBdr>
          <w:divsChild>
            <w:div w:id="366178188">
              <w:marLeft w:val="0"/>
              <w:marRight w:val="0"/>
              <w:marTop w:val="120"/>
              <w:marBottom w:val="0"/>
              <w:divBdr>
                <w:top w:val="none" w:sz="0" w:space="0" w:color="auto"/>
                <w:left w:val="none" w:sz="0" w:space="0" w:color="auto"/>
                <w:bottom w:val="none" w:sz="0" w:space="0" w:color="auto"/>
                <w:right w:val="none" w:sz="0" w:space="0" w:color="auto"/>
              </w:divBdr>
            </w:div>
            <w:div w:id="2144347375">
              <w:marLeft w:val="0"/>
              <w:marRight w:val="0"/>
              <w:marTop w:val="0"/>
              <w:marBottom w:val="0"/>
              <w:divBdr>
                <w:top w:val="none" w:sz="0" w:space="0" w:color="auto"/>
                <w:left w:val="none" w:sz="0" w:space="0" w:color="auto"/>
                <w:bottom w:val="none" w:sz="0" w:space="0" w:color="auto"/>
                <w:right w:val="none" w:sz="0" w:space="0" w:color="auto"/>
              </w:divBdr>
            </w:div>
          </w:divsChild>
        </w:div>
        <w:div w:id="782461836">
          <w:marLeft w:val="0"/>
          <w:marRight w:val="0"/>
          <w:marTop w:val="0"/>
          <w:marBottom w:val="0"/>
          <w:divBdr>
            <w:top w:val="none" w:sz="0" w:space="0" w:color="auto"/>
            <w:left w:val="none" w:sz="0" w:space="0" w:color="auto"/>
            <w:bottom w:val="none" w:sz="0" w:space="0" w:color="auto"/>
            <w:right w:val="none" w:sz="0" w:space="0" w:color="auto"/>
          </w:divBdr>
          <w:divsChild>
            <w:div w:id="1527863802">
              <w:marLeft w:val="0"/>
              <w:marRight w:val="0"/>
              <w:marTop w:val="120"/>
              <w:marBottom w:val="0"/>
              <w:divBdr>
                <w:top w:val="none" w:sz="0" w:space="0" w:color="auto"/>
                <w:left w:val="none" w:sz="0" w:space="0" w:color="auto"/>
                <w:bottom w:val="none" w:sz="0" w:space="0" w:color="auto"/>
                <w:right w:val="none" w:sz="0" w:space="0" w:color="auto"/>
              </w:divBdr>
            </w:div>
            <w:div w:id="176522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583858">
      <w:bodyDiv w:val="1"/>
      <w:marLeft w:val="0"/>
      <w:marRight w:val="0"/>
      <w:marTop w:val="0"/>
      <w:marBottom w:val="0"/>
      <w:divBdr>
        <w:top w:val="none" w:sz="0" w:space="0" w:color="auto"/>
        <w:left w:val="none" w:sz="0" w:space="0" w:color="auto"/>
        <w:bottom w:val="none" w:sz="0" w:space="0" w:color="auto"/>
        <w:right w:val="none" w:sz="0" w:space="0" w:color="auto"/>
      </w:divBdr>
    </w:div>
    <w:div w:id="2018070080">
      <w:bodyDiv w:val="1"/>
      <w:marLeft w:val="0"/>
      <w:marRight w:val="0"/>
      <w:marTop w:val="0"/>
      <w:marBottom w:val="0"/>
      <w:divBdr>
        <w:top w:val="none" w:sz="0" w:space="0" w:color="auto"/>
        <w:left w:val="none" w:sz="0" w:space="0" w:color="auto"/>
        <w:bottom w:val="none" w:sz="0" w:space="0" w:color="auto"/>
        <w:right w:val="none" w:sz="0" w:space="0" w:color="auto"/>
      </w:divBdr>
    </w:div>
    <w:div w:id="2020814408">
      <w:bodyDiv w:val="1"/>
      <w:marLeft w:val="0"/>
      <w:marRight w:val="0"/>
      <w:marTop w:val="0"/>
      <w:marBottom w:val="0"/>
      <w:divBdr>
        <w:top w:val="none" w:sz="0" w:space="0" w:color="auto"/>
        <w:left w:val="none" w:sz="0" w:space="0" w:color="auto"/>
        <w:bottom w:val="none" w:sz="0" w:space="0" w:color="auto"/>
        <w:right w:val="none" w:sz="0" w:space="0" w:color="auto"/>
      </w:divBdr>
      <w:divsChild>
        <w:div w:id="225452298">
          <w:marLeft w:val="0"/>
          <w:marRight w:val="0"/>
          <w:marTop w:val="0"/>
          <w:marBottom w:val="0"/>
          <w:divBdr>
            <w:top w:val="none" w:sz="0" w:space="0" w:color="auto"/>
            <w:left w:val="none" w:sz="0" w:space="0" w:color="auto"/>
            <w:bottom w:val="none" w:sz="0" w:space="0" w:color="auto"/>
            <w:right w:val="none" w:sz="0" w:space="0" w:color="auto"/>
          </w:divBdr>
          <w:divsChild>
            <w:div w:id="1934629106">
              <w:marLeft w:val="0"/>
              <w:marRight w:val="0"/>
              <w:marTop w:val="0"/>
              <w:marBottom w:val="0"/>
              <w:divBdr>
                <w:top w:val="none" w:sz="0" w:space="0" w:color="auto"/>
                <w:left w:val="none" w:sz="0" w:space="0" w:color="auto"/>
                <w:bottom w:val="none" w:sz="0" w:space="0" w:color="auto"/>
                <w:right w:val="none" w:sz="0" w:space="0" w:color="auto"/>
              </w:divBdr>
            </w:div>
          </w:divsChild>
        </w:div>
        <w:div w:id="1804075321">
          <w:marLeft w:val="0"/>
          <w:marRight w:val="0"/>
          <w:marTop w:val="0"/>
          <w:marBottom w:val="0"/>
          <w:divBdr>
            <w:top w:val="none" w:sz="0" w:space="0" w:color="auto"/>
            <w:left w:val="none" w:sz="0" w:space="0" w:color="auto"/>
            <w:bottom w:val="none" w:sz="0" w:space="0" w:color="auto"/>
            <w:right w:val="none" w:sz="0" w:space="0" w:color="auto"/>
          </w:divBdr>
          <w:divsChild>
            <w:div w:id="15403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89496">
      <w:bodyDiv w:val="1"/>
      <w:marLeft w:val="0"/>
      <w:marRight w:val="0"/>
      <w:marTop w:val="0"/>
      <w:marBottom w:val="0"/>
      <w:divBdr>
        <w:top w:val="none" w:sz="0" w:space="0" w:color="auto"/>
        <w:left w:val="none" w:sz="0" w:space="0" w:color="auto"/>
        <w:bottom w:val="none" w:sz="0" w:space="0" w:color="auto"/>
        <w:right w:val="none" w:sz="0" w:space="0" w:color="auto"/>
      </w:divBdr>
    </w:div>
    <w:div w:id="2108111338">
      <w:bodyDiv w:val="1"/>
      <w:marLeft w:val="0"/>
      <w:marRight w:val="0"/>
      <w:marTop w:val="0"/>
      <w:marBottom w:val="0"/>
      <w:divBdr>
        <w:top w:val="none" w:sz="0" w:space="0" w:color="auto"/>
        <w:left w:val="none" w:sz="0" w:space="0" w:color="auto"/>
        <w:bottom w:val="none" w:sz="0" w:space="0" w:color="auto"/>
        <w:right w:val="none" w:sz="0" w:space="0" w:color="auto"/>
      </w:divBdr>
    </w:div>
    <w:div w:id="2123066922">
      <w:bodyDiv w:val="1"/>
      <w:marLeft w:val="0"/>
      <w:marRight w:val="0"/>
      <w:marTop w:val="0"/>
      <w:marBottom w:val="0"/>
      <w:divBdr>
        <w:top w:val="none" w:sz="0" w:space="0" w:color="auto"/>
        <w:left w:val="none" w:sz="0" w:space="0" w:color="auto"/>
        <w:bottom w:val="none" w:sz="0" w:space="0" w:color="auto"/>
        <w:right w:val="none" w:sz="0" w:space="0" w:color="auto"/>
      </w:divBdr>
      <w:divsChild>
        <w:div w:id="1831215714">
          <w:marLeft w:val="0"/>
          <w:marRight w:val="0"/>
          <w:marTop w:val="0"/>
          <w:marBottom w:val="0"/>
          <w:divBdr>
            <w:top w:val="none" w:sz="0" w:space="0" w:color="auto"/>
            <w:left w:val="none" w:sz="0" w:space="0" w:color="auto"/>
            <w:bottom w:val="none" w:sz="0" w:space="0" w:color="auto"/>
            <w:right w:val="none" w:sz="0" w:space="0" w:color="auto"/>
          </w:divBdr>
        </w:div>
        <w:div w:id="513737553">
          <w:marLeft w:val="0"/>
          <w:marRight w:val="0"/>
          <w:marTop w:val="0"/>
          <w:marBottom w:val="0"/>
          <w:divBdr>
            <w:top w:val="none" w:sz="0" w:space="0" w:color="auto"/>
            <w:left w:val="none" w:sz="0" w:space="0" w:color="auto"/>
            <w:bottom w:val="none" w:sz="0" w:space="0" w:color="auto"/>
            <w:right w:val="none" w:sz="0" w:space="0" w:color="auto"/>
          </w:divBdr>
        </w:div>
        <w:div w:id="1406605894">
          <w:marLeft w:val="0"/>
          <w:marRight w:val="0"/>
          <w:marTop w:val="0"/>
          <w:marBottom w:val="0"/>
          <w:divBdr>
            <w:top w:val="none" w:sz="0" w:space="0" w:color="auto"/>
            <w:left w:val="none" w:sz="0" w:space="0" w:color="auto"/>
            <w:bottom w:val="none" w:sz="0" w:space="0" w:color="auto"/>
            <w:right w:val="none" w:sz="0" w:space="0" w:color="auto"/>
          </w:divBdr>
        </w:div>
        <w:div w:id="2072263903">
          <w:marLeft w:val="0"/>
          <w:marRight w:val="0"/>
          <w:marTop w:val="0"/>
          <w:marBottom w:val="0"/>
          <w:divBdr>
            <w:top w:val="none" w:sz="0" w:space="0" w:color="auto"/>
            <w:left w:val="none" w:sz="0" w:space="0" w:color="auto"/>
            <w:bottom w:val="none" w:sz="0" w:space="0" w:color="auto"/>
            <w:right w:val="none" w:sz="0" w:space="0" w:color="auto"/>
          </w:divBdr>
        </w:div>
        <w:div w:id="1117602276">
          <w:marLeft w:val="0"/>
          <w:marRight w:val="0"/>
          <w:marTop w:val="0"/>
          <w:marBottom w:val="0"/>
          <w:divBdr>
            <w:top w:val="none" w:sz="0" w:space="0" w:color="auto"/>
            <w:left w:val="none" w:sz="0" w:space="0" w:color="auto"/>
            <w:bottom w:val="none" w:sz="0" w:space="0" w:color="auto"/>
            <w:right w:val="none" w:sz="0" w:space="0" w:color="auto"/>
          </w:divBdr>
        </w:div>
        <w:div w:id="1963535977">
          <w:marLeft w:val="0"/>
          <w:marRight w:val="0"/>
          <w:marTop w:val="0"/>
          <w:marBottom w:val="0"/>
          <w:divBdr>
            <w:top w:val="none" w:sz="0" w:space="0" w:color="auto"/>
            <w:left w:val="none" w:sz="0" w:space="0" w:color="auto"/>
            <w:bottom w:val="none" w:sz="0" w:space="0" w:color="auto"/>
            <w:right w:val="none" w:sz="0" w:space="0" w:color="auto"/>
          </w:divBdr>
        </w:div>
      </w:divsChild>
    </w:div>
    <w:div w:id="2128347273">
      <w:bodyDiv w:val="1"/>
      <w:marLeft w:val="0"/>
      <w:marRight w:val="0"/>
      <w:marTop w:val="0"/>
      <w:marBottom w:val="0"/>
      <w:divBdr>
        <w:top w:val="none" w:sz="0" w:space="0" w:color="auto"/>
        <w:left w:val="none" w:sz="0" w:space="0" w:color="auto"/>
        <w:bottom w:val="none" w:sz="0" w:space="0" w:color="auto"/>
        <w:right w:val="none" w:sz="0" w:space="0" w:color="auto"/>
      </w:divBdr>
      <w:divsChild>
        <w:div w:id="1267955974">
          <w:marLeft w:val="0"/>
          <w:marRight w:val="0"/>
          <w:marTop w:val="0"/>
          <w:marBottom w:val="0"/>
          <w:divBdr>
            <w:top w:val="none" w:sz="0" w:space="0" w:color="auto"/>
            <w:left w:val="none" w:sz="0" w:space="0" w:color="auto"/>
            <w:bottom w:val="none" w:sz="0" w:space="0" w:color="auto"/>
            <w:right w:val="none" w:sz="0" w:space="0" w:color="auto"/>
          </w:divBdr>
          <w:divsChild>
            <w:div w:id="303825238">
              <w:marLeft w:val="0"/>
              <w:marRight w:val="0"/>
              <w:marTop w:val="0"/>
              <w:marBottom w:val="0"/>
              <w:divBdr>
                <w:top w:val="none" w:sz="0" w:space="0" w:color="auto"/>
                <w:left w:val="none" w:sz="0" w:space="0" w:color="auto"/>
                <w:bottom w:val="none" w:sz="0" w:space="0" w:color="auto"/>
                <w:right w:val="none" w:sz="0" w:space="0" w:color="auto"/>
              </w:divBdr>
            </w:div>
          </w:divsChild>
        </w:div>
        <w:div w:id="185952016">
          <w:marLeft w:val="0"/>
          <w:marRight w:val="0"/>
          <w:marTop w:val="0"/>
          <w:marBottom w:val="0"/>
          <w:divBdr>
            <w:top w:val="none" w:sz="0" w:space="0" w:color="auto"/>
            <w:left w:val="none" w:sz="0" w:space="0" w:color="auto"/>
            <w:bottom w:val="none" w:sz="0" w:space="0" w:color="auto"/>
            <w:right w:val="none" w:sz="0" w:space="0" w:color="auto"/>
          </w:divBdr>
          <w:divsChild>
            <w:div w:id="371882493">
              <w:marLeft w:val="0"/>
              <w:marRight w:val="0"/>
              <w:marTop w:val="120"/>
              <w:marBottom w:val="0"/>
              <w:divBdr>
                <w:top w:val="none" w:sz="0" w:space="0" w:color="auto"/>
                <w:left w:val="none" w:sz="0" w:space="0" w:color="auto"/>
                <w:bottom w:val="none" w:sz="0" w:space="0" w:color="auto"/>
                <w:right w:val="none" w:sz="0" w:space="0" w:color="auto"/>
              </w:divBdr>
            </w:div>
            <w:div w:id="2127263696">
              <w:marLeft w:val="0"/>
              <w:marRight w:val="0"/>
              <w:marTop w:val="0"/>
              <w:marBottom w:val="0"/>
              <w:divBdr>
                <w:top w:val="none" w:sz="0" w:space="0" w:color="auto"/>
                <w:left w:val="none" w:sz="0" w:space="0" w:color="auto"/>
                <w:bottom w:val="none" w:sz="0" w:space="0" w:color="auto"/>
                <w:right w:val="none" w:sz="0" w:space="0" w:color="auto"/>
              </w:divBdr>
            </w:div>
          </w:divsChild>
        </w:div>
        <w:div w:id="1736539729">
          <w:marLeft w:val="0"/>
          <w:marRight w:val="0"/>
          <w:marTop w:val="0"/>
          <w:marBottom w:val="0"/>
          <w:divBdr>
            <w:top w:val="none" w:sz="0" w:space="0" w:color="auto"/>
            <w:left w:val="none" w:sz="0" w:space="0" w:color="auto"/>
            <w:bottom w:val="none" w:sz="0" w:space="0" w:color="auto"/>
            <w:right w:val="none" w:sz="0" w:space="0" w:color="auto"/>
          </w:divBdr>
          <w:divsChild>
            <w:div w:id="1828014750">
              <w:marLeft w:val="0"/>
              <w:marRight w:val="0"/>
              <w:marTop w:val="120"/>
              <w:marBottom w:val="0"/>
              <w:divBdr>
                <w:top w:val="none" w:sz="0" w:space="0" w:color="auto"/>
                <w:left w:val="none" w:sz="0" w:space="0" w:color="auto"/>
                <w:bottom w:val="none" w:sz="0" w:space="0" w:color="auto"/>
                <w:right w:val="none" w:sz="0" w:space="0" w:color="auto"/>
              </w:divBdr>
            </w:div>
            <w:div w:id="541284401">
              <w:marLeft w:val="0"/>
              <w:marRight w:val="0"/>
              <w:marTop w:val="0"/>
              <w:marBottom w:val="0"/>
              <w:divBdr>
                <w:top w:val="none" w:sz="0" w:space="0" w:color="auto"/>
                <w:left w:val="none" w:sz="0" w:space="0" w:color="auto"/>
                <w:bottom w:val="none" w:sz="0" w:space="0" w:color="auto"/>
                <w:right w:val="none" w:sz="0" w:space="0" w:color="auto"/>
              </w:divBdr>
            </w:div>
          </w:divsChild>
        </w:div>
        <w:div w:id="734624640">
          <w:marLeft w:val="0"/>
          <w:marRight w:val="0"/>
          <w:marTop w:val="0"/>
          <w:marBottom w:val="0"/>
          <w:divBdr>
            <w:top w:val="none" w:sz="0" w:space="0" w:color="auto"/>
            <w:left w:val="none" w:sz="0" w:space="0" w:color="auto"/>
            <w:bottom w:val="none" w:sz="0" w:space="0" w:color="auto"/>
            <w:right w:val="none" w:sz="0" w:space="0" w:color="auto"/>
          </w:divBdr>
          <w:divsChild>
            <w:div w:id="524293488">
              <w:marLeft w:val="0"/>
              <w:marRight w:val="0"/>
              <w:marTop w:val="120"/>
              <w:marBottom w:val="0"/>
              <w:divBdr>
                <w:top w:val="none" w:sz="0" w:space="0" w:color="auto"/>
                <w:left w:val="none" w:sz="0" w:space="0" w:color="auto"/>
                <w:bottom w:val="none" w:sz="0" w:space="0" w:color="auto"/>
                <w:right w:val="none" w:sz="0" w:space="0" w:color="auto"/>
              </w:divBdr>
            </w:div>
            <w:div w:id="187002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388747">
      <w:bodyDiv w:val="1"/>
      <w:marLeft w:val="0"/>
      <w:marRight w:val="0"/>
      <w:marTop w:val="0"/>
      <w:marBottom w:val="0"/>
      <w:divBdr>
        <w:top w:val="none" w:sz="0" w:space="0" w:color="auto"/>
        <w:left w:val="none" w:sz="0" w:space="0" w:color="auto"/>
        <w:bottom w:val="none" w:sz="0" w:space="0" w:color="auto"/>
        <w:right w:val="none" w:sz="0" w:space="0" w:color="auto"/>
      </w:divBdr>
      <w:divsChild>
        <w:div w:id="1975476264">
          <w:marLeft w:val="0"/>
          <w:marRight w:val="0"/>
          <w:marTop w:val="0"/>
          <w:marBottom w:val="0"/>
          <w:divBdr>
            <w:top w:val="none" w:sz="0" w:space="0" w:color="auto"/>
            <w:left w:val="none" w:sz="0" w:space="0" w:color="auto"/>
            <w:bottom w:val="none" w:sz="0" w:space="0" w:color="auto"/>
            <w:right w:val="none" w:sz="0" w:space="0" w:color="auto"/>
          </w:divBdr>
          <w:divsChild>
            <w:div w:id="175238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122657">
      <w:bodyDiv w:val="1"/>
      <w:marLeft w:val="0"/>
      <w:marRight w:val="0"/>
      <w:marTop w:val="0"/>
      <w:marBottom w:val="0"/>
      <w:divBdr>
        <w:top w:val="none" w:sz="0" w:space="0" w:color="auto"/>
        <w:left w:val="none" w:sz="0" w:space="0" w:color="auto"/>
        <w:bottom w:val="none" w:sz="0" w:space="0" w:color="auto"/>
        <w:right w:val="none" w:sz="0" w:space="0" w:color="auto"/>
      </w:divBdr>
      <w:divsChild>
        <w:div w:id="942499584">
          <w:marLeft w:val="0"/>
          <w:marRight w:val="0"/>
          <w:marTop w:val="0"/>
          <w:marBottom w:val="0"/>
          <w:divBdr>
            <w:top w:val="none" w:sz="0" w:space="0" w:color="auto"/>
            <w:left w:val="none" w:sz="0" w:space="0" w:color="auto"/>
            <w:bottom w:val="none" w:sz="0" w:space="0" w:color="auto"/>
            <w:right w:val="none" w:sz="0" w:space="0" w:color="auto"/>
          </w:divBdr>
          <w:divsChild>
            <w:div w:id="13052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813719CD9D0904FBF532A93E59AD3B1" ma:contentTypeVersion="6" ma:contentTypeDescription="Vytvoří nový dokument" ma:contentTypeScope="" ma:versionID="f7f97c6efd495b516a0924c4a221e76f">
  <xsd:schema xmlns:xsd="http://www.w3.org/2001/XMLSchema" xmlns:xs="http://www.w3.org/2001/XMLSchema" xmlns:p="http://schemas.microsoft.com/office/2006/metadata/properties" xmlns:ns2="3f6dce20-f459-43b2-9881-54dab893ba36" xmlns:ns3="12b5b2e2-4a67-4b8e-9910-329339df1d91" targetNamespace="http://schemas.microsoft.com/office/2006/metadata/properties" ma:root="true" ma:fieldsID="edafe5acf18eec6c9f014dfd8402a136" ns2:_="" ns3:_="">
    <xsd:import namespace="3f6dce20-f459-43b2-9881-54dab893ba36"/>
    <xsd:import namespace="12b5b2e2-4a67-4b8e-9910-329339df1d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dce20-f459-43b2-9881-54dab893ba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b5b2e2-4a67-4b8e-9910-329339df1d91" elementFormDefault="qualified">
    <xsd:import namespace="http://schemas.microsoft.com/office/2006/documentManagement/types"/>
    <xsd:import namespace="http://schemas.microsoft.com/office/infopath/2007/PartnerControls"/>
    <xsd:element name="SharedWithUsers" ma:index="1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95320-A1F5-4B9E-8484-E2E33AE6377C}">
  <ds:schemaRefs>
    <ds:schemaRef ds:uri="3f6dce20-f459-43b2-9881-54dab893ba36"/>
    <ds:schemaRef ds:uri="http://purl.org/dc/terms/"/>
    <ds:schemaRef ds:uri="http://schemas.microsoft.com/office/2006/documentManagement/types"/>
    <ds:schemaRef ds:uri="12b5b2e2-4a67-4b8e-9910-329339df1d91"/>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E5EF57C-3CAC-47D0-8833-00646105D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dce20-f459-43b2-9881-54dab893ba36"/>
    <ds:schemaRef ds:uri="12b5b2e2-4a67-4b8e-9910-329339df1d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6A21C9-6FC9-4F34-A119-8CCD7FCC2057}">
  <ds:schemaRefs>
    <ds:schemaRef ds:uri="http://schemas.microsoft.com/sharepoint/v3/contenttype/forms"/>
  </ds:schemaRefs>
</ds:datastoreItem>
</file>

<file path=customXml/itemProps4.xml><?xml version="1.0" encoding="utf-8"?>
<ds:datastoreItem xmlns:ds="http://schemas.openxmlformats.org/officeDocument/2006/customXml" ds:itemID="{5583DAA2-6E90-4127-A521-F11A64FBF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1522</TotalTime>
  <Pages>70</Pages>
  <Words>28479</Words>
  <Characters>168031</Characters>
  <Application>Microsoft Office Word</Application>
  <DocSecurity>0</DocSecurity>
  <Lines>1400</Lines>
  <Paragraphs>392</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196118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Bízek Tomáš Mgr.</dc:creator>
  <cp:lastModifiedBy>Tuláček Michal JUDr. Mgr. Ph.D.</cp:lastModifiedBy>
  <cp:revision>158</cp:revision>
  <dcterms:created xsi:type="dcterms:W3CDTF">2023-07-11T07:00:00Z</dcterms:created>
  <dcterms:modified xsi:type="dcterms:W3CDTF">2024-04-23T16:55:00Z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0x0101000813719CD9D0904FBF532A93E59AD3B1</vt:lpwstr>
  </property>
  <property fmtid="{D5CDD505-2E9C-101B-9397-08002B2CF9AE}" pid="3" name="MediaServiceImageTags">
    <vt:lpwstr/>
  </property>
</Properties>
</file>