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EC052" w14:textId="77777777" w:rsidR="00510203" w:rsidRPr="005E4329" w:rsidRDefault="00510203"/>
    <w:p w14:paraId="2484DEE9" w14:textId="77777777" w:rsidR="00510203" w:rsidRPr="005E4329" w:rsidRDefault="00510203"/>
    <w:p w14:paraId="1868514F" w14:textId="77777777" w:rsidR="00510203" w:rsidRPr="005E4329" w:rsidRDefault="00510203"/>
    <w:p w14:paraId="7504142B" w14:textId="77777777" w:rsidR="00510203" w:rsidRPr="005E4329" w:rsidRDefault="00510203"/>
    <w:p w14:paraId="3886B8F9" w14:textId="77777777" w:rsidR="00510203" w:rsidRPr="005E4329" w:rsidRDefault="00510203"/>
    <w:p w14:paraId="2372EBF8" w14:textId="77777777" w:rsidR="00510203" w:rsidRPr="005E4329" w:rsidRDefault="00510203"/>
    <w:p w14:paraId="0AD355D3" w14:textId="77777777" w:rsidR="00510203" w:rsidRPr="005E4329" w:rsidRDefault="00510203"/>
    <w:p w14:paraId="68903320" w14:textId="77777777" w:rsidR="00510203" w:rsidRPr="005E4329" w:rsidRDefault="00510203">
      <w:pPr>
        <w:pStyle w:val="Nzev"/>
      </w:pPr>
    </w:p>
    <w:p w14:paraId="7F064AA8" w14:textId="77777777" w:rsidR="00510203" w:rsidRPr="005E4329" w:rsidRDefault="00510203"/>
    <w:p w14:paraId="2F6B0EC9" w14:textId="77777777" w:rsidR="00510203" w:rsidRPr="005E4329" w:rsidRDefault="00510203"/>
    <w:p w14:paraId="39230352" w14:textId="77777777" w:rsidR="00510203" w:rsidRPr="005E4329" w:rsidRDefault="00510203"/>
    <w:p w14:paraId="0F433383" w14:textId="77777777" w:rsidR="00510203" w:rsidRPr="005E4329" w:rsidRDefault="00510203"/>
    <w:p w14:paraId="201BF073" w14:textId="77777777" w:rsidR="0060367E" w:rsidRPr="0060367E" w:rsidRDefault="0060367E" w:rsidP="0060367E">
      <w:pPr>
        <w:pStyle w:val="Nzev"/>
        <w:rPr>
          <w:rFonts w:eastAsiaTheme="majorEastAsia"/>
          <w:sz w:val="44"/>
          <w:szCs w:val="44"/>
        </w:rPr>
      </w:pPr>
      <w:r w:rsidRPr="0060367E">
        <w:rPr>
          <w:rFonts w:eastAsiaTheme="majorEastAsia"/>
          <w:sz w:val="44"/>
          <w:szCs w:val="44"/>
        </w:rPr>
        <w:t>Závěrečná zpráva z hodnocení dopadů regulace (RIA)</w:t>
      </w:r>
    </w:p>
    <w:p w14:paraId="6AE426AB" w14:textId="77777777" w:rsidR="00510203" w:rsidRPr="005E4329" w:rsidRDefault="00510203"/>
    <w:p w14:paraId="4DAC657B" w14:textId="77777777" w:rsidR="00510203" w:rsidRPr="005E4329" w:rsidRDefault="00510203"/>
    <w:p w14:paraId="69BE0728" w14:textId="77777777" w:rsidR="00510203" w:rsidRPr="005E4329" w:rsidRDefault="00510203"/>
    <w:p w14:paraId="3A2583D1" w14:textId="77777777" w:rsidR="00510203" w:rsidRPr="005E4329" w:rsidRDefault="00510203"/>
    <w:p w14:paraId="4C3EAD2F" w14:textId="77777777" w:rsidR="00510203" w:rsidRPr="005E4329" w:rsidRDefault="00510203"/>
    <w:p w14:paraId="1B86D020" w14:textId="77777777" w:rsidR="00510203" w:rsidRPr="005E4329" w:rsidRDefault="00510203"/>
    <w:p w14:paraId="1DEB0C42" w14:textId="77777777" w:rsidR="00510203" w:rsidRPr="005E4329" w:rsidRDefault="00510203"/>
    <w:p w14:paraId="5D41EF08" w14:textId="77777777" w:rsidR="00510203" w:rsidRPr="005E4329" w:rsidRDefault="00510203"/>
    <w:p w14:paraId="457BE271" w14:textId="77777777" w:rsidR="00510203" w:rsidRPr="005E4329" w:rsidRDefault="00510203"/>
    <w:p w14:paraId="3CAAEF67" w14:textId="77777777" w:rsidR="00510203" w:rsidRPr="005E4329" w:rsidRDefault="00510203"/>
    <w:p w14:paraId="04AF20E8" w14:textId="2C560628" w:rsidR="00510203" w:rsidRPr="005E4329" w:rsidRDefault="00C114A2">
      <w:r w:rsidRPr="005E4329">
        <w:t xml:space="preserve">Závěrečná zpráva z hodnocení dopadů regulace </w:t>
      </w:r>
      <w:r w:rsidR="00782F08" w:rsidRPr="005E4329">
        <w:t>k </w:t>
      </w:r>
      <w:r w:rsidR="00753387" w:rsidRPr="005E4329" w:rsidDel="00753387">
        <w:t xml:space="preserve"> </w:t>
      </w:r>
      <w:r w:rsidRPr="005E4329">
        <w:t xml:space="preserve">návrhu </w:t>
      </w:r>
      <w:r w:rsidR="00686444" w:rsidRPr="005E4329">
        <w:rPr>
          <w:szCs w:val="20"/>
        </w:rPr>
        <w:t xml:space="preserve">zákona, </w:t>
      </w:r>
      <w:r w:rsidR="00AB594C" w:rsidRPr="00AB594C">
        <w:rPr>
          <w:szCs w:val="20"/>
        </w:rPr>
        <w:t>kterým se mění zákon č. 253/2008 Sb., o některých opatřeních proti legalizaci výnosů z trestné činnosti a financování terorismu, ve znění pozdějších předpisů, zákon č. 69/2006 Sb., o provádění mezinárodních sankcí, ve znění pozdějších předpisů, a zákon č. 164/2013 Sb., o mezinárodní spolupráci při správě daní a o změně dalších souvisejících zákonů, ve znění pozdějších předpisů</w:t>
      </w:r>
    </w:p>
    <w:p w14:paraId="4D8E19A1" w14:textId="77777777" w:rsidR="00510203" w:rsidRPr="005E4329" w:rsidRDefault="00C114A2">
      <w:r w:rsidRPr="005E4329">
        <w:br w:type="page"/>
      </w:r>
    </w:p>
    <w:p w14:paraId="5F7A1BEA" w14:textId="77777777" w:rsidR="00D21FC4" w:rsidRPr="00D21FC4" w:rsidRDefault="00D21FC4" w:rsidP="00D21FC4">
      <w:pPr>
        <w:jc w:val="center"/>
        <w:rPr>
          <w:b/>
        </w:rPr>
      </w:pPr>
      <w:r w:rsidRPr="00D21FC4">
        <w:rPr>
          <w:b/>
        </w:rPr>
        <w:lastRenderedPageBreak/>
        <w:t>SHRNUTÍ ZÁVĚREČNÉ ZPRÁVY RIA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6"/>
        <w:gridCol w:w="4446"/>
      </w:tblGrid>
      <w:tr w:rsidR="00510203" w:rsidRPr="005E4329" w14:paraId="5BDD1775" w14:textId="77777777">
        <w:tc>
          <w:tcPr>
            <w:tcW w:w="9072" w:type="dxa"/>
            <w:gridSpan w:val="2"/>
            <w:tcBorders>
              <w:top w:val="single" w:sz="12" w:space="0" w:color="auto"/>
              <w:left w:val="single" w:sz="12" w:space="0" w:color="auto"/>
              <w:bottom w:val="single" w:sz="12" w:space="0" w:color="auto"/>
              <w:right w:val="single" w:sz="12" w:space="0" w:color="auto"/>
            </w:tcBorders>
            <w:shd w:val="clear" w:color="auto" w:fill="99CCFF"/>
          </w:tcPr>
          <w:p w14:paraId="6A8DC575" w14:textId="77777777" w:rsidR="00510203" w:rsidRPr="005E4329" w:rsidRDefault="00C114A2">
            <w:pPr>
              <w:spacing w:before="40" w:after="40"/>
              <w:rPr>
                <w:b/>
              </w:rPr>
            </w:pPr>
            <w:r w:rsidRPr="005E4329">
              <w:rPr>
                <w:b/>
              </w:rPr>
              <w:t>1. Základní identifikační údaje</w:t>
            </w:r>
          </w:p>
        </w:tc>
      </w:tr>
      <w:tr w:rsidR="00510203" w:rsidRPr="005E4329" w14:paraId="26D1BE0E" w14:textId="77777777">
        <w:tblPrEx>
          <w:tblBorders>
            <w:top w:val="single" w:sz="8" w:space="0" w:color="000000"/>
            <w:left w:val="single" w:sz="8" w:space="0" w:color="000000"/>
            <w:bottom w:val="single" w:sz="8" w:space="0" w:color="000000"/>
            <w:right w:val="single" w:sz="8" w:space="0" w:color="000000"/>
          </w:tblBorders>
        </w:tblPrEx>
        <w:trPr>
          <w:trHeight w:val="187"/>
        </w:trPr>
        <w:tc>
          <w:tcPr>
            <w:tcW w:w="9072" w:type="dxa"/>
            <w:gridSpan w:val="2"/>
            <w:tcBorders>
              <w:top w:val="single" w:sz="12" w:space="0" w:color="auto"/>
              <w:left w:val="single" w:sz="12" w:space="0" w:color="000000"/>
              <w:bottom w:val="single" w:sz="12" w:space="0" w:color="auto"/>
              <w:right w:val="single" w:sz="12" w:space="0" w:color="000000"/>
            </w:tcBorders>
            <w:shd w:val="clear" w:color="auto" w:fill="auto"/>
            <w:vAlign w:val="bottom"/>
          </w:tcPr>
          <w:p w14:paraId="4BD9CA4E" w14:textId="77777777" w:rsidR="00510203" w:rsidRPr="005E4329" w:rsidRDefault="00C114A2">
            <w:pPr>
              <w:spacing w:before="40" w:after="40"/>
            </w:pPr>
            <w:r w:rsidRPr="005E4329">
              <w:t>Název návrhu:</w:t>
            </w:r>
          </w:p>
          <w:p w14:paraId="7D32F444" w14:textId="53F4F872" w:rsidR="00510203" w:rsidRPr="005E4329" w:rsidRDefault="00C114A2" w:rsidP="0060367E">
            <w:pPr>
              <w:spacing w:after="150"/>
              <w:rPr>
                <w:highlight w:val="red"/>
              </w:rPr>
            </w:pPr>
            <w:r w:rsidRPr="005E4329">
              <w:rPr>
                <w:szCs w:val="20"/>
              </w:rPr>
              <w:t xml:space="preserve">Návrh zákona, </w:t>
            </w:r>
            <w:r w:rsidR="00AB594C" w:rsidRPr="00AB594C">
              <w:rPr>
                <w:szCs w:val="20"/>
              </w:rPr>
              <w:t>kterým se mění zákon č. 253/2008 Sb., o některých opatřeních proti legalizaci výnosů z trestné činnosti a financování terorismu, ve znění pozdějších předpisů, zákon č. 69/2006 Sb., o provádění mezinárodních sankcí, ve znění pozdějších předpisů, a zákon č. 164/2013 Sb., o mezinárodní spolupráci při správě daní a o změně dalších souvisejících zákonů, ve znění pozdějších předpisů</w:t>
            </w:r>
            <w:r w:rsidR="00AB594C">
              <w:rPr>
                <w:szCs w:val="20"/>
              </w:rPr>
              <w:t>.</w:t>
            </w:r>
          </w:p>
        </w:tc>
      </w:tr>
      <w:tr w:rsidR="00510203" w:rsidRPr="005E4329" w14:paraId="4F14680F" w14:textId="77777777">
        <w:tblPrEx>
          <w:tblBorders>
            <w:top w:val="single" w:sz="8" w:space="0" w:color="000000"/>
            <w:left w:val="single" w:sz="8" w:space="0" w:color="000000"/>
            <w:bottom w:val="single" w:sz="8" w:space="0" w:color="000000"/>
            <w:right w:val="single" w:sz="8" w:space="0" w:color="000000"/>
          </w:tblBorders>
        </w:tblPrEx>
        <w:trPr>
          <w:trHeight w:val="979"/>
        </w:trPr>
        <w:tc>
          <w:tcPr>
            <w:tcW w:w="4626" w:type="dxa"/>
            <w:tcBorders>
              <w:top w:val="single" w:sz="12" w:space="0" w:color="auto"/>
              <w:left w:val="single" w:sz="12" w:space="0" w:color="000000"/>
              <w:bottom w:val="single" w:sz="4" w:space="0" w:color="auto"/>
              <w:right w:val="single" w:sz="4" w:space="0" w:color="auto"/>
            </w:tcBorders>
            <w:shd w:val="clear" w:color="auto" w:fill="auto"/>
            <w:vAlign w:val="center"/>
          </w:tcPr>
          <w:p w14:paraId="5774E18C" w14:textId="77777777" w:rsidR="00510203" w:rsidRPr="0060367E" w:rsidRDefault="00C114A2">
            <w:pPr>
              <w:spacing w:before="40" w:after="40"/>
            </w:pPr>
            <w:r w:rsidRPr="0060367E">
              <w:t>Zpracovatel / zástupce předkladatele</w:t>
            </w:r>
          </w:p>
          <w:p w14:paraId="39FD961F" w14:textId="77777777" w:rsidR="00510203" w:rsidRPr="0060367E" w:rsidRDefault="00C114A2">
            <w:pPr>
              <w:spacing w:before="40" w:after="40"/>
              <w:rPr>
                <w:u w:val="single"/>
              </w:rPr>
            </w:pPr>
            <w:r w:rsidRPr="0060367E">
              <w:t>Finanční analytický úřad</w:t>
            </w:r>
            <w:r w:rsidR="000A33F9" w:rsidRPr="0060367E">
              <w:t xml:space="preserve"> (dále též „FAÚ“)</w:t>
            </w:r>
          </w:p>
        </w:tc>
        <w:tc>
          <w:tcPr>
            <w:tcW w:w="4446" w:type="dxa"/>
            <w:tcBorders>
              <w:top w:val="single" w:sz="12" w:space="0" w:color="auto"/>
              <w:left w:val="single" w:sz="4" w:space="0" w:color="auto"/>
              <w:bottom w:val="single" w:sz="4" w:space="0" w:color="auto"/>
              <w:right w:val="single" w:sz="12" w:space="0" w:color="000000"/>
            </w:tcBorders>
            <w:shd w:val="clear" w:color="auto" w:fill="auto"/>
            <w:vAlign w:val="center"/>
          </w:tcPr>
          <w:p w14:paraId="5074EA11" w14:textId="77777777" w:rsidR="0060367E" w:rsidRPr="0060367E" w:rsidRDefault="00C114A2" w:rsidP="008F01D5">
            <w:pPr>
              <w:spacing w:before="40" w:after="40"/>
            </w:pPr>
            <w:r w:rsidRPr="0060367E">
              <w:t>Předpokládaný termín nabytí účinnosti</w:t>
            </w:r>
          </w:p>
          <w:p w14:paraId="304480F8" w14:textId="3C7A8E9D" w:rsidR="00510203" w:rsidRPr="00A14EC5" w:rsidRDefault="008C52DB" w:rsidP="00387AFF">
            <w:pPr>
              <w:pStyle w:val="Odstavecseseznamem"/>
              <w:spacing w:before="40" w:after="40"/>
              <w:rPr>
                <w:rFonts w:eastAsia="MS Gothic"/>
              </w:rPr>
            </w:pPr>
            <w:r>
              <w:t>30. prosince</w:t>
            </w:r>
            <w:r w:rsidR="001D438F" w:rsidRPr="0060367E">
              <w:t xml:space="preserve"> </w:t>
            </w:r>
            <w:r w:rsidR="0060367E" w:rsidRPr="0060367E">
              <w:t>202</w:t>
            </w:r>
            <w:r w:rsidR="004F17CD">
              <w:t>4</w:t>
            </w:r>
            <w:r w:rsidR="00C114A2" w:rsidRPr="0060367E">
              <w:t xml:space="preserve"> </w:t>
            </w:r>
          </w:p>
        </w:tc>
      </w:tr>
      <w:tr w:rsidR="00510203" w:rsidRPr="005E4329" w14:paraId="2CD0388E" w14:textId="77777777">
        <w:trPr>
          <w:trHeight w:val="749"/>
        </w:trPr>
        <w:tc>
          <w:tcPr>
            <w:tcW w:w="9072" w:type="dxa"/>
            <w:gridSpan w:val="2"/>
            <w:tcBorders>
              <w:top w:val="single" w:sz="12" w:space="0" w:color="000000"/>
              <w:left w:val="single" w:sz="12" w:space="0" w:color="000000"/>
              <w:right w:val="single" w:sz="12" w:space="0" w:color="000000"/>
            </w:tcBorders>
            <w:shd w:val="clear" w:color="auto" w:fill="auto"/>
            <w:vAlign w:val="center"/>
          </w:tcPr>
          <w:p w14:paraId="5CE8E99B" w14:textId="77777777" w:rsidR="00753387" w:rsidRDefault="00C114A2" w:rsidP="00656AD2">
            <w:pPr>
              <w:spacing w:before="40" w:after="40"/>
            </w:pPr>
            <w:r w:rsidRPr="005E4329">
              <w:t xml:space="preserve">Implementace práva EU: Ano </w:t>
            </w:r>
          </w:p>
          <w:p w14:paraId="6E56B732" w14:textId="44BDFCDE" w:rsidR="00753387" w:rsidRDefault="00753387" w:rsidP="00656AD2">
            <w:pPr>
              <w:spacing w:before="40" w:after="40"/>
            </w:pPr>
            <w:r>
              <w:t xml:space="preserve">- </w:t>
            </w:r>
            <w:r w:rsidRPr="00753387">
              <w:t>uveďte termín stanovený pro implementaci:</w:t>
            </w:r>
            <w:r>
              <w:t xml:space="preserve"> </w:t>
            </w:r>
            <w:r w:rsidR="008C52DB">
              <w:t>30. prosince</w:t>
            </w:r>
            <w:r w:rsidR="008C52DB" w:rsidRPr="0060367E">
              <w:t xml:space="preserve"> 202</w:t>
            </w:r>
            <w:r w:rsidR="004F17CD">
              <w:t>4</w:t>
            </w:r>
          </w:p>
          <w:p w14:paraId="0FBEFBD8" w14:textId="23F6410A" w:rsidR="00753387" w:rsidRPr="005E4329" w:rsidRDefault="00753387">
            <w:pPr>
              <w:spacing w:before="40" w:after="40"/>
            </w:pPr>
            <w:r>
              <w:t xml:space="preserve">- </w:t>
            </w:r>
            <w:r w:rsidRPr="00753387">
              <w:t>uveďte, zda jde návrh nad rámec požadavků stanovených předpisem EU?</w:t>
            </w:r>
            <w:r>
              <w:t xml:space="preserve">: </w:t>
            </w:r>
            <w:r w:rsidR="008C52DB">
              <w:t>Ano</w:t>
            </w:r>
          </w:p>
        </w:tc>
      </w:tr>
      <w:tr w:rsidR="00510203" w:rsidRPr="005E4329" w14:paraId="3509E121" w14:textId="77777777">
        <w:tc>
          <w:tcPr>
            <w:tcW w:w="9072" w:type="dxa"/>
            <w:gridSpan w:val="2"/>
            <w:tcBorders>
              <w:top w:val="single" w:sz="12" w:space="0" w:color="auto"/>
              <w:left w:val="single" w:sz="12" w:space="0" w:color="auto"/>
              <w:bottom w:val="single" w:sz="12" w:space="0" w:color="auto"/>
              <w:right w:val="single" w:sz="12" w:space="0" w:color="auto"/>
            </w:tcBorders>
            <w:shd w:val="clear" w:color="auto" w:fill="99CCFF"/>
          </w:tcPr>
          <w:p w14:paraId="4B166412" w14:textId="77777777" w:rsidR="00510203" w:rsidRPr="005E4329" w:rsidRDefault="00C114A2">
            <w:pPr>
              <w:spacing w:before="40" w:after="40"/>
              <w:rPr>
                <w:b/>
              </w:rPr>
            </w:pPr>
            <w:r w:rsidRPr="005E4329">
              <w:rPr>
                <w:b/>
              </w:rPr>
              <w:t xml:space="preserve">2. Cíl návrhu zákona </w:t>
            </w:r>
          </w:p>
        </w:tc>
      </w:tr>
      <w:tr w:rsidR="00510203" w:rsidRPr="005E4329" w14:paraId="615C78F0" w14:textId="77777777">
        <w:tc>
          <w:tcPr>
            <w:tcW w:w="9072" w:type="dxa"/>
            <w:gridSpan w:val="2"/>
            <w:tcBorders>
              <w:top w:val="single" w:sz="12" w:space="0" w:color="auto"/>
              <w:left w:val="single" w:sz="12" w:space="0" w:color="auto"/>
              <w:bottom w:val="single" w:sz="12" w:space="0" w:color="auto"/>
              <w:right w:val="single" w:sz="12" w:space="0" w:color="auto"/>
            </w:tcBorders>
            <w:shd w:val="clear" w:color="auto" w:fill="auto"/>
          </w:tcPr>
          <w:p w14:paraId="570E799E" w14:textId="41E0660B" w:rsidR="00510203" w:rsidRPr="005E4329" w:rsidRDefault="008C52DB" w:rsidP="0070142B">
            <w:pPr>
              <w:pStyle w:val="Nadpisyvtextu"/>
              <w:spacing w:before="40" w:after="40"/>
              <w:rPr>
                <w:u w:val="none"/>
              </w:rPr>
            </w:pPr>
            <w:r w:rsidRPr="008C52DB">
              <w:rPr>
                <w:u w:val="none"/>
                <w:lang w:eastAsia="cs-CZ"/>
              </w:rPr>
              <w:t>Návrh zákona, kterým se mění zákon č. 253/2008 Sb., o některých opatřeních proti legalizaci výnosů z trestné činnosti a financování terorismu, ve znění pozdějších předpisů (dále jen „AML zákon)</w:t>
            </w:r>
            <w:r w:rsidR="00AB594C">
              <w:rPr>
                <w:u w:val="none"/>
                <w:lang w:eastAsia="cs-CZ"/>
              </w:rPr>
              <w:t xml:space="preserve"> </w:t>
            </w:r>
            <w:r w:rsidRPr="008C52DB">
              <w:rPr>
                <w:u w:val="none"/>
                <w:lang w:eastAsia="cs-CZ"/>
              </w:rPr>
              <w:t>a zákon č. 69/2006 Sb., o provádění mezinárodních sankcí, ve znění pozdějších předpisů (dále jen „zákon o provádění mezinárodní</w:t>
            </w:r>
            <w:r w:rsidR="0070142B">
              <w:rPr>
                <w:u w:val="none"/>
                <w:lang w:eastAsia="cs-CZ"/>
              </w:rPr>
              <w:t>ch sankcí</w:t>
            </w:r>
            <w:r w:rsidRPr="008C52DB">
              <w:rPr>
                <w:u w:val="none"/>
                <w:lang w:eastAsia="cs-CZ"/>
              </w:rPr>
              <w:t>“) má primárně za cíl adaptaci a implementaci evropského práva a odstranění vybraných nedostatků identifikovaných v rámci hodnocení výborem MONEYVAL Rady Evropy a finálně také odstranění nedostatků AML zákona, které se projevily při jeho aplikaci v praxi.</w:t>
            </w:r>
          </w:p>
        </w:tc>
      </w:tr>
      <w:tr w:rsidR="00510203" w:rsidRPr="005E4329" w14:paraId="7D93EE93" w14:textId="77777777">
        <w:tc>
          <w:tcPr>
            <w:tcW w:w="9072" w:type="dxa"/>
            <w:gridSpan w:val="2"/>
            <w:tcBorders>
              <w:top w:val="single" w:sz="4" w:space="0" w:color="auto"/>
              <w:left w:val="single" w:sz="12" w:space="0" w:color="auto"/>
              <w:bottom w:val="single" w:sz="12" w:space="0" w:color="auto"/>
              <w:right w:val="single" w:sz="12" w:space="0" w:color="auto"/>
            </w:tcBorders>
            <w:shd w:val="clear" w:color="auto" w:fill="99CCFF"/>
          </w:tcPr>
          <w:p w14:paraId="33988786" w14:textId="77777777" w:rsidR="00510203" w:rsidRPr="005E4329" w:rsidRDefault="00C114A2">
            <w:pPr>
              <w:spacing w:before="40" w:after="40"/>
              <w:rPr>
                <w:b/>
              </w:rPr>
            </w:pPr>
            <w:r w:rsidRPr="005E4329">
              <w:rPr>
                <w:b/>
              </w:rPr>
              <w:t>3. Agregované dopady návrhu zákona</w:t>
            </w:r>
          </w:p>
        </w:tc>
      </w:tr>
      <w:tr w:rsidR="00510203" w:rsidRPr="005E4329" w14:paraId="0D4D4344" w14:textId="77777777">
        <w:tc>
          <w:tcPr>
            <w:tcW w:w="9072" w:type="dxa"/>
            <w:gridSpan w:val="2"/>
            <w:tcBorders>
              <w:top w:val="single" w:sz="4" w:space="0" w:color="auto"/>
              <w:left w:val="single" w:sz="12" w:space="0" w:color="auto"/>
              <w:bottom w:val="single" w:sz="12" w:space="0" w:color="auto"/>
              <w:right w:val="single" w:sz="12" w:space="0" w:color="auto"/>
            </w:tcBorders>
            <w:shd w:val="clear" w:color="auto" w:fill="99CCFF"/>
          </w:tcPr>
          <w:p w14:paraId="2F3487DF" w14:textId="7C0A81F0" w:rsidR="00510203" w:rsidRPr="005E4329" w:rsidRDefault="00C114A2" w:rsidP="00B25D12">
            <w:pPr>
              <w:spacing w:before="40" w:after="40"/>
            </w:pPr>
            <w:r w:rsidRPr="005E4329">
              <w:t xml:space="preserve">3.1 Dopady na státní rozpočet a ostatní veřejné rozpočty: </w:t>
            </w:r>
            <w:r w:rsidR="00B25D12">
              <w:t>Ano</w:t>
            </w:r>
            <w:r w:rsidR="00B25D12" w:rsidRPr="005E4329">
              <w:t xml:space="preserve"> </w:t>
            </w:r>
          </w:p>
        </w:tc>
      </w:tr>
      <w:tr w:rsidR="00510203" w:rsidRPr="005E4329" w14:paraId="52ECB368" w14:textId="77777777">
        <w:tc>
          <w:tcPr>
            <w:tcW w:w="9072" w:type="dxa"/>
            <w:gridSpan w:val="2"/>
            <w:tcBorders>
              <w:top w:val="single" w:sz="4" w:space="0" w:color="auto"/>
              <w:left w:val="single" w:sz="12" w:space="0" w:color="auto"/>
              <w:bottom w:val="single" w:sz="12" w:space="0" w:color="auto"/>
              <w:right w:val="single" w:sz="12" w:space="0" w:color="auto"/>
            </w:tcBorders>
            <w:shd w:val="clear" w:color="auto" w:fill="auto"/>
          </w:tcPr>
          <w:p w14:paraId="681A4597" w14:textId="1E9164EB" w:rsidR="00510203" w:rsidRPr="005E4329" w:rsidRDefault="00B00662">
            <w:pPr>
              <w:spacing w:before="40" w:after="40"/>
            </w:pPr>
            <w:r w:rsidRPr="005E4329">
              <w:rPr>
                <w:lang w:eastAsia="cs-CZ"/>
              </w:rPr>
              <w:t xml:space="preserve">Rozšíření agend </w:t>
            </w:r>
            <w:r w:rsidR="00E238CA" w:rsidRPr="005E4329">
              <w:rPr>
                <w:lang w:eastAsia="cs-CZ"/>
              </w:rPr>
              <w:t xml:space="preserve">orgánů veřejné moci </w:t>
            </w:r>
            <w:r w:rsidRPr="005E4329">
              <w:rPr>
                <w:lang w:eastAsia="cs-CZ"/>
              </w:rPr>
              <w:t>v souvislosti s nový</w:t>
            </w:r>
            <w:r w:rsidR="00D21FC4">
              <w:rPr>
                <w:lang w:eastAsia="cs-CZ"/>
              </w:rPr>
              <w:t xml:space="preserve">mi kompetencemi </w:t>
            </w:r>
            <w:r w:rsidRPr="005E4329">
              <w:rPr>
                <w:lang w:eastAsia="cs-CZ"/>
              </w:rPr>
              <w:t>bude řešeno stávajícími kapacitami.</w:t>
            </w:r>
          </w:p>
        </w:tc>
      </w:tr>
      <w:tr w:rsidR="00510203" w:rsidRPr="005E4329" w14:paraId="1645DFB0" w14:textId="77777777">
        <w:tc>
          <w:tcPr>
            <w:tcW w:w="9072" w:type="dxa"/>
            <w:gridSpan w:val="2"/>
            <w:tcBorders>
              <w:top w:val="single" w:sz="4" w:space="0" w:color="auto"/>
              <w:left w:val="single" w:sz="12" w:space="0" w:color="auto"/>
              <w:bottom w:val="single" w:sz="12" w:space="0" w:color="auto"/>
              <w:right w:val="single" w:sz="12" w:space="0" w:color="auto"/>
            </w:tcBorders>
            <w:shd w:val="clear" w:color="auto" w:fill="99CCFF"/>
          </w:tcPr>
          <w:p w14:paraId="5DAB78CB" w14:textId="77777777" w:rsidR="00510203" w:rsidRPr="005E4329" w:rsidRDefault="00C114A2">
            <w:pPr>
              <w:spacing w:before="40" w:after="40"/>
            </w:pPr>
            <w:r w:rsidRPr="005E4329">
              <w:t>3.2 Dopady na mezinárodní konkurenceschopnost ČR: Ne</w:t>
            </w:r>
          </w:p>
        </w:tc>
      </w:tr>
      <w:tr w:rsidR="00510203" w:rsidRPr="005E4329" w14:paraId="37E4DA96" w14:textId="77777777">
        <w:trPr>
          <w:trHeight w:val="160"/>
        </w:trPr>
        <w:tc>
          <w:tcPr>
            <w:tcW w:w="9072" w:type="dxa"/>
            <w:gridSpan w:val="2"/>
            <w:tcBorders>
              <w:top w:val="single" w:sz="4" w:space="0" w:color="auto"/>
              <w:left w:val="single" w:sz="12" w:space="0" w:color="auto"/>
              <w:bottom w:val="single" w:sz="12" w:space="0" w:color="auto"/>
              <w:right w:val="single" w:sz="12" w:space="0" w:color="auto"/>
            </w:tcBorders>
            <w:shd w:val="clear" w:color="auto" w:fill="auto"/>
          </w:tcPr>
          <w:p w14:paraId="11A3118C" w14:textId="77777777" w:rsidR="00510203" w:rsidRPr="005E4329" w:rsidRDefault="00510203">
            <w:pPr>
              <w:spacing w:before="40" w:after="40"/>
            </w:pPr>
          </w:p>
        </w:tc>
      </w:tr>
      <w:tr w:rsidR="00510203" w:rsidRPr="005E4329" w14:paraId="32DD1E7E" w14:textId="77777777">
        <w:tc>
          <w:tcPr>
            <w:tcW w:w="9072" w:type="dxa"/>
            <w:gridSpan w:val="2"/>
            <w:tcBorders>
              <w:top w:val="single" w:sz="4" w:space="0" w:color="auto"/>
              <w:left w:val="single" w:sz="12" w:space="0" w:color="auto"/>
              <w:bottom w:val="single" w:sz="12" w:space="0" w:color="auto"/>
              <w:right w:val="single" w:sz="12" w:space="0" w:color="auto"/>
            </w:tcBorders>
            <w:shd w:val="clear" w:color="auto" w:fill="99CCFF"/>
          </w:tcPr>
          <w:p w14:paraId="61A28535" w14:textId="77777777" w:rsidR="00510203" w:rsidRPr="005E4329" w:rsidRDefault="00C114A2">
            <w:pPr>
              <w:spacing w:before="40" w:after="40"/>
            </w:pPr>
            <w:r w:rsidRPr="005E4329">
              <w:t xml:space="preserve">3.3 Dopady na podnikatelské prostředí: Ano </w:t>
            </w:r>
          </w:p>
        </w:tc>
      </w:tr>
      <w:tr w:rsidR="00510203" w:rsidRPr="005E4329" w14:paraId="39E29038" w14:textId="77777777">
        <w:trPr>
          <w:trHeight w:val="286"/>
        </w:trPr>
        <w:tc>
          <w:tcPr>
            <w:tcW w:w="9072" w:type="dxa"/>
            <w:gridSpan w:val="2"/>
            <w:tcBorders>
              <w:top w:val="single" w:sz="4" w:space="0" w:color="auto"/>
              <w:left w:val="single" w:sz="12" w:space="0" w:color="auto"/>
              <w:bottom w:val="single" w:sz="12" w:space="0" w:color="auto"/>
              <w:right w:val="single" w:sz="12" w:space="0" w:color="auto"/>
            </w:tcBorders>
            <w:shd w:val="clear" w:color="auto" w:fill="auto"/>
          </w:tcPr>
          <w:p w14:paraId="67E79240" w14:textId="4EBAEAE5" w:rsidR="00510203" w:rsidRPr="005E4329" w:rsidRDefault="00C114A2">
            <w:pPr>
              <w:spacing w:before="40" w:after="40"/>
            </w:pPr>
            <w:r w:rsidRPr="005E4329">
              <w:t xml:space="preserve">Změna bude mít dopad na </w:t>
            </w:r>
            <w:r w:rsidR="00FA6FCC">
              <w:t>poskytovatele služeb s virtuálními aktivy, kteří budou muset při navazování vztahů za účelem provádění transakcí s jiným finančními i úvěrovými institucemi provádět opatření za účelem prevence legalizace výnosů z trestné činnosti a financování terorismu.</w:t>
            </w:r>
          </w:p>
        </w:tc>
      </w:tr>
      <w:tr w:rsidR="00510203" w:rsidRPr="005E4329" w14:paraId="4040D21A" w14:textId="77777777">
        <w:tc>
          <w:tcPr>
            <w:tcW w:w="9072" w:type="dxa"/>
            <w:gridSpan w:val="2"/>
            <w:tcBorders>
              <w:top w:val="single" w:sz="4" w:space="0" w:color="auto"/>
              <w:left w:val="single" w:sz="12" w:space="0" w:color="auto"/>
              <w:bottom w:val="single" w:sz="12" w:space="0" w:color="auto"/>
              <w:right w:val="single" w:sz="12" w:space="0" w:color="auto"/>
            </w:tcBorders>
            <w:shd w:val="clear" w:color="auto" w:fill="99CCFF"/>
          </w:tcPr>
          <w:p w14:paraId="43C38E8F" w14:textId="77777777" w:rsidR="00510203" w:rsidRPr="005E4329" w:rsidRDefault="00C114A2">
            <w:pPr>
              <w:spacing w:before="40" w:after="40"/>
            </w:pPr>
            <w:r w:rsidRPr="005E4329">
              <w:t xml:space="preserve">3.4 Dopady na územní samosprávné celky (obce, kraje): Ne </w:t>
            </w:r>
          </w:p>
        </w:tc>
      </w:tr>
      <w:tr w:rsidR="00510203" w:rsidRPr="005E4329" w14:paraId="654E4B88" w14:textId="77777777">
        <w:tc>
          <w:tcPr>
            <w:tcW w:w="9072" w:type="dxa"/>
            <w:gridSpan w:val="2"/>
            <w:tcBorders>
              <w:top w:val="single" w:sz="4" w:space="0" w:color="auto"/>
              <w:left w:val="single" w:sz="12" w:space="0" w:color="auto"/>
              <w:bottom w:val="single" w:sz="12" w:space="0" w:color="auto"/>
              <w:right w:val="single" w:sz="12" w:space="0" w:color="auto"/>
            </w:tcBorders>
            <w:shd w:val="clear" w:color="auto" w:fill="auto"/>
          </w:tcPr>
          <w:p w14:paraId="11C8F43C" w14:textId="77777777" w:rsidR="00510203" w:rsidRPr="005E4329" w:rsidRDefault="00510203">
            <w:pPr>
              <w:spacing w:before="40" w:after="40"/>
            </w:pPr>
          </w:p>
        </w:tc>
      </w:tr>
      <w:tr w:rsidR="00510203" w:rsidRPr="005E4329" w14:paraId="32C2690D" w14:textId="77777777">
        <w:tc>
          <w:tcPr>
            <w:tcW w:w="9072" w:type="dxa"/>
            <w:gridSpan w:val="2"/>
            <w:tcBorders>
              <w:top w:val="single" w:sz="4" w:space="0" w:color="auto"/>
              <w:left w:val="single" w:sz="12" w:space="0" w:color="auto"/>
              <w:bottom w:val="single" w:sz="12" w:space="0" w:color="auto"/>
              <w:right w:val="single" w:sz="12" w:space="0" w:color="auto"/>
            </w:tcBorders>
            <w:shd w:val="clear" w:color="auto" w:fill="99CCFF"/>
          </w:tcPr>
          <w:p w14:paraId="07B480EB" w14:textId="77777777" w:rsidR="00510203" w:rsidRPr="005E4329" w:rsidRDefault="00C114A2">
            <w:pPr>
              <w:spacing w:before="40" w:after="40"/>
            </w:pPr>
            <w:r w:rsidRPr="005E4329">
              <w:t>3.5 Sociální dopady: Ne</w:t>
            </w:r>
          </w:p>
        </w:tc>
      </w:tr>
      <w:tr w:rsidR="00510203" w:rsidRPr="005E4329" w14:paraId="57A9B8E0" w14:textId="77777777">
        <w:tc>
          <w:tcPr>
            <w:tcW w:w="9072" w:type="dxa"/>
            <w:gridSpan w:val="2"/>
            <w:tcBorders>
              <w:top w:val="single" w:sz="4" w:space="0" w:color="auto"/>
              <w:left w:val="single" w:sz="12" w:space="0" w:color="auto"/>
              <w:bottom w:val="single" w:sz="12" w:space="0" w:color="auto"/>
              <w:right w:val="single" w:sz="12" w:space="0" w:color="auto"/>
            </w:tcBorders>
            <w:shd w:val="clear" w:color="auto" w:fill="auto"/>
          </w:tcPr>
          <w:p w14:paraId="6744DB9B" w14:textId="77777777" w:rsidR="00510203" w:rsidRPr="005E4329" w:rsidRDefault="00510203">
            <w:pPr>
              <w:spacing w:before="40" w:after="40"/>
            </w:pPr>
          </w:p>
        </w:tc>
      </w:tr>
      <w:tr w:rsidR="00510203" w:rsidRPr="005E4329" w14:paraId="4A96A800" w14:textId="77777777">
        <w:tc>
          <w:tcPr>
            <w:tcW w:w="9072" w:type="dxa"/>
            <w:gridSpan w:val="2"/>
            <w:tcBorders>
              <w:top w:val="single" w:sz="4" w:space="0" w:color="auto"/>
              <w:left w:val="single" w:sz="12" w:space="0" w:color="auto"/>
              <w:bottom w:val="single" w:sz="12" w:space="0" w:color="auto"/>
              <w:right w:val="single" w:sz="12" w:space="0" w:color="auto"/>
            </w:tcBorders>
            <w:shd w:val="clear" w:color="auto" w:fill="99CCFF"/>
          </w:tcPr>
          <w:p w14:paraId="252654F9" w14:textId="77777777" w:rsidR="00510203" w:rsidRPr="005E4329" w:rsidRDefault="00513CB2" w:rsidP="00513CB2">
            <w:pPr>
              <w:spacing w:before="40" w:after="40"/>
            </w:pPr>
            <w:r>
              <w:t>3.6 Dopady na spotřebitele: Ne</w:t>
            </w:r>
          </w:p>
        </w:tc>
      </w:tr>
      <w:tr w:rsidR="00510203" w:rsidRPr="005E4329" w14:paraId="7C6AC3BA" w14:textId="77777777">
        <w:trPr>
          <w:trHeight w:val="281"/>
        </w:trPr>
        <w:tc>
          <w:tcPr>
            <w:tcW w:w="9072" w:type="dxa"/>
            <w:gridSpan w:val="2"/>
            <w:tcBorders>
              <w:top w:val="single" w:sz="4" w:space="0" w:color="auto"/>
              <w:left w:val="single" w:sz="12" w:space="0" w:color="auto"/>
              <w:bottom w:val="single" w:sz="12" w:space="0" w:color="auto"/>
              <w:right w:val="single" w:sz="12" w:space="0" w:color="auto"/>
            </w:tcBorders>
            <w:shd w:val="clear" w:color="auto" w:fill="auto"/>
          </w:tcPr>
          <w:p w14:paraId="10B7F626" w14:textId="77777777" w:rsidR="00510203" w:rsidRPr="005E4329" w:rsidRDefault="00510203">
            <w:pPr>
              <w:spacing w:before="40" w:after="40"/>
            </w:pPr>
          </w:p>
        </w:tc>
      </w:tr>
      <w:tr w:rsidR="00510203" w:rsidRPr="005E4329" w14:paraId="083283C1" w14:textId="77777777">
        <w:tc>
          <w:tcPr>
            <w:tcW w:w="9072" w:type="dxa"/>
            <w:gridSpan w:val="2"/>
            <w:tcBorders>
              <w:top w:val="single" w:sz="4" w:space="0" w:color="auto"/>
              <w:left w:val="single" w:sz="12" w:space="0" w:color="auto"/>
              <w:bottom w:val="single" w:sz="12" w:space="0" w:color="auto"/>
              <w:right w:val="single" w:sz="12" w:space="0" w:color="auto"/>
            </w:tcBorders>
            <w:shd w:val="clear" w:color="auto" w:fill="99CCFF"/>
          </w:tcPr>
          <w:p w14:paraId="26E3B20E" w14:textId="77777777" w:rsidR="00510203" w:rsidRPr="005E4329" w:rsidRDefault="00C114A2">
            <w:pPr>
              <w:spacing w:before="40" w:after="40"/>
            </w:pPr>
            <w:r w:rsidRPr="005E4329">
              <w:t>3.7 Dopady na životní prostředí: Ne</w:t>
            </w:r>
          </w:p>
        </w:tc>
      </w:tr>
      <w:tr w:rsidR="00510203" w:rsidRPr="005E4329" w14:paraId="1CD4C0B2" w14:textId="77777777">
        <w:trPr>
          <w:trHeight w:val="281"/>
        </w:trPr>
        <w:tc>
          <w:tcPr>
            <w:tcW w:w="9072" w:type="dxa"/>
            <w:gridSpan w:val="2"/>
            <w:tcBorders>
              <w:top w:val="single" w:sz="4" w:space="0" w:color="auto"/>
              <w:left w:val="single" w:sz="12" w:space="0" w:color="auto"/>
              <w:bottom w:val="single" w:sz="12" w:space="0" w:color="auto"/>
              <w:right w:val="single" w:sz="12" w:space="0" w:color="auto"/>
            </w:tcBorders>
            <w:shd w:val="clear" w:color="auto" w:fill="auto"/>
          </w:tcPr>
          <w:p w14:paraId="14F52D3A" w14:textId="77777777" w:rsidR="00510203" w:rsidRPr="005E4329" w:rsidRDefault="00510203">
            <w:pPr>
              <w:spacing w:before="40" w:after="40"/>
            </w:pPr>
          </w:p>
        </w:tc>
      </w:tr>
      <w:tr w:rsidR="00510203" w:rsidRPr="005E4329" w14:paraId="47CF1B34" w14:textId="77777777">
        <w:tc>
          <w:tcPr>
            <w:tcW w:w="9072" w:type="dxa"/>
            <w:gridSpan w:val="2"/>
            <w:tcBorders>
              <w:top w:val="single" w:sz="4" w:space="0" w:color="auto"/>
              <w:left w:val="single" w:sz="12" w:space="0" w:color="auto"/>
              <w:bottom w:val="single" w:sz="12" w:space="0" w:color="auto"/>
              <w:right w:val="single" w:sz="12" w:space="0" w:color="auto"/>
            </w:tcBorders>
            <w:shd w:val="clear" w:color="auto" w:fill="99CCFF"/>
          </w:tcPr>
          <w:p w14:paraId="28F1301A" w14:textId="77777777" w:rsidR="00510203" w:rsidRPr="005E4329" w:rsidRDefault="00C114A2">
            <w:pPr>
              <w:spacing w:before="40" w:after="40"/>
            </w:pPr>
            <w:r w:rsidRPr="005E4329">
              <w:t>3.8 Dopady ve vztahu k zákazu diskriminace a ve vztahu k rovnosti žen a mužů: Ne</w:t>
            </w:r>
          </w:p>
        </w:tc>
      </w:tr>
      <w:tr w:rsidR="00510203" w:rsidRPr="005E4329" w14:paraId="7029B77D" w14:textId="77777777">
        <w:trPr>
          <w:trHeight w:val="281"/>
        </w:trPr>
        <w:tc>
          <w:tcPr>
            <w:tcW w:w="9072" w:type="dxa"/>
            <w:gridSpan w:val="2"/>
            <w:tcBorders>
              <w:top w:val="single" w:sz="4" w:space="0" w:color="auto"/>
              <w:left w:val="single" w:sz="12" w:space="0" w:color="auto"/>
              <w:bottom w:val="single" w:sz="12" w:space="0" w:color="auto"/>
              <w:right w:val="single" w:sz="12" w:space="0" w:color="auto"/>
            </w:tcBorders>
            <w:shd w:val="clear" w:color="auto" w:fill="auto"/>
          </w:tcPr>
          <w:p w14:paraId="6F5377D9" w14:textId="77777777" w:rsidR="00510203" w:rsidRPr="005E4329" w:rsidRDefault="00510203">
            <w:pPr>
              <w:spacing w:before="40" w:after="40"/>
            </w:pPr>
          </w:p>
        </w:tc>
      </w:tr>
      <w:tr w:rsidR="00510203" w:rsidRPr="005E4329" w14:paraId="11C1B15A" w14:textId="77777777">
        <w:tc>
          <w:tcPr>
            <w:tcW w:w="9072" w:type="dxa"/>
            <w:gridSpan w:val="2"/>
            <w:tcBorders>
              <w:top w:val="single" w:sz="4" w:space="0" w:color="auto"/>
              <w:left w:val="single" w:sz="12" w:space="0" w:color="auto"/>
              <w:bottom w:val="single" w:sz="12" w:space="0" w:color="auto"/>
              <w:right w:val="single" w:sz="12" w:space="0" w:color="auto"/>
            </w:tcBorders>
            <w:shd w:val="clear" w:color="auto" w:fill="99CCFF"/>
          </w:tcPr>
          <w:p w14:paraId="0B7139C3" w14:textId="77777777" w:rsidR="00510203" w:rsidRPr="005E4329" w:rsidRDefault="00C114A2">
            <w:pPr>
              <w:spacing w:before="40" w:after="40"/>
            </w:pPr>
            <w:r w:rsidRPr="005E4329">
              <w:t>3.9 Dopady na výkon státní statistické služby: Ne</w:t>
            </w:r>
          </w:p>
        </w:tc>
      </w:tr>
      <w:tr w:rsidR="00510203" w:rsidRPr="005E4329" w14:paraId="5A408712" w14:textId="77777777">
        <w:trPr>
          <w:trHeight w:val="281"/>
        </w:trPr>
        <w:tc>
          <w:tcPr>
            <w:tcW w:w="9072" w:type="dxa"/>
            <w:gridSpan w:val="2"/>
            <w:tcBorders>
              <w:top w:val="single" w:sz="4" w:space="0" w:color="auto"/>
              <w:left w:val="single" w:sz="12" w:space="0" w:color="auto"/>
              <w:bottom w:val="single" w:sz="12" w:space="0" w:color="auto"/>
              <w:right w:val="single" w:sz="12" w:space="0" w:color="auto"/>
            </w:tcBorders>
            <w:shd w:val="clear" w:color="auto" w:fill="auto"/>
          </w:tcPr>
          <w:p w14:paraId="4EBD966C" w14:textId="77777777" w:rsidR="00510203" w:rsidRPr="005E4329" w:rsidRDefault="00510203">
            <w:pPr>
              <w:spacing w:before="40" w:after="40"/>
            </w:pPr>
          </w:p>
        </w:tc>
      </w:tr>
      <w:tr w:rsidR="00510203" w:rsidRPr="005E4329" w14:paraId="7C64A1CA" w14:textId="77777777">
        <w:tc>
          <w:tcPr>
            <w:tcW w:w="9072" w:type="dxa"/>
            <w:gridSpan w:val="2"/>
            <w:tcBorders>
              <w:top w:val="single" w:sz="4" w:space="0" w:color="auto"/>
              <w:left w:val="single" w:sz="12" w:space="0" w:color="auto"/>
              <w:bottom w:val="single" w:sz="12" w:space="0" w:color="auto"/>
              <w:right w:val="single" w:sz="12" w:space="0" w:color="auto"/>
            </w:tcBorders>
            <w:shd w:val="clear" w:color="auto" w:fill="99CCFF"/>
          </w:tcPr>
          <w:p w14:paraId="788AB592" w14:textId="77777777" w:rsidR="00510203" w:rsidRPr="005E4329" w:rsidRDefault="00C114A2">
            <w:pPr>
              <w:spacing w:before="40" w:after="40"/>
            </w:pPr>
            <w:r w:rsidRPr="005E4329">
              <w:t>3.10 Korupční rizika: Ne</w:t>
            </w:r>
          </w:p>
        </w:tc>
      </w:tr>
      <w:tr w:rsidR="00510203" w:rsidRPr="005E4329" w14:paraId="793E1A27" w14:textId="77777777">
        <w:trPr>
          <w:trHeight w:val="281"/>
        </w:trPr>
        <w:tc>
          <w:tcPr>
            <w:tcW w:w="9072" w:type="dxa"/>
            <w:gridSpan w:val="2"/>
            <w:tcBorders>
              <w:top w:val="single" w:sz="4" w:space="0" w:color="auto"/>
              <w:left w:val="single" w:sz="12" w:space="0" w:color="auto"/>
              <w:bottom w:val="single" w:sz="12" w:space="0" w:color="auto"/>
              <w:right w:val="single" w:sz="12" w:space="0" w:color="auto"/>
            </w:tcBorders>
            <w:shd w:val="clear" w:color="auto" w:fill="auto"/>
          </w:tcPr>
          <w:p w14:paraId="3B9FB70C" w14:textId="77777777" w:rsidR="00510203" w:rsidRPr="005E4329" w:rsidRDefault="00510203">
            <w:pPr>
              <w:spacing w:before="40" w:after="40"/>
            </w:pPr>
          </w:p>
        </w:tc>
      </w:tr>
      <w:tr w:rsidR="00510203" w:rsidRPr="005E4329" w14:paraId="2C516332" w14:textId="77777777">
        <w:tc>
          <w:tcPr>
            <w:tcW w:w="9072" w:type="dxa"/>
            <w:gridSpan w:val="2"/>
            <w:tcBorders>
              <w:top w:val="single" w:sz="4" w:space="0" w:color="auto"/>
              <w:left w:val="single" w:sz="12" w:space="0" w:color="auto"/>
              <w:bottom w:val="single" w:sz="12" w:space="0" w:color="auto"/>
              <w:right w:val="single" w:sz="12" w:space="0" w:color="auto"/>
            </w:tcBorders>
            <w:shd w:val="clear" w:color="auto" w:fill="99CCFF"/>
          </w:tcPr>
          <w:p w14:paraId="5E7E3F5B" w14:textId="77777777" w:rsidR="00510203" w:rsidRPr="005E4329" w:rsidRDefault="00C114A2">
            <w:pPr>
              <w:spacing w:before="40" w:after="40"/>
            </w:pPr>
            <w:r w:rsidRPr="005E4329">
              <w:t>3.11 Dopady na bezpečnost nebo obranu státu: Ne</w:t>
            </w:r>
          </w:p>
        </w:tc>
      </w:tr>
      <w:tr w:rsidR="00510203" w:rsidRPr="005E4329" w14:paraId="3439D9A6" w14:textId="77777777">
        <w:trPr>
          <w:trHeight w:val="281"/>
        </w:trPr>
        <w:tc>
          <w:tcPr>
            <w:tcW w:w="9072" w:type="dxa"/>
            <w:gridSpan w:val="2"/>
            <w:tcBorders>
              <w:top w:val="single" w:sz="4" w:space="0" w:color="auto"/>
              <w:left w:val="single" w:sz="12" w:space="0" w:color="auto"/>
              <w:bottom w:val="single" w:sz="12" w:space="0" w:color="auto"/>
              <w:right w:val="single" w:sz="12" w:space="0" w:color="auto"/>
            </w:tcBorders>
            <w:shd w:val="clear" w:color="auto" w:fill="auto"/>
          </w:tcPr>
          <w:p w14:paraId="49574689" w14:textId="77777777" w:rsidR="00510203" w:rsidRPr="005E4329" w:rsidRDefault="00510203">
            <w:pPr>
              <w:spacing w:before="40" w:after="40"/>
            </w:pPr>
          </w:p>
        </w:tc>
      </w:tr>
    </w:tbl>
    <w:p w14:paraId="2A5F9404" w14:textId="77777777" w:rsidR="00510203" w:rsidRPr="005E4329" w:rsidRDefault="00C114A2">
      <w:pPr>
        <w:spacing w:before="0" w:after="0"/>
        <w:jc w:val="left"/>
        <w:rPr>
          <w:rFonts w:ascii="Cambria" w:hAnsi="Cambria"/>
          <w:b/>
          <w:bCs/>
          <w:color w:val="365F91"/>
          <w:sz w:val="28"/>
          <w:szCs w:val="28"/>
          <w:lang w:eastAsia="cs-CZ"/>
        </w:rPr>
      </w:pPr>
      <w:r w:rsidRPr="005E4329">
        <w:br w:type="page"/>
      </w:r>
    </w:p>
    <w:sdt>
      <w:sdtPr>
        <w:rPr>
          <w:rFonts w:ascii="Times New Roman" w:hAnsi="Times New Roman"/>
          <w:b w:val="0"/>
          <w:bCs w:val="0"/>
          <w:color w:val="auto"/>
          <w:sz w:val="24"/>
          <w:szCs w:val="22"/>
          <w:lang w:eastAsia="en-US"/>
        </w:rPr>
        <w:id w:val="-404836744"/>
        <w:docPartObj>
          <w:docPartGallery w:val="Table of Contents"/>
          <w:docPartUnique/>
        </w:docPartObj>
      </w:sdtPr>
      <w:sdtEndPr/>
      <w:sdtContent>
        <w:p w14:paraId="2FBE27B5" w14:textId="77777777" w:rsidR="00E46637" w:rsidRDefault="00E46637" w:rsidP="00656AD2">
          <w:pPr>
            <w:pStyle w:val="Nadpisobsahu1"/>
          </w:pPr>
          <w:r>
            <w:t>Obsah</w:t>
          </w:r>
        </w:p>
        <w:p w14:paraId="3ADD574C" w14:textId="320EC1DA" w:rsidR="00F97BF8" w:rsidRDefault="00766A4A">
          <w:pPr>
            <w:pStyle w:val="Obsah1"/>
            <w:rPr>
              <w:rFonts w:asciiTheme="minorHAnsi" w:eastAsiaTheme="minorEastAsia" w:hAnsiTheme="minorHAnsi" w:cstheme="minorBidi"/>
              <w:noProof/>
              <w:sz w:val="22"/>
              <w:lang w:eastAsia="cs-CZ"/>
            </w:rPr>
          </w:pPr>
          <w:r>
            <w:fldChar w:fldCharType="begin"/>
          </w:r>
          <w:r>
            <w:instrText xml:space="preserve"> TOC \h \z \u \t "Nadpis 1;2;Část;1" </w:instrText>
          </w:r>
          <w:r>
            <w:fldChar w:fldCharType="separate"/>
          </w:r>
          <w:hyperlink w:anchor="_Toc146204865" w:history="1">
            <w:r w:rsidR="00F97BF8" w:rsidRPr="001C6308">
              <w:rPr>
                <w:rStyle w:val="Hypertextovodkaz"/>
                <w:noProof/>
              </w:rPr>
              <w:t>Východiska závěrečné zprávy RIA</w:t>
            </w:r>
            <w:r w:rsidR="00F97BF8">
              <w:rPr>
                <w:noProof/>
                <w:webHidden/>
              </w:rPr>
              <w:tab/>
            </w:r>
            <w:r w:rsidR="00F97BF8">
              <w:rPr>
                <w:noProof/>
                <w:webHidden/>
              </w:rPr>
              <w:fldChar w:fldCharType="begin"/>
            </w:r>
            <w:r w:rsidR="00F97BF8">
              <w:rPr>
                <w:noProof/>
                <w:webHidden/>
              </w:rPr>
              <w:instrText xml:space="preserve"> PAGEREF _Toc146204865 \h </w:instrText>
            </w:r>
            <w:r w:rsidR="00F97BF8">
              <w:rPr>
                <w:noProof/>
                <w:webHidden/>
              </w:rPr>
            </w:r>
            <w:r w:rsidR="00F97BF8">
              <w:rPr>
                <w:noProof/>
                <w:webHidden/>
              </w:rPr>
              <w:fldChar w:fldCharType="separate"/>
            </w:r>
            <w:r w:rsidR="00F97BF8">
              <w:rPr>
                <w:noProof/>
                <w:webHidden/>
              </w:rPr>
              <w:t>6</w:t>
            </w:r>
            <w:r w:rsidR="00F97BF8">
              <w:rPr>
                <w:noProof/>
                <w:webHidden/>
              </w:rPr>
              <w:fldChar w:fldCharType="end"/>
            </w:r>
          </w:hyperlink>
        </w:p>
        <w:p w14:paraId="586ADB4B" w14:textId="04672DFE" w:rsidR="00F97BF8" w:rsidRDefault="00AB594C">
          <w:pPr>
            <w:pStyle w:val="Obsah1"/>
            <w:rPr>
              <w:rFonts w:asciiTheme="minorHAnsi" w:eastAsiaTheme="minorEastAsia" w:hAnsiTheme="minorHAnsi" w:cstheme="minorBidi"/>
              <w:noProof/>
              <w:sz w:val="22"/>
              <w:lang w:eastAsia="cs-CZ"/>
            </w:rPr>
          </w:pPr>
          <w:hyperlink w:anchor="_Toc146204866" w:history="1">
            <w:r w:rsidR="00F97BF8" w:rsidRPr="001C6308">
              <w:rPr>
                <w:rStyle w:val="Hypertextovodkaz"/>
                <w:noProof/>
              </w:rPr>
              <w:t>A</w:t>
            </w:r>
            <w:r w:rsidR="00F97BF8">
              <w:rPr>
                <w:rFonts w:asciiTheme="minorHAnsi" w:eastAsiaTheme="minorEastAsia" w:hAnsiTheme="minorHAnsi" w:cstheme="minorBidi"/>
                <w:noProof/>
                <w:sz w:val="22"/>
                <w:lang w:eastAsia="cs-CZ"/>
              </w:rPr>
              <w:tab/>
            </w:r>
            <w:r w:rsidR="00F97BF8" w:rsidRPr="001C6308">
              <w:rPr>
                <w:rStyle w:val="Hypertextovodkaz"/>
                <w:noProof/>
              </w:rPr>
              <w:t>Zavedení národního vnitrounijního opatření pro kontrolu převozů hotovosti</w:t>
            </w:r>
            <w:r w:rsidR="00F97BF8">
              <w:rPr>
                <w:noProof/>
                <w:webHidden/>
              </w:rPr>
              <w:tab/>
            </w:r>
            <w:r w:rsidR="00F97BF8">
              <w:rPr>
                <w:noProof/>
                <w:webHidden/>
              </w:rPr>
              <w:fldChar w:fldCharType="begin"/>
            </w:r>
            <w:r w:rsidR="00F97BF8">
              <w:rPr>
                <w:noProof/>
                <w:webHidden/>
              </w:rPr>
              <w:instrText xml:space="preserve"> PAGEREF _Toc146204866 \h </w:instrText>
            </w:r>
            <w:r w:rsidR="00F97BF8">
              <w:rPr>
                <w:noProof/>
                <w:webHidden/>
              </w:rPr>
            </w:r>
            <w:r w:rsidR="00F97BF8">
              <w:rPr>
                <w:noProof/>
                <w:webHidden/>
              </w:rPr>
              <w:fldChar w:fldCharType="separate"/>
            </w:r>
            <w:r w:rsidR="00F97BF8">
              <w:rPr>
                <w:noProof/>
                <w:webHidden/>
              </w:rPr>
              <w:t>7</w:t>
            </w:r>
            <w:r w:rsidR="00F97BF8">
              <w:rPr>
                <w:noProof/>
                <w:webHidden/>
              </w:rPr>
              <w:fldChar w:fldCharType="end"/>
            </w:r>
          </w:hyperlink>
        </w:p>
        <w:p w14:paraId="166BC08A" w14:textId="43C099C5" w:rsidR="00F97BF8" w:rsidRDefault="00AB594C">
          <w:pPr>
            <w:pStyle w:val="Obsah2"/>
            <w:rPr>
              <w:rFonts w:asciiTheme="minorHAnsi" w:eastAsiaTheme="minorEastAsia" w:hAnsiTheme="minorHAnsi" w:cstheme="minorBidi"/>
              <w:noProof/>
              <w:sz w:val="22"/>
              <w:lang w:eastAsia="cs-CZ"/>
            </w:rPr>
          </w:pPr>
          <w:hyperlink w:anchor="_Toc146204867" w:history="1">
            <w:r w:rsidR="00F97BF8" w:rsidRPr="001C6308">
              <w:rPr>
                <w:rStyle w:val="Hypertextovodkaz"/>
                <w:noProof/>
              </w:rPr>
              <w:t>1</w:t>
            </w:r>
            <w:r w:rsidR="00F97BF8">
              <w:rPr>
                <w:rFonts w:asciiTheme="minorHAnsi" w:eastAsiaTheme="minorEastAsia" w:hAnsiTheme="minorHAnsi" w:cstheme="minorBidi"/>
                <w:noProof/>
                <w:sz w:val="22"/>
                <w:lang w:eastAsia="cs-CZ"/>
              </w:rPr>
              <w:tab/>
            </w:r>
            <w:r w:rsidR="00F97BF8" w:rsidRPr="001C6308">
              <w:rPr>
                <w:rStyle w:val="Hypertextovodkaz"/>
                <w:noProof/>
              </w:rPr>
              <w:t>Důvod předložení a cíle</w:t>
            </w:r>
            <w:r w:rsidR="00F97BF8">
              <w:rPr>
                <w:noProof/>
                <w:webHidden/>
              </w:rPr>
              <w:tab/>
            </w:r>
            <w:r w:rsidR="00F97BF8">
              <w:rPr>
                <w:noProof/>
                <w:webHidden/>
              </w:rPr>
              <w:fldChar w:fldCharType="begin"/>
            </w:r>
            <w:r w:rsidR="00F97BF8">
              <w:rPr>
                <w:noProof/>
                <w:webHidden/>
              </w:rPr>
              <w:instrText xml:space="preserve"> PAGEREF _Toc146204867 \h </w:instrText>
            </w:r>
            <w:r w:rsidR="00F97BF8">
              <w:rPr>
                <w:noProof/>
                <w:webHidden/>
              </w:rPr>
            </w:r>
            <w:r w:rsidR="00F97BF8">
              <w:rPr>
                <w:noProof/>
                <w:webHidden/>
              </w:rPr>
              <w:fldChar w:fldCharType="separate"/>
            </w:r>
            <w:r w:rsidR="00F97BF8">
              <w:rPr>
                <w:noProof/>
                <w:webHidden/>
              </w:rPr>
              <w:t>7</w:t>
            </w:r>
            <w:r w:rsidR="00F97BF8">
              <w:rPr>
                <w:noProof/>
                <w:webHidden/>
              </w:rPr>
              <w:fldChar w:fldCharType="end"/>
            </w:r>
          </w:hyperlink>
        </w:p>
        <w:p w14:paraId="3EC61E03" w14:textId="4C248EB4" w:rsidR="00F97BF8" w:rsidRDefault="00AB594C">
          <w:pPr>
            <w:pStyle w:val="Obsah2"/>
            <w:rPr>
              <w:rFonts w:asciiTheme="minorHAnsi" w:eastAsiaTheme="minorEastAsia" w:hAnsiTheme="minorHAnsi" w:cstheme="minorBidi"/>
              <w:noProof/>
              <w:sz w:val="22"/>
              <w:lang w:eastAsia="cs-CZ"/>
            </w:rPr>
          </w:pPr>
          <w:hyperlink w:anchor="_Toc146204868" w:history="1">
            <w:r w:rsidR="00F97BF8" w:rsidRPr="001C6308">
              <w:rPr>
                <w:rStyle w:val="Hypertextovodkaz"/>
                <w:noProof/>
              </w:rPr>
              <w:t>2</w:t>
            </w:r>
            <w:r w:rsidR="00F97BF8">
              <w:rPr>
                <w:rFonts w:asciiTheme="minorHAnsi" w:eastAsiaTheme="minorEastAsia" w:hAnsiTheme="minorHAnsi" w:cstheme="minorBidi"/>
                <w:noProof/>
                <w:sz w:val="22"/>
                <w:lang w:eastAsia="cs-CZ"/>
              </w:rPr>
              <w:tab/>
            </w:r>
            <w:r w:rsidR="00F97BF8" w:rsidRPr="001C6308">
              <w:rPr>
                <w:rStyle w:val="Hypertextovodkaz"/>
                <w:noProof/>
              </w:rPr>
              <w:t>Návrh variant řešení</w:t>
            </w:r>
            <w:r w:rsidR="00F97BF8">
              <w:rPr>
                <w:noProof/>
                <w:webHidden/>
              </w:rPr>
              <w:tab/>
            </w:r>
            <w:r w:rsidR="00F97BF8">
              <w:rPr>
                <w:noProof/>
                <w:webHidden/>
              </w:rPr>
              <w:fldChar w:fldCharType="begin"/>
            </w:r>
            <w:r w:rsidR="00F97BF8">
              <w:rPr>
                <w:noProof/>
                <w:webHidden/>
              </w:rPr>
              <w:instrText xml:space="preserve"> PAGEREF _Toc146204868 \h </w:instrText>
            </w:r>
            <w:r w:rsidR="00F97BF8">
              <w:rPr>
                <w:noProof/>
                <w:webHidden/>
              </w:rPr>
            </w:r>
            <w:r w:rsidR="00F97BF8">
              <w:rPr>
                <w:noProof/>
                <w:webHidden/>
              </w:rPr>
              <w:fldChar w:fldCharType="separate"/>
            </w:r>
            <w:r w:rsidR="00F97BF8">
              <w:rPr>
                <w:noProof/>
                <w:webHidden/>
              </w:rPr>
              <w:t>8</w:t>
            </w:r>
            <w:r w:rsidR="00F97BF8">
              <w:rPr>
                <w:noProof/>
                <w:webHidden/>
              </w:rPr>
              <w:fldChar w:fldCharType="end"/>
            </w:r>
          </w:hyperlink>
        </w:p>
        <w:p w14:paraId="517A358D" w14:textId="5B4A8BFD" w:rsidR="00F97BF8" w:rsidRDefault="00AB594C">
          <w:pPr>
            <w:pStyle w:val="Obsah2"/>
            <w:rPr>
              <w:rFonts w:asciiTheme="minorHAnsi" w:eastAsiaTheme="minorEastAsia" w:hAnsiTheme="minorHAnsi" w:cstheme="minorBidi"/>
              <w:noProof/>
              <w:sz w:val="22"/>
              <w:lang w:eastAsia="cs-CZ"/>
            </w:rPr>
          </w:pPr>
          <w:hyperlink w:anchor="_Toc146204869" w:history="1">
            <w:r w:rsidR="00F97BF8" w:rsidRPr="001C6308">
              <w:rPr>
                <w:rStyle w:val="Hypertextovodkaz"/>
                <w:noProof/>
              </w:rPr>
              <w:t>3</w:t>
            </w:r>
            <w:r w:rsidR="00F97BF8">
              <w:rPr>
                <w:rFonts w:asciiTheme="minorHAnsi" w:eastAsiaTheme="minorEastAsia" w:hAnsiTheme="minorHAnsi" w:cstheme="minorBidi"/>
                <w:noProof/>
                <w:sz w:val="22"/>
                <w:lang w:eastAsia="cs-CZ"/>
              </w:rPr>
              <w:tab/>
            </w:r>
            <w:r w:rsidR="00F97BF8" w:rsidRPr="001C6308">
              <w:rPr>
                <w:rStyle w:val="Hypertextovodkaz"/>
                <w:noProof/>
              </w:rPr>
              <w:t>Identifikace a vyhodnocení nákladů a přínosů</w:t>
            </w:r>
            <w:r w:rsidR="00F97BF8">
              <w:rPr>
                <w:noProof/>
                <w:webHidden/>
              </w:rPr>
              <w:tab/>
            </w:r>
            <w:r w:rsidR="00F97BF8">
              <w:rPr>
                <w:noProof/>
                <w:webHidden/>
              </w:rPr>
              <w:fldChar w:fldCharType="begin"/>
            </w:r>
            <w:r w:rsidR="00F97BF8">
              <w:rPr>
                <w:noProof/>
                <w:webHidden/>
              </w:rPr>
              <w:instrText xml:space="preserve"> PAGEREF _Toc146204869 \h </w:instrText>
            </w:r>
            <w:r w:rsidR="00F97BF8">
              <w:rPr>
                <w:noProof/>
                <w:webHidden/>
              </w:rPr>
            </w:r>
            <w:r w:rsidR="00F97BF8">
              <w:rPr>
                <w:noProof/>
                <w:webHidden/>
              </w:rPr>
              <w:fldChar w:fldCharType="separate"/>
            </w:r>
            <w:r w:rsidR="00F97BF8">
              <w:rPr>
                <w:noProof/>
                <w:webHidden/>
              </w:rPr>
              <w:t>9</w:t>
            </w:r>
            <w:r w:rsidR="00F97BF8">
              <w:rPr>
                <w:noProof/>
                <w:webHidden/>
              </w:rPr>
              <w:fldChar w:fldCharType="end"/>
            </w:r>
          </w:hyperlink>
        </w:p>
        <w:p w14:paraId="5865419B" w14:textId="51A2FA7D" w:rsidR="00F97BF8" w:rsidRDefault="00AB594C">
          <w:pPr>
            <w:pStyle w:val="Obsah2"/>
            <w:rPr>
              <w:rFonts w:asciiTheme="minorHAnsi" w:eastAsiaTheme="minorEastAsia" w:hAnsiTheme="minorHAnsi" w:cstheme="minorBidi"/>
              <w:noProof/>
              <w:sz w:val="22"/>
              <w:lang w:eastAsia="cs-CZ"/>
            </w:rPr>
          </w:pPr>
          <w:hyperlink w:anchor="_Toc146204870" w:history="1">
            <w:r w:rsidR="00F97BF8" w:rsidRPr="001C6308">
              <w:rPr>
                <w:rStyle w:val="Hypertextovodkaz"/>
                <w:noProof/>
              </w:rPr>
              <w:t>4</w:t>
            </w:r>
            <w:r w:rsidR="00F97BF8">
              <w:rPr>
                <w:rFonts w:asciiTheme="minorHAnsi" w:eastAsiaTheme="minorEastAsia" w:hAnsiTheme="minorHAnsi" w:cstheme="minorBidi"/>
                <w:noProof/>
                <w:sz w:val="22"/>
                <w:lang w:eastAsia="cs-CZ"/>
              </w:rPr>
              <w:tab/>
            </w:r>
            <w:r w:rsidR="00F97BF8" w:rsidRPr="001C6308">
              <w:rPr>
                <w:rStyle w:val="Hypertextovodkaz"/>
                <w:noProof/>
              </w:rPr>
              <w:t>Stanovení pořadí variant a výběr nejvhodnějšího řešení</w:t>
            </w:r>
            <w:r w:rsidR="00F97BF8">
              <w:rPr>
                <w:noProof/>
                <w:webHidden/>
              </w:rPr>
              <w:tab/>
            </w:r>
            <w:r w:rsidR="00F97BF8">
              <w:rPr>
                <w:noProof/>
                <w:webHidden/>
              </w:rPr>
              <w:fldChar w:fldCharType="begin"/>
            </w:r>
            <w:r w:rsidR="00F97BF8">
              <w:rPr>
                <w:noProof/>
                <w:webHidden/>
              </w:rPr>
              <w:instrText xml:space="preserve"> PAGEREF _Toc146204870 \h </w:instrText>
            </w:r>
            <w:r w:rsidR="00F97BF8">
              <w:rPr>
                <w:noProof/>
                <w:webHidden/>
              </w:rPr>
            </w:r>
            <w:r w:rsidR="00F97BF8">
              <w:rPr>
                <w:noProof/>
                <w:webHidden/>
              </w:rPr>
              <w:fldChar w:fldCharType="separate"/>
            </w:r>
            <w:r w:rsidR="00F97BF8">
              <w:rPr>
                <w:noProof/>
                <w:webHidden/>
              </w:rPr>
              <w:t>12</w:t>
            </w:r>
            <w:r w:rsidR="00F97BF8">
              <w:rPr>
                <w:noProof/>
                <w:webHidden/>
              </w:rPr>
              <w:fldChar w:fldCharType="end"/>
            </w:r>
          </w:hyperlink>
        </w:p>
        <w:p w14:paraId="3F92B9EA" w14:textId="69D41564" w:rsidR="00F97BF8" w:rsidRDefault="00AB594C">
          <w:pPr>
            <w:pStyle w:val="Obsah2"/>
            <w:rPr>
              <w:rFonts w:asciiTheme="minorHAnsi" w:eastAsiaTheme="minorEastAsia" w:hAnsiTheme="minorHAnsi" w:cstheme="minorBidi"/>
              <w:noProof/>
              <w:sz w:val="22"/>
              <w:lang w:eastAsia="cs-CZ"/>
            </w:rPr>
          </w:pPr>
          <w:hyperlink w:anchor="_Toc146204871" w:history="1">
            <w:r w:rsidR="00F97BF8" w:rsidRPr="001C6308">
              <w:rPr>
                <w:rStyle w:val="Hypertextovodkaz"/>
                <w:noProof/>
              </w:rPr>
              <w:t>5</w:t>
            </w:r>
            <w:r w:rsidR="00F97BF8">
              <w:rPr>
                <w:rFonts w:asciiTheme="minorHAnsi" w:eastAsiaTheme="minorEastAsia" w:hAnsiTheme="minorHAnsi" w:cstheme="minorBidi"/>
                <w:noProof/>
                <w:sz w:val="22"/>
                <w:lang w:eastAsia="cs-CZ"/>
              </w:rPr>
              <w:tab/>
            </w:r>
            <w:r w:rsidR="00F97BF8" w:rsidRPr="001C6308">
              <w:rPr>
                <w:rStyle w:val="Hypertextovodkaz"/>
                <w:noProof/>
              </w:rPr>
              <w:t>Implementace doporučené varianty a vynucování</w:t>
            </w:r>
            <w:r w:rsidR="00F97BF8">
              <w:rPr>
                <w:noProof/>
                <w:webHidden/>
              </w:rPr>
              <w:tab/>
            </w:r>
            <w:r w:rsidR="00F97BF8">
              <w:rPr>
                <w:noProof/>
                <w:webHidden/>
              </w:rPr>
              <w:fldChar w:fldCharType="begin"/>
            </w:r>
            <w:r w:rsidR="00F97BF8">
              <w:rPr>
                <w:noProof/>
                <w:webHidden/>
              </w:rPr>
              <w:instrText xml:space="preserve"> PAGEREF _Toc146204871 \h </w:instrText>
            </w:r>
            <w:r w:rsidR="00F97BF8">
              <w:rPr>
                <w:noProof/>
                <w:webHidden/>
              </w:rPr>
            </w:r>
            <w:r w:rsidR="00F97BF8">
              <w:rPr>
                <w:noProof/>
                <w:webHidden/>
              </w:rPr>
              <w:fldChar w:fldCharType="separate"/>
            </w:r>
            <w:r w:rsidR="00F97BF8">
              <w:rPr>
                <w:noProof/>
                <w:webHidden/>
              </w:rPr>
              <w:t>12</w:t>
            </w:r>
            <w:r w:rsidR="00F97BF8">
              <w:rPr>
                <w:noProof/>
                <w:webHidden/>
              </w:rPr>
              <w:fldChar w:fldCharType="end"/>
            </w:r>
          </w:hyperlink>
        </w:p>
        <w:p w14:paraId="7AF32158" w14:textId="2B218660" w:rsidR="00F97BF8" w:rsidRDefault="00AB594C">
          <w:pPr>
            <w:pStyle w:val="Obsah2"/>
            <w:rPr>
              <w:rFonts w:asciiTheme="minorHAnsi" w:eastAsiaTheme="minorEastAsia" w:hAnsiTheme="minorHAnsi" w:cstheme="minorBidi"/>
              <w:noProof/>
              <w:sz w:val="22"/>
              <w:lang w:eastAsia="cs-CZ"/>
            </w:rPr>
          </w:pPr>
          <w:hyperlink w:anchor="_Toc146204872" w:history="1">
            <w:r w:rsidR="00F97BF8" w:rsidRPr="001C6308">
              <w:rPr>
                <w:rStyle w:val="Hypertextovodkaz"/>
                <w:noProof/>
              </w:rPr>
              <w:t>6</w:t>
            </w:r>
            <w:r w:rsidR="00F97BF8">
              <w:rPr>
                <w:rFonts w:asciiTheme="minorHAnsi" w:eastAsiaTheme="minorEastAsia" w:hAnsiTheme="minorHAnsi" w:cstheme="minorBidi"/>
                <w:noProof/>
                <w:sz w:val="22"/>
                <w:lang w:eastAsia="cs-CZ"/>
              </w:rPr>
              <w:tab/>
            </w:r>
            <w:r w:rsidR="00F97BF8" w:rsidRPr="001C6308">
              <w:rPr>
                <w:rStyle w:val="Hypertextovodkaz"/>
                <w:noProof/>
              </w:rPr>
              <w:t>Přezkum účinnosti regulace</w:t>
            </w:r>
            <w:r w:rsidR="00F97BF8">
              <w:rPr>
                <w:noProof/>
                <w:webHidden/>
              </w:rPr>
              <w:tab/>
            </w:r>
            <w:r w:rsidR="00F97BF8">
              <w:rPr>
                <w:noProof/>
                <w:webHidden/>
              </w:rPr>
              <w:fldChar w:fldCharType="begin"/>
            </w:r>
            <w:r w:rsidR="00F97BF8">
              <w:rPr>
                <w:noProof/>
                <w:webHidden/>
              </w:rPr>
              <w:instrText xml:space="preserve"> PAGEREF _Toc146204872 \h </w:instrText>
            </w:r>
            <w:r w:rsidR="00F97BF8">
              <w:rPr>
                <w:noProof/>
                <w:webHidden/>
              </w:rPr>
            </w:r>
            <w:r w:rsidR="00F97BF8">
              <w:rPr>
                <w:noProof/>
                <w:webHidden/>
              </w:rPr>
              <w:fldChar w:fldCharType="separate"/>
            </w:r>
            <w:r w:rsidR="00F97BF8">
              <w:rPr>
                <w:noProof/>
                <w:webHidden/>
              </w:rPr>
              <w:t>12</w:t>
            </w:r>
            <w:r w:rsidR="00F97BF8">
              <w:rPr>
                <w:noProof/>
                <w:webHidden/>
              </w:rPr>
              <w:fldChar w:fldCharType="end"/>
            </w:r>
          </w:hyperlink>
        </w:p>
        <w:p w14:paraId="5C5316EA" w14:textId="42D4EB3F" w:rsidR="00F97BF8" w:rsidRDefault="00AB594C">
          <w:pPr>
            <w:pStyle w:val="Obsah2"/>
            <w:rPr>
              <w:rFonts w:asciiTheme="minorHAnsi" w:eastAsiaTheme="minorEastAsia" w:hAnsiTheme="minorHAnsi" w:cstheme="minorBidi"/>
              <w:noProof/>
              <w:sz w:val="22"/>
              <w:lang w:eastAsia="cs-CZ"/>
            </w:rPr>
          </w:pPr>
          <w:hyperlink w:anchor="_Toc146204873" w:history="1">
            <w:r w:rsidR="00F97BF8" w:rsidRPr="001C6308">
              <w:rPr>
                <w:rStyle w:val="Hypertextovodkaz"/>
                <w:noProof/>
              </w:rPr>
              <w:t>7</w:t>
            </w:r>
            <w:r w:rsidR="00F97BF8">
              <w:rPr>
                <w:rFonts w:asciiTheme="minorHAnsi" w:eastAsiaTheme="minorEastAsia" w:hAnsiTheme="minorHAnsi" w:cstheme="minorBidi"/>
                <w:noProof/>
                <w:sz w:val="22"/>
                <w:lang w:eastAsia="cs-CZ"/>
              </w:rPr>
              <w:tab/>
            </w:r>
            <w:r w:rsidR="00F97BF8" w:rsidRPr="001C6308">
              <w:rPr>
                <w:rStyle w:val="Hypertextovodkaz"/>
                <w:noProof/>
              </w:rPr>
              <w:t>Konzultace a zdroje dat</w:t>
            </w:r>
            <w:r w:rsidR="00F97BF8">
              <w:rPr>
                <w:noProof/>
                <w:webHidden/>
              </w:rPr>
              <w:tab/>
            </w:r>
            <w:r w:rsidR="00F97BF8">
              <w:rPr>
                <w:noProof/>
                <w:webHidden/>
              </w:rPr>
              <w:fldChar w:fldCharType="begin"/>
            </w:r>
            <w:r w:rsidR="00F97BF8">
              <w:rPr>
                <w:noProof/>
                <w:webHidden/>
              </w:rPr>
              <w:instrText xml:space="preserve"> PAGEREF _Toc146204873 \h </w:instrText>
            </w:r>
            <w:r w:rsidR="00F97BF8">
              <w:rPr>
                <w:noProof/>
                <w:webHidden/>
              </w:rPr>
            </w:r>
            <w:r w:rsidR="00F97BF8">
              <w:rPr>
                <w:noProof/>
                <w:webHidden/>
              </w:rPr>
              <w:fldChar w:fldCharType="separate"/>
            </w:r>
            <w:r w:rsidR="00F97BF8">
              <w:rPr>
                <w:noProof/>
                <w:webHidden/>
              </w:rPr>
              <w:t>12</w:t>
            </w:r>
            <w:r w:rsidR="00F97BF8">
              <w:rPr>
                <w:noProof/>
                <w:webHidden/>
              </w:rPr>
              <w:fldChar w:fldCharType="end"/>
            </w:r>
          </w:hyperlink>
        </w:p>
        <w:p w14:paraId="7AA30936" w14:textId="297CCDEF" w:rsidR="00F97BF8" w:rsidRDefault="00AB594C">
          <w:pPr>
            <w:pStyle w:val="Obsah1"/>
            <w:rPr>
              <w:rFonts w:asciiTheme="minorHAnsi" w:eastAsiaTheme="minorEastAsia" w:hAnsiTheme="minorHAnsi" w:cstheme="minorBidi"/>
              <w:noProof/>
              <w:sz w:val="22"/>
              <w:lang w:eastAsia="cs-CZ"/>
            </w:rPr>
          </w:pPr>
          <w:hyperlink w:anchor="_Toc146204874" w:history="1">
            <w:r w:rsidR="00F97BF8" w:rsidRPr="001C6308">
              <w:rPr>
                <w:rStyle w:val="Hypertextovodkaz"/>
                <w:noProof/>
              </w:rPr>
              <w:t>B</w:t>
            </w:r>
            <w:r w:rsidR="00F97BF8">
              <w:rPr>
                <w:rFonts w:asciiTheme="minorHAnsi" w:eastAsiaTheme="minorEastAsia" w:hAnsiTheme="minorHAnsi" w:cstheme="minorBidi"/>
                <w:noProof/>
                <w:sz w:val="22"/>
                <w:lang w:eastAsia="cs-CZ"/>
              </w:rPr>
              <w:tab/>
            </w:r>
            <w:r w:rsidR="00F97BF8" w:rsidRPr="001C6308">
              <w:rPr>
                <w:rStyle w:val="Hypertextovodkaz"/>
                <w:noProof/>
              </w:rPr>
              <w:t>Stanovení výše limitu převážené hotovosti, při jehož překročení vznikne povinnost oznámit hotovost dotazujícímu se orgánu</w:t>
            </w:r>
            <w:r w:rsidR="00F97BF8">
              <w:rPr>
                <w:noProof/>
                <w:webHidden/>
              </w:rPr>
              <w:tab/>
            </w:r>
            <w:r w:rsidR="00F97BF8">
              <w:rPr>
                <w:noProof/>
                <w:webHidden/>
              </w:rPr>
              <w:fldChar w:fldCharType="begin"/>
            </w:r>
            <w:r w:rsidR="00F97BF8">
              <w:rPr>
                <w:noProof/>
                <w:webHidden/>
              </w:rPr>
              <w:instrText xml:space="preserve"> PAGEREF _Toc146204874 \h </w:instrText>
            </w:r>
            <w:r w:rsidR="00F97BF8">
              <w:rPr>
                <w:noProof/>
                <w:webHidden/>
              </w:rPr>
            </w:r>
            <w:r w:rsidR="00F97BF8">
              <w:rPr>
                <w:noProof/>
                <w:webHidden/>
              </w:rPr>
              <w:fldChar w:fldCharType="separate"/>
            </w:r>
            <w:r w:rsidR="00F97BF8">
              <w:rPr>
                <w:noProof/>
                <w:webHidden/>
              </w:rPr>
              <w:t>13</w:t>
            </w:r>
            <w:r w:rsidR="00F97BF8">
              <w:rPr>
                <w:noProof/>
                <w:webHidden/>
              </w:rPr>
              <w:fldChar w:fldCharType="end"/>
            </w:r>
          </w:hyperlink>
        </w:p>
        <w:p w14:paraId="5BA566A2" w14:textId="0ED4DEB4" w:rsidR="00F97BF8" w:rsidRDefault="00AB594C">
          <w:pPr>
            <w:pStyle w:val="Obsah2"/>
            <w:rPr>
              <w:rFonts w:asciiTheme="minorHAnsi" w:eastAsiaTheme="minorEastAsia" w:hAnsiTheme="minorHAnsi" w:cstheme="minorBidi"/>
              <w:noProof/>
              <w:sz w:val="22"/>
              <w:lang w:eastAsia="cs-CZ"/>
            </w:rPr>
          </w:pPr>
          <w:hyperlink w:anchor="_Toc146204875" w:history="1">
            <w:r w:rsidR="00F97BF8" w:rsidRPr="001C6308">
              <w:rPr>
                <w:rStyle w:val="Hypertextovodkaz"/>
                <w:noProof/>
              </w:rPr>
              <w:t>1</w:t>
            </w:r>
            <w:r w:rsidR="00F97BF8">
              <w:rPr>
                <w:rFonts w:asciiTheme="minorHAnsi" w:eastAsiaTheme="minorEastAsia" w:hAnsiTheme="minorHAnsi" w:cstheme="minorBidi"/>
                <w:noProof/>
                <w:sz w:val="22"/>
                <w:lang w:eastAsia="cs-CZ"/>
              </w:rPr>
              <w:tab/>
            </w:r>
            <w:r w:rsidR="00F97BF8" w:rsidRPr="001C6308">
              <w:rPr>
                <w:rStyle w:val="Hypertextovodkaz"/>
                <w:noProof/>
              </w:rPr>
              <w:t>Důvod předložení a cíle</w:t>
            </w:r>
            <w:r w:rsidR="00F97BF8">
              <w:rPr>
                <w:noProof/>
                <w:webHidden/>
              </w:rPr>
              <w:tab/>
            </w:r>
            <w:r w:rsidR="00F97BF8">
              <w:rPr>
                <w:noProof/>
                <w:webHidden/>
              </w:rPr>
              <w:fldChar w:fldCharType="begin"/>
            </w:r>
            <w:r w:rsidR="00F97BF8">
              <w:rPr>
                <w:noProof/>
                <w:webHidden/>
              </w:rPr>
              <w:instrText xml:space="preserve"> PAGEREF _Toc146204875 \h </w:instrText>
            </w:r>
            <w:r w:rsidR="00F97BF8">
              <w:rPr>
                <w:noProof/>
                <w:webHidden/>
              </w:rPr>
            </w:r>
            <w:r w:rsidR="00F97BF8">
              <w:rPr>
                <w:noProof/>
                <w:webHidden/>
              </w:rPr>
              <w:fldChar w:fldCharType="separate"/>
            </w:r>
            <w:r w:rsidR="00F97BF8">
              <w:rPr>
                <w:noProof/>
                <w:webHidden/>
              </w:rPr>
              <w:t>13</w:t>
            </w:r>
            <w:r w:rsidR="00F97BF8">
              <w:rPr>
                <w:noProof/>
                <w:webHidden/>
              </w:rPr>
              <w:fldChar w:fldCharType="end"/>
            </w:r>
          </w:hyperlink>
        </w:p>
        <w:p w14:paraId="735F452B" w14:textId="12F2798A" w:rsidR="00F97BF8" w:rsidRDefault="00AB594C">
          <w:pPr>
            <w:pStyle w:val="Obsah2"/>
            <w:rPr>
              <w:rFonts w:asciiTheme="minorHAnsi" w:eastAsiaTheme="minorEastAsia" w:hAnsiTheme="minorHAnsi" w:cstheme="minorBidi"/>
              <w:noProof/>
              <w:sz w:val="22"/>
              <w:lang w:eastAsia="cs-CZ"/>
            </w:rPr>
          </w:pPr>
          <w:hyperlink w:anchor="_Toc146204876" w:history="1">
            <w:r w:rsidR="00F97BF8" w:rsidRPr="001C6308">
              <w:rPr>
                <w:rStyle w:val="Hypertextovodkaz"/>
                <w:noProof/>
              </w:rPr>
              <w:t>2</w:t>
            </w:r>
            <w:r w:rsidR="00F97BF8">
              <w:rPr>
                <w:rFonts w:asciiTheme="minorHAnsi" w:eastAsiaTheme="minorEastAsia" w:hAnsiTheme="minorHAnsi" w:cstheme="minorBidi"/>
                <w:noProof/>
                <w:sz w:val="22"/>
                <w:lang w:eastAsia="cs-CZ"/>
              </w:rPr>
              <w:tab/>
            </w:r>
            <w:r w:rsidR="00F97BF8" w:rsidRPr="001C6308">
              <w:rPr>
                <w:rStyle w:val="Hypertextovodkaz"/>
                <w:noProof/>
              </w:rPr>
              <w:t>Návrh variant řešení</w:t>
            </w:r>
            <w:r w:rsidR="00F97BF8">
              <w:rPr>
                <w:noProof/>
                <w:webHidden/>
              </w:rPr>
              <w:tab/>
            </w:r>
            <w:r w:rsidR="00F97BF8">
              <w:rPr>
                <w:noProof/>
                <w:webHidden/>
              </w:rPr>
              <w:fldChar w:fldCharType="begin"/>
            </w:r>
            <w:r w:rsidR="00F97BF8">
              <w:rPr>
                <w:noProof/>
                <w:webHidden/>
              </w:rPr>
              <w:instrText xml:space="preserve"> PAGEREF _Toc146204876 \h </w:instrText>
            </w:r>
            <w:r w:rsidR="00F97BF8">
              <w:rPr>
                <w:noProof/>
                <w:webHidden/>
              </w:rPr>
            </w:r>
            <w:r w:rsidR="00F97BF8">
              <w:rPr>
                <w:noProof/>
                <w:webHidden/>
              </w:rPr>
              <w:fldChar w:fldCharType="separate"/>
            </w:r>
            <w:r w:rsidR="00F97BF8">
              <w:rPr>
                <w:noProof/>
                <w:webHidden/>
              </w:rPr>
              <w:t>14</w:t>
            </w:r>
            <w:r w:rsidR="00F97BF8">
              <w:rPr>
                <w:noProof/>
                <w:webHidden/>
              </w:rPr>
              <w:fldChar w:fldCharType="end"/>
            </w:r>
          </w:hyperlink>
        </w:p>
        <w:p w14:paraId="28ED672D" w14:textId="27A2901F" w:rsidR="00F97BF8" w:rsidRDefault="00AB594C">
          <w:pPr>
            <w:pStyle w:val="Obsah2"/>
            <w:rPr>
              <w:rFonts w:asciiTheme="minorHAnsi" w:eastAsiaTheme="minorEastAsia" w:hAnsiTheme="minorHAnsi" w:cstheme="minorBidi"/>
              <w:noProof/>
              <w:sz w:val="22"/>
              <w:lang w:eastAsia="cs-CZ"/>
            </w:rPr>
          </w:pPr>
          <w:hyperlink w:anchor="_Toc146204877" w:history="1">
            <w:r w:rsidR="00F97BF8" w:rsidRPr="001C6308">
              <w:rPr>
                <w:rStyle w:val="Hypertextovodkaz"/>
                <w:noProof/>
              </w:rPr>
              <w:t>3</w:t>
            </w:r>
            <w:r w:rsidR="00F97BF8">
              <w:rPr>
                <w:rFonts w:asciiTheme="minorHAnsi" w:eastAsiaTheme="minorEastAsia" w:hAnsiTheme="minorHAnsi" w:cstheme="minorBidi"/>
                <w:noProof/>
                <w:sz w:val="22"/>
                <w:lang w:eastAsia="cs-CZ"/>
              </w:rPr>
              <w:tab/>
            </w:r>
            <w:r w:rsidR="00F97BF8" w:rsidRPr="001C6308">
              <w:rPr>
                <w:rStyle w:val="Hypertextovodkaz"/>
                <w:noProof/>
              </w:rPr>
              <w:t>Identifikace a vyhodnocení nákladů a přínosů</w:t>
            </w:r>
            <w:r w:rsidR="00F97BF8">
              <w:rPr>
                <w:noProof/>
                <w:webHidden/>
              </w:rPr>
              <w:tab/>
            </w:r>
            <w:r w:rsidR="00F97BF8">
              <w:rPr>
                <w:noProof/>
                <w:webHidden/>
              </w:rPr>
              <w:fldChar w:fldCharType="begin"/>
            </w:r>
            <w:r w:rsidR="00F97BF8">
              <w:rPr>
                <w:noProof/>
                <w:webHidden/>
              </w:rPr>
              <w:instrText xml:space="preserve"> PAGEREF _Toc146204877 \h </w:instrText>
            </w:r>
            <w:r w:rsidR="00F97BF8">
              <w:rPr>
                <w:noProof/>
                <w:webHidden/>
              </w:rPr>
            </w:r>
            <w:r w:rsidR="00F97BF8">
              <w:rPr>
                <w:noProof/>
                <w:webHidden/>
              </w:rPr>
              <w:fldChar w:fldCharType="separate"/>
            </w:r>
            <w:r w:rsidR="00F97BF8">
              <w:rPr>
                <w:noProof/>
                <w:webHidden/>
              </w:rPr>
              <w:t>15</w:t>
            </w:r>
            <w:r w:rsidR="00F97BF8">
              <w:rPr>
                <w:noProof/>
                <w:webHidden/>
              </w:rPr>
              <w:fldChar w:fldCharType="end"/>
            </w:r>
          </w:hyperlink>
        </w:p>
        <w:p w14:paraId="369BFA32" w14:textId="0D8971D2" w:rsidR="00F97BF8" w:rsidRDefault="00AB594C">
          <w:pPr>
            <w:pStyle w:val="Obsah2"/>
            <w:rPr>
              <w:rFonts w:asciiTheme="minorHAnsi" w:eastAsiaTheme="minorEastAsia" w:hAnsiTheme="minorHAnsi" w:cstheme="minorBidi"/>
              <w:noProof/>
              <w:sz w:val="22"/>
              <w:lang w:eastAsia="cs-CZ"/>
            </w:rPr>
          </w:pPr>
          <w:hyperlink w:anchor="_Toc146204878" w:history="1">
            <w:r w:rsidR="00F97BF8" w:rsidRPr="001C6308">
              <w:rPr>
                <w:rStyle w:val="Hypertextovodkaz"/>
                <w:noProof/>
              </w:rPr>
              <w:t>4</w:t>
            </w:r>
            <w:r w:rsidR="00F97BF8">
              <w:rPr>
                <w:rFonts w:asciiTheme="minorHAnsi" w:eastAsiaTheme="minorEastAsia" w:hAnsiTheme="minorHAnsi" w:cstheme="minorBidi"/>
                <w:noProof/>
                <w:sz w:val="22"/>
                <w:lang w:eastAsia="cs-CZ"/>
              </w:rPr>
              <w:tab/>
            </w:r>
            <w:r w:rsidR="00F97BF8" w:rsidRPr="001C6308">
              <w:rPr>
                <w:rStyle w:val="Hypertextovodkaz"/>
                <w:noProof/>
              </w:rPr>
              <w:t>Stanovení pořadí variant a výběr nejvhodnějšího řešení</w:t>
            </w:r>
            <w:r w:rsidR="00F97BF8">
              <w:rPr>
                <w:noProof/>
                <w:webHidden/>
              </w:rPr>
              <w:tab/>
            </w:r>
            <w:r w:rsidR="00F97BF8">
              <w:rPr>
                <w:noProof/>
                <w:webHidden/>
              </w:rPr>
              <w:fldChar w:fldCharType="begin"/>
            </w:r>
            <w:r w:rsidR="00F97BF8">
              <w:rPr>
                <w:noProof/>
                <w:webHidden/>
              </w:rPr>
              <w:instrText xml:space="preserve"> PAGEREF _Toc146204878 \h </w:instrText>
            </w:r>
            <w:r w:rsidR="00F97BF8">
              <w:rPr>
                <w:noProof/>
                <w:webHidden/>
              </w:rPr>
            </w:r>
            <w:r w:rsidR="00F97BF8">
              <w:rPr>
                <w:noProof/>
                <w:webHidden/>
              </w:rPr>
              <w:fldChar w:fldCharType="separate"/>
            </w:r>
            <w:r w:rsidR="00F97BF8">
              <w:rPr>
                <w:noProof/>
                <w:webHidden/>
              </w:rPr>
              <w:t>18</w:t>
            </w:r>
            <w:r w:rsidR="00F97BF8">
              <w:rPr>
                <w:noProof/>
                <w:webHidden/>
              </w:rPr>
              <w:fldChar w:fldCharType="end"/>
            </w:r>
          </w:hyperlink>
        </w:p>
        <w:p w14:paraId="18DA29A2" w14:textId="21595B8D" w:rsidR="00F97BF8" w:rsidRDefault="00AB594C">
          <w:pPr>
            <w:pStyle w:val="Obsah2"/>
            <w:rPr>
              <w:rFonts w:asciiTheme="minorHAnsi" w:eastAsiaTheme="minorEastAsia" w:hAnsiTheme="minorHAnsi" w:cstheme="minorBidi"/>
              <w:noProof/>
              <w:sz w:val="22"/>
              <w:lang w:eastAsia="cs-CZ"/>
            </w:rPr>
          </w:pPr>
          <w:hyperlink w:anchor="_Toc146204879" w:history="1">
            <w:r w:rsidR="00F97BF8" w:rsidRPr="001C6308">
              <w:rPr>
                <w:rStyle w:val="Hypertextovodkaz"/>
                <w:noProof/>
              </w:rPr>
              <w:t>5</w:t>
            </w:r>
            <w:r w:rsidR="00F97BF8">
              <w:rPr>
                <w:rFonts w:asciiTheme="minorHAnsi" w:eastAsiaTheme="minorEastAsia" w:hAnsiTheme="minorHAnsi" w:cstheme="minorBidi"/>
                <w:noProof/>
                <w:sz w:val="22"/>
                <w:lang w:eastAsia="cs-CZ"/>
              </w:rPr>
              <w:tab/>
            </w:r>
            <w:r w:rsidR="00F97BF8" w:rsidRPr="001C6308">
              <w:rPr>
                <w:rStyle w:val="Hypertextovodkaz"/>
                <w:noProof/>
              </w:rPr>
              <w:t>Implementace doporučené varianty a vynucování</w:t>
            </w:r>
            <w:r w:rsidR="00F97BF8">
              <w:rPr>
                <w:noProof/>
                <w:webHidden/>
              </w:rPr>
              <w:tab/>
            </w:r>
            <w:r w:rsidR="00F97BF8">
              <w:rPr>
                <w:noProof/>
                <w:webHidden/>
              </w:rPr>
              <w:fldChar w:fldCharType="begin"/>
            </w:r>
            <w:r w:rsidR="00F97BF8">
              <w:rPr>
                <w:noProof/>
                <w:webHidden/>
              </w:rPr>
              <w:instrText xml:space="preserve"> PAGEREF _Toc146204879 \h </w:instrText>
            </w:r>
            <w:r w:rsidR="00F97BF8">
              <w:rPr>
                <w:noProof/>
                <w:webHidden/>
              </w:rPr>
            </w:r>
            <w:r w:rsidR="00F97BF8">
              <w:rPr>
                <w:noProof/>
                <w:webHidden/>
              </w:rPr>
              <w:fldChar w:fldCharType="separate"/>
            </w:r>
            <w:r w:rsidR="00F97BF8">
              <w:rPr>
                <w:noProof/>
                <w:webHidden/>
              </w:rPr>
              <w:t>18</w:t>
            </w:r>
            <w:r w:rsidR="00F97BF8">
              <w:rPr>
                <w:noProof/>
                <w:webHidden/>
              </w:rPr>
              <w:fldChar w:fldCharType="end"/>
            </w:r>
          </w:hyperlink>
        </w:p>
        <w:p w14:paraId="047BDAB0" w14:textId="4C2F2C9F" w:rsidR="00F97BF8" w:rsidRDefault="00AB594C">
          <w:pPr>
            <w:pStyle w:val="Obsah2"/>
            <w:rPr>
              <w:rFonts w:asciiTheme="minorHAnsi" w:eastAsiaTheme="minorEastAsia" w:hAnsiTheme="minorHAnsi" w:cstheme="minorBidi"/>
              <w:noProof/>
              <w:sz w:val="22"/>
              <w:lang w:eastAsia="cs-CZ"/>
            </w:rPr>
          </w:pPr>
          <w:hyperlink w:anchor="_Toc146204880" w:history="1">
            <w:r w:rsidR="00F97BF8" w:rsidRPr="001C6308">
              <w:rPr>
                <w:rStyle w:val="Hypertextovodkaz"/>
                <w:noProof/>
              </w:rPr>
              <w:t>6</w:t>
            </w:r>
            <w:r w:rsidR="00F97BF8">
              <w:rPr>
                <w:rFonts w:asciiTheme="minorHAnsi" w:eastAsiaTheme="minorEastAsia" w:hAnsiTheme="minorHAnsi" w:cstheme="minorBidi"/>
                <w:noProof/>
                <w:sz w:val="22"/>
                <w:lang w:eastAsia="cs-CZ"/>
              </w:rPr>
              <w:tab/>
            </w:r>
            <w:r w:rsidR="00F97BF8" w:rsidRPr="001C6308">
              <w:rPr>
                <w:rStyle w:val="Hypertextovodkaz"/>
                <w:noProof/>
              </w:rPr>
              <w:t>Přezkum účinnosti regulace</w:t>
            </w:r>
            <w:r w:rsidR="00F97BF8">
              <w:rPr>
                <w:noProof/>
                <w:webHidden/>
              </w:rPr>
              <w:tab/>
            </w:r>
            <w:r w:rsidR="00F97BF8">
              <w:rPr>
                <w:noProof/>
                <w:webHidden/>
              </w:rPr>
              <w:fldChar w:fldCharType="begin"/>
            </w:r>
            <w:r w:rsidR="00F97BF8">
              <w:rPr>
                <w:noProof/>
                <w:webHidden/>
              </w:rPr>
              <w:instrText xml:space="preserve"> PAGEREF _Toc146204880 \h </w:instrText>
            </w:r>
            <w:r w:rsidR="00F97BF8">
              <w:rPr>
                <w:noProof/>
                <w:webHidden/>
              </w:rPr>
            </w:r>
            <w:r w:rsidR="00F97BF8">
              <w:rPr>
                <w:noProof/>
                <w:webHidden/>
              </w:rPr>
              <w:fldChar w:fldCharType="separate"/>
            </w:r>
            <w:r w:rsidR="00F97BF8">
              <w:rPr>
                <w:noProof/>
                <w:webHidden/>
              </w:rPr>
              <w:t>18</w:t>
            </w:r>
            <w:r w:rsidR="00F97BF8">
              <w:rPr>
                <w:noProof/>
                <w:webHidden/>
              </w:rPr>
              <w:fldChar w:fldCharType="end"/>
            </w:r>
          </w:hyperlink>
        </w:p>
        <w:p w14:paraId="1E813335" w14:textId="3F5FD798" w:rsidR="00F97BF8" w:rsidRDefault="00AB594C">
          <w:pPr>
            <w:pStyle w:val="Obsah2"/>
            <w:rPr>
              <w:rFonts w:asciiTheme="minorHAnsi" w:eastAsiaTheme="minorEastAsia" w:hAnsiTheme="minorHAnsi" w:cstheme="minorBidi"/>
              <w:noProof/>
              <w:sz w:val="22"/>
              <w:lang w:eastAsia="cs-CZ"/>
            </w:rPr>
          </w:pPr>
          <w:hyperlink w:anchor="_Toc146204881" w:history="1">
            <w:r w:rsidR="00F97BF8" w:rsidRPr="001C6308">
              <w:rPr>
                <w:rStyle w:val="Hypertextovodkaz"/>
                <w:noProof/>
              </w:rPr>
              <w:t>7</w:t>
            </w:r>
            <w:r w:rsidR="00F97BF8">
              <w:rPr>
                <w:rFonts w:asciiTheme="minorHAnsi" w:eastAsiaTheme="minorEastAsia" w:hAnsiTheme="minorHAnsi" w:cstheme="minorBidi"/>
                <w:noProof/>
                <w:sz w:val="22"/>
                <w:lang w:eastAsia="cs-CZ"/>
              </w:rPr>
              <w:tab/>
            </w:r>
            <w:r w:rsidR="00F97BF8" w:rsidRPr="001C6308">
              <w:rPr>
                <w:rStyle w:val="Hypertextovodkaz"/>
                <w:noProof/>
              </w:rPr>
              <w:t>Konzultace a zdroje dat</w:t>
            </w:r>
            <w:r w:rsidR="00F97BF8">
              <w:rPr>
                <w:noProof/>
                <w:webHidden/>
              </w:rPr>
              <w:tab/>
            </w:r>
            <w:r w:rsidR="00F97BF8">
              <w:rPr>
                <w:noProof/>
                <w:webHidden/>
              </w:rPr>
              <w:fldChar w:fldCharType="begin"/>
            </w:r>
            <w:r w:rsidR="00F97BF8">
              <w:rPr>
                <w:noProof/>
                <w:webHidden/>
              </w:rPr>
              <w:instrText xml:space="preserve"> PAGEREF _Toc146204881 \h </w:instrText>
            </w:r>
            <w:r w:rsidR="00F97BF8">
              <w:rPr>
                <w:noProof/>
                <w:webHidden/>
              </w:rPr>
            </w:r>
            <w:r w:rsidR="00F97BF8">
              <w:rPr>
                <w:noProof/>
                <w:webHidden/>
              </w:rPr>
              <w:fldChar w:fldCharType="separate"/>
            </w:r>
            <w:r w:rsidR="00F97BF8">
              <w:rPr>
                <w:noProof/>
                <w:webHidden/>
              </w:rPr>
              <w:t>18</w:t>
            </w:r>
            <w:r w:rsidR="00F97BF8">
              <w:rPr>
                <w:noProof/>
                <w:webHidden/>
              </w:rPr>
              <w:fldChar w:fldCharType="end"/>
            </w:r>
          </w:hyperlink>
        </w:p>
        <w:p w14:paraId="5D96449B" w14:textId="013BAB99" w:rsidR="00F97BF8" w:rsidRDefault="00AB594C">
          <w:pPr>
            <w:pStyle w:val="Obsah1"/>
            <w:rPr>
              <w:rFonts w:asciiTheme="minorHAnsi" w:eastAsiaTheme="minorEastAsia" w:hAnsiTheme="minorHAnsi" w:cstheme="minorBidi"/>
              <w:noProof/>
              <w:sz w:val="22"/>
              <w:lang w:eastAsia="cs-CZ"/>
            </w:rPr>
          </w:pPr>
          <w:hyperlink w:anchor="_Toc146204882" w:history="1">
            <w:r w:rsidR="00F97BF8" w:rsidRPr="001C6308">
              <w:rPr>
                <w:rStyle w:val="Hypertextovodkaz"/>
                <w:noProof/>
              </w:rPr>
              <w:t>C</w:t>
            </w:r>
            <w:r w:rsidR="00F97BF8">
              <w:rPr>
                <w:rFonts w:asciiTheme="minorHAnsi" w:eastAsiaTheme="minorEastAsia" w:hAnsiTheme="minorHAnsi" w:cstheme="minorBidi"/>
                <w:noProof/>
                <w:sz w:val="22"/>
                <w:lang w:eastAsia="cs-CZ"/>
              </w:rPr>
              <w:tab/>
            </w:r>
            <w:r w:rsidR="00F97BF8" w:rsidRPr="001C6308">
              <w:rPr>
                <w:rStyle w:val="Hypertextovodkaz"/>
                <w:noProof/>
              </w:rPr>
              <w:t>Výběr orgánu příslušného pro výkon kontroly nad vnitrounijními převozy nadlimitní hotovosti</w:t>
            </w:r>
            <w:r w:rsidR="00F97BF8">
              <w:rPr>
                <w:noProof/>
                <w:webHidden/>
              </w:rPr>
              <w:tab/>
            </w:r>
            <w:r w:rsidR="00F97BF8">
              <w:rPr>
                <w:noProof/>
                <w:webHidden/>
              </w:rPr>
              <w:fldChar w:fldCharType="begin"/>
            </w:r>
            <w:r w:rsidR="00F97BF8">
              <w:rPr>
                <w:noProof/>
                <w:webHidden/>
              </w:rPr>
              <w:instrText xml:space="preserve"> PAGEREF _Toc146204882 \h </w:instrText>
            </w:r>
            <w:r w:rsidR="00F97BF8">
              <w:rPr>
                <w:noProof/>
                <w:webHidden/>
              </w:rPr>
            </w:r>
            <w:r w:rsidR="00F97BF8">
              <w:rPr>
                <w:noProof/>
                <w:webHidden/>
              </w:rPr>
              <w:fldChar w:fldCharType="separate"/>
            </w:r>
            <w:r w:rsidR="00F97BF8">
              <w:rPr>
                <w:noProof/>
                <w:webHidden/>
              </w:rPr>
              <w:t>19</w:t>
            </w:r>
            <w:r w:rsidR="00F97BF8">
              <w:rPr>
                <w:noProof/>
                <w:webHidden/>
              </w:rPr>
              <w:fldChar w:fldCharType="end"/>
            </w:r>
          </w:hyperlink>
        </w:p>
        <w:p w14:paraId="68D2CBAB" w14:textId="1E66FEE0" w:rsidR="00F97BF8" w:rsidRDefault="00AB594C">
          <w:pPr>
            <w:pStyle w:val="Obsah2"/>
            <w:rPr>
              <w:rFonts w:asciiTheme="minorHAnsi" w:eastAsiaTheme="minorEastAsia" w:hAnsiTheme="minorHAnsi" w:cstheme="minorBidi"/>
              <w:noProof/>
              <w:sz w:val="22"/>
              <w:lang w:eastAsia="cs-CZ"/>
            </w:rPr>
          </w:pPr>
          <w:hyperlink w:anchor="_Toc146204883" w:history="1">
            <w:r w:rsidR="00F97BF8" w:rsidRPr="001C6308">
              <w:rPr>
                <w:rStyle w:val="Hypertextovodkaz"/>
                <w:noProof/>
              </w:rPr>
              <w:t>1</w:t>
            </w:r>
            <w:r w:rsidR="00F97BF8">
              <w:rPr>
                <w:rFonts w:asciiTheme="minorHAnsi" w:eastAsiaTheme="minorEastAsia" w:hAnsiTheme="minorHAnsi" w:cstheme="minorBidi"/>
                <w:noProof/>
                <w:sz w:val="22"/>
                <w:lang w:eastAsia="cs-CZ"/>
              </w:rPr>
              <w:tab/>
            </w:r>
            <w:r w:rsidR="00F97BF8" w:rsidRPr="001C6308">
              <w:rPr>
                <w:rStyle w:val="Hypertextovodkaz"/>
                <w:noProof/>
              </w:rPr>
              <w:t>Důvod předložení a cíle</w:t>
            </w:r>
            <w:r w:rsidR="00F97BF8">
              <w:rPr>
                <w:noProof/>
                <w:webHidden/>
              </w:rPr>
              <w:tab/>
            </w:r>
            <w:r w:rsidR="00F97BF8">
              <w:rPr>
                <w:noProof/>
                <w:webHidden/>
              </w:rPr>
              <w:fldChar w:fldCharType="begin"/>
            </w:r>
            <w:r w:rsidR="00F97BF8">
              <w:rPr>
                <w:noProof/>
                <w:webHidden/>
              </w:rPr>
              <w:instrText xml:space="preserve"> PAGEREF _Toc146204883 \h </w:instrText>
            </w:r>
            <w:r w:rsidR="00F97BF8">
              <w:rPr>
                <w:noProof/>
                <w:webHidden/>
              </w:rPr>
            </w:r>
            <w:r w:rsidR="00F97BF8">
              <w:rPr>
                <w:noProof/>
                <w:webHidden/>
              </w:rPr>
              <w:fldChar w:fldCharType="separate"/>
            </w:r>
            <w:r w:rsidR="00F97BF8">
              <w:rPr>
                <w:noProof/>
                <w:webHidden/>
              </w:rPr>
              <w:t>19</w:t>
            </w:r>
            <w:r w:rsidR="00F97BF8">
              <w:rPr>
                <w:noProof/>
                <w:webHidden/>
              </w:rPr>
              <w:fldChar w:fldCharType="end"/>
            </w:r>
          </w:hyperlink>
        </w:p>
        <w:p w14:paraId="79DC4565" w14:textId="2D534476" w:rsidR="00F97BF8" w:rsidRDefault="00AB594C">
          <w:pPr>
            <w:pStyle w:val="Obsah2"/>
            <w:rPr>
              <w:rFonts w:asciiTheme="minorHAnsi" w:eastAsiaTheme="minorEastAsia" w:hAnsiTheme="minorHAnsi" w:cstheme="minorBidi"/>
              <w:noProof/>
              <w:sz w:val="22"/>
              <w:lang w:eastAsia="cs-CZ"/>
            </w:rPr>
          </w:pPr>
          <w:hyperlink w:anchor="_Toc146204884" w:history="1">
            <w:r w:rsidR="00F97BF8" w:rsidRPr="001C6308">
              <w:rPr>
                <w:rStyle w:val="Hypertextovodkaz"/>
                <w:noProof/>
              </w:rPr>
              <w:t>2</w:t>
            </w:r>
            <w:r w:rsidR="00F97BF8">
              <w:rPr>
                <w:rFonts w:asciiTheme="minorHAnsi" w:eastAsiaTheme="minorEastAsia" w:hAnsiTheme="minorHAnsi" w:cstheme="minorBidi"/>
                <w:noProof/>
                <w:sz w:val="22"/>
                <w:lang w:eastAsia="cs-CZ"/>
              </w:rPr>
              <w:tab/>
            </w:r>
            <w:r w:rsidR="00F97BF8" w:rsidRPr="001C6308">
              <w:rPr>
                <w:rStyle w:val="Hypertextovodkaz"/>
                <w:noProof/>
              </w:rPr>
              <w:t>Návrh variant řešení</w:t>
            </w:r>
            <w:r w:rsidR="00F97BF8">
              <w:rPr>
                <w:noProof/>
                <w:webHidden/>
              </w:rPr>
              <w:tab/>
            </w:r>
            <w:r w:rsidR="00F97BF8">
              <w:rPr>
                <w:noProof/>
                <w:webHidden/>
              </w:rPr>
              <w:fldChar w:fldCharType="begin"/>
            </w:r>
            <w:r w:rsidR="00F97BF8">
              <w:rPr>
                <w:noProof/>
                <w:webHidden/>
              </w:rPr>
              <w:instrText xml:space="preserve"> PAGEREF _Toc146204884 \h </w:instrText>
            </w:r>
            <w:r w:rsidR="00F97BF8">
              <w:rPr>
                <w:noProof/>
                <w:webHidden/>
              </w:rPr>
            </w:r>
            <w:r w:rsidR="00F97BF8">
              <w:rPr>
                <w:noProof/>
                <w:webHidden/>
              </w:rPr>
              <w:fldChar w:fldCharType="separate"/>
            </w:r>
            <w:r w:rsidR="00F97BF8">
              <w:rPr>
                <w:noProof/>
                <w:webHidden/>
              </w:rPr>
              <w:t>20</w:t>
            </w:r>
            <w:r w:rsidR="00F97BF8">
              <w:rPr>
                <w:noProof/>
                <w:webHidden/>
              </w:rPr>
              <w:fldChar w:fldCharType="end"/>
            </w:r>
          </w:hyperlink>
        </w:p>
        <w:p w14:paraId="125F3193" w14:textId="00EAAFFE" w:rsidR="00F97BF8" w:rsidRDefault="00AB594C">
          <w:pPr>
            <w:pStyle w:val="Obsah2"/>
            <w:rPr>
              <w:rFonts w:asciiTheme="minorHAnsi" w:eastAsiaTheme="minorEastAsia" w:hAnsiTheme="minorHAnsi" w:cstheme="minorBidi"/>
              <w:noProof/>
              <w:sz w:val="22"/>
              <w:lang w:eastAsia="cs-CZ"/>
            </w:rPr>
          </w:pPr>
          <w:hyperlink w:anchor="_Toc146204885" w:history="1">
            <w:r w:rsidR="00F97BF8" w:rsidRPr="001C6308">
              <w:rPr>
                <w:rStyle w:val="Hypertextovodkaz"/>
                <w:noProof/>
              </w:rPr>
              <w:t>3</w:t>
            </w:r>
            <w:r w:rsidR="00F97BF8">
              <w:rPr>
                <w:rFonts w:asciiTheme="minorHAnsi" w:eastAsiaTheme="minorEastAsia" w:hAnsiTheme="minorHAnsi" w:cstheme="minorBidi"/>
                <w:noProof/>
                <w:sz w:val="22"/>
                <w:lang w:eastAsia="cs-CZ"/>
              </w:rPr>
              <w:tab/>
            </w:r>
            <w:r w:rsidR="00F97BF8" w:rsidRPr="001C6308">
              <w:rPr>
                <w:rStyle w:val="Hypertextovodkaz"/>
                <w:noProof/>
              </w:rPr>
              <w:t>Identifikace a vyhodnocení nákladů a přínosů</w:t>
            </w:r>
            <w:r w:rsidR="00F97BF8">
              <w:rPr>
                <w:noProof/>
                <w:webHidden/>
              </w:rPr>
              <w:tab/>
            </w:r>
            <w:r w:rsidR="00F97BF8">
              <w:rPr>
                <w:noProof/>
                <w:webHidden/>
              </w:rPr>
              <w:fldChar w:fldCharType="begin"/>
            </w:r>
            <w:r w:rsidR="00F97BF8">
              <w:rPr>
                <w:noProof/>
                <w:webHidden/>
              </w:rPr>
              <w:instrText xml:space="preserve"> PAGEREF _Toc146204885 \h </w:instrText>
            </w:r>
            <w:r w:rsidR="00F97BF8">
              <w:rPr>
                <w:noProof/>
                <w:webHidden/>
              </w:rPr>
            </w:r>
            <w:r w:rsidR="00F97BF8">
              <w:rPr>
                <w:noProof/>
                <w:webHidden/>
              </w:rPr>
              <w:fldChar w:fldCharType="separate"/>
            </w:r>
            <w:r w:rsidR="00F97BF8">
              <w:rPr>
                <w:noProof/>
                <w:webHidden/>
              </w:rPr>
              <w:t>20</w:t>
            </w:r>
            <w:r w:rsidR="00F97BF8">
              <w:rPr>
                <w:noProof/>
                <w:webHidden/>
              </w:rPr>
              <w:fldChar w:fldCharType="end"/>
            </w:r>
          </w:hyperlink>
        </w:p>
        <w:p w14:paraId="68FD8DDF" w14:textId="37F5CE9F" w:rsidR="00F97BF8" w:rsidRDefault="00AB594C">
          <w:pPr>
            <w:pStyle w:val="Obsah2"/>
            <w:rPr>
              <w:rFonts w:asciiTheme="minorHAnsi" w:eastAsiaTheme="minorEastAsia" w:hAnsiTheme="minorHAnsi" w:cstheme="minorBidi"/>
              <w:noProof/>
              <w:sz w:val="22"/>
              <w:lang w:eastAsia="cs-CZ"/>
            </w:rPr>
          </w:pPr>
          <w:hyperlink w:anchor="_Toc146204886" w:history="1">
            <w:r w:rsidR="00F97BF8" w:rsidRPr="001C6308">
              <w:rPr>
                <w:rStyle w:val="Hypertextovodkaz"/>
                <w:noProof/>
              </w:rPr>
              <w:t>4</w:t>
            </w:r>
            <w:r w:rsidR="00F97BF8">
              <w:rPr>
                <w:rFonts w:asciiTheme="minorHAnsi" w:eastAsiaTheme="minorEastAsia" w:hAnsiTheme="minorHAnsi" w:cstheme="minorBidi"/>
                <w:noProof/>
                <w:sz w:val="22"/>
                <w:lang w:eastAsia="cs-CZ"/>
              </w:rPr>
              <w:tab/>
            </w:r>
            <w:r w:rsidR="00F97BF8" w:rsidRPr="001C6308">
              <w:rPr>
                <w:rStyle w:val="Hypertextovodkaz"/>
                <w:noProof/>
              </w:rPr>
              <w:t>Stanovení pořadí variant a výběr nejvhodnějšího řešení</w:t>
            </w:r>
            <w:r w:rsidR="00F97BF8">
              <w:rPr>
                <w:noProof/>
                <w:webHidden/>
              </w:rPr>
              <w:tab/>
            </w:r>
            <w:r w:rsidR="00F97BF8">
              <w:rPr>
                <w:noProof/>
                <w:webHidden/>
              </w:rPr>
              <w:fldChar w:fldCharType="begin"/>
            </w:r>
            <w:r w:rsidR="00F97BF8">
              <w:rPr>
                <w:noProof/>
                <w:webHidden/>
              </w:rPr>
              <w:instrText xml:space="preserve"> PAGEREF _Toc146204886 \h </w:instrText>
            </w:r>
            <w:r w:rsidR="00F97BF8">
              <w:rPr>
                <w:noProof/>
                <w:webHidden/>
              </w:rPr>
            </w:r>
            <w:r w:rsidR="00F97BF8">
              <w:rPr>
                <w:noProof/>
                <w:webHidden/>
              </w:rPr>
              <w:fldChar w:fldCharType="separate"/>
            </w:r>
            <w:r w:rsidR="00F97BF8">
              <w:rPr>
                <w:noProof/>
                <w:webHidden/>
              </w:rPr>
              <w:t>22</w:t>
            </w:r>
            <w:r w:rsidR="00F97BF8">
              <w:rPr>
                <w:noProof/>
                <w:webHidden/>
              </w:rPr>
              <w:fldChar w:fldCharType="end"/>
            </w:r>
          </w:hyperlink>
        </w:p>
        <w:p w14:paraId="62388A10" w14:textId="7693DE67" w:rsidR="00F97BF8" w:rsidRDefault="00AB594C">
          <w:pPr>
            <w:pStyle w:val="Obsah2"/>
            <w:rPr>
              <w:rFonts w:asciiTheme="minorHAnsi" w:eastAsiaTheme="minorEastAsia" w:hAnsiTheme="minorHAnsi" w:cstheme="minorBidi"/>
              <w:noProof/>
              <w:sz w:val="22"/>
              <w:lang w:eastAsia="cs-CZ"/>
            </w:rPr>
          </w:pPr>
          <w:hyperlink w:anchor="_Toc146204887" w:history="1">
            <w:r w:rsidR="00F97BF8" w:rsidRPr="001C6308">
              <w:rPr>
                <w:rStyle w:val="Hypertextovodkaz"/>
                <w:noProof/>
              </w:rPr>
              <w:t>5</w:t>
            </w:r>
            <w:r w:rsidR="00F97BF8">
              <w:rPr>
                <w:rFonts w:asciiTheme="minorHAnsi" w:eastAsiaTheme="minorEastAsia" w:hAnsiTheme="minorHAnsi" w:cstheme="minorBidi"/>
                <w:noProof/>
                <w:sz w:val="22"/>
                <w:lang w:eastAsia="cs-CZ"/>
              </w:rPr>
              <w:tab/>
            </w:r>
            <w:r w:rsidR="00F97BF8" w:rsidRPr="001C6308">
              <w:rPr>
                <w:rStyle w:val="Hypertextovodkaz"/>
                <w:noProof/>
              </w:rPr>
              <w:t>Implementace doporučené varianty a vynucování</w:t>
            </w:r>
            <w:r w:rsidR="00F97BF8">
              <w:rPr>
                <w:noProof/>
                <w:webHidden/>
              </w:rPr>
              <w:tab/>
            </w:r>
            <w:r w:rsidR="00F97BF8">
              <w:rPr>
                <w:noProof/>
                <w:webHidden/>
              </w:rPr>
              <w:fldChar w:fldCharType="begin"/>
            </w:r>
            <w:r w:rsidR="00F97BF8">
              <w:rPr>
                <w:noProof/>
                <w:webHidden/>
              </w:rPr>
              <w:instrText xml:space="preserve"> PAGEREF _Toc146204887 \h </w:instrText>
            </w:r>
            <w:r w:rsidR="00F97BF8">
              <w:rPr>
                <w:noProof/>
                <w:webHidden/>
              </w:rPr>
            </w:r>
            <w:r w:rsidR="00F97BF8">
              <w:rPr>
                <w:noProof/>
                <w:webHidden/>
              </w:rPr>
              <w:fldChar w:fldCharType="separate"/>
            </w:r>
            <w:r w:rsidR="00F97BF8">
              <w:rPr>
                <w:noProof/>
                <w:webHidden/>
              </w:rPr>
              <w:t>22</w:t>
            </w:r>
            <w:r w:rsidR="00F97BF8">
              <w:rPr>
                <w:noProof/>
                <w:webHidden/>
              </w:rPr>
              <w:fldChar w:fldCharType="end"/>
            </w:r>
          </w:hyperlink>
        </w:p>
        <w:p w14:paraId="2E1570CA" w14:textId="179710C9" w:rsidR="00F97BF8" w:rsidRDefault="00AB594C">
          <w:pPr>
            <w:pStyle w:val="Obsah2"/>
            <w:rPr>
              <w:rFonts w:asciiTheme="minorHAnsi" w:eastAsiaTheme="minorEastAsia" w:hAnsiTheme="minorHAnsi" w:cstheme="minorBidi"/>
              <w:noProof/>
              <w:sz w:val="22"/>
              <w:lang w:eastAsia="cs-CZ"/>
            </w:rPr>
          </w:pPr>
          <w:hyperlink w:anchor="_Toc146204888" w:history="1">
            <w:r w:rsidR="00F97BF8" w:rsidRPr="001C6308">
              <w:rPr>
                <w:rStyle w:val="Hypertextovodkaz"/>
                <w:noProof/>
              </w:rPr>
              <w:t>6</w:t>
            </w:r>
            <w:r w:rsidR="00F97BF8">
              <w:rPr>
                <w:rFonts w:asciiTheme="minorHAnsi" w:eastAsiaTheme="minorEastAsia" w:hAnsiTheme="minorHAnsi" w:cstheme="minorBidi"/>
                <w:noProof/>
                <w:sz w:val="22"/>
                <w:lang w:eastAsia="cs-CZ"/>
              </w:rPr>
              <w:tab/>
            </w:r>
            <w:r w:rsidR="00F97BF8" w:rsidRPr="001C6308">
              <w:rPr>
                <w:rStyle w:val="Hypertextovodkaz"/>
                <w:noProof/>
              </w:rPr>
              <w:t>Přezkum účinnosti regulace</w:t>
            </w:r>
            <w:r w:rsidR="00F97BF8">
              <w:rPr>
                <w:noProof/>
                <w:webHidden/>
              </w:rPr>
              <w:tab/>
            </w:r>
            <w:r w:rsidR="00F97BF8">
              <w:rPr>
                <w:noProof/>
                <w:webHidden/>
              </w:rPr>
              <w:fldChar w:fldCharType="begin"/>
            </w:r>
            <w:r w:rsidR="00F97BF8">
              <w:rPr>
                <w:noProof/>
                <w:webHidden/>
              </w:rPr>
              <w:instrText xml:space="preserve"> PAGEREF _Toc146204888 \h </w:instrText>
            </w:r>
            <w:r w:rsidR="00F97BF8">
              <w:rPr>
                <w:noProof/>
                <w:webHidden/>
              </w:rPr>
            </w:r>
            <w:r w:rsidR="00F97BF8">
              <w:rPr>
                <w:noProof/>
                <w:webHidden/>
              </w:rPr>
              <w:fldChar w:fldCharType="separate"/>
            </w:r>
            <w:r w:rsidR="00F97BF8">
              <w:rPr>
                <w:noProof/>
                <w:webHidden/>
              </w:rPr>
              <w:t>22</w:t>
            </w:r>
            <w:r w:rsidR="00F97BF8">
              <w:rPr>
                <w:noProof/>
                <w:webHidden/>
              </w:rPr>
              <w:fldChar w:fldCharType="end"/>
            </w:r>
          </w:hyperlink>
        </w:p>
        <w:p w14:paraId="0794BB38" w14:textId="7842576A" w:rsidR="00F97BF8" w:rsidRDefault="00AB594C">
          <w:pPr>
            <w:pStyle w:val="Obsah2"/>
            <w:rPr>
              <w:rFonts w:asciiTheme="minorHAnsi" w:eastAsiaTheme="minorEastAsia" w:hAnsiTheme="minorHAnsi" w:cstheme="minorBidi"/>
              <w:noProof/>
              <w:sz w:val="22"/>
              <w:lang w:eastAsia="cs-CZ"/>
            </w:rPr>
          </w:pPr>
          <w:hyperlink w:anchor="_Toc146204889" w:history="1">
            <w:r w:rsidR="00F97BF8" w:rsidRPr="001C6308">
              <w:rPr>
                <w:rStyle w:val="Hypertextovodkaz"/>
                <w:noProof/>
              </w:rPr>
              <w:t>7</w:t>
            </w:r>
            <w:r w:rsidR="00F97BF8">
              <w:rPr>
                <w:rFonts w:asciiTheme="minorHAnsi" w:eastAsiaTheme="minorEastAsia" w:hAnsiTheme="minorHAnsi" w:cstheme="minorBidi"/>
                <w:noProof/>
                <w:sz w:val="22"/>
                <w:lang w:eastAsia="cs-CZ"/>
              </w:rPr>
              <w:tab/>
            </w:r>
            <w:r w:rsidR="00F97BF8" w:rsidRPr="001C6308">
              <w:rPr>
                <w:rStyle w:val="Hypertextovodkaz"/>
                <w:noProof/>
              </w:rPr>
              <w:t>Konzultace a zdroje dat</w:t>
            </w:r>
            <w:r w:rsidR="00F97BF8">
              <w:rPr>
                <w:noProof/>
                <w:webHidden/>
              </w:rPr>
              <w:tab/>
            </w:r>
            <w:r w:rsidR="00F97BF8">
              <w:rPr>
                <w:noProof/>
                <w:webHidden/>
              </w:rPr>
              <w:fldChar w:fldCharType="begin"/>
            </w:r>
            <w:r w:rsidR="00F97BF8">
              <w:rPr>
                <w:noProof/>
                <w:webHidden/>
              </w:rPr>
              <w:instrText xml:space="preserve"> PAGEREF _Toc146204889 \h </w:instrText>
            </w:r>
            <w:r w:rsidR="00F97BF8">
              <w:rPr>
                <w:noProof/>
                <w:webHidden/>
              </w:rPr>
            </w:r>
            <w:r w:rsidR="00F97BF8">
              <w:rPr>
                <w:noProof/>
                <w:webHidden/>
              </w:rPr>
              <w:fldChar w:fldCharType="separate"/>
            </w:r>
            <w:r w:rsidR="00F97BF8">
              <w:rPr>
                <w:noProof/>
                <w:webHidden/>
              </w:rPr>
              <w:t>22</w:t>
            </w:r>
            <w:r w:rsidR="00F97BF8">
              <w:rPr>
                <w:noProof/>
                <w:webHidden/>
              </w:rPr>
              <w:fldChar w:fldCharType="end"/>
            </w:r>
          </w:hyperlink>
        </w:p>
        <w:p w14:paraId="6FDF11E8" w14:textId="59492042" w:rsidR="00F97BF8" w:rsidRDefault="00AB594C">
          <w:pPr>
            <w:pStyle w:val="Obsah1"/>
            <w:rPr>
              <w:rFonts w:asciiTheme="minorHAnsi" w:eastAsiaTheme="minorEastAsia" w:hAnsiTheme="minorHAnsi" w:cstheme="minorBidi"/>
              <w:noProof/>
              <w:sz w:val="22"/>
              <w:lang w:eastAsia="cs-CZ"/>
            </w:rPr>
          </w:pPr>
          <w:hyperlink w:anchor="_Toc146204890" w:history="1">
            <w:r w:rsidR="00F97BF8" w:rsidRPr="001C6308">
              <w:rPr>
                <w:rStyle w:val="Hypertextovodkaz"/>
                <w:noProof/>
              </w:rPr>
              <w:t>D</w:t>
            </w:r>
            <w:r w:rsidR="00F97BF8">
              <w:rPr>
                <w:rFonts w:asciiTheme="minorHAnsi" w:eastAsiaTheme="minorEastAsia" w:hAnsiTheme="minorHAnsi" w:cstheme="minorBidi"/>
                <w:noProof/>
                <w:sz w:val="22"/>
                <w:lang w:eastAsia="cs-CZ"/>
              </w:rPr>
              <w:tab/>
            </w:r>
            <w:r w:rsidR="00F97BF8" w:rsidRPr="001C6308">
              <w:rPr>
                <w:rStyle w:val="Hypertextovodkaz"/>
                <w:noProof/>
              </w:rPr>
              <w:t>Výběr orgánu příslušného k projednávání přestupků na úseku vnitrounijních převozů nadlimitní hotovosti</w:t>
            </w:r>
            <w:r w:rsidR="00F97BF8">
              <w:rPr>
                <w:noProof/>
                <w:webHidden/>
              </w:rPr>
              <w:tab/>
            </w:r>
            <w:r w:rsidR="00F97BF8">
              <w:rPr>
                <w:noProof/>
                <w:webHidden/>
              </w:rPr>
              <w:fldChar w:fldCharType="begin"/>
            </w:r>
            <w:r w:rsidR="00F97BF8">
              <w:rPr>
                <w:noProof/>
                <w:webHidden/>
              </w:rPr>
              <w:instrText xml:space="preserve"> PAGEREF _Toc146204890 \h </w:instrText>
            </w:r>
            <w:r w:rsidR="00F97BF8">
              <w:rPr>
                <w:noProof/>
                <w:webHidden/>
              </w:rPr>
            </w:r>
            <w:r w:rsidR="00F97BF8">
              <w:rPr>
                <w:noProof/>
                <w:webHidden/>
              </w:rPr>
              <w:fldChar w:fldCharType="separate"/>
            </w:r>
            <w:r w:rsidR="00F97BF8">
              <w:rPr>
                <w:noProof/>
                <w:webHidden/>
              </w:rPr>
              <w:t>23</w:t>
            </w:r>
            <w:r w:rsidR="00F97BF8">
              <w:rPr>
                <w:noProof/>
                <w:webHidden/>
              </w:rPr>
              <w:fldChar w:fldCharType="end"/>
            </w:r>
          </w:hyperlink>
        </w:p>
        <w:p w14:paraId="5BBEE4D2" w14:textId="3849578E" w:rsidR="00F97BF8" w:rsidRDefault="00AB594C">
          <w:pPr>
            <w:pStyle w:val="Obsah2"/>
            <w:rPr>
              <w:rFonts w:asciiTheme="minorHAnsi" w:eastAsiaTheme="minorEastAsia" w:hAnsiTheme="minorHAnsi" w:cstheme="minorBidi"/>
              <w:noProof/>
              <w:sz w:val="22"/>
              <w:lang w:eastAsia="cs-CZ"/>
            </w:rPr>
          </w:pPr>
          <w:hyperlink w:anchor="_Toc146204891" w:history="1">
            <w:r w:rsidR="00F97BF8" w:rsidRPr="001C6308">
              <w:rPr>
                <w:rStyle w:val="Hypertextovodkaz"/>
                <w:noProof/>
              </w:rPr>
              <w:t>1</w:t>
            </w:r>
            <w:r w:rsidR="00F97BF8">
              <w:rPr>
                <w:rFonts w:asciiTheme="minorHAnsi" w:eastAsiaTheme="minorEastAsia" w:hAnsiTheme="minorHAnsi" w:cstheme="minorBidi"/>
                <w:noProof/>
                <w:sz w:val="22"/>
                <w:lang w:eastAsia="cs-CZ"/>
              </w:rPr>
              <w:tab/>
            </w:r>
            <w:r w:rsidR="00F97BF8" w:rsidRPr="001C6308">
              <w:rPr>
                <w:rStyle w:val="Hypertextovodkaz"/>
                <w:noProof/>
              </w:rPr>
              <w:t>Důvod předložení a cíle</w:t>
            </w:r>
            <w:r w:rsidR="00F97BF8">
              <w:rPr>
                <w:noProof/>
                <w:webHidden/>
              </w:rPr>
              <w:tab/>
            </w:r>
            <w:r w:rsidR="00F97BF8">
              <w:rPr>
                <w:noProof/>
                <w:webHidden/>
              </w:rPr>
              <w:fldChar w:fldCharType="begin"/>
            </w:r>
            <w:r w:rsidR="00F97BF8">
              <w:rPr>
                <w:noProof/>
                <w:webHidden/>
              </w:rPr>
              <w:instrText xml:space="preserve"> PAGEREF _Toc146204891 \h </w:instrText>
            </w:r>
            <w:r w:rsidR="00F97BF8">
              <w:rPr>
                <w:noProof/>
                <w:webHidden/>
              </w:rPr>
            </w:r>
            <w:r w:rsidR="00F97BF8">
              <w:rPr>
                <w:noProof/>
                <w:webHidden/>
              </w:rPr>
              <w:fldChar w:fldCharType="separate"/>
            </w:r>
            <w:r w:rsidR="00F97BF8">
              <w:rPr>
                <w:noProof/>
                <w:webHidden/>
              </w:rPr>
              <w:t>23</w:t>
            </w:r>
            <w:r w:rsidR="00F97BF8">
              <w:rPr>
                <w:noProof/>
                <w:webHidden/>
              </w:rPr>
              <w:fldChar w:fldCharType="end"/>
            </w:r>
          </w:hyperlink>
        </w:p>
        <w:p w14:paraId="455D29BA" w14:textId="14393BAB" w:rsidR="00F97BF8" w:rsidRDefault="00AB594C">
          <w:pPr>
            <w:pStyle w:val="Obsah2"/>
            <w:rPr>
              <w:rFonts w:asciiTheme="minorHAnsi" w:eastAsiaTheme="minorEastAsia" w:hAnsiTheme="minorHAnsi" w:cstheme="minorBidi"/>
              <w:noProof/>
              <w:sz w:val="22"/>
              <w:lang w:eastAsia="cs-CZ"/>
            </w:rPr>
          </w:pPr>
          <w:hyperlink w:anchor="_Toc146204892" w:history="1">
            <w:r w:rsidR="00F97BF8" w:rsidRPr="001C6308">
              <w:rPr>
                <w:rStyle w:val="Hypertextovodkaz"/>
                <w:noProof/>
              </w:rPr>
              <w:t>2</w:t>
            </w:r>
            <w:r w:rsidR="00F97BF8">
              <w:rPr>
                <w:rFonts w:asciiTheme="minorHAnsi" w:eastAsiaTheme="minorEastAsia" w:hAnsiTheme="minorHAnsi" w:cstheme="minorBidi"/>
                <w:noProof/>
                <w:sz w:val="22"/>
                <w:lang w:eastAsia="cs-CZ"/>
              </w:rPr>
              <w:tab/>
            </w:r>
            <w:r w:rsidR="00F97BF8" w:rsidRPr="001C6308">
              <w:rPr>
                <w:rStyle w:val="Hypertextovodkaz"/>
                <w:noProof/>
              </w:rPr>
              <w:t>Návrh variant řešení</w:t>
            </w:r>
            <w:r w:rsidR="00F97BF8">
              <w:rPr>
                <w:noProof/>
                <w:webHidden/>
              </w:rPr>
              <w:tab/>
            </w:r>
            <w:r w:rsidR="00F97BF8">
              <w:rPr>
                <w:noProof/>
                <w:webHidden/>
              </w:rPr>
              <w:fldChar w:fldCharType="begin"/>
            </w:r>
            <w:r w:rsidR="00F97BF8">
              <w:rPr>
                <w:noProof/>
                <w:webHidden/>
              </w:rPr>
              <w:instrText xml:space="preserve"> PAGEREF _Toc146204892 \h </w:instrText>
            </w:r>
            <w:r w:rsidR="00F97BF8">
              <w:rPr>
                <w:noProof/>
                <w:webHidden/>
              </w:rPr>
            </w:r>
            <w:r w:rsidR="00F97BF8">
              <w:rPr>
                <w:noProof/>
                <w:webHidden/>
              </w:rPr>
              <w:fldChar w:fldCharType="separate"/>
            </w:r>
            <w:r w:rsidR="00F97BF8">
              <w:rPr>
                <w:noProof/>
                <w:webHidden/>
              </w:rPr>
              <w:t>24</w:t>
            </w:r>
            <w:r w:rsidR="00F97BF8">
              <w:rPr>
                <w:noProof/>
                <w:webHidden/>
              </w:rPr>
              <w:fldChar w:fldCharType="end"/>
            </w:r>
          </w:hyperlink>
        </w:p>
        <w:p w14:paraId="22168B74" w14:textId="18872A7E" w:rsidR="00F97BF8" w:rsidRDefault="00AB594C">
          <w:pPr>
            <w:pStyle w:val="Obsah2"/>
            <w:rPr>
              <w:rFonts w:asciiTheme="minorHAnsi" w:eastAsiaTheme="minorEastAsia" w:hAnsiTheme="minorHAnsi" w:cstheme="minorBidi"/>
              <w:noProof/>
              <w:sz w:val="22"/>
              <w:lang w:eastAsia="cs-CZ"/>
            </w:rPr>
          </w:pPr>
          <w:hyperlink w:anchor="_Toc146204893" w:history="1">
            <w:r w:rsidR="00F97BF8" w:rsidRPr="001C6308">
              <w:rPr>
                <w:rStyle w:val="Hypertextovodkaz"/>
                <w:noProof/>
              </w:rPr>
              <w:t>3</w:t>
            </w:r>
            <w:r w:rsidR="00F97BF8">
              <w:rPr>
                <w:rFonts w:asciiTheme="minorHAnsi" w:eastAsiaTheme="minorEastAsia" w:hAnsiTheme="minorHAnsi" w:cstheme="minorBidi"/>
                <w:noProof/>
                <w:sz w:val="22"/>
                <w:lang w:eastAsia="cs-CZ"/>
              </w:rPr>
              <w:tab/>
            </w:r>
            <w:r w:rsidR="00F97BF8" w:rsidRPr="001C6308">
              <w:rPr>
                <w:rStyle w:val="Hypertextovodkaz"/>
                <w:noProof/>
              </w:rPr>
              <w:t>Identifikace a vyhodnocení nákladů a přínosů</w:t>
            </w:r>
            <w:r w:rsidR="00F97BF8">
              <w:rPr>
                <w:noProof/>
                <w:webHidden/>
              </w:rPr>
              <w:tab/>
            </w:r>
            <w:r w:rsidR="00F97BF8">
              <w:rPr>
                <w:noProof/>
                <w:webHidden/>
              </w:rPr>
              <w:fldChar w:fldCharType="begin"/>
            </w:r>
            <w:r w:rsidR="00F97BF8">
              <w:rPr>
                <w:noProof/>
                <w:webHidden/>
              </w:rPr>
              <w:instrText xml:space="preserve"> PAGEREF _Toc146204893 \h </w:instrText>
            </w:r>
            <w:r w:rsidR="00F97BF8">
              <w:rPr>
                <w:noProof/>
                <w:webHidden/>
              </w:rPr>
            </w:r>
            <w:r w:rsidR="00F97BF8">
              <w:rPr>
                <w:noProof/>
                <w:webHidden/>
              </w:rPr>
              <w:fldChar w:fldCharType="separate"/>
            </w:r>
            <w:r w:rsidR="00F97BF8">
              <w:rPr>
                <w:noProof/>
                <w:webHidden/>
              </w:rPr>
              <w:t>25</w:t>
            </w:r>
            <w:r w:rsidR="00F97BF8">
              <w:rPr>
                <w:noProof/>
                <w:webHidden/>
              </w:rPr>
              <w:fldChar w:fldCharType="end"/>
            </w:r>
          </w:hyperlink>
        </w:p>
        <w:p w14:paraId="55F0B489" w14:textId="5504B159" w:rsidR="00F97BF8" w:rsidRDefault="00AB594C">
          <w:pPr>
            <w:pStyle w:val="Obsah2"/>
            <w:rPr>
              <w:rFonts w:asciiTheme="minorHAnsi" w:eastAsiaTheme="minorEastAsia" w:hAnsiTheme="minorHAnsi" w:cstheme="minorBidi"/>
              <w:noProof/>
              <w:sz w:val="22"/>
              <w:lang w:eastAsia="cs-CZ"/>
            </w:rPr>
          </w:pPr>
          <w:hyperlink w:anchor="_Toc146204894" w:history="1">
            <w:r w:rsidR="00F97BF8" w:rsidRPr="001C6308">
              <w:rPr>
                <w:rStyle w:val="Hypertextovodkaz"/>
                <w:noProof/>
              </w:rPr>
              <w:t>4</w:t>
            </w:r>
            <w:r w:rsidR="00F97BF8">
              <w:rPr>
                <w:rFonts w:asciiTheme="minorHAnsi" w:eastAsiaTheme="minorEastAsia" w:hAnsiTheme="minorHAnsi" w:cstheme="minorBidi"/>
                <w:noProof/>
                <w:sz w:val="22"/>
                <w:lang w:eastAsia="cs-CZ"/>
              </w:rPr>
              <w:tab/>
            </w:r>
            <w:r w:rsidR="00F97BF8" w:rsidRPr="001C6308">
              <w:rPr>
                <w:rStyle w:val="Hypertextovodkaz"/>
                <w:noProof/>
              </w:rPr>
              <w:t>Stanovení pořadí variant a výběr nejvhodnějšího řešení</w:t>
            </w:r>
            <w:r w:rsidR="00F97BF8">
              <w:rPr>
                <w:noProof/>
                <w:webHidden/>
              </w:rPr>
              <w:tab/>
            </w:r>
            <w:r w:rsidR="00F97BF8">
              <w:rPr>
                <w:noProof/>
                <w:webHidden/>
              </w:rPr>
              <w:fldChar w:fldCharType="begin"/>
            </w:r>
            <w:r w:rsidR="00F97BF8">
              <w:rPr>
                <w:noProof/>
                <w:webHidden/>
              </w:rPr>
              <w:instrText xml:space="preserve"> PAGEREF _Toc146204894 \h </w:instrText>
            </w:r>
            <w:r w:rsidR="00F97BF8">
              <w:rPr>
                <w:noProof/>
                <w:webHidden/>
              </w:rPr>
            </w:r>
            <w:r w:rsidR="00F97BF8">
              <w:rPr>
                <w:noProof/>
                <w:webHidden/>
              </w:rPr>
              <w:fldChar w:fldCharType="separate"/>
            </w:r>
            <w:r w:rsidR="00F97BF8">
              <w:rPr>
                <w:noProof/>
                <w:webHidden/>
              </w:rPr>
              <w:t>27</w:t>
            </w:r>
            <w:r w:rsidR="00F97BF8">
              <w:rPr>
                <w:noProof/>
                <w:webHidden/>
              </w:rPr>
              <w:fldChar w:fldCharType="end"/>
            </w:r>
          </w:hyperlink>
        </w:p>
        <w:p w14:paraId="0E4ACBFB" w14:textId="5A37CA2D" w:rsidR="00F97BF8" w:rsidRDefault="00AB594C">
          <w:pPr>
            <w:pStyle w:val="Obsah2"/>
            <w:rPr>
              <w:rFonts w:asciiTheme="minorHAnsi" w:eastAsiaTheme="minorEastAsia" w:hAnsiTheme="minorHAnsi" w:cstheme="minorBidi"/>
              <w:noProof/>
              <w:sz w:val="22"/>
              <w:lang w:eastAsia="cs-CZ"/>
            </w:rPr>
          </w:pPr>
          <w:hyperlink w:anchor="_Toc146204895" w:history="1">
            <w:r w:rsidR="00F97BF8" w:rsidRPr="001C6308">
              <w:rPr>
                <w:rStyle w:val="Hypertextovodkaz"/>
                <w:noProof/>
              </w:rPr>
              <w:t>5</w:t>
            </w:r>
            <w:r w:rsidR="00F97BF8">
              <w:rPr>
                <w:rFonts w:asciiTheme="minorHAnsi" w:eastAsiaTheme="minorEastAsia" w:hAnsiTheme="minorHAnsi" w:cstheme="minorBidi"/>
                <w:noProof/>
                <w:sz w:val="22"/>
                <w:lang w:eastAsia="cs-CZ"/>
              </w:rPr>
              <w:tab/>
            </w:r>
            <w:r w:rsidR="00F97BF8" w:rsidRPr="001C6308">
              <w:rPr>
                <w:rStyle w:val="Hypertextovodkaz"/>
                <w:noProof/>
              </w:rPr>
              <w:t>Implementace doporučené varianty a vynucování</w:t>
            </w:r>
            <w:r w:rsidR="00F97BF8">
              <w:rPr>
                <w:noProof/>
                <w:webHidden/>
              </w:rPr>
              <w:tab/>
            </w:r>
            <w:r w:rsidR="00F97BF8">
              <w:rPr>
                <w:noProof/>
                <w:webHidden/>
              </w:rPr>
              <w:fldChar w:fldCharType="begin"/>
            </w:r>
            <w:r w:rsidR="00F97BF8">
              <w:rPr>
                <w:noProof/>
                <w:webHidden/>
              </w:rPr>
              <w:instrText xml:space="preserve"> PAGEREF _Toc146204895 \h </w:instrText>
            </w:r>
            <w:r w:rsidR="00F97BF8">
              <w:rPr>
                <w:noProof/>
                <w:webHidden/>
              </w:rPr>
            </w:r>
            <w:r w:rsidR="00F97BF8">
              <w:rPr>
                <w:noProof/>
                <w:webHidden/>
              </w:rPr>
              <w:fldChar w:fldCharType="separate"/>
            </w:r>
            <w:r w:rsidR="00F97BF8">
              <w:rPr>
                <w:noProof/>
                <w:webHidden/>
              </w:rPr>
              <w:t>27</w:t>
            </w:r>
            <w:r w:rsidR="00F97BF8">
              <w:rPr>
                <w:noProof/>
                <w:webHidden/>
              </w:rPr>
              <w:fldChar w:fldCharType="end"/>
            </w:r>
          </w:hyperlink>
        </w:p>
        <w:p w14:paraId="66801859" w14:textId="4CD6E85B" w:rsidR="00F97BF8" w:rsidRDefault="00AB594C">
          <w:pPr>
            <w:pStyle w:val="Obsah2"/>
            <w:rPr>
              <w:rFonts w:asciiTheme="minorHAnsi" w:eastAsiaTheme="minorEastAsia" w:hAnsiTheme="minorHAnsi" w:cstheme="minorBidi"/>
              <w:noProof/>
              <w:sz w:val="22"/>
              <w:lang w:eastAsia="cs-CZ"/>
            </w:rPr>
          </w:pPr>
          <w:hyperlink w:anchor="_Toc146204896" w:history="1">
            <w:r w:rsidR="00F97BF8" w:rsidRPr="001C6308">
              <w:rPr>
                <w:rStyle w:val="Hypertextovodkaz"/>
                <w:noProof/>
              </w:rPr>
              <w:t>6</w:t>
            </w:r>
            <w:r w:rsidR="00F97BF8">
              <w:rPr>
                <w:rFonts w:asciiTheme="minorHAnsi" w:eastAsiaTheme="minorEastAsia" w:hAnsiTheme="minorHAnsi" w:cstheme="minorBidi"/>
                <w:noProof/>
                <w:sz w:val="22"/>
                <w:lang w:eastAsia="cs-CZ"/>
              </w:rPr>
              <w:tab/>
            </w:r>
            <w:r w:rsidR="00F97BF8" w:rsidRPr="001C6308">
              <w:rPr>
                <w:rStyle w:val="Hypertextovodkaz"/>
                <w:noProof/>
              </w:rPr>
              <w:t>Přezkum účinnosti regulace</w:t>
            </w:r>
            <w:r w:rsidR="00F97BF8">
              <w:rPr>
                <w:noProof/>
                <w:webHidden/>
              </w:rPr>
              <w:tab/>
            </w:r>
            <w:r w:rsidR="00F97BF8">
              <w:rPr>
                <w:noProof/>
                <w:webHidden/>
              </w:rPr>
              <w:fldChar w:fldCharType="begin"/>
            </w:r>
            <w:r w:rsidR="00F97BF8">
              <w:rPr>
                <w:noProof/>
                <w:webHidden/>
              </w:rPr>
              <w:instrText xml:space="preserve"> PAGEREF _Toc146204896 \h </w:instrText>
            </w:r>
            <w:r w:rsidR="00F97BF8">
              <w:rPr>
                <w:noProof/>
                <w:webHidden/>
              </w:rPr>
            </w:r>
            <w:r w:rsidR="00F97BF8">
              <w:rPr>
                <w:noProof/>
                <w:webHidden/>
              </w:rPr>
              <w:fldChar w:fldCharType="separate"/>
            </w:r>
            <w:r w:rsidR="00F97BF8">
              <w:rPr>
                <w:noProof/>
                <w:webHidden/>
              </w:rPr>
              <w:t>27</w:t>
            </w:r>
            <w:r w:rsidR="00F97BF8">
              <w:rPr>
                <w:noProof/>
                <w:webHidden/>
              </w:rPr>
              <w:fldChar w:fldCharType="end"/>
            </w:r>
          </w:hyperlink>
        </w:p>
        <w:p w14:paraId="5B330910" w14:textId="0E9391B7" w:rsidR="00F97BF8" w:rsidRDefault="00AB594C">
          <w:pPr>
            <w:pStyle w:val="Obsah2"/>
            <w:rPr>
              <w:rFonts w:asciiTheme="minorHAnsi" w:eastAsiaTheme="minorEastAsia" w:hAnsiTheme="minorHAnsi" w:cstheme="minorBidi"/>
              <w:noProof/>
              <w:sz w:val="22"/>
              <w:lang w:eastAsia="cs-CZ"/>
            </w:rPr>
          </w:pPr>
          <w:hyperlink w:anchor="_Toc146204897" w:history="1">
            <w:r w:rsidR="00F97BF8" w:rsidRPr="001C6308">
              <w:rPr>
                <w:rStyle w:val="Hypertextovodkaz"/>
                <w:noProof/>
              </w:rPr>
              <w:t>7</w:t>
            </w:r>
            <w:r w:rsidR="00F97BF8">
              <w:rPr>
                <w:rFonts w:asciiTheme="minorHAnsi" w:eastAsiaTheme="minorEastAsia" w:hAnsiTheme="minorHAnsi" w:cstheme="minorBidi"/>
                <w:noProof/>
                <w:sz w:val="22"/>
                <w:lang w:eastAsia="cs-CZ"/>
              </w:rPr>
              <w:tab/>
            </w:r>
            <w:r w:rsidR="00F97BF8" w:rsidRPr="001C6308">
              <w:rPr>
                <w:rStyle w:val="Hypertextovodkaz"/>
                <w:noProof/>
              </w:rPr>
              <w:t>Konzultace a zdroje dat</w:t>
            </w:r>
            <w:r w:rsidR="00F97BF8">
              <w:rPr>
                <w:noProof/>
                <w:webHidden/>
              </w:rPr>
              <w:tab/>
            </w:r>
            <w:r w:rsidR="00F97BF8">
              <w:rPr>
                <w:noProof/>
                <w:webHidden/>
              </w:rPr>
              <w:fldChar w:fldCharType="begin"/>
            </w:r>
            <w:r w:rsidR="00F97BF8">
              <w:rPr>
                <w:noProof/>
                <w:webHidden/>
              </w:rPr>
              <w:instrText xml:space="preserve"> PAGEREF _Toc146204897 \h </w:instrText>
            </w:r>
            <w:r w:rsidR="00F97BF8">
              <w:rPr>
                <w:noProof/>
                <w:webHidden/>
              </w:rPr>
            </w:r>
            <w:r w:rsidR="00F97BF8">
              <w:rPr>
                <w:noProof/>
                <w:webHidden/>
              </w:rPr>
              <w:fldChar w:fldCharType="separate"/>
            </w:r>
            <w:r w:rsidR="00F97BF8">
              <w:rPr>
                <w:noProof/>
                <w:webHidden/>
              </w:rPr>
              <w:t>27</w:t>
            </w:r>
            <w:r w:rsidR="00F97BF8">
              <w:rPr>
                <w:noProof/>
                <w:webHidden/>
              </w:rPr>
              <w:fldChar w:fldCharType="end"/>
            </w:r>
          </w:hyperlink>
        </w:p>
        <w:p w14:paraId="4FEF98E2" w14:textId="2E1712B0" w:rsidR="00F97BF8" w:rsidRDefault="00AB594C">
          <w:pPr>
            <w:pStyle w:val="Obsah1"/>
            <w:rPr>
              <w:rFonts w:asciiTheme="minorHAnsi" w:eastAsiaTheme="minorEastAsia" w:hAnsiTheme="minorHAnsi" w:cstheme="minorBidi"/>
              <w:noProof/>
              <w:sz w:val="22"/>
              <w:lang w:eastAsia="cs-CZ"/>
            </w:rPr>
          </w:pPr>
          <w:hyperlink w:anchor="_Toc146204898" w:history="1">
            <w:r w:rsidR="00F97BF8" w:rsidRPr="001C6308">
              <w:rPr>
                <w:rStyle w:val="Hypertextovodkaz"/>
                <w:noProof/>
              </w:rPr>
              <w:t>E</w:t>
            </w:r>
            <w:r w:rsidR="00F97BF8">
              <w:rPr>
                <w:rFonts w:asciiTheme="minorHAnsi" w:eastAsiaTheme="minorEastAsia" w:hAnsiTheme="minorHAnsi" w:cstheme="minorBidi"/>
                <w:noProof/>
                <w:sz w:val="22"/>
                <w:lang w:eastAsia="cs-CZ"/>
              </w:rPr>
              <w:tab/>
            </w:r>
            <w:r w:rsidR="00F97BF8" w:rsidRPr="001C6308">
              <w:rPr>
                <w:rStyle w:val="Hypertextovodkaz"/>
                <w:noProof/>
              </w:rPr>
              <w:t>Zajištění provádění mezinárodních sankcí proti terorismu, financování terorismu, šíření zbraní hromadného ničení a financování šíření zbraní hromadného ničení</w:t>
            </w:r>
            <w:r w:rsidR="00F97BF8">
              <w:rPr>
                <w:noProof/>
                <w:webHidden/>
              </w:rPr>
              <w:tab/>
            </w:r>
            <w:r w:rsidR="00F97BF8">
              <w:rPr>
                <w:noProof/>
                <w:webHidden/>
              </w:rPr>
              <w:fldChar w:fldCharType="begin"/>
            </w:r>
            <w:r w:rsidR="00F97BF8">
              <w:rPr>
                <w:noProof/>
                <w:webHidden/>
              </w:rPr>
              <w:instrText xml:space="preserve"> PAGEREF _Toc146204898 \h </w:instrText>
            </w:r>
            <w:r w:rsidR="00F97BF8">
              <w:rPr>
                <w:noProof/>
                <w:webHidden/>
              </w:rPr>
            </w:r>
            <w:r w:rsidR="00F97BF8">
              <w:rPr>
                <w:noProof/>
                <w:webHidden/>
              </w:rPr>
              <w:fldChar w:fldCharType="separate"/>
            </w:r>
            <w:r w:rsidR="00F97BF8">
              <w:rPr>
                <w:noProof/>
                <w:webHidden/>
              </w:rPr>
              <w:t>28</w:t>
            </w:r>
            <w:r w:rsidR="00F97BF8">
              <w:rPr>
                <w:noProof/>
                <w:webHidden/>
              </w:rPr>
              <w:fldChar w:fldCharType="end"/>
            </w:r>
          </w:hyperlink>
        </w:p>
        <w:p w14:paraId="35C8E96C" w14:textId="671A77ED" w:rsidR="00F97BF8" w:rsidRDefault="00AB594C">
          <w:pPr>
            <w:pStyle w:val="Obsah2"/>
            <w:rPr>
              <w:rFonts w:asciiTheme="minorHAnsi" w:eastAsiaTheme="minorEastAsia" w:hAnsiTheme="minorHAnsi" w:cstheme="minorBidi"/>
              <w:noProof/>
              <w:sz w:val="22"/>
              <w:lang w:eastAsia="cs-CZ"/>
            </w:rPr>
          </w:pPr>
          <w:hyperlink w:anchor="_Toc146204899" w:history="1">
            <w:r w:rsidR="00F97BF8" w:rsidRPr="001C6308">
              <w:rPr>
                <w:rStyle w:val="Hypertextovodkaz"/>
                <w:noProof/>
              </w:rPr>
              <w:t>1</w:t>
            </w:r>
            <w:r w:rsidR="00F97BF8">
              <w:rPr>
                <w:rFonts w:asciiTheme="minorHAnsi" w:eastAsiaTheme="minorEastAsia" w:hAnsiTheme="minorHAnsi" w:cstheme="minorBidi"/>
                <w:noProof/>
                <w:sz w:val="22"/>
                <w:lang w:eastAsia="cs-CZ"/>
              </w:rPr>
              <w:tab/>
            </w:r>
            <w:r w:rsidR="00F97BF8" w:rsidRPr="001C6308">
              <w:rPr>
                <w:rStyle w:val="Hypertextovodkaz"/>
                <w:noProof/>
              </w:rPr>
              <w:t>Důvod předložení a cíle</w:t>
            </w:r>
            <w:r w:rsidR="00F97BF8">
              <w:rPr>
                <w:noProof/>
                <w:webHidden/>
              </w:rPr>
              <w:tab/>
            </w:r>
            <w:r w:rsidR="00F97BF8">
              <w:rPr>
                <w:noProof/>
                <w:webHidden/>
              </w:rPr>
              <w:fldChar w:fldCharType="begin"/>
            </w:r>
            <w:r w:rsidR="00F97BF8">
              <w:rPr>
                <w:noProof/>
                <w:webHidden/>
              </w:rPr>
              <w:instrText xml:space="preserve"> PAGEREF _Toc146204899 \h </w:instrText>
            </w:r>
            <w:r w:rsidR="00F97BF8">
              <w:rPr>
                <w:noProof/>
                <w:webHidden/>
              </w:rPr>
            </w:r>
            <w:r w:rsidR="00F97BF8">
              <w:rPr>
                <w:noProof/>
                <w:webHidden/>
              </w:rPr>
              <w:fldChar w:fldCharType="separate"/>
            </w:r>
            <w:r w:rsidR="00F97BF8">
              <w:rPr>
                <w:noProof/>
                <w:webHidden/>
              </w:rPr>
              <w:t>28</w:t>
            </w:r>
            <w:r w:rsidR="00F97BF8">
              <w:rPr>
                <w:noProof/>
                <w:webHidden/>
              </w:rPr>
              <w:fldChar w:fldCharType="end"/>
            </w:r>
          </w:hyperlink>
        </w:p>
        <w:p w14:paraId="77AFAD79" w14:textId="4FBAD114" w:rsidR="00F97BF8" w:rsidRDefault="00AB594C">
          <w:pPr>
            <w:pStyle w:val="Obsah2"/>
            <w:rPr>
              <w:rFonts w:asciiTheme="minorHAnsi" w:eastAsiaTheme="minorEastAsia" w:hAnsiTheme="minorHAnsi" w:cstheme="minorBidi"/>
              <w:noProof/>
              <w:sz w:val="22"/>
              <w:lang w:eastAsia="cs-CZ"/>
            </w:rPr>
          </w:pPr>
          <w:hyperlink w:anchor="_Toc146204900" w:history="1">
            <w:r w:rsidR="00F97BF8" w:rsidRPr="001C6308">
              <w:rPr>
                <w:rStyle w:val="Hypertextovodkaz"/>
                <w:noProof/>
              </w:rPr>
              <w:t>2</w:t>
            </w:r>
            <w:r w:rsidR="00F97BF8">
              <w:rPr>
                <w:rFonts w:asciiTheme="minorHAnsi" w:eastAsiaTheme="minorEastAsia" w:hAnsiTheme="minorHAnsi" w:cstheme="minorBidi"/>
                <w:noProof/>
                <w:sz w:val="22"/>
                <w:lang w:eastAsia="cs-CZ"/>
              </w:rPr>
              <w:tab/>
            </w:r>
            <w:r w:rsidR="00F97BF8" w:rsidRPr="001C6308">
              <w:rPr>
                <w:rStyle w:val="Hypertextovodkaz"/>
                <w:noProof/>
              </w:rPr>
              <w:t>Návrh variant řešení</w:t>
            </w:r>
            <w:r w:rsidR="00F97BF8">
              <w:rPr>
                <w:noProof/>
                <w:webHidden/>
              </w:rPr>
              <w:tab/>
            </w:r>
            <w:r w:rsidR="00F97BF8">
              <w:rPr>
                <w:noProof/>
                <w:webHidden/>
              </w:rPr>
              <w:fldChar w:fldCharType="begin"/>
            </w:r>
            <w:r w:rsidR="00F97BF8">
              <w:rPr>
                <w:noProof/>
                <w:webHidden/>
              </w:rPr>
              <w:instrText xml:space="preserve"> PAGEREF _Toc146204900 \h </w:instrText>
            </w:r>
            <w:r w:rsidR="00F97BF8">
              <w:rPr>
                <w:noProof/>
                <w:webHidden/>
              </w:rPr>
            </w:r>
            <w:r w:rsidR="00F97BF8">
              <w:rPr>
                <w:noProof/>
                <w:webHidden/>
              </w:rPr>
              <w:fldChar w:fldCharType="separate"/>
            </w:r>
            <w:r w:rsidR="00F97BF8">
              <w:rPr>
                <w:noProof/>
                <w:webHidden/>
              </w:rPr>
              <w:t>30</w:t>
            </w:r>
            <w:r w:rsidR="00F97BF8">
              <w:rPr>
                <w:noProof/>
                <w:webHidden/>
              </w:rPr>
              <w:fldChar w:fldCharType="end"/>
            </w:r>
          </w:hyperlink>
        </w:p>
        <w:p w14:paraId="299EE19C" w14:textId="1EA57E0E" w:rsidR="00F97BF8" w:rsidRDefault="00AB594C">
          <w:pPr>
            <w:pStyle w:val="Obsah2"/>
            <w:rPr>
              <w:rFonts w:asciiTheme="minorHAnsi" w:eastAsiaTheme="minorEastAsia" w:hAnsiTheme="minorHAnsi" w:cstheme="minorBidi"/>
              <w:noProof/>
              <w:sz w:val="22"/>
              <w:lang w:eastAsia="cs-CZ"/>
            </w:rPr>
          </w:pPr>
          <w:hyperlink w:anchor="_Toc146204901" w:history="1">
            <w:r w:rsidR="00F97BF8" w:rsidRPr="001C6308">
              <w:rPr>
                <w:rStyle w:val="Hypertextovodkaz"/>
                <w:noProof/>
              </w:rPr>
              <w:t>3</w:t>
            </w:r>
            <w:r w:rsidR="00F97BF8">
              <w:rPr>
                <w:rFonts w:asciiTheme="minorHAnsi" w:eastAsiaTheme="minorEastAsia" w:hAnsiTheme="minorHAnsi" w:cstheme="minorBidi"/>
                <w:noProof/>
                <w:sz w:val="22"/>
                <w:lang w:eastAsia="cs-CZ"/>
              </w:rPr>
              <w:tab/>
            </w:r>
            <w:r w:rsidR="00F97BF8" w:rsidRPr="001C6308">
              <w:rPr>
                <w:rStyle w:val="Hypertextovodkaz"/>
                <w:noProof/>
              </w:rPr>
              <w:t>Identifikace a vyhodnocení nákladů a přínosů</w:t>
            </w:r>
            <w:r w:rsidR="00F97BF8">
              <w:rPr>
                <w:noProof/>
                <w:webHidden/>
              </w:rPr>
              <w:tab/>
            </w:r>
            <w:r w:rsidR="00F97BF8">
              <w:rPr>
                <w:noProof/>
                <w:webHidden/>
              </w:rPr>
              <w:fldChar w:fldCharType="begin"/>
            </w:r>
            <w:r w:rsidR="00F97BF8">
              <w:rPr>
                <w:noProof/>
                <w:webHidden/>
              </w:rPr>
              <w:instrText xml:space="preserve"> PAGEREF _Toc146204901 \h </w:instrText>
            </w:r>
            <w:r w:rsidR="00F97BF8">
              <w:rPr>
                <w:noProof/>
                <w:webHidden/>
              </w:rPr>
            </w:r>
            <w:r w:rsidR="00F97BF8">
              <w:rPr>
                <w:noProof/>
                <w:webHidden/>
              </w:rPr>
              <w:fldChar w:fldCharType="separate"/>
            </w:r>
            <w:r w:rsidR="00F97BF8">
              <w:rPr>
                <w:noProof/>
                <w:webHidden/>
              </w:rPr>
              <w:t>31</w:t>
            </w:r>
            <w:r w:rsidR="00F97BF8">
              <w:rPr>
                <w:noProof/>
                <w:webHidden/>
              </w:rPr>
              <w:fldChar w:fldCharType="end"/>
            </w:r>
          </w:hyperlink>
        </w:p>
        <w:p w14:paraId="4F41F1D1" w14:textId="32991B1B" w:rsidR="00F97BF8" w:rsidRDefault="00AB594C">
          <w:pPr>
            <w:pStyle w:val="Obsah2"/>
            <w:rPr>
              <w:rFonts w:asciiTheme="minorHAnsi" w:eastAsiaTheme="minorEastAsia" w:hAnsiTheme="minorHAnsi" w:cstheme="minorBidi"/>
              <w:noProof/>
              <w:sz w:val="22"/>
              <w:lang w:eastAsia="cs-CZ"/>
            </w:rPr>
          </w:pPr>
          <w:hyperlink w:anchor="_Toc146204902" w:history="1">
            <w:r w:rsidR="00F97BF8" w:rsidRPr="001C6308">
              <w:rPr>
                <w:rStyle w:val="Hypertextovodkaz"/>
                <w:noProof/>
              </w:rPr>
              <w:t>4</w:t>
            </w:r>
            <w:r w:rsidR="00F97BF8">
              <w:rPr>
                <w:rFonts w:asciiTheme="minorHAnsi" w:eastAsiaTheme="minorEastAsia" w:hAnsiTheme="minorHAnsi" w:cstheme="minorBidi"/>
                <w:noProof/>
                <w:sz w:val="22"/>
                <w:lang w:eastAsia="cs-CZ"/>
              </w:rPr>
              <w:tab/>
            </w:r>
            <w:r w:rsidR="00F97BF8" w:rsidRPr="001C6308">
              <w:rPr>
                <w:rStyle w:val="Hypertextovodkaz"/>
                <w:noProof/>
              </w:rPr>
              <w:t>Stanovení pořadí variant a výběr nejvhodnějšího řešení</w:t>
            </w:r>
            <w:r w:rsidR="00F97BF8">
              <w:rPr>
                <w:noProof/>
                <w:webHidden/>
              </w:rPr>
              <w:tab/>
            </w:r>
            <w:r w:rsidR="00F97BF8">
              <w:rPr>
                <w:noProof/>
                <w:webHidden/>
              </w:rPr>
              <w:fldChar w:fldCharType="begin"/>
            </w:r>
            <w:r w:rsidR="00F97BF8">
              <w:rPr>
                <w:noProof/>
                <w:webHidden/>
              </w:rPr>
              <w:instrText xml:space="preserve"> PAGEREF _Toc146204902 \h </w:instrText>
            </w:r>
            <w:r w:rsidR="00F97BF8">
              <w:rPr>
                <w:noProof/>
                <w:webHidden/>
              </w:rPr>
            </w:r>
            <w:r w:rsidR="00F97BF8">
              <w:rPr>
                <w:noProof/>
                <w:webHidden/>
              </w:rPr>
              <w:fldChar w:fldCharType="separate"/>
            </w:r>
            <w:r w:rsidR="00F97BF8">
              <w:rPr>
                <w:noProof/>
                <w:webHidden/>
              </w:rPr>
              <w:t>33</w:t>
            </w:r>
            <w:r w:rsidR="00F97BF8">
              <w:rPr>
                <w:noProof/>
                <w:webHidden/>
              </w:rPr>
              <w:fldChar w:fldCharType="end"/>
            </w:r>
          </w:hyperlink>
        </w:p>
        <w:p w14:paraId="2FE6B817" w14:textId="1FC3635E" w:rsidR="00F97BF8" w:rsidRDefault="00AB594C">
          <w:pPr>
            <w:pStyle w:val="Obsah2"/>
            <w:rPr>
              <w:rFonts w:asciiTheme="minorHAnsi" w:eastAsiaTheme="minorEastAsia" w:hAnsiTheme="minorHAnsi" w:cstheme="minorBidi"/>
              <w:noProof/>
              <w:sz w:val="22"/>
              <w:lang w:eastAsia="cs-CZ"/>
            </w:rPr>
          </w:pPr>
          <w:hyperlink w:anchor="_Toc146204903" w:history="1">
            <w:r w:rsidR="00F97BF8" w:rsidRPr="001C6308">
              <w:rPr>
                <w:rStyle w:val="Hypertextovodkaz"/>
                <w:noProof/>
              </w:rPr>
              <w:t>5</w:t>
            </w:r>
            <w:r w:rsidR="00F97BF8">
              <w:rPr>
                <w:rFonts w:asciiTheme="minorHAnsi" w:eastAsiaTheme="minorEastAsia" w:hAnsiTheme="minorHAnsi" w:cstheme="minorBidi"/>
                <w:noProof/>
                <w:sz w:val="22"/>
                <w:lang w:eastAsia="cs-CZ"/>
              </w:rPr>
              <w:tab/>
            </w:r>
            <w:r w:rsidR="00F97BF8" w:rsidRPr="001C6308">
              <w:rPr>
                <w:rStyle w:val="Hypertextovodkaz"/>
                <w:noProof/>
              </w:rPr>
              <w:t>Implementace doporučené varianty a vynucování</w:t>
            </w:r>
            <w:r w:rsidR="00F97BF8">
              <w:rPr>
                <w:noProof/>
                <w:webHidden/>
              </w:rPr>
              <w:tab/>
            </w:r>
            <w:r w:rsidR="00F97BF8">
              <w:rPr>
                <w:noProof/>
                <w:webHidden/>
              </w:rPr>
              <w:fldChar w:fldCharType="begin"/>
            </w:r>
            <w:r w:rsidR="00F97BF8">
              <w:rPr>
                <w:noProof/>
                <w:webHidden/>
              </w:rPr>
              <w:instrText xml:space="preserve"> PAGEREF _Toc146204903 \h </w:instrText>
            </w:r>
            <w:r w:rsidR="00F97BF8">
              <w:rPr>
                <w:noProof/>
                <w:webHidden/>
              </w:rPr>
            </w:r>
            <w:r w:rsidR="00F97BF8">
              <w:rPr>
                <w:noProof/>
                <w:webHidden/>
              </w:rPr>
              <w:fldChar w:fldCharType="separate"/>
            </w:r>
            <w:r w:rsidR="00F97BF8">
              <w:rPr>
                <w:noProof/>
                <w:webHidden/>
              </w:rPr>
              <w:t>33</w:t>
            </w:r>
            <w:r w:rsidR="00F97BF8">
              <w:rPr>
                <w:noProof/>
                <w:webHidden/>
              </w:rPr>
              <w:fldChar w:fldCharType="end"/>
            </w:r>
          </w:hyperlink>
        </w:p>
        <w:p w14:paraId="41312A0A" w14:textId="3F2CEE52" w:rsidR="00F97BF8" w:rsidRDefault="00AB594C">
          <w:pPr>
            <w:pStyle w:val="Obsah2"/>
            <w:rPr>
              <w:rFonts w:asciiTheme="minorHAnsi" w:eastAsiaTheme="minorEastAsia" w:hAnsiTheme="minorHAnsi" w:cstheme="minorBidi"/>
              <w:noProof/>
              <w:sz w:val="22"/>
              <w:lang w:eastAsia="cs-CZ"/>
            </w:rPr>
          </w:pPr>
          <w:hyperlink w:anchor="_Toc146204904" w:history="1">
            <w:r w:rsidR="00F97BF8" w:rsidRPr="001C6308">
              <w:rPr>
                <w:rStyle w:val="Hypertextovodkaz"/>
                <w:noProof/>
              </w:rPr>
              <w:t>6</w:t>
            </w:r>
            <w:r w:rsidR="00F97BF8">
              <w:rPr>
                <w:rFonts w:asciiTheme="minorHAnsi" w:eastAsiaTheme="minorEastAsia" w:hAnsiTheme="minorHAnsi" w:cstheme="minorBidi"/>
                <w:noProof/>
                <w:sz w:val="22"/>
                <w:lang w:eastAsia="cs-CZ"/>
              </w:rPr>
              <w:tab/>
            </w:r>
            <w:r w:rsidR="00F97BF8" w:rsidRPr="001C6308">
              <w:rPr>
                <w:rStyle w:val="Hypertextovodkaz"/>
                <w:noProof/>
              </w:rPr>
              <w:t>Přezkum účinnosti regulace</w:t>
            </w:r>
            <w:r w:rsidR="00F97BF8">
              <w:rPr>
                <w:noProof/>
                <w:webHidden/>
              </w:rPr>
              <w:tab/>
            </w:r>
            <w:r w:rsidR="00F97BF8">
              <w:rPr>
                <w:noProof/>
                <w:webHidden/>
              </w:rPr>
              <w:fldChar w:fldCharType="begin"/>
            </w:r>
            <w:r w:rsidR="00F97BF8">
              <w:rPr>
                <w:noProof/>
                <w:webHidden/>
              </w:rPr>
              <w:instrText xml:space="preserve"> PAGEREF _Toc146204904 \h </w:instrText>
            </w:r>
            <w:r w:rsidR="00F97BF8">
              <w:rPr>
                <w:noProof/>
                <w:webHidden/>
              </w:rPr>
            </w:r>
            <w:r w:rsidR="00F97BF8">
              <w:rPr>
                <w:noProof/>
                <w:webHidden/>
              </w:rPr>
              <w:fldChar w:fldCharType="separate"/>
            </w:r>
            <w:r w:rsidR="00F97BF8">
              <w:rPr>
                <w:noProof/>
                <w:webHidden/>
              </w:rPr>
              <w:t>33</w:t>
            </w:r>
            <w:r w:rsidR="00F97BF8">
              <w:rPr>
                <w:noProof/>
                <w:webHidden/>
              </w:rPr>
              <w:fldChar w:fldCharType="end"/>
            </w:r>
          </w:hyperlink>
        </w:p>
        <w:p w14:paraId="162699C0" w14:textId="0F93D7CA" w:rsidR="00F97BF8" w:rsidRDefault="00AB594C">
          <w:pPr>
            <w:pStyle w:val="Obsah2"/>
            <w:rPr>
              <w:rFonts w:asciiTheme="minorHAnsi" w:eastAsiaTheme="minorEastAsia" w:hAnsiTheme="minorHAnsi" w:cstheme="minorBidi"/>
              <w:noProof/>
              <w:sz w:val="22"/>
              <w:lang w:eastAsia="cs-CZ"/>
            </w:rPr>
          </w:pPr>
          <w:hyperlink w:anchor="_Toc146204905" w:history="1">
            <w:r w:rsidR="00F97BF8" w:rsidRPr="001C6308">
              <w:rPr>
                <w:rStyle w:val="Hypertextovodkaz"/>
                <w:noProof/>
              </w:rPr>
              <w:t>7</w:t>
            </w:r>
            <w:r w:rsidR="00F97BF8">
              <w:rPr>
                <w:rFonts w:asciiTheme="minorHAnsi" w:eastAsiaTheme="minorEastAsia" w:hAnsiTheme="minorHAnsi" w:cstheme="minorBidi"/>
                <w:noProof/>
                <w:sz w:val="22"/>
                <w:lang w:eastAsia="cs-CZ"/>
              </w:rPr>
              <w:tab/>
            </w:r>
            <w:r w:rsidR="00F97BF8" w:rsidRPr="001C6308">
              <w:rPr>
                <w:rStyle w:val="Hypertextovodkaz"/>
                <w:noProof/>
              </w:rPr>
              <w:t>Konzultace a zdroje dat</w:t>
            </w:r>
            <w:r w:rsidR="00F97BF8">
              <w:rPr>
                <w:noProof/>
                <w:webHidden/>
              </w:rPr>
              <w:tab/>
            </w:r>
            <w:r w:rsidR="00F97BF8">
              <w:rPr>
                <w:noProof/>
                <w:webHidden/>
              </w:rPr>
              <w:fldChar w:fldCharType="begin"/>
            </w:r>
            <w:r w:rsidR="00F97BF8">
              <w:rPr>
                <w:noProof/>
                <w:webHidden/>
              </w:rPr>
              <w:instrText xml:space="preserve"> PAGEREF _Toc146204905 \h </w:instrText>
            </w:r>
            <w:r w:rsidR="00F97BF8">
              <w:rPr>
                <w:noProof/>
                <w:webHidden/>
              </w:rPr>
            </w:r>
            <w:r w:rsidR="00F97BF8">
              <w:rPr>
                <w:noProof/>
                <w:webHidden/>
              </w:rPr>
              <w:fldChar w:fldCharType="separate"/>
            </w:r>
            <w:r w:rsidR="00F97BF8">
              <w:rPr>
                <w:noProof/>
                <w:webHidden/>
              </w:rPr>
              <w:t>33</w:t>
            </w:r>
            <w:r w:rsidR="00F97BF8">
              <w:rPr>
                <w:noProof/>
                <w:webHidden/>
              </w:rPr>
              <w:fldChar w:fldCharType="end"/>
            </w:r>
          </w:hyperlink>
        </w:p>
        <w:p w14:paraId="61E5259A" w14:textId="426B0212" w:rsidR="00F97BF8" w:rsidRDefault="00AB594C">
          <w:pPr>
            <w:pStyle w:val="Obsah1"/>
            <w:rPr>
              <w:rFonts w:asciiTheme="minorHAnsi" w:eastAsiaTheme="minorEastAsia" w:hAnsiTheme="minorHAnsi" w:cstheme="minorBidi"/>
              <w:noProof/>
              <w:sz w:val="22"/>
              <w:lang w:eastAsia="cs-CZ"/>
            </w:rPr>
          </w:pPr>
          <w:hyperlink w:anchor="_Toc146204906" w:history="1">
            <w:r w:rsidR="00F97BF8" w:rsidRPr="001C6308">
              <w:rPr>
                <w:rStyle w:val="Hypertextovodkaz"/>
                <w:noProof/>
              </w:rPr>
              <w:t>F</w:t>
            </w:r>
            <w:r w:rsidR="00F97BF8">
              <w:rPr>
                <w:rFonts w:asciiTheme="minorHAnsi" w:eastAsiaTheme="minorEastAsia" w:hAnsiTheme="minorHAnsi" w:cstheme="minorBidi"/>
                <w:noProof/>
                <w:sz w:val="22"/>
                <w:lang w:eastAsia="cs-CZ"/>
              </w:rPr>
              <w:tab/>
            </w:r>
            <w:r w:rsidR="00F97BF8" w:rsidRPr="001C6308">
              <w:rPr>
                <w:rStyle w:val="Hypertextovodkaz"/>
                <w:noProof/>
              </w:rPr>
              <w:t>Vymezení definice virtuálního aktiva</w:t>
            </w:r>
            <w:r w:rsidR="00F97BF8">
              <w:rPr>
                <w:noProof/>
                <w:webHidden/>
              </w:rPr>
              <w:tab/>
            </w:r>
            <w:r w:rsidR="00F97BF8">
              <w:rPr>
                <w:noProof/>
                <w:webHidden/>
              </w:rPr>
              <w:fldChar w:fldCharType="begin"/>
            </w:r>
            <w:r w:rsidR="00F97BF8">
              <w:rPr>
                <w:noProof/>
                <w:webHidden/>
              </w:rPr>
              <w:instrText xml:space="preserve"> PAGEREF _Toc146204906 \h </w:instrText>
            </w:r>
            <w:r w:rsidR="00F97BF8">
              <w:rPr>
                <w:noProof/>
                <w:webHidden/>
              </w:rPr>
            </w:r>
            <w:r w:rsidR="00F97BF8">
              <w:rPr>
                <w:noProof/>
                <w:webHidden/>
              </w:rPr>
              <w:fldChar w:fldCharType="separate"/>
            </w:r>
            <w:r w:rsidR="00F97BF8">
              <w:rPr>
                <w:noProof/>
                <w:webHidden/>
              </w:rPr>
              <w:t>34</w:t>
            </w:r>
            <w:r w:rsidR="00F97BF8">
              <w:rPr>
                <w:noProof/>
                <w:webHidden/>
              </w:rPr>
              <w:fldChar w:fldCharType="end"/>
            </w:r>
          </w:hyperlink>
        </w:p>
        <w:p w14:paraId="2EE07065" w14:textId="74EEF703" w:rsidR="00F97BF8" w:rsidRDefault="00AB594C">
          <w:pPr>
            <w:pStyle w:val="Obsah2"/>
            <w:rPr>
              <w:rFonts w:asciiTheme="minorHAnsi" w:eastAsiaTheme="minorEastAsia" w:hAnsiTheme="minorHAnsi" w:cstheme="minorBidi"/>
              <w:noProof/>
              <w:sz w:val="22"/>
              <w:lang w:eastAsia="cs-CZ"/>
            </w:rPr>
          </w:pPr>
          <w:hyperlink w:anchor="_Toc146204907" w:history="1">
            <w:r w:rsidR="00F97BF8" w:rsidRPr="001C6308">
              <w:rPr>
                <w:rStyle w:val="Hypertextovodkaz"/>
                <w:noProof/>
              </w:rPr>
              <w:t>1</w:t>
            </w:r>
            <w:r w:rsidR="00F97BF8">
              <w:rPr>
                <w:rFonts w:asciiTheme="minorHAnsi" w:eastAsiaTheme="minorEastAsia" w:hAnsiTheme="minorHAnsi" w:cstheme="minorBidi"/>
                <w:noProof/>
                <w:sz w:val="22"/>
                <w:lang w:eastAsia="cs-CZ"/>
              </w:rPr>
              <w:tab/>
            </w:r>
            <w:r w:rsidR="00F97BF8" w:rsidRPr="001C6308">
              <w:rPr>
                <w:rStyle w:val="Hypertextovodkaz"/>
                <w:noProof/>
              </w:rPr>
              <w:t>Důvod předložení a cíle</w:t>
            </w:r>
            <w:r w:rsidR="00F97BF8">
              <w:rPr>
                <w:noProof/>
                <w:webHidden/>
              </w:rPr>
              <w:tab/>
            </w:r>
            <w:r w:rsidR="00F97BF8">
              <w:rPr>
                <w:noProof/>
                <w:webHidden/>
              </w:rPr>
              <w:fldChar w:fldCharType="begin"/>
            </w:r>
            <w:r w:rsidR="00F97BF8">
              <w:rPr>
                <w:noProof/>
                <w:webHidden/>
              </w:rPr>
              <w:instrText xml:space="preserve"> PAGEREF _Toc146204907 \h </w:instrText>
            </w:r>
            <w:r w:rsidR="00F97BF8">
              <w:rPr>
                <w:noProof/>
                <w:webHidden/>
              </w:rPr>
            </w:r>
            <w:r w:rsidR="00F97BF8">
              <w:rPr>
                <w:noProof/>
                <w:webHidden/>
              </w:rPr>
              <w:fldChar w:fldCharType="separate"/>
            </w:r>
            <w:r w:rsidR="00F97BF8">
              <w:rPr>
                <w:noProof/>
                <w:webHidden/>
              </w:rPr>
              <w:t>34</w:t>
            </w:r>
            <w:r w:rsidR="00F97BF8">
              <w:rPr>
                <w:noProof/>
                <w:webHidden/>
              </w:rPr>
              <w:fldChar w:fldCharType="end"/>
            </w:r>
          </w:hyperlink>
        </w:p>
        <w:p w14:paraId="7344984C" w14:textId="176F6C60" w:rsidR="00F97BF8" w:rsidRDefault="00AB594C">
          <w:pPr>
            <w:pStyle w:val="Obsah2"/>
            <w:rPr>
              <w:rFonts w:asciiTheme="minorHAnsi" w:eastAsiaTheme="minorEastAsia" w:hAnsiTheme="minorHAnsi" w:cstheme="minorBidi"/>
              <w:noProof/>
              <w:sz w:val="22"/>
              <w:lang w:eastAsia="cs-CZ"/>
            </w:rPr>
          </w:pPr>
          <w:hyperlink w:anchor="_Toc146204908" w:history="1">
            <w:r w:rsidR="00F97BF8" w:rsidRPr="001C6308">
              <w:rPr>
                <w:rStyle w:val="Hypertextovodkaz"/>
                <w:noProof/>
              </w:rPr>
              <w:t>2</w:t>
            </w:r>
            <w:r w:rsidR="00F97BF8">
              <w:rPr>
                <w:rFonts w:asciiTheme="minorHAnsi" w:eastAsiaTheme="minorEastAsia" w:hAnsiTheme="minorHAnsi" w:cstheme="minorBidi"/>
                <w:noProof/>
                <w:sz w:val="22"/>
                <w:lang w:eastAsia="cs-CZ"/>
              </w:rPr>
              <w:tab/>
            </w:r>
            <w:r w:rsidR="00F97BF8" w:rsidRPr="001C6308">
              <w:rPr>
                <w:rStyle w:val="Hypertextovodkaz"/>
                <w:noProof/>
              </w:rPr>
              <w:t>Návrh variant řešení</w:t>
            </w:r>
            <w:r w:rsidR="00F97BF8">
              <w:rPr>
                <w:noProof/>
                <w:webHidden/>
              </w:rPr>
              <w:tab/>
            </w:r>
            <w:r w:rsidR="00F97BF8">
              <w:rPr>
                <w:noProof/>
                <w:webHidden/>
              </w:rPr>
              <w:fldChar w:fldCharType="begin"/>
            </w:r>
            <w:r w:rsidR="00F97BF8">
              <w:rPr>
                <w:noProof/>
                <w:webHidden/>
              </w:rPr>
              <w:instrText xml:space="preserve"> PAGEREF _Toc146204908 \h </w:instrText>
            </w:r>
            <w:r w:rsidR="00F97BF8">
              <w:rPr>
                <w:noProof/>
                <w:webHidden/>
              </w:rPr>
            </w:r>
            <w:r w:rsidR="00F97BF8">
              <w:rPr>
                <w:noProof/>
                <w:webHidden/>
              </w:rPr>
              <w:fldChar w:fldCharType="separate"/>
            </w:r>
            <w:r w:rsidR="00F97BF8">
              <w:rPr>
                <w:noProof/>
                <w:webHidden/>
              </w:rPr>
              <w:t>37</w:t>
            </w:r>
            <w:r w:rsidR="00F97BF8">
              <w:rPr>
                <w:noProof/>
                <w:webHidden/>
              </w:rPr>
              <w:fldChar w:fldCharType="end"/>
            </w:r>
          </w:hyperlink>
        </w:p>
        <w:p w14:paraId="299391FF" w14:textId="7825218A" w:rsidR="00F97BF8" w:rsidRDefault="00AB594C">
          <w:pPr>
            <w:pStyle w:val="Obsah2"/>
            <w:rPr>
              <w:rFonts w:asciiTheme="minorHAnsi" w:eastAsiaTheme="minorEastAsia" w:hAnsiTheme="minorHAnsi" w:cstheme="minorBidi"/>
              <w:noProof/>
              <w:sz w:val="22"/>
              <w:lang w:eastAsia="cs-CZ"/>
            </w:rPr>
          </w:pPr>
          <w:hyperlink w:anchor="_Toc146204909" w:history="1">
            <w:r w:rsidR="00F97BF8" w:rsidRPr="001C6308">
              <w:rPr>
                <w:rStyle w:val="Hypertextovodkaz"/>
                <w:noProof/>
              </w:rPr>
              <w:t>3</w:t>
            </w:r>
            <w:r w:rsidR="00F97BF8">
              <w:rPr>
                <w:rFonts w:asciiTheme="minorHAnsi" w:eastAsiaTheme="minorEastAsia" w:hAnsiTheme="minorHAnsi" w:cstheme="minorBidi"/>
                <w:noProof/>
                <w:sz w:val="22"/>
                <w:lang w:eastAsia="cs-CZ"/>
              </w:rPr>
              <w:tab/>
            </w:r>
            <w:r w:rsidR="00F97BF8" w:rsidRPr="001C6308">
              <w:rPr>
                <w:rStyle w:val="Hypertextovodkaz"/>
                <w:noProof/>
              </w:rPr>
              <w:t>Identifikace a vyhodnocení nákladů a přínosů</w:t>
            </w:r>
            <w:r w:rsidR="00F97BF8">
              <w:rPr>
                <w:noProof/>
                <w:webHidden/>
              </w:rPr>
              <w:tab/>
            </w:r>
            <w:r w:rsidR="00F97BF8">
              <w:rPr>
                <w:noProof/>
                <w:webHidden/>
              </w:rPr>
              <w:fldChar w:fldCharType="begin"/>
            </w:r>
            <w:r w:rsidR="00F97BF8">
              <w:rPr>
                <w:noProof/>
                <w:webHidden/>
              </w:rPr>
              <w:instrText xml:space="preserve"> PAGEREF _Toc146204909 \h </w:instrText>
            </w:r>
            <w:r w:rsidR="00F97BF8">
              <w:rPr>
                <w:noProof/>
                <w:webHidden/>
              </w:rPr>
            </w:r>
            <w:r w:rsidR="00F97BF8">
              <w:rPr>
                <w:noProof/>
                <w:webHidden/>
              </w:rPr>
              <w:fldChar w:fldCharType="separate"/>
            </w:r>
            <w:r w:rsidR="00F97BF8">
              <w:rPr>
                <w:noProof/>
                <w:webHidden/>
              </w:rPr>
              <w:t>37</w:t>
            </w:r>
            <w:r w:rsidR="00F97BF8">
              <w:rPr>
                <w:noProof/>
                <w:webHidden/>
              </w:rPr>
              <w:fldChar w:fldCharType="end"/>
            </w:r>
          </w:hyperlink>
        </w:p>
        <w:p w14:paraId="1D54BD2E" w14:textId="6D9FD3D4" w:rsidR="00F97BF8" w:rsidRDefault="00AB594C">
          <w:pPr>
            <w:pStyle w:val="Obsah2"/>
            <w:rPr>
              <w:rFonts w:asciiTheme="minorHAnsi" w:eastAsiaTheme="minorEastAsia" w:hAnsiTheme="minorHAnsi" w:cstheme="minorBidi"/>
              <w:noProof/>
              <w:sz w:val="22"/>
              <w:lang w:eastAsia="cs-CZ"/>
            </w:rPr>
          </w:pPr>
          <w:hyperlink w:anchor="_Toc146204910" w:history="1">
            <w:r w:rsidR="00F97BF8" w:rsidRPr="001C6308">
              <w:rPr>
                <w:rStyle w:val="Hypertextovodkaz"/>
                <w:noProof/>
              </w:rPr>
              <w:t>4</w:t>
            </w:r>
            <w:r w:rsidR="00F97BF8">
              <w:rPr>
                <w:rFonts w:asciiTheme="minorHAnsi" w:eastAsiaTheme="minorEastAsia" w:hAnsiTheme="minorHAnsi" w:cstheme="minorBidi"/>
                <w:noProof/>
                <w:sz w:val="22"/>
                <w:lang w:eastAsia="cs-CZ"/>
              </w:rPr>
              <w:tab/>
            </w:r>
            <w:r w:rsidR="00F97BF8" w:rsidRPr="001C6308">
              <w:rPr>
                <w:rStyle w:val="Hypertextovodkaz"/>
                <w:noProof/>
              </w:rPr>
              <w:t>Stanovení pořadí variant a výběr nejvhodnějšího řešení</w:t>
            </w:r>
            <w:r w:rsidR="00F97BF8">
              <w:rPr>
                <w:noProof/>
                <w:webHidden/>
              </w:rPr>
              <w:tab/>
            </w:r>
            <w:r w:rsidR="00F97BF8">
              <w:rPr>
                <w:noProof/>
                <w:webHidden/>
              </w:rPr>
              <w:fldChar w:fldCharType="begin"/>
            </w:r>
            <w:r w:rsidR="00F97BF8">
              <w:rPr>
                <w:noProof/>
                <w:webHidden/>
              </w:rPr>
              <w:instrText xml:space="preserve"> PAGEREF _Toc146204910 \h </w:instrText>
            </w:r>
            <w:r w:rsidR="00F97BF8">
              <w:rPr>
                <w:noProof/>
                <w:webHidden/>
              </w:rPr>
            </w:r>
            <w:r w:rsidR="00F97BF8">
              <w:rPr>
                <w:noProof/>
                <w:webHidden/>
              </w:rPr>
              <w:fldChar w:fldCharType="separate"/>
            </w:r>
            <w:r w:rsidR="00F97BF8">
              <w:rPr>
                <w:noProof/>
                <w:webHidden/>
              </w:rPr>
              <w:t>39</w:t>
            </w:r>
            <w:r w:rsidR="00F97BF8">
              <w:rPr>
                <w:noProof/>
                <w:webHidden/>
              </w:rPr>
              <w:fldChar w:fldCharType="end"/>
            </w:r>
          </w:hyperlink>
        </w:p>
        <w:p w14:paraId="56EA4382" w14:textId="7B71C6F8" w:rsidR="00F97BF8" w:rsidRDefault="00AB594C">
          <w:pPr>
            <w:pStyle w:val="Obsah2"/>
            <w:rPr>
              <w:rFonts w:asciiTheme="minorHAnsi" w:eastAsiaTheme="minorEastAsia" w:hAnsiTheme="minorHAnsi" w:cstheme="minorBidi"/>
              <w:noProof/>
              <w:sz w:val="22"/>
              <w:lang w:eastAsia="cs-CZ"/>
            </w:rPr>
          </w:pPr>
          <w:hyperlink w:anchor="_Toc146204911" w:history="1">
            <w:r w:rsidR="00F97BF8" w:rsidRPr="001C6308">
              <w:rPr>
                <w:rStyle w:val="Hypertextovodkaz"/>
                <w:noProof/>
              </w:rPr>
              <w:t>5</w:t>
            </w:r>
            <w:r w:rsidR="00F97BF8">
              <w:rPr>
                <w:rFonts w:asciiTheme="minorHAnsi" w:eastAsiaTheme="minorEastAsia" w:hAnsiTheme="minorHAnsi" w:cstheme="minorBidi"/>
                <w:noProof/>
                <w:sz w:val="22"/>
                <w:lang w:eastAsia="cs-CZ"/>
              </w:rPr>
              <w:tab/>
            </w:r>
            <w:r w:rsidR="00F97BF8" w:rsidRPr="001C6308">
              <w:rPr>
                <w:rStyle w:val="Hypertextovodkaz"/>
                <w:noProof/>
              </w:rPr>
              <w:t>Implementace doporučené varianty a vynucování</w:t>
            </w:r>
            <w:r w:rsidR="00F97BF8">
              <w:rPr>
                <w:noProof/>
                <w:webHidden/>
              </w:rPr>
              <w:tab/>
            </w:r>
            <w:r w:rsidR="00F97BF8">
              <w:rPr>
                <w:noProof/>
                <w:webHidden/>
              </w:rPr>
              <w:fldChar w:fldCharType="begin"/>
            </w:r>
            <w:r w:rsidR="00F97BF8">
              <w:rPr>
                <w:noProof/>
                <w:webHidden/>
              </w:rPr>
              <w:instrText xml:space="preserve"> PAGEREF _Toc146204911 \h </w:instrText>
            </w:r>
            <w:r w:rsidR="00F97BF8">
              <w:rPr>
                <w:noProof/>
                <w:webHidden/>
              </w:rPr>
            </w:r>
            <w:r w:rsidR="00F97BF8">
              <w:rPr>
                <w:noProof/>
                <w:webHidden/>
              </w:rPr>
              <w:fldChar w:fldCharType="separate"/>
            </w:r>
            <w:r w:rsidR="00F97BF8">
              <w:rPr>
                <w:noProof/>
                <w:webHidden/>
              </w:rPr>
              <w:t>39</w:t>
            </w:r>
            <w:r w:rsidR="00F97BF8">
              <w:rPr>
                <w:noProof/>
                <w:webHidden/>
              </w:rPr>
              <w:fldChar w:fldCharType="end"/>
            </w:r>
          </w:hyperlink>
        </w:p>
        <w:p w14:paraId="742CBC19" w14:textId="4720116B" w:rsidR="00F97BF8" w:rsidRDefault="00AB594C">
          <w:pPr>
            <w:pStyle w:val="Obsah2"/>
            <w:rPr>
              <w:rFonts w:asciiTheme="minorHAnsi" w:eastAsiaTheme="minorEastAsia" w:hAnsiTheme="minorHAnsi" w:cstheme="minorBidi"/>
              <w:noProof/>
              <w:sz w:val="22"/>
              <w:lang w:eastAsia="cs-CZ"/>
            </w:rPr>
          </w:pPr>
          <w:hyperlink w:anchor="_Toc146204912" w:history="1">
            <w:r w:rsidR="00F97BF8" w:rsidRPr="001C6308">
              <w:rPr>
                <w:rStyle w:val="Hypertextovodkaz"/>
                <w:noProof/>
              </w:rPr>
              <w:t>6</w:t>
            </w:r>
            <w:r w:rsidR="00F97BF8">
              <w:rPr>
                <w:rFonts w:asciiTheme="minorHAnsi" w:eastAsiaTheme="minorEastAsia" w:hAnsiTheme="minorHAnsi" w:cstheme="minorBidi"/>
                <w:noProof/>
                <w:sz w:val="22"/>
                <w:lang w:eastAsia="cs-CZ"/>
              </w:rPr>
              <w:tab/>
            </w:r>
            <w:r w:rsidR="00F97BF8" w:rsidRPr="001C6308">
              <w:rPr>
                <w:rStyle w:val="Hypertextovodkaz"/>
                <w:noProof/>
              </w:rPr>
              <w:t>Přezkum účinnosti regulace</w:t>
            </w:r>
            <w:r w:rsidR="00F97BF8">
              <w:rPr>
                <w:noProof/>
                <w:webHidden/>
              </w:rPr>
              <w:tab/>
            </w:r>
            <w:r w:rsidR="00F97BF8">
              <w:rPr>
                <w:noProof/>
                <w:webHidden/>
              </w:rPr>
              <w:fldChar w:fldCharType="begin"/>
            </w:r>
            <w:r w:rsidR="00F97BF8">
              <w:rPr>
                <w:noProof/>
                <w:webHidden/>
              </w:rPr>
              <w:instrText xml:space="preserve"> PAGEREF _Toc146204912 \h </w:instrText>
            </w:r>
            <w:r w:rsidR="00F97BF8">
              <w:rPr>
                <w:noProof/>
                <w:webHidden/>
              </w:rPr>
            </w:r>
            <w:r w:rsidR="00F97BF8">
              <w:rPr>
                <w:noProof/>
                <w:webHidden/>
              </w:rPr>
              <w:fldChar w:fldCharType="separate"/>
            </w:r>
            <w:r w:rsidR="00F97BF8">
              <w:rPr>
                <w:noProof/>
                <w:webHidden/>
              </w:rPr>
              <w:t>39</w:t>
            </w:r>
            <w:r w:rsidR="00F97BF8">
              <w:rPr>
                <w:noProof/>
                <w:webHidden/>
              </w:rPr>
              <w:fldChar w:fldCharType="end"/>
            </w:r>
          </w:hyperlink>
        </w:p>
        <w:p w14:paraId="7338FE2B" w14:textId="5188614A" w:rsidR="00F97BF8" w:rsidRDefault="00AB594C">
          <w:pPr>
            <w:pStyle w:val="Obsah2"/>
            <w:rPr>
              <w:rFonts w:asciiTheme="minorHAnsi" w:eastAsiaTheme="minorEastAsia" w:hAnsiTheme="minorHAnsi" w:cstheme="minorBidi"/>
              <w:noProof/>
              <w:sz w:val="22"/>
              <w:lang w:eastAsia="cs-CZ"/>
            </w:rPr>
          </w:pPr>
          <w:hyperlink w:anchor="_Toc146204913" w:history="1">
            <w:r w:rsidR="00F97BF8" w:rsidRPr="001C6308">
              <w:rPr>
                <w:rStyle w:val="Hypertextovodkaz"/>
                <w:noProof/>
              </w:rPr>
              <w:t>7</w:t>
            </w:r>
            <w:r w:rsidR="00F97BF8">
              <w:rPr>
                <w:rFonts w:asciiTheme="minorHAnsi" w:eastAsiaTheme="minorEastAsia" w:hAnsiTheme="minorHAnsi" w:cstheme="minorBidi"/>
                <w:noProof/>
                <w:sz w:val="22"/>
                <w:lang w:eastAsia="cs-CZ"/>
              </w:rPr>
              <w:tab/>
            </w:r>
            <w:r w:rsidR="00F97BF8" w:rsidRPr="001C6308">
              <w:rPr>
                <w:rStyle w:val="Hypertextovodkaz"/>
                <w:noProof/>
              </w:rPr>
              <w:t>Konzultace a zdroje dat</w:t>
            </w:r>
            <w:r w:rsidR="00F97BF8">
              <w:rPr>
                <w:noProof/>
                <w:webHidden/>
              </w:rPr>
              <w:tab/>
            </w:r>
            <w:r w:rsidR="00F97BF8">
              <w:rPr>
                <w:noProof/>
                <w:webHidden/>
              </w:rPr>
              <w:fldChar w:fldCharType="begin"/>
            </w:r>
            <w:r w:rsidR="00F97BF8">
              <w:rPr>
                <w:noProof/>
                <w:webHidden/>
              </w:rPr>
              <w:instrText xml:space="preserve"> PAGEREF _Toc146204913 \h </w:instrText>
            </w:r>
            <w:r w:rsidR="00F97BF8">
              <w:rPr>
                <w:noProof/>
                <w:webHidden/>
              </w:rPr>
            </w:r>
            <w:r w:rsidR="00F97BF8">
              <w:rPr>
                <w:noProof/>
                <w:webHidden/>
              </w:rPr>
              <w:fldChar w:fldCharType="separate"/>
            </w:r>
            <w:r w:rsidR="00F97BF8">
              <w:rPr>
                <w:noProof/>
                <w:webHidden/>
              </w:rPr>
              <w:t>40</w:t>
            </w:r>
            <w:r w:rsidR="00F97BF8">
              <w:rPr>
                <w:noProof/>
                <w:webHidden/>
              </w:rPr>
              <w:fldChar w:fldCharType="end"/>
            </w:r>
          </w:hyperlink>
        </w:p>
        <w:p w14:paraId="23F9E483" w14:textId="52C06B33" w:rsidR="00E46637" w:rsidRDefault="00766A4A">
          <w:r>
            <w:fldChar w:fldCharType="end"/>
          </w:r>
        </w:p>
      </w:sdtContent>
    </w:sdt>
    <w:p w14:paraId="44C040E5" w14:textId="77777777" w:rsidR="00510203" w:rsidRPr="005E4329" w:rsidRDefault="00510203"/>
    <w:p w14:paraId="1E8659B9" w14:textId="77777777" w:rsidR="00510203" w:rsidRPr="003303FE" w:rsidRDefault="00510203"/>
    <w:p w14:paraId="232CE174" w14:textId="656E33D3" w:rsidR="00510203" w:rsidRPr="00DE625E" w:rsidRDefault="00853651" w:rsidP="00D21FC4">
      <w:pPr>
        <w:pStyle w:val="st"/>
        <w:numPr>
          <w:ilvl w:val="0"/>
          <w:numId w:val="0"/>
        </w:numPr>
      </w:pPr>
      <w:bookmarkStart w:id="0" w:name="_Toc504679157"/>
      <w:bookmarkStart w:id="1" w:name="_Toc11698007"/>
      <w:bookmarkStart w:id="2" w:name="_Toc7283"/>
      <w:bookmarkStart w:id="3" w:name="_Toc146204865"/>
      <w:r w:rsidRPr="00F97DE3">
        <w:lastRenderedPageBreak/>
        <w:t xml:space="preserve">Východiska </w:t>
      </w:r>
      <w:bookmarkEnd w:id="0"/>
      <w:bookmarkEnd w:id="1"/>
      <w:bookmarkEnd w:id="2"/>
      <w:r w:rsidRPr="00F97DE3">
        <w:t>závěrečné zprávy RIA</w:t>
      </w:r>
      <w:bookmarkEnd w:id="3"/>
      <w:r w:rsidR="00D21FC4" w:rsidRPr="00DE625E">
        <w:t xml:space="preserve"> </w:t>
      </w:r>
    </w:p>
    <w:p w14:paraId="0BD1F16A" w14:textId="3316821E" w:rsidR="00510203" w:rsidRPr="005E4329" w:rsidRDefault="00D21FC4">
      <w:r>
        <w:t>Závěrečná zpráva RIA</w:t>
      </w:r>
      <w:r w:rsidRPr="005E4329">
        <w:t xml:space="preserve"> </w:t>
      </w:r>
      <w:r w:rsidR="00C114A2" w:rsidRPr="005E4329">
        <w:t xml:space="preserve">zachycuje popis existujících dílčích problémů jakožto příčin, které předkladatele </w:t>
      </w:r>
      <w:r w:rsidR="00AB594C">
        <w:t>n</w:t>
      </w:r>
      <w:r w:rsidR="00AB594C" w:rsidRPr="00AB594C">
        <w:t>ávrh</w:t>
      </w:r>
      <w:r w:rsidR="00AB594C">
        <w:t>u</w:t>
      </w:r>
      <w:bookmarkStart w:id="4" w:name="_GoBack"/>
      <w:bookmarkEnd w:id="4"/>
      <w:r w:rsidR="00AB594C" w:rsidRPr="00AB594C">
        <w:t xml:space="preserve"> zákona, kterým se mění zákon č. 253/2008 Sb., o některých opatřeních proti legalizaci výnosů z trestné činnosti a financování terorismu, ve znění pozdějších předpisů, zákon č. 69/2006 Sb., o provádění mezinárodních sankcí, ve znění pozdějších předpisů, a zákon č. 164/2013 Sb., o mezinárodní spolupráci při správě daní a o změně dalších souvisejících zákonů, ve znění pozdějších předpisů</w:t>
      </w:r>
      <w:r w:rsidR="00C114A2" w:rsidRPr="005E4329">
        <w:t xml:space="preserve">, vedly k úvahám, jak tyto problémy řešit. Studie se skládá z jednotlivých částí, které se zabývají dílčími rozhodovacími problémy, jejich popisem, uvažovanými variantami řešení, zvolenými kritérii, vyhodnocením variant podle těchto kritérií a výběru nejvhodnější varianty. </w:t>
      </w:r>
    </w:p>
    <w:p w14:paraId="102733EC" w14:textId="33ECDE1E" w:rsidR="00510203" w:rsidRPr="005E4329" w:rsidRDefault="00C114A2">
      <w:r w:rsidRPr="005E4329">
        <w:t>Návrh zákona, kterým se mění AML zákon</w:t>
      </w:r>
      <w:r w:rsidR="00FA6FCC">
        <w:t>,</w:t>
      </w:r>
      <w:r w:rsidRPr="005E4329">
        <w:t xml:space="preserve"> obsahuje řešení více dílčích problémů, jejichž výčet je obsažen v úvodu obecné části důvodové zprávy, studie RIA se na základě obecných zásad pro hodnocení dopadů regula</w:t>
      </w:r>
      <w:r w:rsidR="003D525E" w:rsidRPr="005E4329">
        <w:t>ce blíže nezabývá tématy, která</w:t>
      </w:r>
    </w:p>
    <w:p w14:paraId="4AFF91FE" w14:textId="77777777" w:rsidR="00510203" w:rsidRPr="005E4329" w:rsidRDefault="00C114A2">
      <w:pPr>
        <w:pStyle w:val="Odrky"/>
      </w:pPr>
      <w:r w:rsidRPr="005E4329">
        <w:t>sice jsou věcnou změnou, ale neznamenají významné dopady,</w:t>
      </w:r>
    </w:p>
    <w:p w14:paraId="49908C06" w14:textId="77777777" w:rsidR="00510203" w:rsidRPr="005E4329" w:rsidRDefault="00C114A2">
      <w:pPr>
        <w:pStyle w:val="Odrky"/>
      </w:pPr>
      <w:r w:rsidRPr="005E4329">
        <w:t>se týkají parametrických změn,</w:t>
      </w:r>
    </w:p>
    <w:p w14:paraId="49589859" w14:textId="77777777" w:rsidR="00510203" w:rsidRPr="005E4329" w:rsidRDefault="00C114A2">
      <w:pPr>
        <w:pStyle w:val="Odrky"/>
      </w:pPr>
      <w:r w:rsidRPr="005E4329">
        <w:t>jsou pouze úpravami legislativně technické povahy.</w:t>
      </w:r>
    </w:p>
    <w:p w14:paraId="3CD77928" w14:textId="3B2768DC" w:rsidR="00510203" w:rsidRPr="005E4329" w:rsidRDefault="001012CC" w:rsidP="00F97DE3">
      <w:pPr>
        <w:pStyle w:val="st"/>
      </w:pPr>
      <w:bookmarkStart w:id="5" w:name="_Toc112436127"/>
      <w:bookmarkStart w:id="6" w:name="_Toc112436175"/>
      <w:bookmarkStart w:id="7" w:name="_Toc112436304"/>
      <w:bookmarkStart w:id="8" w:name="_Toc112436331"/>
      <w:bookmarkStart w:id="9" w:name="_Toc112443813"/>
      <w:bookmarkStart w:id="10" w:name="_Toc112443853"/>
      <w:bookmarkStart w:id="11" w:name="_Toc146204866"/>
      <w:bookmarkEnd w:id="5"/>
      <w:bookmarkEnd w:id="6"/>
      <w:bookmarkEnd w:id="7"/>
      <w:bookmarkEnd w:id="8"/>
      <w:bookmarkEnd w:id="9"/>
      <w:bookmarkEnd w:id="10"/>
      <w:r>
        <w:lastRenderedPageBreak/>
        <w:t xml:space="preserve">Zavedení </w:t>
      </w:r>
      <w:r w:rsidR="00A51BD5">
        <w:t xml:space="preserve">národního vnitrounijního </w:t>
      </w:r>
      <w:r>
        <w:t>opatření pro kontrolu převozů hotovosti</w:t>
      </w:r>
      <w:bookmarkEnd w:id="11"/>
    </w:p>
    <w:p w14:paraId="314FD5C3" w14:textId="77777777" w:rsidR="00510203" w:rsidRPr="005E4329" w:rsidRDefault="00C114A2" w:rsidP="00F97DE3">
      <w:pPr>
        <w:pStyle w:val="Nadpis1"/>
      </w:pPr>
      <w:bookmarkStart w:id="12" w:name="_Toc11698010"/>
      <w:bookmarkStart w:id="13" w:name="_Toc26882"/>
      <w:bookmarkStart w:id="14" w:name="_Toc146204867"/>
      <w:r w:rsidRPr="005E4329">
        <w:t>Důvod předložení a cíle</w:t>
      </w:r>
      <w:bookmarkEnd w:id="12"/>
      <w:bookmarkEnd w:id="13"/>
      <w:bookmarkEnd w:id="14"/>
    </w:p>
    <w:p w14:paraId="5EC878B3" w14:textId="77777777" w:rsidR="00510203" w:rsidRPr="005E4329" w:rsidRDefault="00C114A2" w:rsidP="00F97DE3">
      <w:pPr>
        <w:pStyle w:val="Nadpis2"/>
      </w:pPr>
      <w:r w:rsidRPr="005E4329">
        <w:t>Definice problému</w:t>
      </w:r>
    </w:p>
    <w:p w14:paraId="27DA6B96" w14:textId="357EB9A8" w:rsidR="00FF63F8" w:rsidRDefault="00FC2507">
      <w:r>
        <w:t>V </w:t>
      </w:r>
      <w:r w:rsidR="00FF63F8">
        <w:t xml:space="preserve">současné době </w:t>
      </w:r>
      <w:r w:rsidR="001012CC">
        <w:t>podle n</w:t>
      </w:r>
      <w:r w:rsidR="001012CC" w:rsidRPr="001012CC">
        <w:t>ařízení Evropského parlamentu a Rady (EU) 2018/1672 ze dne 23. října 2018 o kontrolách peněžní hotovosti vstupující do Unie nebo ji opouštějící a o zrušení nařízení (ES) č. 1889/2005</w:t>
      </w:r>
      <w:r w:rsidR="001012CC">
        <w:t xml:space="preserve"> platí povinnost oznamovat Celní správě</w:t>
      </w:r>
      <w:r w:rsidR="00D6462F">
        <w:t xml:space="preserve"> České republiky</w:t>
      </w:r>
      <w:r w:rsidR="001012CC">
        <w:t xml:space="preserve"> převozy hotovosti</w:t>
      </w:r>
      <w:r w:rsidR="004E5BAA">
        <w:t xml:space="preserve"> přes hranice Evropské unie</w:t>
      </w:r>
      <w:r w:rsidR="001012CC">
        <w:t xml:space="preserve">, </w:t>
      </w:r>
      <w:r w:rsidR="004E5BAA">
        <w:t>ať doprovázené, či obsažen</w:t>
      </w:r>
      <w:r w:rsidR="00637432">
        <w:t>é v zásilce, pokud jeji</w:t>
      </w:r>
      <w:r w:rsidR="004E5BAA">
        <w:t>ch hodnota přesáhne ekvivalent 10 000 EUR. V České republice k tomu s ohledem na její geografickou polohu dochází jen na mezinárodních letištích. Doporučení FATF č. 32</w:t>
      </w:r>
      <w:r w:rsidR="004F05E6">
        <w:t xml:space="preserve"> (dostupné</w:t>
      </w:r>
      <w:r w:rsidR="00AA0738">
        <w:t> </w:t>
      </w:r>
      <w:r w:rsidR="004F05E6">
        <w:t>na</w:t>
      </w:r>
      <w:r w:rsidR="00AA0738">
        <w:t> </w:t>
      </w:r>
      <w:hyperlink r:id="rId12" w:history="1">
        <w:r w:rsidR="004F05E6" w:rsidRPr="00765FCD">
          <w:rPr>
            <w:rStyle w:val="Hypertextovodkaz"/>
          </w:rPr>
          <w:t>https://www.fatf-gafi.org/en/publications/Fatfrecommendations/Fatf-recommendations.html</w:t>
        </w:r>
      </w:hyperlink>
      <w:r w:rsidR="004F05E6">
        <w:t>)</w:t>
      </w:r>
      <w:r w:rsidR="004E5BAA">
        <w:t xml:space="preserve"> však požaduje, aby </w:t>
      </w:r>
      <w:r w:rsidR="00E42B30">
        <w:t xml:space="preserve">byly </w:t>
      </w:r>
      <w:r w:rsidR="004E5BAA">
        <w:t xml:space="preserve">kontroly převozů nadlimitních objemů hotovosti prováděny i na hranicích </w:t>
      </w:r>
      <w:r w:rsidR="004F05E6">
        <w:t xml:space="preserve">jednotlivých </w:t>
      </w:r>
      <w:r w:rsidR="004E5BAA">
        <w:t>států, čili v </w:t>
      </w:r>
      <w:r w:rsidR="00E42B30">
        <w:t>kontextu</w:t>
      </w:r>
      <w:r w:rsidR="004E5BAA">
        <w:t xml:space="preserve"> České republiky i v případě intrakomunitárních převozů. </w:t>
      </w:r>
      <w:r w:rsidR="004F05E6">
        <w:t xml:space="preserve">Dosavadní absence tohoto opatření pak představuje nejen zranitelnost českého finančního systému </w:t>
      </w:r>
      <w:r w:rsidR="00E42B30">
        <w:t>z pohledu potírání legalizace</w:t>
      </w:r>
      <w:r w:rsidR="004F05E6">
        <w:t xml:space="preserve"> výnosů z trestné činnosti. </w:t>
      </w:r>
      <w:r w:rsidR="00E42B30">
        <w:t>P</w:t>
      </w:r>
      <w:r w:rsidR="004F05E6">
        <w:t>řináší i riziko nepříznivého výsledku 6. kola hodnocení souladu České republiky s D</w:t>
      </w:r>
      <w:r w:rsidR="00336116">
        <w:t>oporuč</w:t>
      </w:r>
      <w:r w:rsidR="004F05E6">
        <w:t>e</w:t>
      </w:r>
      <w:r w:rsidR="00336116">
        <w:t>n</w:t>
      </w:r>
      <w:r w:rsidR="004F05E6">
        <w:t>ími FATF</w:t>
      </w:r>
      <w:r w:rsidR="00336116">
        <w:t xml:space="preserve">, které na podzim 2025 vyvrcholí návštěvou hodnotitelské mise expertů </w:t>
      </w:r>
      <w:proofErr w:type="spellStart"/>
      <w:r w:rsidR="00336116">
        <w:t>MONEYVALu</w:t>
      </w:r>
      <w:proofErr w:type="spellEnd"/>
      <w:r w:rsidR="00336116">
        <w:t xml:space="preserve">. </w:t>
      </w:r>
      <w:r w:rsidR="008F5134">
        <w:t>To by vyústilo v její zařazení</w:t>
      </w:r>
      <w:r w:rsidR="00E42B30">
        <w:t xml:space="preserve"> na tzv. šedý seznam FATF (</w:t>
      </w:r>
      <w:r w:rsidR="008F5134">
        <w:t xml:space="preserve">k tomu vizte </w:t>
      </w:r>
      <w:hyperlink r:id="rId13" w:history="1">
        <w:r w:rsidR="008F5134" w:rsidRPr="00A14EC5">
          <w:rPr>
            <w:rStyle w:val="Hypertextovodkaz"/>
          </w:rPr>
          <w:t>https://www.fatf-gafi.org/en/publications/High-risk-and-other-monitored-jurisdictions/Increased-monitoring-june-2023.html</w:t>
        </w:r>
      </w:hyperlink>
      <w:r w:rsidR="008F5134" w:rsidRPr="00387AFF">
        <w:t>)</w:t>
      </w:r>
      <w:r w:rsidR="008F5134">
        <w:t>. S tím by se pojily důsledky pro české subjekty, které by byly zahraničními finančními a úvěrovými institucemi (ale vedl</w:t>
      </w:r>
      <w:r w:rsidR="00E42B30">
        <w:t>e toho i AML/CFT povinnými osobami z ne</w:t>
      </w:r>
      <w:r w:rsidR="008F5134">
        <w:t>f</w:t>
      </w:r>
      <w:r w:rsidR="00E42B30">
        <w:t>i</w:t>
      </w:r>
      <w:r w:rsidR="008F5134">
        <w:t>nanč</w:t>
      </w:r>
      <w:r w:rsidR="00E42B30">
        <w:t>n</w:t>
      </w:r>
      <w:r w:rsidR="008F5134">
        <w:t>ího sektoru) obligatorně vnímány jako vysoce rizikové z pohledu legalizace výnosů z t</w:t>
      </w:r>
      <w:r w:rsidR="00E42B30">
        <w:t>r</w:t>
      </w:r>
      <w:r w:rsidR="008F5134">
        <w:t xml:space="preserve">estné činnosti, a proto by vůči nim byla uplatňována </w:t>
      </w:r>
      <w:r w:rsidR="00B30C5E">
        <w:t>opatř</w:t>
      </w:r>
      <w:r w:rsidR="00E42B30">
        <w:t>ení</w:t>
      </w:r>
      <w:r w:rsidR="00B30C5E">
        <w:t xml:space="preserve"> zesílené kontroly</w:t>
      </w:r>
      <w:r w:rsidR="008F5134">
        <w:t xml:space="preserve"> klienta</w:t>
      </w:r>
      <w:r w:rsidR="00B30C5E">
        <w:t>, což by navyšovalo jejich t</w:t>
      </w:r>
      <w:r w:rsidR="00E42B30">
        <w:t>r</w:t>
      </w:r>
      <w:r w:rsidR="00B30C5E">
        <w:t>ans</w:t>
      </w:r>
      <w:r w:rsidR="00E42B30">
        <w:t>a</w:t>
      </w:r>
      <w:r w:rsidR="00B30C5E">
        <w:t>kční náklady a v </w:t>
      </w:r>
      <w:r w:rsidR="00E42B30">
        <w:t>konečném důsledku tak české pod</w:t>
      </w:r>
      <w:r w:rsidR="00B30C5E">
        <w:t>n</w:t>
      </w:r>
      <w:r w:rsidR="00E42B30">
        <w:t>i</w:t>
      </w:r>
      <w:r w:rsidR="00B30C5E">
        <w:t>katele vystavilo konkurenční nevý</w:t>
      </w:r>
      <w:r w:rsidR="00E42B30">
        <w:t xml:space="preserve">hodě v porovnání </w:t>
      </w:r>
      <w:r w:rsidR="00B30C5E">
        <w:t xml:space="preserve">s jejich </w:t>
      </w:r>
      <w:r w:rsidR="00E42B30">
        <w:t>zahr</w:t>
      </w:r>
      <w:r w:rsidR="00B30C5E">
        <w:t>a</w:t>
      </w:r>
      <w:r w:rsidR="00E42B30">
        <w:t>n</w:t>
      </w:r>
      <w:r w:rsidR="00B30C5E">
        <w:t xml:space="preserve">ičními protějšky. Zařazení na šedý seznam FATF by mělo i nepřímé důsledky v podobě reputační škody a faktoru </w:t>
      </w:r>
      <w:r w:rsidR="00E42B30">
        <w:t>přispívajícího</w:t>
      </w:r>
      <w:r w:rsidR="00B30C5E">
        <w:t xml:space="preserve"> k horšímu hodnocení ze stran agentur zpracovávajících </w:t>
      </w:r>
      <w:r w:rsidR="00E42B30">
        <w:t>ú</w:t>
      </w:r>
      <w:r w:rsidR="00B30C5E">
        <w:t xml:space="preserve">věrové ratingy. </w:t>
      </w:r>
    </w:p>
    <w:p w14:paraId="015E1F7B" w14:textId="77777777" w:rsidR="00510203" w:rsidRPr="005E4329" w:rsidRDefault="00C114A2" w:rsidP="00F97DE3">
      <w:pPr>
        <w:pStyle w:val="Nadpis2"/>
      </w:pPr>
      <w:r w:rsidRPr="005E4329">
        <w:t>Popis existujícího právního stavu v dané oblasti</w:t>
      </w:r>
    </w:p>
    <w:p w14:paraId="12EA57D3" w14:textId="77777777" w:rsidR="00510203" w:rsidRPr="005E4329" w:rsidRDefault="00C114A2">
      <w:pPr>
        <w:rPr>
          <w:rFonts w:eastAsia="Calibri"/>
        </w:rPr>
      </w:pPr>
      <w:r w:rsidRPr="005E4329">
        <w:rPr>
          <w:rFonts w:eastAsia="Calibri"/>
        </w:rPr>
        <w:t>Existující stav upravují tyto právní předpisy:</w:t>
      </w:r>
    </w:p>
    <w:p w14:paraId="4337FE96" w14:textId="692A6DE5" w:rsidR="00510203" w:rsidRDefault="00E42B30">
      <w:pPr>
        <w:pStyle w:val="Odrky"/>
      </w:pPr>
      <w:r>
        <w:t>Zákon č. 253/2008 Sb., o některých opatřeních proti legalizaci výnosů z </w:t>
      </w:r>
      <w:r w:rsidR="00D6462F">
        <w:t>trestné</w:t>
      </w:r>
      <w:r>
        <w:t xml:space="preserve"> činnosti a financování terorismu</w:t>
      </w:r>
      <w:r w:rsidR="00D6462F">
        <w:t>, ve znění pozdějších předpisů</w:t>
      </w:r>
      <w:r>
        <w:t xml:space="preserve"> (dále jen „</w:t>
      </w:r>
      <w:r w:rsidR="00C114A2" w:rsidRPr="005E4329">
        <w:t>AML zákon</w:t>
      </w:r>
      <w:r>
        <w:t>“)</w:t>
      </w:r>
    </w:p>
    <w:p w14:paraId="562EAA07" w14:textId="6EC80EFB" w:rsidR="00FF63F8" w:rsidRDefault="00B30C5E" w:rsidP="00B30C5E">
      <w:pPr>
        <w:pStyle w:val="Odrky"/>
        <w:rPr>
          <w:rFonts w:cstheme="minorHAnsi"/>
          <w:szCs w:val="24"/>
        </w:rPr>
      </w:pPr>
      <w:r w:rsidRPr="00B30C5E">
        <w:rPr>
          <w:rFonts w:cstheme="minorHAnsi"/>
          <w:szCs w:val="24"/>
        </w:rPr>
        <w:t>nařízení Evropského parlamentu a Rady (EU) 2018/1672 ze dne 23. října 2018 o kontrolách peněžní hotovosti vstupující do Unie nebo ji opouštějící a o zrušení nařízení (ES) č. 1889/2005</w:t>
      </w:r>
      <w:r w:rsidR="0020316A">
        <w:rPr>
          <w:rFonts w:cstheme="minorHAnsi"/>
          <w:szCs w:val="24"/>
        </w:rPr>
        <w:t xml:space="preserve"> </w:t>
      </w:r>
    </w:p>
    <w:p w14:paraId="756892A3" w14:textId="755C89B1" w:rsidR="00717631" w:rsidRDefault="00B30C5E" w:rsidP="00F97DE3">
      <w:pPr>
        <w:pStyle w:val="Odrky"/>
        <w:rPr>
          <w:rFonts w:cstheme="minorHAnsi"/>
          <w:szCs w:val="24"/>
        </w:rPr>
      </w:pPr>
      <w:r>
        <w:rPr>
          <w:rFonts w:cstheme="minorHAnsi"/>
          <w:szCs w:val="24"/>
        </w:rPr>
        <w:t>zákon č. 254/2004, o omezení plateb v</w:t>
      </w:r>
      <w:r w:rsidR="00510642">
        <w:rPr>
          <w:rFonts w:cstheme="minorHAnsi"/>
          <w:szCs w:val="24"/>
        </w:rPr>
        <w:t> </w:t>
      </w:r>
      <w:r>
        <w:rPr>
          <w:rFonts w:cstheme="minorHAnsi"/>
          <w:szCs w:val="24"/>
        </w:rPr>
        <w:t>hotovosti</w:t>
      </w:r>
    </w:p>
    <w:p w14:paraId="6EFBFFF5" w14:textId="6CF5D509" w:rsidR="00510642" w:rsidRDefault="00510642" w:rsidP="00387AFF">
      <w:r>
        <w:lastRenderedPageBreak/>
        <w:t xml:space="preserve">V § 41, 42, 50 a v § 52 odst. 5 a 6 AML zákona je obsažena adaptace nařízení 2018/1672. Celní úřady zajišťují jak provádění kontroly plnění povinnosti oznamovat převozy nadlimitních objemů hotovosti přes hranici EU, tak projednávání korespondujícího přestupku. </w:t>
      </w:r>
    </w:p>
    <w:p w14:paraId="2DFA99CE" w14:textId="1F65012F" w:rsidR="00D45780" w:rsidRPr="00387AFF" w:rsidRDefault="00D45780" w:rsidP="00387AFF">
      <w:r>
        <w:t xml:space="preserve">Dalším předpisem, který upravuje nakládání s hotovostí, a má tedy průnik s diskutovanou problematikou, je zákon o omezení plateb v hotovosti. Stanoví limit pro hotovostní transakce ve výši 270 000 Kč </w:t>
      </w:r>
      <w:r w:rsidR="00351F42">
        <w:t>uskutečněné</w:t>
      </w:r>
      <w:r>
        <w:t xml:space="preserve"> v jeden den</w:t>
      </w:r>
      <w:r w:rsidRPr="00D45780">
        <w:t xml:space="preserve"> </w:t>
      </w:r>
      <w:r>
        <w:t>mezi stejným plátcem a příjemcem.</w:t>
      </w:r>
      <w:r w:rsidR="00E42B30">
        <w:t xml:space="preserve"> Limit se nevztahuje </w:t>
      </w:r>
      <w:r w:rsidR="00627F21">
        <w:t xml:space="preserve">mimo jiné </w:t>
      </w:r>
      <w:r w:rsidR="00E42B30">
        <w:t xml:space="preserve">na </w:t>
      </w:r>
      <w:r w:rsidR="00627F21" w:rsidRPr="00627F21">
        <w:t>vložení peněžních prostředků v hotovosti na účet u peněžního ústavu a jejich výběr z účtu u peněžního ústavu</w:t>
      </w:r>
      <w:r w:rsidR="00627F21">
        <w:t>.</w:t>
      </w:r>
      <w:r>
        <w:t xml:space="preserve"> Kontrolu i projednávání korespondujících přestupků provádějí paralelně orgány Celní správy</w:t>
      </w:r>
      <w:r w:rsidR="00D6462F">
        <w:t xml:space="preserve"> České republiky</w:t>
      </w:r>
      <w:r>
        <w:t xml:space="preserve"> a Finanční správy</w:t>
      </w:r>
      <w:r w:rsidR="00D6462F">
        <w:t xml:space="preserve"> České republiky</w:t>
      </w:r>
      <w:r>
        <w:t xml:space="preserve">. </w:t>
      </w:r>
    </w:p>
    <w:p w14:paraId="3B9C8C5C" w14:textId="77777777" w:rsidR="00510203" w:rsidRPr="00F97DE3" w:rsidRDefault="00C114A2" w:rsidP="00F97DE3">
      <w:pPr>
        <w:pStyle w:val="Nadpis2"/>
      </w:pPr>
      <w:r w:rsidRPr="00F97DE3">
        <w:t>Identifikace dotčených subjektů</w:t>
      </w:r>
    </w:p>
    <w:p w14:paraId="7FC174D8" w14:textId="56E0F589" w:rsidR="00A61355" w:rsidRPr="00F97DE3" w:rsidRDefault="00E94558" w:rsidP="00A61355">
      <w:pPr>
        <w:pStyle w:val="Nadpisyvtextu"/>
      </w:pPr>
      <w:r>
        <w:t>Osoby převážející nadlimitní objemy hotovosti</w:t>
      </w:r>
    </w:p>
    <w:p w14:paraId="3BAC70FD" w14:textId="00196179" w:rsidR="00A61355" w:rsidRPr="00F97DE3" w:rsidRDefault="00E94558" w:rsidP="00A61355">
      <w:r>
        <w:t xml:space="preserve">Tyto osoby budou muset oznamovat příslušnému orgánu převozy nadlimitního objemu hotovosti. </w:t>
      </w:r>
    </w:p>
    <w:p w14:paraId="617770C0" w14:textId="122BB0F9" w:rsidR="00A61355" w:rsidRPr="00F97DE3" w:rsidRDefault="00351F42" w:rsidP="00A61355">
      <w:pPr>
        <w:pStyle w:val="Nadpisyvtextu"/>
      </w:pPr>
      <w:r>
        <w:t>Orgán příslušný k provádění kontroly</w:t>
      </w:r>
    </w:p>
    <w:p w14:paraId="3E2D6398" w14:textId="493967CE" w:rsidR="00A61355" w:rsidRDefault="00351F42" w:rsidP="00A61355">
      <w:r>
        <w:t xml:space="preserve">Tento orgán bude provádět kontrolu plnění oznamovací povinnosti. </w:t>
      </w:r>
    </w:p>
    <w:p w14:paraId="468E1002" w14:textId="52449748" w:rsidR="00351F42" w:rsidRPr="00F97DE3" w:rsidRDefault="00351F42" w:rsidP="00351F42">
      <w:pPr>
        <w:pStyle w:val="Nadpisyvtextu"/>
      </w:pPr>
      <w:r>
        <w:t>Orgán příslušný k </w:t>
      </w:r>
      <w:r w:rsidR="00627F21">
        <w:t>proje</w:t>
      </w:r>
      <w:r>
        <w:t>d</w:t>
      </w:r>
      <w:r w:rsidR="00627F21">
        <w:t>n</w:t>
      </w:r>
      <w:r>
        <w:t xml:space="preserve">ávání </w:t>
      </w:r>
      <w:r w:rsidR="00627F21">
        <w:t>přestupků na úseku převáž</w:t>
      </w:r>
      <w:r>
        <w:t>e</w:t>
      </w:r>
      <w:r w:rsidR="00627F21">
        <w:t>n</w:t>
      </w:r>
      <w:r>
        <w:t xml:space="preserve">í hotovosti </w:t>
      </w:r>
    </w:p>
    <w:p w14:paraId="5308F943" w14:textId="1CA2580D" w:rsidR="00351F42" w:rsidRPr="00F97DE3" w:rsidRDefault="00351F42" w:rsidP="00351F42">
      <w:r>
        <w:t xml:space="preserve">Tento orgán bude projednávat přestupky odhalené v rámci kontrolní činnosti. </w:t>
      </w:r>
    </w:p>
    <w:p w14:paraId="38D3995A" w14:textId="77777777" w:rsidR="00351F42" w:rsidRPr="00F97DE3" w:rsidRDefault="00351F42" w:rsidP="00A61355"/>
    <w:p w14:paraId="114A67B1" w14:textId="77777777" w:rsidR="00510203" w:rsidRPr="00F97DE3" w:rsidRDefault="00C114A2" w:rsidP="00F97DE3">
      <w:pPr>
        <w:pStyle w:val="Nadpis2"/>
      </w:pPr>
      <w:r w:rsidRPr="00F97DE3">
        <w:t>Popis cílového stavu</w:t>
      </w:r>
    </w:p>
    <w:p w14:paraId="6E78A992" w14:textId="50B1627E" w:rsidR="00510203" w:rsidRPr="00F97DE3" w:rsidRDefault="00A61355">
      <w:r w:rsidRPr="00F97DE3">
        <w:t xml:space="preserve">Cílem je </w:t>
      </w:r>
      <w:r w:rsidR="00351F42">
        <w:t>v první řadě dosáhnout souladu s Doporučením FATF č. 32. Dále je žádoucí, aby cílový stav co nejméně zatěžoval osoby převážející hotovost, jakož i veřejné rozpočty.</w:t>
      </w:r>
    </w:p>
    <w:p w14:paraId="260E2FB1" w14:textId="77777777" w:rsidR="00510203" w:rsidRPr="00F97DE3" w:rsidRDefault="00C114A2" w:rsidP="00F97DE3">
      <w:pPr>
        <w:pStyle w:val="Nadpis2"/>
      </w:pPr>
      <w:r w:rsidRPr="00F97DE3">
        <w:t>Zhodnocení rizika</w:t>
      </w:r>
    </w:p>
    <w:p w14:paraId="09485147" w14:textId="77777777" w:rsidR="00A61355" w:rsidRPr="00F97DE3" w:rsidRDefault="00A61355" w:rsidP="00A61355">
      <w:r w:rsidRPr="00F97DE3">
        <w:t>V souvislosti s daným tématem nebyla žádná rizika identifikována.</w:t>
      </w:r>
    </w:p>
    <w:p w14:paraId="04419190" w14:textId="77777777" w:rsidR="00510203" w:rsidRPr="00F97DE3" w:rsidRDefault="00C114A2" w:rsidP="00F97DE3">
      <w:pPr>
        <w:pStyle w:val="Nadpis1"/>
      </w:pPr>
      <w:bookmarkStart w:id="15" w:name="_Toc112443816"/>
      <w:bookmarkStart w:id="16" w:name="_Toc112443861"/>
      <w:bookmarkStart w:id="17" w:name="_Toc11698011"/>
      <w:bookmarkStart w:id="18" w:name="_Toc9336"/>
      <w:bookmarkStart w:id="19" w:name="_Toc146204868"/>
      <w:bookmarkEnd w:id="15"/>
      <w:bookmarkEnd w:id="16"/>
      <w:r w:rsidRPr="00F97DE3">
        <w:t>Návrh variant řešení</w:t>
      </w:r>
      <w:bookmarkEnd w:id="17"/>
      <w:bookmarkEnd w:id="18"/>
      <w:bookmarkEnd w:id="19"/>
    </w:p>
    <w:p w14:paraId="6279FFA7" w14:textId="77777777" w:rsidR="00510203" w:rsidRPr="00F97DE3" w:rsidRDefault="00C114A2" w:rsidP="00F97DE3">
      <w:pPr>
        <w:pStyle w:val="Nadpis2"/>
      </w:pPr>
      <w:r w:rsidRPr="00F97DE3">
        <w:t>Popis variant řešení</w:t>
      </w:r>
    </w:p>
    <w:p w14:paraId="6BE52ABE" w14:textId="77777777" w:rsidR="00C84EC4" w:rsidRDefault="00C84EC4" w:rsidP="00C84EC4">
      <w:r>
        <w:t xml:space="preserve">Doporučení FATF umožňují státům zvolit mezi deklaračním a ohlašovacím (tzv. </w:t>
      </w:r>
      <w:proofErr w:type="spellStart"/>
      <w:r>
        <w:t>disclosure</w:t>
      </w:r>
      <w:proofErr w:type="spellEnd"/>
      <w:r>
        <w:t xml:space="preserve">) systémem kontroly přeshraničních převozů hotovosti. </w:t>
      </w:r>
    </w:p>
    <w:p w14:paraId="4C1FDCAB" w14:textId="1BC6E8D3" w:rsidR="00E94558" w:rsidRDefault="00E94558" w:rsidP="00E94558">
      <w:r>
        <w:t xml:space="preserve">Deklarační systém, jehož cestou jde i nařízení </w:t>
      </w:r>
      <w:r w:rsidRPr="001012CC">
        <w:t>2018/1672</w:t>
      </w:r>
      <w:r>
        <w:t>, spočívá v tom, že osoba převážející hotovost musí z vlastní iniciativy oznámit tento převoz a související informace příslušnému orgánu (v Č</w:t>
      </w:r>
      <w:r w:rsidR="00D6462F">
        <w:t>eské republice</w:t>
      </w:r>
      <w:r>
        <w:t xml:space="preserve"> orgánu Celní správy</w:t>
      </w:r>
      <w:r w:rsidR="00D6462F">
        <w:t xml:space="preserve"> České republiky</w:t>
      </w:r>
      <w:r>
        <w:t>), a to na předem definovaném formuláři.</w:t>
      </w:r>
      <w:r w:rsidRPr="001012CC">
        <w:t xml:space="preserve"> </w:t>
      </w:r>
      <w:r>
        <w:t xml:space="preserve">To na jedné straně umožňuje komplexně sledovat trendy v převozech hotovosti, na straně druhé však s ohledem na popření rizikově orientovaného přístupu </w:t>
      </w:r>
      <w:r w:rsidR="00627F21">
        <w:t xml:space="preserve">nadbytečně </w:t>
      </w:r>
      <w:r>
        <w:t>zatěžuje jak cestující osoby, tak orgány Celní správy</w:t>
      </w:r>
      <w:r w:rsidR="00D6462F" w:rsidRPr="00D6462F">
        <w:t xml:space="preserve"> </w:t>
      </w:r>
      <w:r w:rsidR="00D6462F">
        <w:t>České republiky</w:t>
      </w:r>
      <w:r>
        <w:t>.</w:t>
      </w:r>
    </w:p>
    <w:p w14:paraId="7D615EEA" w14:textId="7915CF99" w:rsidR="00E94558" w:rsidRDefault="00C84EC4" w:rsidP="00E94558">
      <w:r>
        <w:lastRenderedPageBreak/>
        <w:t>Ohlašovací</w:t>
      </w:r>
      <w:r w:rsidR="00E94558">
        <w:t xml:space="preserve"> systém pa</w:t>
      </w:r>
      <w:r w:rsidR="00627F21">
        <w:t>k stanoví povinnost osob převáž</w:t>
      </w:r>
      <w:r w:rsidR="00E94558">
        <w:t>e</w:t>
      </w:r>
      <w:r w:rsidR="00627F21">
        <w:t>j</w:t>
      </w:r>
      <w:r w:rsidR="00E94558">
        <w:t>íc</w:t>
      </w:r>
      <w:r w:rsidR="00627F21">
        <w:t>ích hotovost tuto skute</w:t>
      </w:r>
      <w:r w:rsidR="00E94558">
        <w:t>č</w:t>
      </w:r>
      <w:r w:rsidR="00627F21">
        <w:t>n</w:t>
      </w:r>
      <w:r w:rsidR="00E94558">
        <w:t>o</w:t>
      </w:r>
      <w:r w:rsidR="00627F21">
        <w:t>s</w:t>
      </w:r>
      <w:r w:rsidR="00E94558">
        <w:t xml:space="preserve">t a související informace oznámit příslušnému orgánu </w:t>
      </w:r>
      <w:r w:rsidR="00627F21">
        <w:t>výlučně</w:t>
      </w:r>
      <w:r w:rsidR="00E94558">
        <w:t xml:space="preserve"> na jeho výzvu. J</w:t>
      </w:r>
      <w:r w:rsidR="00627F21">
        <w:t>d</w:t>
      </w:r>
      <w:r w:rsidR="00E94558">
        <w:t>e tedy o systém, který umožňuje plné uplatnění rizikově orientovaného přístupu a zaměření úsilí příslušného orgánu jen na zájmové osoby.</w:t>
      </w:r>
    </w:p>
    <w:p w14:paraId="5420DE94" w14:textId="77777777" w:rsidR="00E94558" w:rsidRDefault="00E94558">
      <w:pPr>
        <w:pStyle w:val="Nadpisyvtextu"/>
        <w:rPr>
          <w:rStyle w:val="Styl11bTunVechnavelk"/>
          <w:bCs w:val="0"/>
          <w:caps w:val="0"/>
          <w:szCs w:val="24"/>
        </w:rPr>
      </w:pPr>
    </w:p>
    <w:p w14:paraId="7D51884D" w14:textId="20DCDD42" w:rsidR="00510203" w:rsidRPr="00F97DE3" w:rsidRDefault="00C114A2">
      <w:pPr>
        <w:pStyle w:val="Nadpisyvtextu"/>
        <w:rPr>
          <w:rStyle w:val="Styl11bTunVechnavelk"/>
          <w:bCs w:val="0"/>
          <w:caps w:val="0"/>
          <w:szCs w:val="24"/>
        </w:rPr>
      </w:pPr>
      <w:r w:rsidRPr="00F97DE3">
        <w:rPr>
          <w:rStyle w:val="Styl11bTunVechnavelk"/>
          <w:bCs w:val="0"/>
          <w:caps w:val="0"/>
          <w:szCs w:val="24"/>
        </w:rPr>
        <w:t>VARIANTA 0 – Zachování současného stavu</w:t>
      </w:r>
    </w:p>
    <w:p w14:paraId="3BE6DB9F" w14:textId="604A9B39" w:rsidR="00510203" w:rsidRPr="00F97DE3" w:rsidRDefault="00A61355">
      <w:r w:rsidRPr="00F97DE3">
        <w:t>Varianta 0 představuje konzervativní řešení, které vychází z dosavadního stavu</w:t>
      </w:r>
      <w:r w:rsidR="009724EF">
        <w:t xml:space="preserve">, kdy se kontroly převozů hotovosti omezují jen na pravidla </w:t>
      </w:r>
      <w:r w:rsidR="00627F21">
        <w:t>vyplývající</w:t>
      </w:r>
      <w:r w:rsidR="009724EF">
        <w:t xml:space="preserve"> z nařízení </w:t>
      </w:r>
      <w:r w:rsidR="009724EF" w:rsidRPr="001012CC">
        <w:t>2018/1672</w:t>
      </w:r>
      <w:r w:rsidR="009724EF">
        <w:t xml:space="preserve">, čili </w:t>
      </w:r>
      <w:r w:rsidR="00627F21">
        <w:t>pouze</w:t>
      </w:r>
      <w:r w:rsidR="009724EF">
        <w:t xml:space="preserve"> na kontrolu převozů přes hranice EU, ke které dochází v kontextu České republiky </w:t>
      </w:r>
      <w:r w:rsidR="00627F21">
        <w:t>výlučně</w:t>
      </w:r>
      <w:r w:rsidR="009724EF">
        <w:t xml:space="preserve"> na mezinárodních letištích. </w:t>
      </w:r>
    </w:p>
    <w:p w14:paraId="22844119" w14:textId="2931C71B" w:rsidR="00510203" w:rsidRPr="00F97DE3" w:rsidRDefault="00C114A2">
      <w:pPr>
        <w:pStyle w:val="Nadpisyvtextu"/>
        <w:rPr>
          <w:rStyle w:val="Styl11bTunVechnavelk"/>
          <w:bCs w:val="0"/>
          <w:caps w:val="0"/>
          <w:szCs w:val="24"/>
        </w:rPr>
      </w:pPr>
      <w:r w:rsidRPr="00F97DE3">
        <w:rPr>
          <w:rStyle w:val="Styl11bTunVechnavelk"/>
          <w:bCs w:val="0"/>
          <w:caps w:val="0"/>
          <w:szCs w:val="24"/>
        </w:rPr>
        <w:t xml:space="preserve">VARIANTA 1 – </w:t>
      </w:r>
      <w:r w:rsidR="009724EF">
        <w:rPr>
          <w:rStyle w:val="Styl11bTunVechnavelk"/>
          <w:bCs w:val="0"/>
          <w:caps w:val="0"/>
          <w:szCs w:val="24"/>
        </w:rPr>
        <w:t>Deklarační systém</w:t>
      </w:r>
    </w:p>
    <w:p w14:paraId="46C229DC" w14:textId="139A75E4" w:rsidR="00A61355" w:rsidRDefault="00A61355" w:rsidP="00A61355">
      <w:r w:rsidRPr="00F97DE3">
        <w:t>Varianta 1 spočívá v</w:t>
      </w:r>
      <w:r w:rsidR="009724EF">
        <w:t> zavedení systému, v němž by měly všechny osoby převážející nad</w:t>
      </w:r>
      <w:r w:rsidR="00627F21">
        <w:t>l</w:t>
      </w:r>
      <w:r w:rsidR="009724EF">
        <w:t xml:space="preserve">imitní objemy hotovosti po vzoru nařízení 1018/1672 povinnost prostřednictvím </w:t>
      </w:r>
      <w:r w:rsidR="00627F21">
        <w:t>form</w:t>
      </w:r>
      <w:r w:rsidR="009724EF">
        <w:t>u</w:t>
      </w:r>
      <w:r w:rsidR="00627F21">
        <w:t>l</w:t>
      </w:r>
      <w:r w:rsidR="009724EF">
        <w:t xml:space="preserve">áře předem oznámit převoz a informace s ním související. </w:t>
      </w:r>
      <w:r w:rsidR="009F69DB">
        <w:t xml:space="preserve">Pro ilustraci lze uvést, že základní jednotný formulář pro převozy přes hranice EU (dostupný na </w:t>
      </w:r>
      <w:hyperlink r:id="rId14" w:history="1">
        <w:r w:rsidR="009F69DB" w:rsidRPr="00765FCD">
          <w:rPr>
            <w:rStyle w:val="Hypertextovodkaz"/>
          </w:rPr>
          <w:t>https://www.celnisprava.cz/cz/dalsi-kompetence/cash_controls/Stranky/Formul%C3%A1%C5%99-pro-ohl%C3%A1%C5%A1en%C3%AD-hotovosti.aspx</w:t>
        </w:r>
      </w:hyperlink>
      <w:r w:rsidR="009F69DB">
        <w:t>) má rozsah 4 stran.</w:t>
      </w:r>
    </w:p>
    <w:p w14:paraId="40A1F6F4" w14:textId="77777777" w:rsidR="00C84EC4" w:rsidRDefault="00C84EC4" w:rsidP="00C84EC4">
      <w:pPr>
        <w:pStyle w:val="Nadpisyvtextu"/>
        <w:rPr>
          <w:rStyle w:val="Styl11bTunVechnavelk"/>
          <w:bCs w:val="0"/>
          <w:caps w:val="0"/>
          <w:szCs w:val="24"/>
        </w:rPr>
      </w:pPr>
      <w:r>
        <w:rPr>
          <w:rStyle w:val="Styl11bTunVechnavelk"/>
          <w:bCs w:val="0"/>
          <w:caps w:val="0"/>
          <w:szCs w:val="24"/>
        </w:rPr>
        <w:t>VARIANTA 2</w:t>
      </w:r>
      <w:r w:rsidRPr="00F97DE3">
        <w:rPr>
          <w:rStyle w:val="Styl11bTunVechnavelk"/>
          <w:bCs w:val="0"/>
          <w:caps w:val="0"/>
          <w:szCs w:val="24"/>
        </w:rPr>
        <w:t xml:space="preserve"> – </w:t>
      </w:r>
      <w:r>
        <w:rPr>
          <w:rStyle w:val="Styl11bTunVechnavelk"/>
          <w:bCs w:val="0"/>
          <w:caps w:val="0"/>
          <w:szCs w:val="24"/>
        </w:rPr>
        <w:t>Ohlašovací systém</w:t>
      </w:r>
    </w:p>
    <w:p w14:paraId="208BBD3E" w14:textId="77777777" w:rsidR="00C84EC4" w:rsidRPr="00387AFF" w:rsidRDefault="00C84EC4" w:rsidP="00C84EC4">
      <w:r>
        <w:t>Varianta 2 staví na ohlašovacím systému, čili systému, kdy osoby převážející nadlimitní hotovost musejí převoz a informace s ním související oznámit jen na výzvu příslušného orgánu.</w:t>
      </w:r>
    </w:p>
    <w:p w14:paraId="21CCA53B" w14:textId="77777777" w:rsidR="00510203" w:rsidRPr="00F97DE3" w:rsidRDefault="00C114A2" w:rsidP="00F97DE3">
      <w:pPr>
        <w:pStyle w:val="Nadpis2"/>
      </w:pPr>
      <w:r w:rsidRPr="00F97DE3">
        <w:t>Přizpůsobení variant regulaci a její vynucování</w:t>
      </w:r>
    </w:p>
    <w:p w14:paraId="42EB86C6" w14:textId="77777777" w:rsidR="00510203" w:rsidRPr="00F97DE3" w:rsidRDefault="00C114A2">
      <w:r w:rsidRPr="00F97DE3">
        <w:t>Vzhledem k tomu, že se žádná z navrhovaných variant nedá vyloučit pro její nerealizovatelnost, pro rozpor s ústavním pořádkem nebo právem Evropské unie, budou všechny navržené varianty dále analyzovány.</w:t>
      </w:r>
    </w:p>
    <w:p w14:paraId="609E3890" w14:textId="77777777" w:rsidR="00510203" w:rsidRPr="00F97DE3" w:rsidRDefault="00C114A2" w:rsidP="00F97DE3">
      <w:pPr>
        <w:pStyle w:val="Nadpis1"/>
      </w:pPr>
      <w:bookmarkStart w:id="20" w:name="_Toc11698012"/>
      <w:bookmarkStart w:id="21" w:name="_Toc3427"/>
      <w:bookmarkStart w:id="22" w:name="_Toc146204869"/>
      <w:r w:rsidRPr="00F97DE3">
        <w:t xml:space="preserve">Identifikace </w:t>
      </w:r>
      <w:r w:rsidR="00782F08" w:rsidRPr="00F97DE3">
        <w:t>a </w:t>
      </w:r>
      <w:r w:rsidRPr="00F97DE3">
        <w:t>vyhodnocení nákladů a přínosů</w:t>
      </w:r>
      <w:bookmarkEnd w:id="20"/>
      <w:bookmarkEnd w:id="21"/>
      <w:bookmarkEnd w:id="22"/>
    </w:p>
    <w:p w14:paraId="08D91C8E" w14:textId="088C97A7" w:rsidR="003610A5" w:rsidRPr="00F97DE3" w:rsidRDefault="003610A5" w:rsidP="00F97DE3">
      <w:pPr>
        <w:pStyle w:val="Nadpis2"/>
      </w:pPr>
      <w:r w:rsidRPr="00F97DE3">
        <w:t xml:space="preserve">Identifikace nákladů </w:t>
      </w:r>
      <w:r w:rsidR="00FC2507" w:rsidRPr="00F97DE3">
        <w:t>a</w:t>
      </w:r>
      <w:r w:rsidR="00FC2507">
        <w:t> </w:t>
      </w:r>
      <w:r w:rsidRPr="00F97DE3">
        <w:t>přínosů</w:t>
      </w:r>
    </w:p>
    <w:p w14:paraId="0C29336E" w14:textId="77777777" w:rsidR="003938A5" w:rsidRPr="00F97DE3" w:rsidRDefault="003938A5" w:rsidP="003938A5">
      <w:r w:rsidRPr="00F97DE3">
        <w:t xml:space="preserve">Výše uvedené varianty byly vyhodnoceny podle kritérií, která pokrývají klady a zápory (resp. přínosy a náklady) jednotlivých navržených variant. </w:t>
      </w:r>
    </w:p>
    <w:p w14:paraId="23A6AD26" w14:textId="77777777" w:rsidR="003938A5" w:rsidRPr="00F97DE3" w:rsidRDefault="003938A5" w:rsidP="003938A5">
      <w:r w:rsidRPr="00F97DE3">
        <w:t>Jako hlavní hodnotící kritéria byla identifikována:</w:t>
      </w:r>
    </w:p>
    <w:p w14:paraId="76CAB4E5" w14:textId="49D635C0" w:rsidR="005B745B" w:rsidRDefault="005B745B" w:rsidP="003938A5">
      <w:pPr>
        <w:pStyle w:val="Odstavecseseznamem"/>
        <w:numPr>
          <w:ilvl w:val="0"/>
          <w:numId w:val="14"/>
        </w:numPr>
      </w:pPr>
      <w:r>
        <w:t>Soulad s doporučením FATF č. 32</w:t>
      </w:r>
    </w:p>
    <w:p w14:paraId="39D8D3A1" w14:textId="134D21A9" w:rsidR="005B745B" w:rsidRDefault="005B745B" w:rsidP="003938A5">
      <w:pPr>
        <w:pStyle w:val="Odstavecseseznamem"/>
        <w:numPr>
          <w:ilvl w:val="0"/>
          <w:numId w:val="14"/>
        </w:numPr>
      </w:pPr>
      <w:r>
        <w:t>Náklady na straně osob převážejících nadlimitní objemy hotovosti</w:t>
      </w:r>
    </w:p>
    <w:p w14:paraId="4F2A1DCC" w14:textId="5DD2473F" w:rsidR="005B745B" w:rsidRDefault="005B745B">
      <w:pPr>
        <w:pStyle w:val="Odstavecseseznamem"/>
        <w:numPr>
          <w:ilvl w:val="0"/>
          <w:numId w:val="14"/>
        </w:numPr>
      </w:pPr>
      <w:r>
        <w:t>Náklady na veřejné</w:t>
      </w:r>
      <w:r w:rsidR="00254A9C">
        <w:t xml:space="preserve"> rozpočty</w:t>
      </w:r>
    </w:p>
    <w:p w14:paraId="4C4D4865" w14:textId="2721ABDD" w:rsidR="003938A5" w:rsidRPr="00F97DE3" w:rsidRDefault="00176F65" w:rsidP="003938A5">
      <w:pPr>
        <w:pStyle w:val="Odstavecseseznamem"/>
        <w:numPr>
          <w:ilvl w:val="0"/>
          <w:numId w:val="14"/>
        </w:numPr>
      </w:pPr>
      <w:r>
        <w:t>Z</w:t>
      </w:r>
      <w:r w:rsidR="003938A5" w:rsidRPr="00F97DE3">
        <w:t>mírnění rizika legalizace výnosů z trestné činnosti</w:t>
      </w:r>
    </w:p>
    <w:p w14:paraId="52337A2D" w14:textId="77777777" w:rsidR="00176F65" w:rsidRDefault="00176F65" w:rsidP="003610A5"/>
    <w:p w14:paraId="2B44B24C" w14:textId="57749199" w:rsidR="003610A5" w:rsidRPr="00F97DE3" w:rsidRDefault="005B745B" w:rsidP="003610A5">
      <w:r>
        <w:rPr>
          <w:u w:val="single"/>
        </w:rPr>
        <w:lastRenderedPageBreak/>
        <w:t>Soulad s Doporučeními FATF</w:t>
      </w:r>
    </w:p>
    <w:p w14:paraId="0578C609" w14:textId="6382864B" w:rsidR="003610A5" w:rsidRDefault="003610A5" w:rsidP="003610A5">
      <w:r w:rsidRPr="00F97DE3">
        <w:t xml:space="preserve">Kritérium testuje varianty z hlediska </w:t>
      </w:r>
      <w:r w:rsidR="005B745B">
        <w:t xml:space="preserve">jejich kompatibility s doporučením FATF č. 32. </w:t>
      </w:r>
      <w:r w:rsidR="005B745B" w:rsidRPr="00A14EC5">
        <w:t xml:space="preserve">Jak </w:t>
      </w:r>
      <w:r w:rsidR="00BA31BD" w:rsidRPr="00387AFF">
        <w:t>vy</w:t>
      </w:r>
      <w:r w:rsidR="00176F65" w:rsidRPr="00A14EC5">
        <w:t>plývá z výše uvedeného popisu varia</w:t>
      </w:r>
      <w:r w:rsidR="00BA31BD" w:rsidRPr="00387AFF">
        <w:t>n</w:t>
      </w:r>
      <w:r w:rsidR="00176F65" w:rsidRPr="00A14EC5">
        <w:t>t řešení,</w:t>
      </w:r>
      <w:r w:rsidR="005B745B" w:rsidRPr="00A14EC5">
        <w:t xml:space="preserve"> v</w:t>
      </w:r>
      <w:r w:rsidR="00176F65" w:rsidRPr="00A14EC5">
        <w:t> </w:t>
      </w:r>
      <w:r w:rsidR="005B745B" w:rsidRPr="00A14EC5">
        <w:t>souladu</w:t>
      </w:r>
      <w:r w:rsidR="00176F65" w:rsidRPr="00A14EC5">
        <w:t xml:space="preserve"> s ním</w:t>
      </w:r>
      <w:r w:rsidR="005B745B" w:rsidRPr="00A14EC5">
        <w:t xml:space="preserve"> je jak </w:t>
      </w:r>
      <w:r w:rsidR="00942F94" w:rsidRPr="00A14EC5">
        <w:t>varianta</w:t>
      </w:r>
      <w:r w:rsidR="005B745B" w:rsidRPr="00A14EC5">
        <w:t xml:space="preserve"> 1, tak varianta 2. Naopak v rozporu s tímto doporučením je varianta</w:t>
      </w:r>
      <w:r w:rsidR="00176F65" w:rsidRPr="00A14EC5">
        <w:t xml:space="preserve"> 0</w:t>
      </w:r>
      <w:r w:rsidR="005B745B" w:rsidRPr="00A14EC5">
        <w:t>.</w:t>
      </w:r>
    </w:p>
    <w:p w14:paraId="661F2B97" w14:textId="1D852E31" w:rsidR="00176F65" w:rsidRPr="00387AFF" w:rsidRDefault="00176F65" w:rsidP="003610A5">
      <w:pPr>
        <w:rPr>
          <w:u w:val="single"/>
        </w:rPr>
      </w:pPr>
      <w:r w:rsidRPr="00387AFF">
        <w:rPr>
          <w:u w:val="single"/>
        </w:rPr>
        <w:t>Náklady na straně osob převážejících nadlimitní objemy hotovosti</w:t>
      </w:r>
    </w:p>
    <w:p w14:paraId="1949D4C3" w14:textId="13D8DD22" w:rsidR="00176F65" w:rsidRDefault="00176F65" w:rsidP="003610A5">
      <w:r>
        <w:t>Kritérium testuje varianty z hlediska souhrnných nákladů, které v souvislosti se zavedením vnitrostátních ko</w:t>
      </w:r>
      <w:r w:rsidR="00BA31BD">
        <w:t>ntr</w:t>
      </w:r>
      <w:r>
        <w:t>ol převozů hotovosti vzniknou na straně osob</w:t>
      </w:r>
      <w:r w:rsidR="00BA31BD">
        <w:t xml:space="preserve"> </w:t>
      </w:r>
      <w:r>
        <w:t xml:space="preserve">převážejících hotovost, čili na straně </w:t>
      </w:r>
      <w:r w:rsidR="00BA31BD">
        <w:t>aktérů</w:t>
      </w:r>
      <w:r>
        <w:t xml:space="preserve"> ze soukromého sektoru.</w:t>
      </w:r>
    </w:p>
    <w:p w14:paraId="0A7C2730" w14:textId="0DD1BAB3" w:rsidR="00176F65" w:rsidRPr="00387AFF" w:rsidRDefault="009F69DB" w:rsidP="003610A5">
      <w:pPr>
        <w:rPr>
          <w:u w:val="single"/>
        </w:rPr>
      </w:pPr>
      <w:r w:rsidRPr="00A14EC5">
        <w:rPr>
          <w:u w:val="single"/>
        </w:rPr>
        <w:t>Ná</w:t>
      </w:r>
      <w:r w:rsidR="00176F65" w:rsidRPr="00387AFF">
        <w:rPr>
          <w:u w:val="single"/>
        </w:rPr>
        <w:t>klady na veřejné rozpočty</w:t>
      </w:r>
    </w:p>
    <w:p w14:paraId="7A6298E4" w14:textId="6A22A612" w:rsidR="00176F65" w:rsidRDefault="00442257" w:rsidP="003610A5">
      <w:r>
        <w:t xml:space="preserve">Kritérium testuje </w:t>
      </w:r>
      <w:r w:rsidR="00BA31BD">
        <w:t>vari</w:t>
      </w:r>
      <w:r w:rsidR="00176F65">
        <w:t>a</w:t>
      </w:r>
      <w:r w:rsidR="00BA31BD">
        <w:t>n</w:t>
      </w:r>
      <w:r w:rsidR="00176F65">
        <w:t xml:space="preserve">ty z hlediska nákladů na veřejné rozpočty </w:t>
      </w:r>
      <w:r w:rsidR="00BA31BD">
        <w:t>vzniklých v souvisl</w:t>
      </w:r>
      <w:r w:rsidR="00AB18C7">
        <w:t>o</w:t>
      </w:r>
      <w:r w:rsidR="00BA31BD">
        <w:t>s</w:t>
      </w:r>
      <w:r w:rsidR="00AB18C7">
        <w:t xml:space="preserve">ti s výkonem kontroly nad plněním povinností na úseku převozů hotovosti a projednáváním </w:t>
      </w:r>
      <w:r w:rsidR="00BA31BD">
        <w:t>korespondujícího</w:t>
      </w:r>
      <w:r w:rsidR="00AB18C7">
        <w:t xml:space="preserve"> přestupku.</w:t>
      </w:r>
    </w:p>
    <w:p w14:paraId="3295D823" w14:textId="53F4247C" w:rsidR="00AB18C7" w:rsidRPr="00387AFF" w:rsidRDefault="00AB18C7" w:rsidP="003610A5">
      <w:pPr>
        <w:rPr>
          <w:u w:val="single"/>
        </w:rPr>
      </w:pPr>
      <w:r w:rsidRPr="00387AFF">
        <w:rPr>
          <w:u w:val="single"/>
        </w:rPr>
        <w:t>Zmírnění rizika legalizace výnosů z trestné činnosti</w:t>
      </w:r>
    </w:p>
    <w:p w14:paraId="58288249" w14:textId="7D92BCF8" w:rsidR="00AB18C7" w:rsidRPr="00F97DE3" w:rsidRDefault="00442257" w:rsidP="003610A5">
      <w:r>
        <w:t xml:space="preserve">Kritérium testuje </w:t>
      </w:r>
      <w:r w:rsidR="00BA31BD">
        <w:t>vari</w:t>
      </w:r>
      <w:r w:rsidR="00AB18C7">
        <w:t>a</w:t>
      </w:r>
      <w:r w:rsidR="00BA31BD">
        <w:t>n</w:t>
      </w:r>
      <w:r w:rsidR="00AB18C7">
        <w:t>ty z hlediska jejich vlivu na prevenci legalizace výnosů z t</w:t>
      </w:r>
      <w:r w:rsidR="00BA31BD">
        <w:t>r</w:t>
      </w:r>
      <w:r w:rsidR="00AB18C7">
        <w:t>estné činnosti a financování terorismu</w:t>
      </w:r>
      <w:r w:rsidR="009F69DB">
        <w:t>. Převozy hotovosti jsou cestou, jak pachatelé trestné činnosti mohou výnosy z ní plynoucí izolovat od místa jejího páchání, a tak se vyhnout jejich vypátrání a odčerpání.</w:t>
      </w:r>
    </w:p>
    <w:p w14:paraId="7030F612" w14:textId="1D92ECE4" w:rsidR="00597D3B" w:rsidRPr="00F97DE3" w:rsidRDefault="00597D3B" w:rsidP="00F97DE3">
      <w:pPr>
        <w:pStyle w:val="Nadpis2"/>
      </w:pPr>
      <w:r w:rsidRPr="00F97DE3">
        <w:t>Vyhodnocení variant</w:t>
      </w:r>
    </w:p>
    <w:p w14:paraId="215D1457" w14:textId="0E7F7A05" w:rsidR="00597D3B" w:rsidRPr="00F97DE3" w:rsidRDefault="00597D3B" w:rsidP="00F97DE3">
      <w:pPr>
        <w:pStyle w:val="Nadpis3"/>
      </w:pPr>
      <w:r w:rsidRPr="00F97DE3">
        <w:t xml:space="preserve">Varianta </w:t>
      </w:r>
      <w:r w:rsidR="00FC2507" w:rsidRPr="00F97DE3">
        <w:t>0</w:t>
      </w:r>
      <w:r w:rsidR="00FC2507">
        <w:t> </w:t>
      </w:r>
      <w:r w:rsidRPr="00F97DE3">
        <w:t>– Zachování současného stavu</w:t>
      </w:r>
    </w:p>
    <w:p w14:paraId="5352591F" w14:textId="56BEEB6F" w:rsidR="00A617E8" w:rsidRDefault="00A617E8" w:rsidP="00A617E8">
      <w:pPr>
        <w:rPr>
          <w:u w:val="single"/>
        </w:rPr>
      </w:pPr>
      <w:r w:rsidRPr="00B610D6">
        <w:rPr>
          <w:u w:val="single"/>
        </w:rPr>
        <w:t>Soulad s doporučením FATF č. 32</w:t>
      </w:r>
    </w:p>
    <w:p w14:paraId="755AF636" w14:textId="23C4CD4E" w:rsidR="00A617E8" w:rsidRPr="00387AFF" w:rsidRDefault="00A617E8" w:rsidP="00A617E8">
      <w:r>
        <w:t>Varianta 0 je v rozporu s doporučením FATF č. 32.</w:t>
      </w:r>
    </w:p>
    <w:p w14:paraId="1931DDD8" w14:textId="72A41574" w:rsidR="00A617E8" w:rsidRDefault="00A617E8" w:rsidP="00A617E8">
      <w:pPr>
        <w:rPr>
          <w:u w:val="single"/>
        </w:rPr>
      </w:pPr>
      <w:r w:rsidRPr="00B610D6">
        <w:rPr>
          <w:u w:val="single"/>
        </w:rPr>
        <w:t>Náklady na straně osob převážejících nadlimitní objemy hotovosti</w:t>
      </w:r>
    </w:p>
    <w:p w14:paraId="1BD7E8F9" w14:textId="56BAFE8F" w:rsidR="00A617E8" w:rsidRPr="00387AFF" w:rsidRDefault="00A617E8" w:rsidP="00A617E8">
      <w:r w:rsidRPr="00387AFF">
        <w:t xml:space="preserve">Varianta </w:t>
      </w:r>
      <w:r>
        <w:t>osobám převážejícím hotovost nepřinese žádné náklady.</w:t>
      </w:r>
    </w:p>
    <w:p w14:paraId="29186A4E" w14:textId="202012CE" w:rsidR="00A617E8" w:rsidRDefault="00A617E8" w:rsidP="00A617E8">
      <w:r w:rsidRPr="00B610D6">
        <w:rPr>
          <w:u w:val="single"/>
        </w:rPr>
        <w:t>Náklady na veřejné rozpočty¨</w:t>
      </w:r>
    </w:p>
    <w:p w14:paraId="097E3318" w14:textId="5F40C76D" w:rsidR="00A617E8" w:rsidRPr="00387AFF" w:rsidRDefault="00A617E8" w:rsidP="00A617E8">
      <w:r>
        <w:t>Varianta 0 ne</w:t>
      </w:r>
      <w:r w:rsidR="00BA31BD">
        <w:t>přinese veřejným rozpočtům v souvisl</w:t>
      </w:r>
      <w:r>
        <w:t>o</w:t>
      </w:r>
      <w:r w:rsidR="00BA31BD">
        <w:t>s</w:t>
      </w:r>
      <w:r>
        <w:t>ti s výkonem kontroly nad plněním povinností na úseku převozů hotovosti a projednáváním souvisejícího přestupku žádné náklady.</w:t>
      </w:r>
    </w:p>
    <w:p w14:paraId="28B30D13" w14:textId="27F8AD6D" w:rsidR="00A617E8" w:rsidRDefault="00A617E8" w:rsidP="00A617E8">
      <w:pPr>
        <w:rPr>
          <w:u w:val="single"/>
        </w:rPr>
      </w:pPr>
      <w:r w:rsidRPr="00B610D6">
        <w:rPr>
          <w:u w:val="single"/>
        </w:rPr>
        <w:t>Zmírnění rizika legalizace výnosů z trestné činnosti</w:t>
      </w:r>
    </w:p>
    <w:p w14:paraId="0A220225" w14:textId="1CC41E1C" w:rsidR="00A617E8" w:rsidRPr="00387AFF" w:rsidRDefault="00BA31BD" w:rsidP="00A617E8">
      <w:r w:rsidRPr="00A14EC5">
        <w:t>Vari</w:t>
      </w:r>
      <w:r w:rsidR="00A617E8" w:rsidRPr="00387AFF">
        <w:t>a</w:t>
      </w:r>
      <w:r>
        <w:t>n</w:t>
      </w:r>
      <w:r w:rsidR="00A617E8" w:rsidRPr="00387AFF">
        <w:t xml:space="preserve">ta 0 nijak nepřispěje </w:t>
      </w:r>
      <w:r w:rsidR="00A617E8">
        <w:t>k</w:t>
      </w:r>
      <w:r w:rsidR="00A617E8" w:rsidRPr="00387AFF">
        <w:t>e zmírnění rizika legalizace výnosů z trestné činnosti.</w:t>
      </w:r>
    </w:p>
    <w:p w14:paraId="203B5F24" w14:textId="59554715" w:rsidR="00597D3B" w:rsidRPr="00F97DE3" w:rsidRDefault="00597D3B" w:rsidP="00A617E8">
      <w:pPr>
        <w:pStyle w:val="Nadpis3"/>
      </w:pPr>
      <w:r w:rsidRPr="00F97DE3">
        <w:t xml:space="preserve">Varianta </w:t>
      </w:r>
      <w:r w:rsidR="00FC2507" w:rsidRPr="00F97DE3">
        <w:t>1</w:t>
      </w:r>
      <w:r w:rsidR="00FC2507">
        <w:t> </w:t>
      </w:r>
      <w:r w:rsidRPr="00F97DE3">
        <w:t xml:space="preserve">– </w:t>
      </w:r>
      <w:r w:rsidR="00A617E8" w:rsidRPr="00A617E8">
        <w:t>Deklarační systém</w:t>
      </w:r>
    </w:p>
    <w:p w14:paraId="49CD5BA5" w14:textId="77777777" w:rsidR="00A617E8" w:rsidRDefault="00A617E8" w:rsidP="00A617E8">
      <w:pPr>
        <w:rPr>
          <w:u w:val="single"/>
        </w:rPr>
      </w:pPr>
      <w:r w:rsidRPr="00B610D6">
        <w:rPr>
          <w:u w:val="single"/>
        </w:rPr>
        <w:t>Soulad s doporučením FATF č. 32</w:t>
      </w:r>
    </w:p>
    <w:p w14:paraId="6641A806" w14:textId="68AB0541" w:rsidR="00A617E8" w:rsidRPr="00822002" w:rsidRDefault="00A617E8" w:rsidP="00A617E8">
      <w:r>
        <w:t>Varianta 1 je plně v souladu s doporučením FATF č. 32.</w:t>
      </w:r>
    </w:p>
    <w:p w14:paraId="7FD7DB46" w14:textId="77777777" w:rsidR="00A617E8" w:rsidRDefault="00A617E8" w:rsidP="00A617E8">
      <w:pPr>
        <w:rPr>
          <w:u w:val="single"/>
        </w:rPr>
      </w:pPr>
      <w:r w:rsidRPr="00B610D6">
        <w:rPr>
          <w:u w:val="single"/>
        </w:rPr>
        <w:t>Náklady na straně osob převážejících nadlimitní objemy hotovosti</w:t>
      </w:r>
    </w:p>
    <w:p w14:paraId="1703F841" w14:textId="44CCD08A" w:rsidR="00A617E8" w:rsidRPr="00822002" w:rsidRDefault="00A617E8" w:rsidP="00A617E8">
      <w:r w:rsidRPr="00822002">
        <w:t>Varianta</w:t>
      </w:r>
      <w:r>
        <w:t xml:space="preserve"> 1</w:t>
      </w:r>
      <w:r w:rsidRPr="00822002">
        <w:t xml:space="preserve"> </w:t>
      </w:r>
      <w:r w:rsidR="001A7D73">
        <w:t xml:space="preserve">všem </w:t>
      </w:r>
      <w:r>
        <w:t>osobám převážejícím hotovost přinese náklady v podobě nutnosti vyplňovat příslušný formulář s informacemi o převozu.</w:t>
      </w:r>
    </w:p>
    <w:p w14:paraId="0E5797C7" w14:textId="38DE9914" w:rsidR="00A617E8" w:rsidRDefault="00A617E8" w:rsidP="00A617E8">
      <w:r w:rsidRPr="00B610D6">
        <w:rPr>
          <w:u w:val="single"/>
        </w:rPr>
        <w:lastRenderedPageBreak/>
        <w:t>Náklady na veřejné rozpočty</w:t>
      </w:r>
    </w:p>
    <w:p w14:paraId="51666FAE" w14:textId="54EE04C3" w:rsidR="00A617E8" w:rsidRPr="00822002" w:rsidRDefault="00A617E8" w:rsidP="00A617E8">
      <w:r>
        <w:t xml:space="preserve">Varianta </w:t>
      </w:r>
      <w:r w:rsidR="001A7D73">
        <w:t xml:space="preserve">1 </w:t>
      </w:r>
      <w:r>
        <w:t>přinese veřejným rozpočtům v </w:t>
      </w:r>
      <w:r w:rsidR="001A7D73">
        <w:t>souvisl</w:t>
      </w:r>
      <w:r>
        <w:t>o</w:t>
      </w:r>
      <w:r w:rsidR="001A7D73">
        <w:t>s</w:t>
      </w:r>
      <w:r>
        <w:t xml:space="preserve">ti s výkonem kontroly nad plněním povinností na úseku převozů hotovosti a projednáváním </w:t>
      </w:r>
      <w:r w:rsidR="00BA31BD">
        <w:t>korespondujícího</w:t>
      </w:r>
      <w:r>
        <w:t xml:space="preserve"> přestupku </w:t>
      </w:r>
      <w:r w:rsidR="00507DE1">
        <w:t xml:space="preserve">nejvyšší </w:t>
      </w:r>
      <w:r>
        <w:t>náklady.</w:t>
      </w:r>
      <w:r w:rsidR="00BA31BD">
        <w:t xml:space="preserve"> Ty v </w:t>
      </w:r>
      <w:r w:rsidR="001A7D73">
        <w:t>širším smyslu toto zahrnuj</w:t>
      </w:r>
      <w:r w:rsidR="00BA31BD">
        <w:t>í</w:t>
      </w:r>
      <w:r w:rsidR="001A7D73">
        <w:t xml:space="preserve"> i náklady na vznik a provozování systému pro sběr deklaračních formulářů. </w:t>
      </w:r>
      <w:r w:rsidR="00C84EC4">
        <w:t>Podle kvalifikovaného odhadu FAÚ by se náklady na veřejné rozpočty vážící se ke vzniku systému pohybovaly kolem částky 10 000 000 Kč a na jeho údržbu ve výši kolem 200 000 Kč za rok.</w:t>
      </w:r>
    </w:p>
    <w:p w14:paraId="61D73D80" w14:textId="77777777" w:rsidR="00A617E8" w:rsidRDefault="00A617E8" w:rsidP="00A617E8">
      <w:pPr>
        <w:rPr>
          <w:u w:val="single"/>
        </w:rPr>
      </w:pPr>
      <w:r w:rsidRPr="00B610D6">
        <w:rPr>
          <w:u w:val="single"/>
        </w:rPr>
        <w:t>Zmírnění rizika legalizace výnosů z trestné činnosti</w:t>
      </w:r>
    </w:p>
    <w:p w14:paraId="195F48CB" w14:textId="13728229" w:rsidR="00A617E8" w:rsidRDefault="00A617E8" w:rsidP="00A617E8">
      <w:r w:rsidRPr="00822002">
        <w:t>V</w:t>
      </w:r>
      <w:r w:rsidR="001A7D73">
        <w:t>ari</w:t>
      </w:r>
      <w:r w:rsidRPr="00822002">
        <w:t>a</w:t>
      </w:r>
      <w:r w:rsidR="001A7D73">
        <w:t>n</w:t>
      </w:r>
      <w:r w:rsidRPr="00822002">
        <w:t xml:space="preserve">ta </w:t>
      </w:r>
      <w:r w:rsidR="001A7D73">
        <w:t>1</w:t>
      </w:r>
      <w:r w:rsidRPr="00822002">
        <w:t xml:space="preserve"> </w:t>
      </w:r>
      <w:r w:rsidR="001A7D73">
        <w:t>nejvíce přispívá</w:t>
      </w:r>
      <w:r w:rsidRPr="00822002">
        <w:t xml:space="preserve"> </w:t>
      </w:r>
      <w:r>
        <w:t>k</w:t>
      </w:r>
      <w:r w:rsidRPr="00822002">
        <w:t>e zmírnění rizika legalizace výnosů z trestné činnosti.</w:t>
      </w:r>
      <w:r w:rsidR="001A7D73">
        <w:t xml:space="preserve"> Kromě odhalení převozů hotovosti pocházející z trestné činnosti totiž rovněž umožní sledovat trendy v přeshraničním toku legální hotovosti, což je </w:t>
      </w:r>
      <w:r w:rsidR="00851864">
        <w:t>užitečný</w:t>
      </w:r>
      <w:r w:rsidR="001A7D73">
        <w:t xml:space="preserve"> vstup pro provádění strategické analýzy finanční zpravodajské jednoty.</w:t>
      </w:r>
    </w:p>
    <w:p w14:paraId="209D0E66" w14:textId="3AE46264" w:rsidR="001A7D73" w:rsidRPr="00F97DE3" w:rsidRDefault="001A7D73" w:rsidP="001A7D73">
      <w:pPr>
        <w:pStyle w:val="Nadpis3"/>
      </w:pPr>
      <w:r w:rsidRPr="00F97DE3">
        <w:t xml:space="preserve">Varianta </w:t>
      </w:r>
      <w:r>
        <w:t>2 </w:t>
      </w:r>
      <w:r w:rsidRPr="00F97DE3">
        <w:t xml:space="preserve">– </w:t>
      </w:r>
      <w:r w:rsidR="00F5075B">
        <w:t>Ohlašovací</w:t>
      </w:r>
      <w:r w:rsidR="00F5075B" w:rsidRPr="00A617E8">
        <w:t xml:space="preserve"> </w:t>
      </w:r>
      <w:r w:rsidRPr="00A617E8">
        <w:t>systém</w:t>
      </w:r>
    </w:p>
    <w:p w14:paraId="443E1527" w14:textId="77777777" w:rsidR="001A7D73" w:rsidRDefault="001A7D73" w:rsidP="001A7D73">
      <w:pPr>
        <w:rPr>
          <w:u w:val="single"/>
        </w:rPr>
      </w:pPr>
      <w:r w:rsidRPr="00B610D6">
        <w:rPr>
          <w:u w:val="single"/>
        </w:rPr>
        <w:t>Soulad s doporučením FATF č. 32</w:t>
      </w:r>
    </w:p>
    <w:p w14:paraId="1CBE588E" w14:textId="128E76C7" w:rsidR="001A7D73" w:rsidRPr="00822002" w:rsidRDefault="001A7D73" w:rsidP="001A7D73">
      <w:r>
        <w:t xml:space="preserve">Varianta </w:t>
      </w:r>
      <w:r w:rsidR="002627D0">
        <w:t>2</w:t>
      </w:r>
      <w:r>
        <w:t xml:space="preserve"> je plně v souladu s doporučením FATF č. 32.</w:t>
      </w:r>
    </w:p>
    <w:p w14:paraId="4D57FBD4" w14:textId="77777777" w:rsidR="001A7D73" w:rsidRDefault="001A7D73" w:rsidP="001A7D73">
      <w:pPr>
        <w:rPr>
          <w:u w:val="single"/>
        </w:rPr>
      </w:pPr>
      <w:r w:rsidRPr="00B610D6">
        <w:rPr>
          <w:u w:val="single"/>
        </w:rPr>
        <w:t>Náklady na straně osob převážejících nadlimitní objemy hotovosti</w:t>
      </w:r>
    </w:p>
    <w:p w14:paraId="6F0A73F8" w14:textId="519070FC" w:rsidR="002627D0" w:rsidRDefault="001A7D73" w:rsidP="001A7D73">
      <w:r w:rsidRPr="00822002">
        <w:t>Varianta</w:t>
      </w:r>
      <w:r>
        <w:t xml:space="preserve"> </w:t>
      </w:r>
      <w:r w:rsidR="002627D0">
        <w:t>2</w:t>
      </w:r>
      <w:r w:rsidRPr="00822002">
        <w:t xml:space="preserve"> </w:t>
      </w:r>
      <w:r w:rsidR="002627D0">
        <w:t xml:space="preserve">přinese náklady na poskytnutí informace o převozu hotovosti jen </w:t>
      </w:r>
      <w:r w:rsidR="00D450D6">
        <w:t xml:space="preserve">těm osobám převážejícím nadlimitní hotovost, které o ni budou příslušným orgánem požádány. Jelikož je </w:t>
      </w:r>
      <w:r w:rsidR="00F5075B">
        <w:t xml:space="preserve">ohlašovací </w:t>
      </w:r>
      <w:r w:rsidR="00D450D6">
        <w:t>systém založen na rizikově orientovaném přístupu, lze očekávat, že ve srovnání s variantou 1 bude řádově vyšší podíl osob převážet nelegální hotovost. Stejně tak lze očekávat, že celkový počet osob, jež budou informaci poskytovat, bude řádově nižší než u deklarační varianty založené na plošnosti. Celkový počet těchto osob bude odvislý od diskrece příslušného orgánu</w:t>
      </w:r>
      <w:r w:rsidR="004028C4">
        <w:t xml:space="preserve">, odrážející míru priority </w:t>
      </w:r>
      <w:r w:rsidR="00851864">
        <w:t>přiřčené této agendě</w:t>
      </w:r>
      <w:r w:rsidR="00D450D6">
        <w:t xml:space="preserve">. </w:t>
      </w:r>
      <w:r w:rsidR="00851864">
        <w:t>Při plném uplatnění přísně rizikově orientovaného přístupu l</w:t>
      </w:r>
      <w:r w:rsidR="00D450D6">
        <w:t xml:space="preserve">ze očekávat, že nepřesáhne </w:t>
      </w:r>
      <w:r w:rsidR="00851864">
        <w:t>365 osob za rok (zde je vycházeno z průměrného dotazování jedné osoby za den).</w:t>
      </w:r>
      <w:r w:rsidR="00D450D6">
        <w:t xml:space="preserve"> </w:t>
      </w:r>
    </w:p>
    <w:p w14:paraId="0D7399A6" w14:textId="4EA37778" w:rsidR="001A7D73" w:rsidRDefault="001A7D73" w:rsidP="001A7D73">
      <w:r w:rsidRPr="00B610D6">
        <w:rPr>
          <w:u w:val="single"/>
        </w:rPr>
        <w:t>Náklady na veřejné rozpočty</w:t>
      </w:r>
    </w:p>
    <w:p w14:paraId="41CAC562" w14:textId="77777777" w:rsidR="00C84EC4" w:rsidRPr="00822002" w:rsidRDefault="00C84EC4" w:rsidP="00C84EC4">
      <w:r>
        <w:t xml:space="preserve">Varianta 2 přinese veřejným rozpočtům v souvislosti s výkonem kontroly nad plněním povinností na úseku převozů hotovosti a projednáváním souvisejícího přestupku nejnižší náklady. V zásadě lze tuto variantu v praxi redukovat jen na novou pravomoc příslušného orgánu, bez nutnosti vytváření jakéhokoli nového informačního systému či systému pro fyzický sběr formulářů, jako je tomu u varianty 1. Výhodou rovněž je skutečnost, že náklady jsou na rozdíl od varianty 1, u níž se odvíjejí od (neovlivnitelného) počtu osob, jež převážejí nadlimitní hotovost, odvislé od míry priority, kterou příslušný orgán této agendě přisoudí. Lze je tedy diferencovat mimo jiné podle rozpočtových zdrojů. Nelze pominou ani skutečnost, že vysoký podíl osob porušujících povinnost poskytnout informaci o převozu (což v daném kontextu indikuje převoz nelegální hotovosti) na celkovém počtu dotázaných osob přináší rovněž relevantní rozpočtové příjmy v podobě vybraných pokut, respektive odčerpaných výnosů z trestné činnosti. Při minimalistickém pojetí této varianty, počítajícím s tím, že nová pravomoc bude vykonávána pouze jako doplněk uplatnění jiné pravomoci, lze kvalifikovaně odhadnout, že dopady této varianty na veřejné rozpočty budou nulové. </w:t>
      </w:r>
    </w:p>
    <w:p w14:paraId="196F9CEF" w14:textId="77777777" w:rsidR="001A7D73" w:rsidRDefault="001A7D73" w:rsidP="001A7D73">
      <w:pPr>
        <w:rPr>
          <w:u w:val="single"/>
        </w:rPr>
      </w:pPr>
      <w:r w:rsidRPr="00B610D6">
        <w:rPr>
          <w:u w:val="single"/>
        </w:rPr>
        <w:lastRenderedPageBreak/>
        <w:t>Zmírnění rizika legalizace výnosů z trestné činnosti</w:t>
      </w:r>
    </w:p>
    <w:p w14:paraId="69E44EDE" w14:textId="2258EEE7" w:rsidR="001A7D73" w:rsidRPr="00822002" w:rsidRDefault="001A7D73" w:rsidP="001A7D73">
      <w:r w:rsidRPr="00822002">
        <w:t>V</w:t>
      </w:r>
      <w:r>
        <w:t>ari</w:t>
      </w:r>
      <w:r w:rsidRPr="00822002">
        <w:t>a</w:t>
      </w:r>
      <w:r>
        <w:t>n</w:t>
      </w:r>
      <w:r w:rsidRPr="00822002">
        <w:t xml:space="preserve">ta </w:t>
      </w:r>
      <w:r w:rsidR="004028C4">
        <w:t>2</w:t>
      </w:r>
      <w:r w:rsidRPr="00822002">
        <w:t xml:space="preserve"> </w:t>
      </w:r>
      <w:r>
        <w:t>přispívá</w:t>
      </w:r>
      <w:r w:rsidRPr="00822002">
        <w:t xml:space="preserve"> </w:t>
      </w:r>
      <w:r>
        <w:t>k</w:t>
      </w:r>
      <w:r w:rsidRPr="00822002">
        <w:t>e zmírnění rizika legalizace výnosů z trestné činnost</w:t>
      </w:r>
      <w:r w:rsidR="003107C1">
        <w:t xml:space="preserve"> méně než varianta</w:t>
      </w:r>
      <w:r w:rsidR="004028C4">
        <w:t xml:space="preserve"> 1, nicméně s ohledem na uplatnění rizikově orientovaného přístupu není rozdíl mezi těmito dvěma variantami markantní. </w:t>
      </w:r>
    </w:p>
    <w:p w14:paraId="4B43D2F2" w14:textId="77777777" w:rsidR="00510203" w:rsidRPr="00F97DE3" w:rsidRDefault="00C114A2" w:rsidP="00F97DE3">
      <w:pPr>
        <w:pStyle w:val="Nadpis1"/>
      </w:pPr>
      <w:bookmarkStart w:id="23" w:name="_Toc145865714"/>
      <w:bookmarkStart w:id="24" w:name="_Toc145865715"/>
      <w:bookmarkStart w:id="25" w:name="_Toc145865716"/>
      <w:bookmarkStart w:id="26" w:name="_Toc145865717"/>
      <w:bookmarkStart w:id="27" w:name="_Toc145865718"/>
      <w:bookmarkStart w:id="28" w:name="_Toc145865719"/>
      <w:bookmarkStart w:id="29" w:name="_Toc112443821"/>
      <w:bookmarkStart w:id="30" w:name="_Toc112443874"/>
      <w:bookmarkStart w:id="31" w:name="_Toc112443822"/>
      <w:bookmarkStart w:id="32" w:name="_Toc112443875"/>
      <w:bookmarkStart w:id="33" w:name="_Toc507763889"/>
      <w:bookmarkStart w:id="34" w:name="_Toc507763890"/>
      <w:bookmarkStart w:id="35" w:name="_Toc507763891"/>
      <w:bookmarkStart w:id="36" w:name="_Toc507763892"/>
      <w:bookmarkStart w:id="37" w:name="_Toc11698013"/>
      <w:bookmarkStart w:id="38" w:name="_Toc487"/>
      <w:bookmarkStart w:id="39" w:name="_Toc146204870"/>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F97DE3">
        <w:t>Stanovení pořadí variant a výběr nejvhodnějšího řešení</w:t>
      </w:r>
      <w:bookmarkEnd w:id="37"/>
      <w:bookmarkEnd w:id="38"/>
      <w:bookmarkEnd w:id="39"/>
    </w:p>
    <w:p w14:paraId="04005998" w14:textId="77777777" w:rsidR="00510203" w:rsidRPr="00F97DE3" w:rsidRDefault="00C114A2">
      <w:pPr>
        <w:keepNext/>
      </w:pPr>
      <w:r w:rsidRPr="00F97DE3">
        <w:t>Níže uvedená tabulka je grafickým přehledem vyhodnocení variant, které byly zpracovávány v předchozí kapitole</w:t>
      </w:r>
      <w:r w:rsidR="00DD3FD5" w:rsidRPr="00F97DE3">
        <w:t>.</w:t>
      </w:r>
    </w:p>
    <w:p w14:paraId="1C79E13B" w14:textId="34D16B15" w:rsidR="00510203" w:rsidRPr="00F97DE3" w:rsidRDefault="00C114A2">
      <w:pPr>
        <w:pStyle w:val="Titulek"/>
        <w:keepNext/>
      </w:pPr>
      <w:r w:rsidRPr="00F97DE3">
        <w:t xml:space="preserve">Tabulka </w:t>
      </w:r>
      <w:r w:rsidR="00AB594C">
        <w:fldChar w:fldCharType="begin"/>
      </w:r>
      <w:r w:rsidR="00AB594C">
        <w:instrText xml:space="preserve"> SEQ Tabulka \* ARABIC </w:instrText>
      </w:r>
      <w:r w:rsidR="00AB594C">
        <w:fldChar w:fldCharType="separate"/>
      </w:r>
      <w:r w:rsidR="00676F8F">
        <w:rPr>
          <w:noProof/>
        </w:rPr>
        <w:t>1</w:t>
      </w:r>
      <w:r w:rsidR="00AB594C">
        <w:rPr>
          <w:noProof/>
        </w:rPr>
        <w:fldChar w:fldCharType="end"/>
      </w:r>
      <w:r w:rsidRPr="00F97DE3">
        <w:t xml:space="preserve"> - Vyhodnocení navržených variant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633"/>
        <w:gridCol w:w="1633"/>
        <w:gridCol w:w="2173"/>
        <w:gridCol w:w="2173"/>
      </w:tblGrid>
      <w:tr w:rsidR="004028C4" w:rsidRPr="00F97DE3" w14:paraId="391D1CE7" w14:textId="32E0640F" w:rsidTr="00387AFF">
        <w:trPr>
          <w:trHeight w:val="283"/>
        </w:trPr>
        <w:tc>
          <w:tcPr>
            <w:tcW w:w="800" w:type="pct"/>
            <w:shd w:val="clear" w:color="auto" w:fill="auto"/>
          </w:tcPr>
          <w:p w14:paraId="0AC25314" w14:textId="77777777" w:rsidR="004028C4" w:rsidRPr="00F97DE3" w:rsidRDefault="004028C4" w:rsidP="00341C83">
            <w:pPr>
              <w:pStyle w:val="Tabulka"/>
            </w:pPr>
            <w:bookmarkStart w:id="40" w:name="_Toc11698014"/>
            <w:bookmarkStart w:id="41" w:name="_Toc21247"/>
          </w:p>
        </w:tc>
        <w:tc>
          <w:tcPr>
            <w:tcW w:w="901" w:type="pct"/>
          </w:tcPr>
          <w:p w14:paraId="5BF9D40C" w14:textId="4951C769" w:rsidR="004028C4" w:rsidRPr="00F97DE3" w:rsidRDefault="004028C4" w:rsidP="00341C83">
            <w:pPr>
              <w:pStyle w:val="Tabulka"/>
            </w:pPr>
            <w:r w:rsidRPr="004028C4">
              <w:t>Soulad s doporučením FATF č. 32</w:t>
            </w:r>
          </w:p>
        </w:tc>
        <w:tc>
          <w:tcPr>
            <w:tcW w:w="901" w:type="pct"/>
            <w:shd w:val="clear" w:color="auto" w:fill="auto"/>
          </w:tcPr>
          <w:p w14:paraId="1A48A987" w14:textId="68607B49" w:rsidR="004028C4" w:rsidRPr="00F97DE3" w:rsidRDefault="004028C4" w:rsidP="008E49D8">
            <w:pPr>
              <w:pStyle w:val="Tabulka"/>
            </w:pPr>
            <w:r w:rsidRPr="004028C4">
              <w:t>Náklady na straně osob převážejících nadlimitní objemy hotovosti</w:t>
            </w:r>
          </w:p>
        </w:tc>
        <w:tc>
          <w:tcPr>
            <w:tcW w:w="1199" w:type="pct"/>
          </w:tcPr>
          <w:p w14:paraId="709C595C" w14:textId="58669A67" w:rsidR="004028C4" w:rsidRPr="00F97DE3" w:rsidRDefault="004028C4" w:rsidP="00341C83">
            <w:pPr>
              <w:pStyle w:val="Tabulka"/>
            </w:pPr>
            <w:r w:rsidRPr="004028C4">
              <w:t>Náklady na veřejné rozpočty</w:t>
            </w:r>
          </w:p>
        </w:tc>
        <w:tc>
          <w:tcPr>
            <w:tcW w:w="1199" w:type="pct"/>
          </w:tcPr>
          <w:p w14:paraId="656B4FD7" w14:textId="014306F4" w:rsidR="004028C4" w:rsidRPr="00A14EC5" w:rsidRDefault="004028C4" w:rsidP="00341C83">
            <w:pPr>
              <w:pStyle w:val="Tabulka"/>
            </w:pPr>
            <w:r w:rsidRPr="00387AFF">
              <w:t>Zmírnění rizika legalizace výnosů z trestné činnosti</w:t>
            </w:r>
          </w:p>
        </w:tc>
      </w:tr>
      <w:tr w:rsidR="004028C4" w:rsidRPr="00F97DE3" w14:paraId="0F5ECC49" w14:textId="60E2D461" w:rsidTr="00387AFF">
        <w:trPr>
          <w:trHeight w:val="283"/>
        </w:trPr>
        <w:tc>
          <w:tcPr>
            <w:tcW w:w="800" w:type="pct"/>
            <w:shd w:val="clear" w:color="auto" w:fill="auto"/>
          </w:tcPr>
          <w:p w14:paraId="2CEA94C6" w14:textId="77777777" w:rsidR="004028C4" w:rsidRPr="00F97DE3" w:rsidRDefault="004028C4" w:rsidP="00341C83">
            <w:pPr>
              <w:pStyle w:val="Tabulka"/>
            </w:pPr>
            <w:r w:rsidRPr="00F97DE3">
              <w:t>Varianta 0</w:t>
            </w:r>
          </w:p>
        </w:tc>
        <w:tc>
          <w:tcPr>
            <w:tcW w:w="901" w:type="pct"/>
          </w:tcPr>
          <w:p w14:paraId="3E5A3504" w14:textId="733E370F" w:rsidR="004028C4" w:rsidRPr="00F97DE3" w:rsidRDefault="00637432" w:rsidP="00341C83">
            <w:pPr>
              <w:pStyle w:val="Tabulka"/>
            </w:pPr>
            <w:r>
              <w:t>0</w:t>
            </w:r>
          </w:p>
        </w:tc>
        <w:tc>
          <w:tcPr>
            <w:tcW w:w="901" w:type="pct"/>
            <w:shd w:val="clear" w:color="auto" w:fill="auto"/>
          </w:tcPr>
          <w:p w14:paraId="25B0A010" w14:textId="34D32BE4" w:rsidR="004028C4" w:rsidRPr="00F97DE3" w:rsidRDefault="00637432" w:rsidP="00341C83">
            <w:pPr>
              <w:pStyle w:val="Tabulka"/>
            </w:pPr>
            <w:r>
              <w:t>3</w:t>
            </w:r>
          </w:p>
        </w:tc>
        <w:tc>
          <w:tcPr>
            <w:tcW w:w="1199" w:type="pct"/>
          </w:tcPr>
          <w:p w14:paraId="03F955D7" w14:textId="2447A3F8" w:rsidR="004028C4" w:rsidRPr="00F97DE3" w:rsidRDefault="00637432" w:rsidP="00341C83">
            <w:pPr>
              <w:pStyle w:val="Tabulka"/>
            </w:pPr>
            <w:r>
              <w:t>3</w:t>
            </w:r>
          </w:p>
        </w:tc>
        <w:tc>
          <w:tcPr>
            <w:tcW w:w="1199" w:type="pct"/>
          </w:tcPr>
          <w:p w14:paraId="78FA6EF1" w14:textId="2B3A5ACC" w:rsidR="004028C4" w:rsidRPr="00F97DE3" w:rsidRDefault="00637432" w:rsidP="00341C83">
            <w:pPr>
              <w:pStyle w:val="Tabulka"/>
            </w:pPr>
            <w:r>
              <w:t>0</w:t>
            </w:r>
          </w:p>
        </w:tc>
      </w:tr>
      <w:tr w:rsidR="004028C4" w:rsidRPr="00F97DE3" w14:paraId="7709BB51" w14:textId="3A7F0E5C" w:rsidTr="00387AFF">
        <w:trPr>
          <w:trHeight w:val="283"/>
        </w:trPr>
        <w:tc>
          <w:tcPr>
            <w:tcW w:w="800" w:type="pct"/>
            <w:shd w:val="clear" w:color="auto" w:fill="auto"/>
          </w:tcPr>
          <w:p w14:paraId="42CFC251" w14:textId="77777777" w:rsidR="004028C4" w:rsidRPr="00F97DE3" w:rsidRDefault="004028C4" w:rsidP="00341C83">
            <w:pPr>
              <w:pStyle w:val="Tabulka"/>
            </w:pPr>
            <w:r w:rsidRPr="00F97DE3">
              <w:t>Varianta 1</w:t>
            </w:r>
          </w:p>
        </w:tc>
        <w:tc>
          <w:tcPr>
            <w:tcW w:w="901" w:type="pct"/>
          </w:tcPr>
          <w:p w14:paraId="375E874D" w14:textId="6B6A2846" w:rsidR="004028C4" w:rsidRPr="00F97DE3" w:rsidRDefault="00637432" w:rsidP="00341C83">
            <w:pPr>
              <w:pStyle w:val="Tabulka"/>
            </w:pPr>
            <w:r>
              <w:t>3</w:t>
            </w:r>
          </w:p>
        </w:tc>
        <w:tc>
          <w:tcPr>
            <w:tcW w:w="901" w:type="pct"/>
            <w:shd w:val="clear" w:color="auto" w:fill="auto"/>
          </w:tcPr>
          <w:p w14:paraId="407961B3" w14:textId="6297F4B2" w:rsidR="004028C4" w:rsidRPr="00F97DE3" w:rsidRDefault="00637432" w:rsidP="00341C83">
            <w:pPr>
              <w:pStyle w:val="Tabulka"/>
            </w:pPr>
            <w:r>
              <w:t>2</w:t>
            </w:r>
          </w:p>
        </w:tc>
        <w:tc>
          <w:tcPr>
            <w:tcW w:w="1199" w:type="pct"/>
          </w:tcPr>
          <w:p w14:paraId="0BA5E9DF" w14:textId="7A9346D3" w:rsidR="004028C4" w:rsidRPr="00F97DE3" w:rsidRDefault="00637432" w:rsidP="00341C83">
            <w:pPr>
              <w:pStyle w:val="Tabulka"/>
            </w:pPr>
            <w:r>
              <w:t>1</w:t>
            </w:r>
          </w:p>
        </w:tc>
        <w:tc>
          <w:tcPr>
            <w:tcW w:w="1199" w:type="pct"/>
          </w:tcPr>
          <w:p w14:paraId="3756AE2C" w14:textId="71A5ACA8" w:rsidR="004028C4" w:rsidRPr="00F97DE3" w:rsidRDefault="00637432" w:rsidP="00341C83">
            <w:pPr>
              <w:pStyle w:val="Tabulka"/>
            </w:pPr>
            <w:r>
              <w:t>3</w:t>
            </w:r>
          </w:p>
        </w:tc>
      </w:tr>
      <w:tr w:rsidR="004028C4" w:rsidRPr="00F97DE3" w14:paraId="329CF488" w14:textId="1364A428" w:rsidTr="00387AFF">
        <w:trPr>
          <w:trHeight w:val="283"/>
        </w:trPr>
        <w:tc>
          <w:tcPr>
            <w:tcW w:w="800" w:type="pct"/>
            <w:shd w:val="clear" w:color="auto" w:fill="auto"/>
          </w:tcPr>
          <w:p w14:paraId="774BD8D9" w14:textId="4E78A244" w:rsidR="004028C4" w:rsidRPr="00F97DE3" w:rsidRDefault="004028C4" w:rsidP="00341C83">
            <w:pPr>
              <w:pStyle w:val="Tabulka"/>
            </w:pPr>
            <w:r>
              <w:t>Varianta 2</w:t>
            </w:r>
          </w:p>
        </w:tc>
        <w:tc>
          <w:tcPr>
            <w:tcW w:w="901" w:type="pct"/>
          </w:tcPr>
          <w:p w14:paraId="33CAF94A" w14:textId="3036203B" w:rsidR="004028C4" w:rsidRPr="00F97DE3" w:rsidRDefault="00637432" w:rsidP="00341C83">
            <w:pPr>
              <w:pStyle w:val="Tabulka"/>
            </w:pPr>
            <w:r>
              <w:t>3</w:t>
            </w:r>
          </w:p>
        </w:tc>
        <w:tc>
          <w:tcPr>
            <w:tcW w:w="901" w:type="pct"/>
            <w:shd w:val="clear" w:color="auto" w:fill="auto"/>
          </w:tcPr>
          <w:p w14:paraId="0CCA5A7C" w14:textId="492B55C7" w:rsidR="004028C4" w:rsidRPr="00F97DE3" w:rsidRDefault="00637432" w:rsidP="00341C83">
            <w:pPr>
              <w:pStyle w:val="Tabulka"/>
            </w:pPr>
            <w:r>
              <w:t>3</w:t>
            </w:r>
          </w:p>
        </w:tc>
        <w:tc>
          <w:tcPr>
            <w:tcW w:w="1199" w:type="pct"/>
          </w:tcPr>
          <w:p w14:paraId="49FE0F47" w14:textId="45811394" w:rsidR="004028C4" w:rsidRPr="00F97DE3" w:rsidRDefault="00637432" w:rsidP="00341C83">
            <w:pPr>
              <w:pStyle w:val="Tabulka"/>
            </w:pPr>
            <w:r>
              <w:t>3</w:t>
            </w:r>
          </w:p>
        </w:tc>
        <w:tc>
          <w:tcPr>
            <w:tcW w:w="1199" w:type="pct"/>
          </w:tcPr>
          <w:p w14:paraId="16FA41AA" w14:textId="78612B3C" w:rsidR="004028C4" w:rsidRPr="00F97DE3" w:rsidRDefault="00637432" w:rsidP="00341C83">
            <w:pPr>
              <w:pStyle w:val="Tabulka"/>
            </w:pPr>
            <w:r>
              <w:t>2</w:t>
            </w:r>
          </w:p>
        </w:tc>
      </w:tr>
    </w:tbl>
    <w:p w14:paraId="4B64122E" w14:textId="77777777" w:rsidR="003938A5" w:rsidRPr="00F97DE3" w:rsidRDefault="003938A5" w:rsidP="003938A5"/>
    <w:p w14:paraId="591A3D03" w14:textId="7F10F7A5" w:rsidR="003938A5" w:rsidRPr="00F97DE3" w:rsidRDefault="003938A5" w:rsidP="003938A5">
      <w:r w:rsidRPr="00F97DE3">
        <w:t xml:space="preserve">Na základě vyhodnocení variant podle jednotlivých kritérií bylo zjištěno, že nejvhodnější variantou k realizaci je varianta </w:t>
      </w:r>
      <w:r w:rsidR="00637432">
        <w:t>2</w:t>
      </w:r>
      <w:r w:rsidR="00DD3FD5" w:rsidRPr="00F97DE3">
        <w:t>.</w:t>
      </w:r>
    </w:p>
    <w:p w14:paraId="5EA36ECF" w14:textId="77777777" w:rsidR="00510203" w:rsidRPr="00F97DE3" w:rsidRDefault="00C114A2" w:rsidP="00F97DE3">
      <w:pPr>
        <w:pStyle w:val="Nadpis1"/>
      </w:pPr>
      <w:bookmarkStart w:id="42" w:name="_Toc146204871"/>
      <w:r w:rsidRPr="00F97DE3">
        <w:t>Implementace doporučené varianty a vynucování</w:t>
      </w:r>
      <w:bookmarkEnd w:id="40"/>
      <w:bookmarkEnd w:id="41"/>
      <w:bookmarkEnd w:id="42"/>
    </w:p>
    <w:p w14:paraId="3EDEE96B" w14:textId="2A7CF89C" w:rsidR="00510203" w:rsidRPr="00F97DE3" w:rsidRDefault="003938A5">
      <w:r w:rsidRPr="00F97DE3">
        <w:t xml:space="preserve">Navrhovaná změna bude provedena formou novely </w:t>
      </w:r>
      <w:r w:rsidR="00853651" w:rsidRPr="00F97DE3">
        <w:t xml:space="preserve">AML </w:t>
      </w:r>
      <w:r w:rsidRPr="00F97DE3">
        <w:t xml:space="preserve">zákona. Orgánem odpovědným za implementaci bude především </w:t>
      </w:r>
      <w:r w:rsidR="00637432">
        <w:t xml:space="preserve">orgán vykonávající kontrolu a projednávající </w:t>
      </w:r>
      <w:r w:rsidR="003107C1">
        <w:t>korespondující</w:t>
      </w:r>
      <w:r w:rsidR="00637432">
        <w:t xml:space="preserve"> přestupek.</w:t>
      </w:r>
      <w:r w:rsidRPr="00F97DE3">
        <w:t xml:space="preserve"> Vynucování nově stanovených pravidel bude probíhat standardně </w:t>
      </w:r>
      <w:r w:rsidR="008D6B68">
        <w:t>postupem</w:t>
      </w:r>
      <w:r w:rsidR="00DD5701">
        <w:t xml:space="preserve"> pro místní šetření podle daňového řádu</w:t>
      </w:r>
      <w:r w:rsidRPr="00F97DE3">
        <w:t xml:space="preserve">. </w:t>
      </w:r>
    </w:p>
    <w:p w14:paraId="08AD8F22" w14:textId="77777777" w:rsidR="00510203" w:rsidRPr="00F97DE3" w:rsidRDefault="00C114A2" w:rsidP="00F97DE3">
      <w:pPr>
        <w:pStyle w:val="Nadpis1"/>
      </w:pPr>
      <w:bookmarkStart w:id="43" w:name="_Toc11698015"/>
      <w:bookmarkStart w:id="44" w:name="_Toc24190"/>
      <w:bookmarkStart w:id="45" w:name="_Toc146204872"/>
      <w:r w:rsidRPr="00F97DE3">
        <w:t>Přezkum účinnosti regulace</w:t>
      </w:r>
      <w:bookmarkEnd w:id="43"/>
      <w:bookmarkEnd w:id="44"/>
      <w:bookmarkEnd w:id="45"/>
      <w:r w:rsidRPr="00F97DE3">
        <w:t xml:space="preserve"> </w:t>
      </w:r>
    </w:p>
    <w:p w14:paraId="0558B5FD" w14:textId="6D76F4E6" w:rsidR="00510203" w:rsidRPr="00F97DE3" w:rsidRDefault="003938A5">
      <w:r w:rsidRPr="00F97DE3">
        <w:t xml:space="preserve">Účinnost přijatých změn bude ověřována </w:t>
      </w:r>
      <w:r w:rsidR="00FC2507" w:rsidRPr="00F97DE3">
        <w:t>v</w:t>
      </w:r>
      <w:r w:rsidR="00FC2507">
        <w:t> </w:t>
      </w:r>
      <w:r w:rsidRPr="00F97DE3">
        <w:t xml:space="preserve">praxi </w:t>
      </w:r>
      <w:r w:rsidR="00FC2507" w:rsidRPr="00F97DE3">
        <w:t>s</w:t>
      </w:r>
      <w:r w:rsidR="00FC2507">
        <w:t> </w:t>
      </w:r>
      <w:r w:rsidRPr="00F97DE3">
        <w:t xml:space="preserve">tím, že bude předmětem národního hodnocení rizik </w:t>
      </w:r>
      <w:r w:rsidR="006F155F" w:rsidRPr="00F97DE3">
        <w:t xml:space="preserve">praní peněz </w:t>
      </w:r>
      <w:r w:rsidR="00FC2507" w:rsidRPr="00F97DE3">
        <w:t>a</w:t>
      </w:r>
      <w:r w:rsidR="00FC2507">
        <w:t> </w:t>
      </w:r>
      <w:r w:rsidRPr="00F97DE3">
        <w:t xml:space="preserve">financování terorismu, jež je koordinováno Finančním analytickým úřadem </w:t>
      </w:r>
      <w:r w:rsidR="00FC2507" w:rsidRPr="00F97DE3">
        <w:t>a</w:t>
      </w:r>
      <w:r w:rsidR="00FC2507">
        <w:t> </w:t>
      </w:r>
      <w:r w:rsidRPr="00F97DE3">
        <w:t xml:space="preserve">na jehož zpracování se podílejí </w:t>
      </w:r>
      <w:r w:rsidR="00FC2507" w:rsidRPr="00F97DE3">
        <w:t>i</w:t>
      </w:r>
      <w:r w:rsidR="00FC2507">
        <w:t> </w:t>
      </w:r>
      <w:r w:rsidRPr="00F97DE3">
        <w:t xml:space="preserve">další orgány veřejné moci </w:t>
      </w:r>
      <w:r w:rsidR="00FC2507" w:rsidRPr="00F97DE3">
        <w:t>a</w:t>
      </w:r>
      <w:r w:rsidR="00FC2507">
        <w:t> </w:t>
      </w:r>
      <w:r w:rsidRPr="00F97DE3">
        <w:t>povinné osoby</w:t>
      </w:r>
      <w:r w:rsidR="00C114A2" w:rsidRPr="00F97DE3">
        <w:t>.</w:t>
      </w:r>
      <w:r w:rsidR="00F5075B">
        <w:t xml:space="preserve"> </w:t>
      </w:r>
      <w:r w:rsidR="00F5075B" w:rsidRPr="00812E6E">
        <w:t>V návaznosti na zkušenosti s výkonem předmětné pravomoci Celní správou</w:t>
      </w:r>
      <w:r w:rsidR="00F5075B">
        <w:t xml:space="preserve"> České republiky</w:t>
      </w:r>
      <w:r w:rsidR="00F5075B" w:rsidRPr="00812E6E">
        <w:t xml:space="preserve"> bude provedeno ex post vyhodnocení, zda de lege </w:t>
      </w:r>
      <w:proofErr w:type="spellStart"/>
      <w:r w:rsidR="00F5075B" w:rsidRPr="00812E6E">
        <w:t>ferenda</w:t>
      </w:r>
      <w:proofErr w:type="spellEnd"/>
      <w:r w:rsidR="00F5075B" w:rsidRPr="00812E6E">
        <w:t xml:space="preserve"> nerozšířit počet kontrolních orgánů, například o Policii České republiky.</w:t>
      </w:r>
    </w:p>
    <w:p w14:paraId="374A6BF3" w14:textId="77777777" w:rsidR="00510203" w:rsidRPr="00F97DE3" w:rsidRDefault="00C114A2" w:rsidP="00F97DE3">
      <w:pPr>
        <w:pStyle w:val="Nadpis1"/>
      </w:pPr>
      <w:bookmarkStart w:id="46" w:name="_Toc11698016"/>
      <w:bookmarkStart w:id="47" w:name="_Toc24476"/>
      <w:bookmarkStart w:id="48" w:name="_Toc146204873"/>
      <w:r w:rsidRPr="00F97DE3">
        <w:t>Konzultace a zdroje dat</w:t>
      </w:r>
      <w:bookmarkEnd w:id="46"/>
      <w:bookmarkEnd w:id="47"/>
      <w:bookmarkEnd w:id="48"/>
    </w:p>
    <w:p w14:paraId="3D1C163B" w14:textId="5196FCC2" w:rsidR="008E7517" w:rsidRDefault="00C114A2" w:rsidP="008E7517">
      <w:pPr>
        <w:pStyle w:val="Bezmezer"/>
        <w:keepNext w:val="0"/>
        <w:rPr>
          <w:sz w:val="24"/>
        </w:rPr>
      </w:pPr>
      <w:r w:rsidRPr="00F97DE3">
        <w:rPr>
          <w:sz w:val="24"/>
        </w:rPr>
        <w:t>Problematika byla konzultována s</w:t>
      </w:r>
      <w:r w:rsidR="00637432">
        <w:rPr>
          <w:sz w:val="24"/>
        </w:rPr>
        <w:t> Celní správou</w:t>
      </w:r>
      <w:r w:rsidR="008D6B68">
        <w:rPr>
          <w:sz w:val="24"/>
        </w:rPr>
        <w:t xml:space="preserve"> České republiky</w:t>
      </w:r>
      <w:r w:rsidR="00637432">
        <w:rPr>
          <w:sz w:val="24"/>
        </w:rPr>
        <w:t>.</w:t>
      </w:r>
    </w:p>
    <w:p w14:paraId="24EF886E" w14:textId="77777777" w:rsidR="00093B29" w:rsidRPr="00F97DE3" w:rsidRDefault="00093B29" w:rsidP="00093B29">
      <w:pPr>
        <w:pStyle w:val="Nadpis1"/>
      </w:pPr>
      <w:bookmarkStart w:id="49" w:name="_Toc112742547"/>
      <w:r w:rsidRPr="00F97DE3">
        <w:lastRenderedPageBreak/>
        <w:t>Kontakt na zpracovatele RIA</w:t>
      </w:r>
      <w:bookmarkEnd w:id="49"/>
    </w:p>
    <w:p w14:paraId="1451AD2B" w14:textId="04151EF4" w:rsidR="00093B29" w:rsidRPr="00F97DE3" w:rsidRDefault="00093B29" w:rsidP="00093B29">
      <w:r>
        <w:t>Viktor Kabeš</w:t>
      </w:r>
    </w:p>
    <w:p w14:paraId="1C6D0FDB" w14:textId="77777777" w:rsidR="00093B29" w:rsidRPr="00F97DE3" w:rsidRDefault="00093B29" w:rsidP="00093B29">
      <w:r w:rsidRPr="00F97DE3">
        <w:t>Finanční analytický úřad, odbor právní</w:t>
      </w:r>
    </w:p>
    <w:p w14:paraId="1F06181B" w14:textId="143B94E0" w:rsidR="00093B29" w:rsidRPr="00F97DE3" w:rsidRDefault="00093B29" w:rsidP="00093B29">
      <w:r w:rsidRPr="00F97DE3">
        <w:t>tel.: (257 044 5</w:t>
      </w:r>
      <w:r>
        <w:t>45</w:t>
      </w:r>
      <w:r w:rsidRPr="00F97DE3">
        <w:t>), e-mail: (</w:t>
      </w:r>
      <w:r>
        <w:t>viktor.kabes</w:t>
      </w:r>
      <w:r w:rsidRPr="00F97DE3">
        <w:t>@fau.mfcr.cz)</w:t>
      </w:r>
    </w:p>
    <w:p w14:paraId="286B82A8" w14:textId="77777777" w:rsidR="00093B29" w:rsidRPr="00F97DE3" w:rsidRDefault="00093B29" w:rsidP="008E7517">
      <w:pPr>
        <w:pStyle w:val="Bezmezer"/>
        <w:keepNext w:val="0"/>
        <w:rPr>
          <w:sz w:val="24"/>
        </w:rPr>
      </w:pPr>
    </w:p>
    <w:p w14:paraId="6027F5C2" w14:textId="75A8C175" w:rsidR="00510203" w:rsidRPr="00F97DE3" w:rsidRDefault="003107C1" w:rsidP="00F97DE3">
      <w:pPr>
        <w:pStyle w:val="st"/>
      </w:pPr>
      <w:bookmarkStart w:id="50" w:name="_Toc146204874"/>
      <w:r>
        <w:lastRenderedPageBreak/>
        <w:t>Stanovení výše limitu převážené hotovosti, při jehož překročení vznikn</w:t>
      </w:r>
      <w:r w:rsidR="00D73AE0">
        <w:t xml:space="preserve">e povinnost oznámit hotovost </w:t>
      </w:r>
      <w:r w:rsidR="0084728C">
        <w:t>do</w:t>
      </w:r>
      <w:r w:rsidR="002E6539">
        <w:t>t</w:t>
      </w:r>
      <w:r>
        <w:t>azujícímu se orgánu</w:t>
      </w:r>
      <w:bookmarkEnd w:id="50"/>
    </w:p>
    <w:p w14:paraId="780C0BCF" w14:textId="77777777" w:rsidR="00510203" w:rsidRPr="00F97DE3" w:rsidRDefault="00C114A2" w:rsidP="00F97DE3">
      <w:pPr>
        <w:pStyle w:val="Nadpis1"/>
      </w:pPr>
      <w:bookmarkStart w:id="51" w:name="_Toc11698018"/>
      <w:bookmarkStart w:id="52" w:name="_Toc15068"/>
      <w:bookmarkStart w:id="53" w:name="_Toc146204875"/>
      <w:r w:rsidRPr="00F97DE3">
        <w:t>Důvod předložení a cíle</w:t>
      </w:r>
      <w:bookmarkEnd w:id="51"/>
      <w:bookmarkEnd w:id="52"/>
      <w:bookmarkEnd w:id="53"/>
    </w:p>
    <w:p w14:paraId="012DF977" w14:textId="77777777" w:rsidR="00510203" w:rsidRPr="00F97DE3" w:rsidRDefault="00C114A2" w:rsidP="00F97DE3">
      <w:pPr>
        <w:pStyle w:val="Nadpis2"/>
      </w:pPr>
      <w:r w:rsidRPr="00F97DE3">
        <w:t>Definice problému</w:t>
      </w:r>
    </w:p>
    <w:p w14:paraId="4528D516" w14:textId="275C0ED6" w:rsidR="00B75C96" w:rsidRPr="00B75C96" w:rsidRDefault="00D73AE0" w:rsidP="0035745F">
      <w:r>
        <w:rPr>
          <w:rFonts w:eastAsiaTheme="minorHAnsi"/>
          <w:szCs w:val="24"/>
        </w:rPr>
        <w:t xml:space="preserve">V návaznosti na předchozí téma je nutno přistoupit ke stanovení limitu, při jehož překročení bude muset osoba převážející hotovost oznámit dotazujícímu se orgánu převoz a informace s ním související. </w:t>
      </w:r>
    </w:p>
    <w:p w14:paraId="23E98895" w14:textId="77777777" w:rsidR="00510203" w:rsidRPr="00F97DE3" w:rsidRDefault="00C114A2" w:rsidP="00871400">
      <w:pPr>
        <w:pStyle w:val="Nadpis2"/>
      </w:pPr>
      <w:r w:rsidRPr="00F97DE3">
        <w:t>Popis existujícího právního stavu v dané oblasti</w:t>
      </w:r>
    </w:p>
    <w:p w14:paraId="602B0420" w14:textId="77777777" w:rsidR="00D73AE0" w:rsidRPr="005E4329" w:rsidRDefault="00D73AE0" w:rsidP="00D73AE0">
      <w:pPr>
        <w:rPr>
          <w:rFonts w:eastAsia="Calibri"/>
        </w:rPr>
      </w:pPr>
      <w:r w:rsidRPr="005E4329">
        <w:rPr>
          <w:rFonts w:eastAsia="Calibri"/>
        </w:rPr>
        <w:t>Existující stav upravují tyto právní předpisy:</w:t>
      </w:r>
    </w:p>
    <w:p w14:paraId="6D4A1710" w14:textId="77B9B22F" w:rsidR="00D73AE0" w:rsidRDefault="00D73AE0" w:rsidP="00D73AE0">
      <w:pPr>
        <w:pStyle w:val="Odrky"/>
      </w:pPr>
      <w:r>
        <w:t>Zákon č. 253/2008 Sb., o některých opatřeních proti legalizaci výnosů z </w:t>
      </w:r>
      <w:r w:rsidR="003C20A8">
        <w:t>trestné</w:t>
      </w:r>
      <w:r>
        <w:t xml:space="preserve"> činnosti a financování terorismu (dále jen „</w:t>
      </w:r>
      <w:r w:rsidRPr="005E4329">
        <w:t>AML zákon</w:t>
      </w:r>
      <w:r>
        <w:t>“)</w:t>
      </w:r>
    </w:p>
    <w:p w14:paraId="4E63C00A" w14:textId="77777777" w:rsidR="00D73AE0" w:rsidRDefault="00D73AE0" w:rsidP="00D73AE0">
      <w:pPr>
        <w:pStyle w:val="Odrky"/>
        <w:rPr>
          <w:rFonts w:cstheme="minorHAnsi"/>
          <w:szCs w:val="24"/>
        </w:rPr>
      </w:pPr>
      <w:r w:rsidRPr="00B30C5E">
        <w:rPr>
          <w:rFonts w:cstheme="minorHAnsi"/>
          <w:szCs w:val="24"/>
        </w:rPr>
        <w:t>nařízení Evropského parlamentu a Rady (EU) 2018/1672 ze dne 23. října 2018 o kontrolách peněžní hotovosti vstupující do Unie nebo ji opouštějící a o zrušení nařízení (ES) č. 1889/2005</w:t>
      </w:r>
      <w:r>
        <w:rPr>
          <w:rFonts w:cstheme="minorHAnsi"/>
          <w:szCs w:val="24"/>
        </w:rPr>
        <w:t xml:space="preserve"> </w:t>
      </w:r>
    </w:p>
    <w:p w14:paraId="63CB29F4" w14:textId="77777777" w:rsidR="00D73AE0" w:rsidRDefault="00D73AE0" w:rsidP="00D73AE0">
      <w:pPr>
        <w:pStyle w:val="Odrky"/>
        <w:rPr>
          <w:rFonts w:cstheme="minorHAnsi"/>
          <w:szCs w:val="24"/>
        </w:rPr>
      </w:pPr>
      <w:r>
        <w:rPr>
          <w:rFonts w:cstheme="minorHAnsi"/>
          <w:szCs w:val="24"/>
        </w:rPr>
        <w:t>zákon č. 254/2004, o omezení plateb v hotovosti</w:t>
      </w:r>
    </w:p>
    <w:p w14:paraId="04156C2E" w14:textId="77777777" w:rsidR="00D73AE0" w:rsidRDefault="00D73AE0" w:rsidP="00D73AE0">
      <w:r>
        <w:t xml:space="preserve">V § 41, 42, 50 a v § 52 odst. 5 a 6 AML zákona je obsažena adaptace nařízení 2018/1672. Celní úřady zajišťují jak provádění kontroly plnění povinnosti oznamovat převozy nadlimitních objemů hotovosti přes hranici EU, tak projednávání korespondujícího přestupku. </w:t>
      </w:r>
    </w:p>
    <w:p w14:paraId="44E3E1D3" w14:textId="77777777" w:rsidR="00D73AE0" w:rsidRPr="00822002" w:rsidRDefault="00D73AE0" w:rsidP="00D73AE0">
      <w:r>
        <w:t>Dalším předpisem, který upravuje nakládání s hotovostí, a má tedy průnik s diskutovanou problematikou, je zákon o omezení plateb v hotovosti. Stanoví limit pro hotovostní transakce ve výši 270 000 Kč uskutečněné v jeden den</w:t>
      </w:r>
      <w:r w:rsidRPr="00D45780">
        <w:t xml:space="preserve"> </w:t>
      </w:r>
      <w:r>
        <w:t xml:space="preserve">mezi stejným plátcem a příjemcem. Limit se nevztahuje mimo jiné na </w:t>
      </w:r>
      <w:r w:rsidRPr="00627F21">
        <w:t>vložení peněžních prostředků v hotovosti na účet u peněžního ústavu a jejich výběr z účtu u peněžního ústavu</w:t>
      </w:r>
      <w:r>
        <w:t xml:space="preserve">. Kontrolu i projednávání korespondujících přestupků provádějí paralelně orgány Celní správy a Finanční správy. </w:t>
      </w:r>
    </w:p>
    <w:p w14:paraId="2BB40C54" w14:textId="77777777" w:rsidR="00510203" w:rsidRPr="00F97DE3" w:rsidRDefault="00C114A2" w:rsidP="00F97DE3">
      <w:pPr>
        <w:pStyle w:val="Nadpis2"/>
      </w:pPr>
      <w:r w:rsidRPr="00F97DE3">
        <w:t>Identifikace dotčených subjektů</w:t>
      </w:r>
    </w:p>
    <w:p w14:paraId="379D906C" w14:textId="77777777" w:rsidR="004531BB" w:rsidRPr="00F97DE3" w:rsidRDefault="004531BB" w:rsidP="004531BB">
      <w:pPr>
        <w:pStyle w:val="Nadpisyvtextu"/>
      </w:pPr>
      <w:r>
        <w:t>Osoby převážející nadlimitní objemy hotovosti</w:t>
      </w:r>
    </w:p>
    <w:p w14:paraId="32BA4418" w14:textId="77777777" w:rsidR="004531BB" w:rsidRPr="00F97DE3" w:rsidRDefault="004531BB" w:rsidP="004531BB">
      <w:r>
        <w:t xml:space="preserve">Tyto osoby budou muset oznamovat příslušnému orgánu převozy nadlimitního objemu hotovosti. </w:t>
      </w:r>
    </w:p>
    <w:p w14:paraId="2ED323C9" w14:textId="77777777" w:rsidR="004531BB" w:rsidRPr="00F97DE3" w:rsidRDefault="004531BB" w:rsidP="004531BB">
      <w:pPr>
        <w:pStyle w:val="Nadpisyvtextu"/>
      </w:pPr>
      <w:r>
        <w:t>Orgán příslušný k provádění kontroly</w:t>
      </w:r>
    </w:p>
    <w:p w14:paraId="7510B267" w14:textId="77777777" w:rsidR="004531BB" w:rsidRDefault="004531BB" w:rsidP="004531BB">
      <w:r>
        <w:t xml:space="preserve">Tento orgán bude provádět kontrolu plnění oznamovací povinnosti. </w:t>
      </w:r>
    </w:p>
    <w:p w14:paraId="1C991833" w14:textId="77777777" w:rsidR="004531BB" w:rsidRPr="00F97DE3" w:rsidRDefault="004531BB" w:rsidP="004531BB">
      <w:pPr>
        <w:pStyle w:val="Nadpisyvtextu"/>
      </w:pPr>
      <w:r>
        <w:t xml:space="preserve">Orgán příslušný k projednávání přestupků na úseku převážení hotovosti </w:t>
      </w:r>
    </w:p>
    <w:p w14:paraId="38421CE4" w14:textId="77777777" w:rsidR="004531BB" w:rsidRPr="00F97DE3" w:rsidRDefault="004531BB" w:rsidP="004531BB">
      <w:r>
        <w:t xml:space="preserve">Tento orgán bude projednávat přestupky odhalené v rámci kontrolní činnosti. </w:t>
      </w:r>
    </w:p>
    <w:p w14:paraId="674BD9FA" w14:textId="77777777" w:rsidR="00510203" w:rsidRPr="00F97DE3" w:rsidRDefault="00C114A2" w:rsidP="00F97DE3">
      <w:pPr>
        <w:pStyle w:val="Nadpis2"/>
      </w:pPr>
      <w:r w:rsidRPr="00F97DE3">
        <w:lastRenderedPageBreak/>
        <w:t>Popis cílového stavu</w:t>
      </w:r>
    </w:p>
    <w:p w14:paraId="63F64367" w14:textId="1DD74664" w:rsidR="00510203" w:rsidRPr="00F97DE3" w:rsidRDefault="00FC3F20">
      <w:r w:rsidRPr="00F97DE3">
        <w:t xml:space="preserve">Cílem je vyplnění mezery </w:t>
      </w:r>
      <w:r w:rsidR="00FC2507" w:rsidRPr="00F97DE3">
        <w:t>v</w:t>
      </w:r>
      <w:r w:rsidR="00FC2507">
        <w:t> </w:t>
      </w:r>
      <w:r w:rsidRPr="00F97DE3">
        <w:t>dané oblasti, kter</w:t>
      </w:r>
      <w:r w:rsidR="004D568C" w:rsidRPr="00F97DE3">
        <w:t>ou</w:t>
      </w:r>
      <w:r w:rsidRPr="00F97DE3">
        <w:t xml:space="preserve"> mohou zneužít pachatelé </w:t>
      </w:r>
      <w:r w:rsidR="004D568C" w:rsidRPr="00F97DE3">
        <w:t>podílející se na praní peněz  </w:t>
      </w:r>
      <w:r w:rsidR="00FC2507" w:rsidRPr="00F97DE3">
        <w:t>a</w:t>
      </w:r>
      <w:r w:rsidR="00FC2507">
        <w:t> </w:t>
      </w:r>
      <w:r w:rsidR="004D568C" w:rsidRPr="00F97DE3">
        <w:t xml:space="preserve">zdrojové </w:t>
      </w:r>
      <w:r w:rsidRPr="00F97DE3">
        <w:t>trestné činnosti.</w:t>
      </w:r>
      <w:r w:rsidR="00C114A2" w:rsidRPr="00F97DE3">
        <w:t xml:space="preserve"> </w:t>
      </w:r>
    </w:p>
    <w:p w14:paraId="7984C2B9" w14:textId="77777777" w:rsidR="00510203" w:rsidRPr="00F97DE3" w:rsidRDefault="00C114A2" w:rsidP="00F97DE3">
      <w:pPr>
        <w:pStyle w:val="Nadpis2"/>
      </w:pPr>
      <w:r w:rsidRPr="00F97DE3">
        <w:t>Zhodnocení rizika</w:t>
      </w:r>
    </w:p>
    <w:p w14:paraId="752F1A28" w14:textId="77777777" w:rsidR="00510203" w:rsidRPr="00F97DE3" w:rsidRDefault="00FC3F20">
      <w:r w:rsidRPr="00F97DE3">
        <w:t>V souvislosti s daným tématem nebyla žádná rizika identifikována</w:t>
      </w:r>
      <w:r w:rsidR="00C114A2" w:rsidRPr="00F97DE3">
        <w:t>.</w:t>
      </w:r>
    </w:p>
    <w:p w14:paraId="2B0B608D" w14:textId="77777777" w:rsidR="00510203" w:rsidRPr="00F97DE3" w:rsidRDefault="00C114A2" w:rsidP="00F97DE3">
      <w:pPr>
        <w:pStyle w:val="Nadpis1"/>
      </w:pPr>
      <w:bookmarkStart w:id="54" w:name="_Toc11698019"/>
      <w:bookmarkStart w:id="55" w:name="_Toc8952"/>
      <w:bookmarkStart w:id="56" w:name="_Toc146204876"/>
      <w:r w:rsidRPr="00F97DE3">
        <w:t>Návrh variant řešení</w:t>
      </w:r>
      <w:bookmarkEnd w:id="54"/>
      <w:bookmarkEnd w:id="55"/>
      <w:bookmarkEnd w:id="56"/>
    </w:p>
    <w:p w14:paraId="6E83C9FA" w14:textId="77777777" w:rsidR="00510203" w:rsidRPr="00F97DE3" w:rsidRDefault="00C114A2" w:rsidP="00F97DE3">
      <w:pPr>
        <w:pStyle w:val="Nadpis2"/>
      </w:pPr>
      <w:r w:rsidRPr="00F97DE3">
        <w:t>Popis variant řešení</w:t>
      </w:r>
    </w:p>
    <w:p w14:paraId="6023546C" w14:textId="2CB864CD" w:rsidR="00510203" w:rsidRPr="00F97DE3" w:rsidRDefault="00C114A2">
      <w:pPr>
        <w:pStyle w:val="Nadpisyvtextu"/>
        <w:rPr>
          <w:rStyle w:val="Styl11bTunVechnavelk"/>
          <w:bCs w:val="0"/>
          <w:caps w:val="0"/>
          <w:szCs w:val="24"/>
        </w:rPr>
      </w:pPr>
      <w:r w:rsidRPr="00F97DE3">
        <w:rPr>
          <w:rStyle w:val="Styl11bTunVechnavelk"/>
          <w:bCs w:val="0"/>
          <w:caps w:val="0"/>
          <w:szCs w:val="24"/>
        </w:rPr>
        <w:t xml:space="preserve">VARIANTA 1 – </w:t>
      </w:r>
      <w:r w:rsidR="004531BB">
        <w:rPr>
          <w:rStyle w:val="Styl11bTunVechnavelk"/>
          <w:bCs w:val="0"/>
          <w:caps w:val="0"/>
          <w:szCs w:val="24"/>
        </w:rPr>
        <w:t>limit ve výši 0 Kč</w:t>
      </w:r>
      <w:r w:rsidRPr="00F97DE3">
        <w:rPr>
          <w:rStyle w:val="Styl11bTunVechnavelk"/>
          <w:bCs w:val="0"/>
          <w:caps w:val="0"/>
          <w:szCs w:val="24"/>
        </w:rPr>
        <w:t xml:space="preserve"> </w:t>
      </w:r>
    </w:p>
    <w:p w14:paraId="466A9A8F" w14:textId="7D7E58DD" w:rsidR="00510203" w:rsidRDefault="004531BB">
      <w:r>
        <w:t xml:space="preserve">S ohledem na to, že v rámci předchozího tématu byl pro kontrolu hotovosti při překračování hranic ČR zvolen </w:t>
      </w:r>
      <w:r w:rsidR="00F5075B">
        <w:t>ohlašovací</w:t>
      </w:r>
      <w:r>
        <w:t xml:space="preserve"> systém, přichází v úvahu i nulový limit. Orgán příslušný ke kontrole se totiž bude ptát jen osob převážejících hotovost, které byly identifikovány za využití rizikově orientovaného přístupu, čili osob, u nichž panuje podezření, že převážejí nelegální hotovost.</w:t>
      </w:r>
    </w:p>
    <w:p w14:paraId="5FF3943C" w14:textId="41105590" w:rsidR="004531BB" w:rsidRPr="00F97DE3" w:rsidRDefault="004531BB" w:rsidP="004531BB">
      <w:pPr>
        <w:pStyle w:val="Nadpisyvtextu"/>
        <w:rPr>
          <w:rStyle w:val="Styl11bTunVechnavelk"/>
          <w:bCs w:val="0"/>
          <w:caps w:val="0"/>
          <w:szCs w:val="24"/>
        </w:rPr>
      </w:pPr>
      <w:r>
        <w:rPr>
          <w:rStyle w:val="Styl11bTunVechnavelk"/>
          <w:bCs w:val="0"/>
          <w:caps w:val="0"/>
          <w:szCs w:val="24"/>
        </w:rPr>
        <w:t>VARIANTA 2</w:t>
      </w:r>
      <w:r w:rsidRPr="00F97DE3">
        <w:rPr>
          <w:rStyle w:val="Styl11bTunVechnavelk"/>
          <w:bCs w:val="0"/>
          <w:caps w:val="0"/>
          <w:szCs w:val="24"/>
        </w:rPr>
        <w:t xml:space="preserve"> – </w:t>
      </w:r>
      <w:r>
        <w:rPr>
          <w:rStyle w:val="Styl11bTunVechnavelk"/>
          <w:bCs w:val="0"/>
          <w:caps w:val="0"/>
          <w:szCs w:val="24"/>
        </w:rPr>
        <w:t>limit ve výši 270 000 Kč</w:t>
      </w:r>
      <w:r w:rsidRPr="00F97DE3">
        <w:rPr>
          <w:rStyle w:val="Styl11bTunVechnavelk"/>
          <w:bCs w:val="0"/>
          <w:caps w:val="0"/>
          <w:szCs w:val="24"/>
        </w:rPr>
        <w:t xml:space="preserve"> </w:t>
      </w:r>
    </w:p>
    <w:p w14:paraId="1E8AB9C2" w14:textId="7B002C97" w:rsidR="004531BB" w:rsidRDefault="004531BB" w:rsidP="004531BB">
      <w:r>
        <w:t xml:space="preserve">Tento limit odpovídá limitu pro provádění hotovostních plateb podle zákona o omezení plateb v hotovosti. S ohledem na to lze očekávat, že většina osob převážejících přes hranice </w:t>
      </w:r>
      <w:r w:rsidR="004B2FFC">
        <w:t xml:space="preserve">hotovost bude </w:t>
      </w:r>
      <w:r w:rsidR="00DD5701">
        <w:t>  převážet</w:t>
      </w:r>
      <w:r w:rsidR="004B2FFC">
        <w:t xml:space="preserve"> částky pod touto hranicí. Na druhou stranu s ohledem na teritoriální působnost jmenovaného zákona, jakož i na výjimky v něm upravené (například vklady a výběry z účtu vedeného u peněžního ústavu) připadá v úvahu i mnoho případů, kdy je opodstatněné převážet přes hranice ČR hotovost nad limitem stanoveným tímto zákonem. </w:t>
      </w:r>
    </w:p>
    <w:p w14:paraId="05BDAC25" w14:textId="14A73E2A" w:rsidR="004B2FFC" w:rsidRDefault="004B2FFC" w:rsidP="004531BB">
      <w:r>
        <w:t>Tento limit také přibližně odpovídá limitu pro deklarační povinnost při převozu hotovosti peněz přes hranice EU podle nařízení 1018/1672.</w:t>
      </w:r>
    </w:p>
    <w:p w14:paraId="4F8A0247" w14:textId="62589DC2" w:rsidR="00254A9C" w:rsidRDefault="00254A9C" w:rsidP="00254A9C">
      <w:pPr>
        <w:pStyle w:val="Nadpisyvtextu"/>
        <w:rPr>
          <w:rStyle w:val="Styl11bTunVechnavelk"/>
          <w:bCs w:val="0"/>
          <w:caps w:val="0"/>
          <w:szCs w:val="24"/>
          <w:u w:val="none"/>
        </w:rPr>
      </w:pPr>
      <w:r>
        <w:rPr>
          <w:rStyle w:val="Styl11bTunVechnavelk"/>
          <w:bCs w:val="0"/>
          <w:caps w:val="0"/>
          <w:szCs w:val="24"/>
        </w:rPr>
        <w:t>VARIANTA 3</w:t>
      </w:r>
      <w:r w:rsidRPr="00F97DE3">
        <w:rPr>
          <w:rStyle w:val="Styl11bTunVechnavelk"/>
          <w:bCs w:val="0"/>
          <w:caps w:val="0"/>
          <w:szCs w:val="24"/>
        </w:rPr>
        <w:t xml:space="preserve"> – </w:t>
      </w:r>
      <w:r>
        <w:rPr>
          <w:rStyle w:val="Styl11bTunVechnavelk"/>
          <w:bCs w:val="0"/>
          <w:caps w:val="0"/>
          <w:szCs w:val="24"/>
        </w:rPr>
        <w:t>limit ve výši ekvivalentu 15 000 EUR</w:t>
      </w:r>
      <w:r w:rsidRPr="00F97DE3">
        <w:rPr>
          <w:rStyle w:val="Styl11bTunVechnavelk"/>
          <w:bCs w:val="0"/>
          <w:caps w:val="0"/>
          <w:szCs w:val="24"/>
        </w:rPr>
        <w:t xml:space="preserve"> </w:t>
      </w:r>
    </w:p>
    <w:p w14:paraId="7CA8F84F" w14:textId="3B563AEB" w:rsidR="00254A9C" w:rsidRPr="00387AFF" w:rsidRDefault="00254A9C" w:rsidP="00387AFF">
      <w:r>
        <w:t>Jde o nejvyšší limit, který je v souladu s požadavky plynoucími z Doporučení FATF.</w:t>
      </w:r>
    </w:p>
    <w:p w14:paraId="7E107E5F" w14:textId="763448AD" w:rsidR="00254A9C" w:rsidRDefault="00254A9C" w:rsidP="00254A9C">
      <w:pPr>
        <w:pStyle w:val="Nadpisyvtextu"/>
        <w:rPr>
          <w:rStyle w:val="Styl11bTunVechnavelk"/>
          <w:bCs w:val="0"/>
          <w:caps w:val="0"/>
          <w:szCs w:val="24"/>
          <w:u w:val="none"/>
        </w:rPr>
      </w:pPr>
      <w:r>
        <w:rPr>
          <w:rStyle w:val="Styl11bTunVechnavelk"/>
          <w:bCs w:val="0"/>
          <w:caps w:val="0"/>
          <w:szCs w:val="24"/>
        </w:rPr>
        <w:t>VARIANTA 4</w:t>
      </w:r>
      <w:r w:rsidRPr="00F97DE3">
        <w:rPr>
          <w:rStyle w:val="Styl11bTunVechnavelk"/>
          <w:bCs w:val="0"/>
          <w:caps w:val="0"/>
          <w:szCs w:val="24"/>
        </w:rPr>
        <w:t xml:space="preserve"> – </w:t>
      </w:r>
      <w:r>
        <w:rPr>
          <w:rStyle w:val="Styl11bTunVechnavelk"/>
          <w:bCs w:val="0"/>
          <w:caps w:val="0"/>
          <w:szCs w:val="24"/>
        </w:rPr>
        <w:t>limit ve výši přesahují ekvivalent 15 000 EUR</w:t>
      </w:r>
      <w:r w:rsidRPr="00F97DE3">
        <w:rPr>
          <w:rStyle w:val="Styl11bTunVechnavelk"/>
          <w:bCs w:val="0"/>
          <w:caps w:val="0"/>
          <w:szCs w:val="24"/>
        </w:rPr>
        <w:t xml:space="preserve"> </w:t>
      </w:r>
    </w:p>
    <w:p w14:paraId="4ED4FF78" w14:textId="0BF0F6A2" w:rsidR="00254A9C" w:rsidRPr="00387AFF" w:rsidRDefault="00254A9C" w:rsidP="00387AFF">
      <w:r>
        <w:t>Tento limit nevyhovuje požadavkům Doporučení FATF. Tato varianta by tedy zmařila hlavní cíl zavedení diskutovaného institutu.</w:t>
      </w:r>
    </w:p>
    <w:p w14:paraId="7652A462" w14:textId="77777777" w:rsidR="004531BB" w:rsidRPr="00F97DE3" w:rsidRDefault="004531BB"/>
    <w:p w14:paraId="02B84C4D" w14:textId="77777777" w:rsidR="00510203" w:rsidRPr="00F97DE3" w:rsidRDefault="00C114A2" w:rsidP="00F97DE3">
      <w:pPr>
        <w:pStyle w:val="Nadpis2"/>
      </w:pPr>
      <w:r w:rsidRPr="00F97DE3">
        <w:t>Přizpůsobení variant regulaci a její vynucování</w:t>
      </w:r>
    </w:p>
    <w:p w14:paraId="7353CC1C" w14:textId="77777777" w:rsidR="00510203" w:rsidRPr="00F97DE3" w:rsidRDefault="00C114A2">
      <w:r w:rsidRPr="00F97DE3">
        <w:t>Vzhledem k tomu, že se žádná z navrhovaných variant nedá vyloučit pro její nerealizovatelnost, nebo pro rozpor s ústavním pořádkem nebo právem Evropské unie, budou všechny navržené varianty dále analyzovány.</w:t>
      </w:r>
    </w:p>
    <w:p w14:paraId="70CA3978" w14:textId="77777777" w:rsidR="00510203" w:rsidRPr="00F97DE3" w:rsidRDefault="00C114A2" w:rsidP="00F97DE3">
      <w:pPr>
        <w:pStyle w:val="Nadpis1"/>
      </w:pPr>
      <w:bookmarkStart w:id="57" w:name="_Toc11698020"/>
      <w:bookmarkStart w:id="58" w:name="_Toc6711"/>
      <w:bookmarkStart w:id="59" w:name="_Toc146204877"/>
      <w:r w:rsidRPr="00F97DE3">
        <w:lastRenderedPageBreak/>
        <w:t xml:space="preserve">Identifikace </w:t>
      </w:r>
      <w:r w:rsidR="00782F08" w:rsidRPr="00F97DE3">
        <w:t>a </w:t>
      </w:r>
      <w:r w:rsidRPr="00F97DE3">
        <w:t>vyhodnocení nákladů a přínosů</w:t>
      </w:r>
      <w:bookmarkEnd w:id="57"/>
      <w:bookmarkEnd w:id="58"/>
      <w:bookmarkEnd w:id="59"/>
    </w:p>
    <w:p w14:paraId="190BA5B6" w14:textId="29A458CB" w:rsidR="00341C83" w:rsidRPr="00F97DE3" w:rsidRDefault="00341C83" w:rsidP="00F97DE3">
      <w:pPr>
        <w:pStyle w:val="Nadpis2"/>
      </w:pPr>
      <w:bookmarkStart w:id="60" w:name="_Toc11698021"/>
      <w:bookmarkStart w:id="61" w:name="_Toc5365"/>
      <w:r w:rsidRPr="00F97DE3">
        <w:t xml:space="preserve">Identifikace nákladů </w:t>
      </w:r>
      <w:r w:rsidR="00FC2507" w:rsidRPr="00F97DE3">
        <w:t>a</w:t>
      </w:r>
      <w:r w:rsidR="00FC2507">
        <w:t> </w:t>
      </w:r>
      <w:r w:rsidRPr="00F97DE3">
        <w:t>přínosů</w:t>
      </w:r>
    </w:p>
    <w:p w14:paraId="6EE0E6FE" w14:textId="77777777" w:rsidR="002906CE" w:rsidRPr="00F97DE3" w:rsidRDefault="002906CE" w:rsidP="002906CE">
      <w:r w:rsidRPr="00F97DE3">
        <w:t xml:space="preserve">Výše uvedené varianty byly vyhodnoceny podle kritérií, která pokrývají klady a zápory (resp. přínosy a náklady) jednotlivých navržených variant. </w:t>
      </w:r>
    </w:p>
    <w:p w14:paraId="450AA119" w14:textId="77777777" w:rsidR="002906CE" w:rsidRPr="00F97DE3" w:rsidRDefault="002906CE" w:rsidP="002906CE">
      <w:r w:rsidRPr="00F97DE3">
        <w:t>Jako hlavní hodnotící kritéria byla identifikována:</w:t>
      </w:r>
    </w:p>
    <w:p w14:paraId="58BCAF96" w14:textId="77777777" w:rsidR="00254A9C" w:rsidRDefault="00254A9C" w:rsidP="00254A9C">
      <w:pPr>
        <w:pStyle w:val="Odstavecseseznamem"/>
        <w:numPr>
          <w:ilvl w:val="0"/>
          <w:numId w:val="14"/>
        </w:numPr>
      </w:pPr>
      <w:r>
        <w:t>Soulad s doporučením FATF č. 32</w:t>
      </w:r>
    </w:p>
    <w:p w14:paraId="59A8F531" w14:textId="77777777" w:rsidR="00254A9C" w:rsidRDefault="00254A9C" w:rsidP="00254A9C">
      <w:pPr>
        <w:pStyle w:val="Odstavecseseznamem"/>
        <w:numPr>
          <w:ilvl w:val="0"/>
          <w:numId w:val="14"/>
        </w:numPr>
      </w:pPr>
      <w:r>
        <w:t>Náklady na straně osob převážejících nadlimitní objemy hotovosti</w:t>
      </w:r>
    </w:p>
    <w:p w14:paraId="41D34D17" w14:textId="77777777" w:rsidR="00254A9C" w:rsidRDefault="00254A9C" w:rsidP="00254A9C">
      <w:pPr>
        <w:pStyle w:val="Odstavecseseznamem"/>
        <w:numPr>
          <w:ilvl w:val="0"/>
          <w:numId w:val="14"/>
        </w:numPr>
      </w:pPr>
      <w:r>
        <w:t>Náklady na veřejné rozpočty</w:t>
      </w:r>
    </w:p>
    <w:p w14:paraId="62414199" w14:textId="5ECAB1C9" w:rsidR="00254A9C" w:rsidRDefault="00254A9C" w:rsidP="00254A9C">
      <w:pPr>
        <w:pStyle w:val="Odstavecseseznamem"/>
        <w:numPr>
          <w:ilvl w:val="0"/>
          <w:numId w:val="14"/>
        </w:numPr>
      </w:pPr>
      <w:r>
        <w:t>Z</w:t>
      </w:r>
      <w:r w:rsidRPr="00F97DE3">
        <w:t>mírnění rizika legalizace výnosů z trestné činnosti</w:t>
      </w:r>
    </w:p>
    <w:p w14:paraId="56820547" w14:textId="77777777" w:rsidR="0089703B" w:rsidRDefault="0089703B" w:rsidP="00F97DE3">
      <w:pPr>
        <w:keepNext/>
      </w:pPr>
    </w:p>
    <w:p w14:paraId="38BB186A" w14:textId="290ECF66" w:rsidR="00341C83" w:rsidRPr="00F97DE3" w:rsidRDefault="00254A9C" w:rsidP="00F97DE3">
      <w:pPr>
        <w:keepNext/>
        <w:rPr>
          <w:u w:val="single"/>
        </w:rPr>
      </w:pPr>
      <w:r w:rsidRPr="00254A9C">
        <w:rPr>
          <w:u w:val="single"/>
        </w:rPr>
        <w:t>Soulad s doporučením FATF č. 32</w:t>
      </w:r>
    </w:p>
    <w:p w14:paraId="7CA46D60" w14:textId="1ECD9D8B" w:rsidR="00341C83" w:rsidRDefault="00942F94" w:rsidP="00341C83">
      <w:r w:rsidRPr="00F97DE3">
        <w:t xml:space="preserve">Kritérium testuje varianty z hlediska </w:t>
      </w:r>
      <w:r>
        <w:t xml:space="preserve">jejich kompatibility s doporučením FATF č. 32. </w:t>
      </w:r>
      <w:r w:rsidRPr="00822002">
        <w:t xml:space="preserve">Jak vyplývá z výše uvedeného popisu variant řešení, v souladu s ním </w:t>
      </w:r>
      <w:r>
        <w:t>jsou všechny varianty, kromě varianty 4</w:t>
      </w:r>
      <w:r w:rsidRPr="00822002">
        <w:t xml:space="preserve">. </w:t>
      </w:r>
    </w:p>
    <w:p w14:paraId="1CE893F5" w14:textId="6118A866" w:rsidR="00254A9C" w:rsidRPr="00387AFF" w:rsidRDefault="00254A9C" w:rsidP="00341C83">
      <w:pPr>
        <w:rPr>
          <w:u w:val="single"/>
        </w:rPr>
      </w:pPr>
      <w:r w:rsidRPr="00387AFF">
        <w:rPr>
          <w:u w:val="single"/>
        </w:rPr>
        <w:t>Náklady na straně osob převážejících nadlimitní objemy hotovosti</w:t>
      </w:r>
    </w:p>
    <w:p w14:paraId="4B50FE11" w14:textId="77777777" w:rsidR="00942F94" w:rsidRDefault="00942F94" w:rsidP="00942F94">
      <w:r>
        <w:t>Kritérium testuje varianty z hlediska souhrnných nákladů, které v souvislosti se zavedením vnitrostátních kontrol převozů hotovosti vzniknou na straně osob převážejících hotovost, čili na straně aktérů ze soukromého sektoru.</w:t>
      </w:r>
    </w:p>
    <w:p w14:paraId="79D9B3DB" w14:textId="77777777" w:rsidR="00942F94" w:rsidRPr="00822002" w:rsidRDefault="00942F94" w:rsidP="00942F94">
      <w:pPr>
        <w:rPr>
          <w:u w:val="single"/>
        </w:rPr>
      </w:pPr>
      <w:r w:rsidRPr="00822002">
        <w:rPr>
          <w:u w:val="single"/>
        </w:rPr>
        <w:t>Náklady na veřejné rozpočty</w:t>
      </w:r>
    </w:p>
    <w:p w14:paraId="2FD5C2A9" w14:textId="1A2C4F8F" w:rsidR="00942F94" w:rsidRDefault="00942F94" w:rsidP="00942F94">
      <w:r>
        <w:t xml:space="preserve">Testuje varianty z hlediska nákladů na veřejné rozpočty vzniklých v souvislosti s výkonem kontroly nad plněním povinností na úseku převozů hotovosti a projednáváním korespondujícího přestupku. Z tohoto pohledu jsou si varianty do značné míry rovny, jelikož </w:t>
      </w:r>
      <w:r w:rsidR="00F5075B">
        <w:t>ohlašovací</w:t>
      </w:r>
      <w:r>
        <w:t xml:space="preserve"> systém implikuje možnost příslušného orgánu na základě vlastní diskrece volit osoby, kterých se na převáženou hotovost zeptá. Ten si tak může vybírat osoby, u nichž je předpokládán převoz vyšší částky.</w:t>
      </w:r>
    </w:p>
    <w:p w14:paraId="6A2C93C2" w14:textId="3D9EC04B" w:rsidR="00942F94" w:rsidRPr="00822002" w:rsidRDefault="00942F94" w:rsidP="00942F94">
      <w:pPr>
        <w:rPr>
          <w:u w:val="single"/>
        </w:rPr>
      </w:pPr>
      <w:r w:rsidRPr="00822002">
        <w:rPr>
          <w:u w:val="single"/>
        </w:rPr>
        <w:t>Zmírnění rizika legalizace výnosů z trestné činnosti</w:t>
      </w:r>
    </w:p>
    <w:p w14:paraId="4B2D70FD" w14:textId="7F101D9E" w:rsidR="00942F94" w:rsidRPr="00F97DE3" w:rsidRDefault="00942F94" w:rsidP="00942F94">
      <w:r>
        <w:t xml:space="preserve">Testuje varianty z hlediska jejich vlivu na prevenci legalizace výnosů z trestné činnosti a financování terorismu. Převozy hotovosti jsou cestou, jak pachatelé trestné činnosti mohou výnosy z ní plynoucí izolovat od místa jejího páchání, a tak se vyhnout jejich vypátrání a odčerpání. Čím bude limit nižší, tím bude </w:t>
      </w:r>
      <w:r w:rsidR="0089703B">
        <w:t>efektivita diskutovaného institutu vyšší. Rozdíl však bude patrný hlavně při porovnání varianty 4 na straně jedné a zbylých variant na straně druhé, jelikož pachatelé trestné činnosti typicky převážejí vyšší objemy hotovosti</w:t>
      </w:r>
      <w:r w:rsidR="006D2BBD">
        <w:t>, respektive varianty 1 na straně jedné a zbylých variant na straně druhé, jelikož varianta 1 umožňuje zachytit i trendy spočívající v rozdělení převážené hotovosti na podlimitní částky</w:t>
      </w:r>
      <w:r w:rsidR="0089703B">
        <w:t xml:space="preserve">. </w:t>
      </w:r>
    </w:p>
    <w:p w14:paraId="794D8430" w14:textId="76D362DD" w:rsidR="00DE625E" w:rsidRPr="00F97DE3" w:rsidRDefault="00DE625E" w:rsidP="00F97DE3">
      <w:pPr>
        <w:pStyle w:val="Nadpis2"/>
      </w:pPr>
      <w:bookmarkStart w:id="62" w:name="_Toc112443894"/>
      <w:bookmarkStart w:id="63" w:name="_Toc112443895"/>
      <w:bookmarkStart w:id="64" w:name="_Toc112443897"/>
      <w:bookmarkEnd w:id="62"/>
      <w:bookmarkEnd w:id="63"/>
      <w:bookmarkEnd w:id="64"/>
      <w:r w:rsidRPr="00F97DE3">
        <w:lastRenderedPageBreak/>
        <w:t>Vyhodnocení variant</w:t>
      </w:r>
    </w:p>
    <w:p w14:paraId="2DD516BB" w14:textId="1D233774" w:rsidR="00DE625E" w:rsidRPr="00F97DE3" w:rsidRDefault="0089703B" w:rsidP="0089703B">
      <w:pPr>
        <w:pStyle w:val="Nadpis2"/>
      </w:pPr>
      <w:r w:rsidRPr="0089703B">
        <w:t xml:space="preserve">VARIANTA 1 – limit ve výši 0 Kč </w:t>
      </w:r>
    </w:p>
    <w:p w14:paraId="00F6E07E" w14:textId="77777777" w:rsidR="0089703B" w:rsidRPr="00F97DE3" w:rsidRDefault="0089703B" w:rsidP="0089703B">
      <w:pPr>
        <w:keepNext/>
        <w:rPr>
          <w:u w:val="single"/>
        </w:rPr>
      </w:pPr>
      <w:r w:rsidRPr="00254A9C">
        <w:rPr>
          <w:u w:val="single"/>
        </w:rPr>
        <w:t>Soulad s doporučením FATF č. 32</w:t>
      </w:r>
    </w:p>
    <w:p w14:paraId="1ACA0EAB" w14:textId="7C401EEF" w:rsidR="0089703B" w:rsidRPr="00387AFF" w:rsidRDefault="0089703B" w:rsidP="0089703B">
      <w:r>
        <w:t>V</w:t>
      </w:r>
      <w:r w:rsidR="00C43D35">
        <w:t>arianta</w:t>
      </w:r>
      <w:r>
        <w:t xml:space="preserve"> je plně v souladu s předmětným doporučením FATF.</w:t>
      </w:r>
    </w:p>
    <w:p w14:paraId="4AC0EB79" w14:textId="7FCA1FE8" w:rsidR="0089703B" w:rsidRDefault="0089703B" w:rsidP="0089703B">
      <w:r w:rsidRPr="00822002">
        <w:rPr>
          <w:u w:val="single"/>
        </w:rPr>
        <w:t>Náklady na straně osob převážejících nadlimitní objemy hotovosti</w:t>
      </w:r>
    </w:p>
    <w:p w14:paraId="0836FA9A" w14:textId="14ED791E" w:rsidR="0089703B" w:rsidRPr="00387AFF" w:rsidRDefault="0089703B" w:rsidP="0089703B">
      <w:r>
        <w:t xml:space="preserve">Tato varianta je z pohledu soukromého sektoru nejvíce zatěžující. </w:t>
      </w:r>
      <w:r w:rsidR="00F5075B">
        <w:t>Souhrnnou z</w:t>
      </w:r>
      <w:r>
        <w:t xml:space="preserve">átěž však relativizuje </w:t>
      </w:r>
      <w:r w:rsidR="00F5075B">
        <w:t>ohlašovací</w:t>
      </w:r>
      <w:r>
        <w:t xml:space="preserve"> systém, který implikuje</w:t>
      </w:r>
      <w:r w:rsidR="00CD243D">
        <w:t xml:space="preserve"> nízký celkový počet dotazovaných osob</w:t>
      </w:r>
      <w:r>
        <w:t xml:space="preserve"> </w:t>
      </w:r>
      <w:r w:rsidR="00CD243D">
        <w:t xml:space="preserve">a </w:t>
      </w:r>
      <w:r>
        <w:t xml:space="preserve">že </w:t>
      </w:r>
      <w:r w:rsidR="00CD243D">
        <w:t xml:space="preserve">relevantní podíl dotazovaných osob bude převážet nelegální hotovost. </w:t>
      </w:r>
    </w:p>
    <w:p w14:paraId="05F77F9B" w14:textId="6B012A64" w:rsidR="0089703B" w:rsidRDefault="0089703B" w:rsidP="0089703B">
      <w:pPr>
        <w:rPr>
          <w:u w:val="single"/>
        </w:rPr>
      </w:pPr>
      <w:r w:rsidRPr="00822002">
        <w:rPr>
          <w:u w:val="single"/>
        </w:rPr>
        <w:t>Náklady na veřejné rozpočty</w:t>
      </w:r>
    </w:p>
    <w:p w14:paraId="26C437B7" w14:textId="2A513549" w:rsidR="00CD243D" w:rsidRPr="00387AFF" w:rsidRDefault="00CD243D" w:rsidP="0089703B">
      <w:r>
        <w:t>T</w:t>
      </w:r>
      <w:r w:rsidR="006D2BBD">
        <w:t>eoreticky jsou zde náklad</w:t>
      </w:r>
      <w:r>
        <w:t>y</w:t>
      </w:r>
      <w:r w:rsidR="006D2BBD">
        <w:t xml:space="preserve"> </w:t>
      </w:r>
      <w:r>
        <w:t>nejvyšší. Tento závěr je však relativizován skutečností, že rozhodující podíl činnosti příslušného orgánu bude spočívat ve vytipování vhodné osoby převážející hotovost. Pokud tento proces proběhne a daná osoba bude dotázána, již není zásadní, zda poskytne informace k jí převážené hotovosti.</w:t>
      </w:r>
    </w:p>
    <w:p w14:paraId="776A2A72" w14:textId="77777777" w:rsidR="0089703B" w:rsidRPr="00822002" w:rsidRDefault="0089703B" w:rsidP="0089703B">
      <w:pPr>
        <w:rPr>
          <w:u w:val="single"/>
        </w:rPr>
      </w:pPr>
      <w:r w:rsidRPr="00822002">
        <w:rPr>
          <w:u w:val="single"/>
        </w:rPr>
        <w:t>Zmírnění rizika legalizace výnosů z trestné činnosti</w:t>
      </w:r>
    </w:p>
    <w:p w14:paraId="3F380308" w14:textId="77777777" w:rsidR="00C43D35" w:rsidRDefault="00CD243D" w:rsidP="00656AD2">
      <w:r>
        <w:t xml:space="preserve">Tato varianta je z hlediska prevence legalizace výnosů z trestné činnosti optimální. Umožňuje totiž pružně reagovat na případnou změnu praxe pachatelů trestné činnosti, spočívající v převozu nelegální hotovosti </w:t>
      </w:r>
      <w:r w:rsidR="00C43D35">
        <w:t>po menších částkách.</w:t>
      </w:r>
    </w:p>
    <w:p w14:paraId="301C9436" w14:textId="3620BC63" w:rsidR="00C43D35" w:rsidRPr="00F97DE3" w:rsidRDefault="006D2BBD">
      <w:pPr>
        <w:pStyle w:val="Nadpis2"/>
      </w:pPr>
      <w:r>
        <w:t>VARIANTA 2</w:t>
      </w:r>
      <w:r w:rsidR="00C43D35">
        <w:t xml:space="preserve"> – limit ve výši 270 000</w:t>
      </w:r>
      <w:r w:rsidR="00C43D35" w:rsidRPr="0089703B">
        <w:t xml:space="preserve"> Kč </w:t>
      </w:r>
    </w:p>
    <w:p w14:paraId="536E97EF" w14:textId="77777777" w:rsidR="00C43D35" w:rsidRPr="00F97DE3" w:rsidRDefault="00C43D35" w:rsidP="00C43D35">
      <w:pPr>
        <w:keepNext/>
        <w:rPr>
          <w:u w:val="single"/>
        </w:rPr>
      </w:pPr>
      <w:r w:rsidRPr="00254A9C">
        <w:rPr>
          <w:u w:val="single"/>
        </w:rPr>
        <w:t>Soulad s doporučením FATF č. 32</w:t>
      </w:r>
    </w:p>
    <w:p w14:paraId="54C78E21" w14:textId="3C9505EC" w:rsidR="00C43D35" w:rsidRPr="00822002" w:rsidRDefault="00C43D35" w:rsidP="00C43D35">
      <w:r>
        <w:t>Varianta je plně v souladu s předmětným doporučením FATF.</w:t>
      </w:r>
    </w:p>
    <w:p w14:paraId="06A46DD2" w14:textId="77777777" w:rsidR="00C43D35" w:rsidRDefault="00C43D35" w:rsidP="00C43D35">
      <w:r w:rsidRPr="00822002">
        <w:rPr>
          <w:u w:val="single"/>
        </w:rPr>
        <w:t>Náklady na straně osob převážejících nadlimitní objemy hotovosti</w:t>
      </w:r>
    </w:p>
    <w:p w14:paraId="6D15BEFE" w14:textId="39B81F74" w:rsidR="00C43D35" w:rsidRPr="00822002" w:rsidRDefault="00C43D35" w:rsidP="00C43D35">
      <w:r>
        <w:t xml:space="preserve">Tato varianta je z pohledu soukromého sektoru s ohledem na limit v zákoně o omezení plateb v hotovosti málo zatěžující. To stejně jako u předchozí varianty umocňuje </w:t>
      </w:r>
      <w:r w:rsidR="00F5075B">
        <w:t>ohlašovací</w:t>
      </w:r>
      <w:r>
        <w:t xml:space="preserve"> systém, který implikuje nízký celkový počet dotazovaných osob a že relevantní podíl dotazovaných osob bude převážet nelegální hotovost. </w:t>
      </w:r>
    </w:p>
    <w:p w14:paraId="764D0ED4" w14:textId="77777777" w:rsidR="00C43D35" w:rsidRDefault="00C43D35" w:rsidP="00C43D35">
      <w:pPr>
        <w:rPr>
          <w:u w:val="single"/>
        </w:rPr>
      </w:pPr>
      <w:r w:rsidRPr="00822002">
        <w:rPr>
          <w:u w:val="single"/>
        </w:rPr>
        <w:t>Náklady na veřejné rozpočty</w:t>
      </w:r>
    </w:p>
    <w:p w14:paraId="053EE543" w14:textId="1C58216D" w:rsidR="00C43D35" w:rsidRPr="00822002" w:rsidRDefault="00C43D35" w:rsidP="00C43D35">
      <w:r>
        <w:t xml:space="preserve">Stejně jako u předchozího kritéria jsou ve srovnání s předešlou variantou náklady přiměřeně nižší. </w:t>
      </w:r>
    </w:p>
    <w:p w14:paraId="58EDF3C2" w14:textId="77777777" w:rsidR="00C43D35" w:rsidRPr="00822002" w:rsidRDefault="00C43D35" w:rsidP="00C43D35">
      <w:pPr>
        <w:rPr>
          <w:u w:val="single"/>
        </w:rPr>
      </w:pPr>
      <w:r w:rsidRPr="00822002">
        <w:rPr>
          <w:u w:val="single"/>
        </w:rPr>
        <w:t>Zmírnění rizika legalizace výnosů z trestné činnosti</w:t>
      </w:r>
    </w:p>
    <w:p w14:paraId="7054D0B7" w14:textId="359EC8AA" w:rsidR="00DE381A" w:rsidRDefault="00C43D35" w:rsidP="00656AD2">
      <w:r>
        <w:t xml:space="preserve">Tato varianta je z hlediska prevence legalizace výnosů z trestné činnosti </w:t>
      </w:r>
      <w:r w:rsidR="006D2BBD">
        <w:t>přijatelná</w:t>
      </w:r>
      <w:r>
        <w:t xml:space="preserve">. </w:t>
      </w:r>
      <w:r w:rsidR="006D2BBD">
        <w:t>S</w:t>
      </w:r>
      <w:r w:rsidR="00DE381A">
        <w:t xml:space="preserve">ice </w:t>
      </w:r>
      <w:r w:rsidR="006D2BBD">
        <w:t>u</w:t>
      </w:r>
      <w:r>
        <w:t xml:space="preserve">možňuje </w:t>
      </w:r>
      <w:r w:rsidR="006D2BBD">
        <w:t xml:space="preserve">obcházení diskutovaného institutu rozdělením převážené hotovosti na menší částky, avšak je dostatečně nízká, aby toto obcházení nebylo atraktivní pro systémově důležité převozy hotovostních výnosů z trestné činnosti. </w:t>
      </w:r>
    </w:p>
    <w:p w14:paraId="6931B68A" w14:textId="07DC2116" w:rsidR="00DE381A" w:rsidRPr="00F97DE3" w:rsidRDefault="00DE381A" w:rsidP="00DE381A">
      <w:pPr>
        <w:pStyle w:val="Nadpis2"/>
      </w:pPr>
      <w:r>
        <w:lastRenderedPageBreak/>
        <w:t>VARIANTA 3 – limit ve výši ekvivalentu 15 000 EUR</w:t>
      </w:r>
      <w:r w:rsidRPr="0089703B">
        <w:t xml:space="preserve"> </w:t>
      </w:r>
    </w:p>
    <w:p w14:paraId="3334CB36" w14:textId="77777777" w:rsidR="00DE381A" w:rsidRPr="00F97DE3" w:rsidRDefault="00DE381A" w:rsidP="00DE381A">
      <w:pPr>
        <w:keepNext/>
        <w:rPr>
          <w:u w:val="single"/>
        </w:rPr>
      </w:pPr>
      <w:r w:rsidRPr="00254A9C">
        <w:rPr>
          <w:u w:val="single"/>
        </w:rPr>
        <w:t>Soulad s doporučením FATF č. 32</w:t>
      </w:r>
    </w:p>
    <w:p w14:paraId="0B64B2DC" w14:textId="77777777" w:rsidR="00DE381A" w:rsidRPr="00822002" w:rsidRDefault="00DE381A" w:rsidP="00DE381A">
      <w:r>
        <w:t>Varianta je plně v souladu s předmětným doporučením FATF.</w:t>
      </w:r>
    </w:p>
    <w:p w14:paraId="312E460A" w14:textId="77777777" w:rsidR="00DE381A" w:rsidRDefault="00DE381A" w:rsidP="00DE381A">
      <w:r w:rsidRPr="00822002">
        <w:rPr>
          <w:u w:val="single"/>
        </w:rPr>
        <w:t>Náklady na straně osob převážejících nadlimitní objemy hotovosti</w:t>
      </w:r>
    </w:p>
    <w:p w14:paraId="5741B63D" w14:textId="53AA063A" w:rsidR="00DE381A" w:rsidRPr="00822002" w:rsidRDefault="00DE381A" w:rsidP="00DE381A">
      <w:r>
        <w:t xml:space="preserve">Tato varianta je z pohledu soukromého sektoru s ohledem na limit v zákoně o omezení plateb v hotovosti málo zatěžující. To stejně jako u předchozích variant umocňuje </w:t>
      </w:r>
      <w:r w:rsidR="00F5075B">
        <w:t>ohlašovací</w:t>
      </w:r>
      <w:r>
        <w:t xml:space="preserve"> systém, který implikuje nízký celkový počet dotazovaných osob a že relevantní podíl dotazovaných osob bude převážet nelegální hotovost. </w:t>
      </w:r>
    </w:p>
    <w:p w14:paraId="0EF91C61" w14:textId="77777777" w:rsidR="00DE381A" w:rsidRDefault="00DE381A" w:rsidP="00DE381A">
      <w:pPr>
        <w:rPr>
          <w:u w:val="single"/>
        </w:rPr>
      </w:pPr>
      <w:r w:rsidRPr="00822002">
        <w:rPr>
          <w:u w:val="single"/>
        </w:rPr>
        <w:t>Náklady na veřejné rozpočty</w:t>
      </w:r>
    </w:p>
    <w:p w14:paraId="05C25D07" w14:textId="77777777" w:rsidR="00DE381A" w:rsidRPr="00822002" w:rsidRDefault="00DE381A" w:rsidP="00DE381A">
      <w:r>
        <w:t xml:space="preserve">Stejně jako u předchozího kritéria jsou ve srovnání s předešlou variantou náklady přiměřeně nižší. </w:t>
      </w:r>
    </w:p>
    <w:p w14:paraId="0C779A55" w14:textId="77777777" w:rsidR="00DE381A" w:rsidRPr="00822002" w:rsidRDefault="00DE381A" w:rsidP="00DE381A">
      <w:pPr>
        <w:rPr>
          <w:u w:val="single"/>
        </w:rPr>
      </w:pPr>
      <w:r w:rsidRPr="00822002">
        <w:rPr>
          <w:u w:val="single"/>
        </w:rPr>
        <w:t>Zmírnění rizika legalizace výnosů z trestné činnosti</w:t>
      </w:r>
    </w:p>
    <w:p w14:paraId="6368589D" w14:textId="0D7ED370" w:rsidR="00DE381A" w:rsidRPr="00F97DE3" w:rsidRDefault="00DE381A" w:rsidP="00DE381A">
      <w:r>
        <w:t xml:space="preserve">Tato varianta je z hlediska prevence legalizace výnosů z trestné činnosti přijatelná. Sice rovněž umožňuje obcházení diskutovaného institutu rozdělením převážené hotovosti na menší částky, avšak je stále dostatečně nízká, aby toto obcházení nebylo atraktivní pro systémově </w:t>
      </w:r>
      <w:r w:rsidR="0091390E">
        <w:t>významné</w:t>
      </w:r>
      <w:r>
        <w:t xml:space="preserve"> převozy hotovostních výnosů z trestné činnosti. </w:t>
      </w:r>
    </w:p>
    <w:p w14:paraId="404E7367" w14:textId="1F056966" w:rsidR="00DE381A" w:rsidRPr="00F97DE3" w:rsidRDefault="00DE381A" w:rsidP="00DE381A">
      <w:pPr>
        <w:pStyle w:val="Nadpis2"/>
      </w:pPr>
      <w:r>
        <w:t>VARIANTA 4 – limit ve výši ekvivalentu 15 000 EUR</w:t>
      </w:r>
      <w:r w:rsidRPr="0089703B">
        <w:t xml:space="preserve"> </w:t>
      </w:r>
    </w:p>
    <w:p w14:paraId="1CADFF07" w14:textId="77777777" w:rsidR="00DE381A" w:rsidRPr="00F97DE3" w:rsidRDefault="00DE381A" w:rsidP="00DE381A">
      <w:pPr>
        <w:keepNext/>
        <w:rPr>
          <w:u w:val="single"/>
        </w:rPr>
      </w:pPr>
      <w:r w:rsidRPr="00254A9C">
        <w:rPr>
          <w:u w:val="single"/>
        </w:rPr>
        <w:t>Soulad s doporučením FATF č. 32</w:t>
      </w:r>
    </w:p>
    <w:p w14:paraId="5A1D6364" w14:textId="0537DDEB" w:rsidR="00DE381A" w:rsidRPr="00822002" w:rsidRDefault="00DE381A" w:rsidP="00DE381A">
      <w:r>
        <w:t xml:space="preserve">Varianta je </w:t>
      </w:r>
      <w:r w:rsidR="0091390E">
        <w:t>v rozporu</w:t>
      </w:r>
      <w:r>
        <w:t xml:space="preserve"> s předmětným doporučením FATF</w:t>
      </w:r>
      <w:r w:rsidR="0091390E">
        <w:t>, a proto by zhatila hlavní důvod pro zavedení diskutovaného institutu</w:t>
      </w:r>
      <w:r>
        <w:t>.</w:t>
      </w:r>
    </w:p>
    <w:p w14:paraId="347AE7D8" w14:textId="77777777" w:rsidR="00DE381A" w:rsidRDefault="00DE381A" w:rsidP="00DE381A">
      <w:r w:rsidRPr="00822002">
        <w:rPr>
          <w:u w:val="single"/>
        </w:rPr>
        <w:t>Náklady na straně osob převážejících nadlimitní objemy hotovosti</w:t>
      </w:r>
    </w:p>
    <w:p w14:paraId="6A1D0E40" w14:textId="791AD0BC" w:rsidR="00DE381A" w:rsidRPr="00822002" w:rsidRDefault="00DE381A" w:rsidP="00DE381A">
      <w:r>
        <w:t xml:space="preserve">Tato varianta je z pohledu soukromého sektoru s ohledem na limit v zákoně o omezení plateb v hotovosti </w:t>
      </w:r>
      <w:r w:rsidR="0091390E">
        <w:t>z povahy věci nej</w:t>
      </w:r>
      <w:r w:rsidR="00FB203E">
        <w:t>m</w:t>
      </w:r>
      <w:r w:rsidR="0091390E">
        <w:t>éně</w:t>
      </w:r>
      <w:r>
        <w:t xml:space="preserve"> zatěžující. To stejně jako u předchozích variant umocňuje </w:t>
      </w:r>
      <w:r w:rsidR="00F5075B">
        <w:t>ohlašovací</w:t>
      </w:r>
      <w:r>
        <w:t xml:space="preserve"> systém, který implikuje nízký celkový počet dotazovaných osob a že relevantní podíl dotazovaných osob bude převážet nelegální hotovost. </w:t>
      </w:r>
    </w:p>
    <w:p w14:paraId="77B8A3B5" w14:textId="77777777" w:rsidR="00DE381A" w:rsidRDefault="00DE381A" w:rsidP="00DE381A">
      <w:pPr>
        <w:rPr>
          <w:u w:val="single"/>
        </w:rPr>
      </w:pPr>
      <w:r w:rsidRPr="00822002">
        <w:rPr>
          <w:u w:val="single"/>
        </w:rPr>
        <w:t>Náklady na veřejné rozpočty</w:t>
      </w:r>
    </w:p>
    <w:p w14:paraId="016D5DA1" w14:textId="2D2FC6F6" w:rsidR="00DE381A" w:rsidRPr="00822002" w:rsidRDefault="00DE381A" w:rsidP="00DE381A">
      <w:r>
        <w:t>Stejně jako u předchozího kritéria jsou ve srovnání s předešlou variantou náklady přiměřeně nižší</w:t>
      </w:r>
      <w:r w:rsidR="00FB203E">
        <w:t>, re</w:t>
      </w:r>
      <w:r w:rsidR="0091390E">
        <w:t>spektive jsou z těchto variant nejnižší</w:t>
      </w:r>
      <w:r>
        <w:t xml:space="preserve">. </w:t>
      </w:r>
    </w:p>
    <w:p w14:paraId="5BAD9B2A" w14:textId="77777777" w:rsidR="00DE381A" w:rsidRPr="00822002" w:rsidRDefault="00DE381A" w:rsidP="00DE381A">
      <w:pPr>
        <w:rPr>
          <w:u w:val="single"/>
        </w:rPr>
      </w:pPr>
      <w:r w:rsidRPr="00822002">
        <w:rPr>
          <w:u w:val="single"/>
        </w:rPr>
        <w:t>Zmírnění rizika legalizace výnosů z trestné činnosti</w:t>
      </w:r>
    </w:p>
    <w:p w14:paraId="2E268482" w14:textId="0D9D26F8" w:rsidR="00DE381A" w:rsidRPr="00F97DE3" w:rsidRDefault="00DE381A" w:rsidP="00DE381A">
      <w:r>
        <w:t xml:space="preserve">Tato varianta je z hlediska prevence legalizace výnosů z trestné činnosti </w:t>
      </w:r>
      <w:r w:rsidR="0091390E">
        <w:t>problematická</w:t>
      </w:r>
      <w:r>
        <w:t xml:space="preserve">. </w:t>
      </w:r>
      <w:r w:rsidR="0091390E">
        <w:t>Umožňuje</w:t>
      </w:r>
      <w:r>
        <w:t xml:space="preserve"> systémově </w:t>
      </w:r>
      <w:r w:rsidR="0091390E">
        <w:t>významné</w:t>
      </w:r>
      <w:r>
        <w:t xml:space="preserve"> převozy hotovostních výnosů z trestné činnosti. </w:t>
      </w:r>
    </w:p>
    <w:p w14:paraId="4C39CB72" w14:textId="77777777" w:rsidR="00510203" w:rsidRPr="00F97DE3" w:rsidRDefault="00C114A2" w:rsidP="00F97DE3">
      <w:pPr>
        <w:pStyle w:val="Nadpis1"/>
      </w:pPr>
      <w:bookmarkStart w:id="65" w:name="_Toc145865728"/>
      <w:bookmarkStart w:id="66" w:name="_Toc145865729"/>
      <w:bookmarkStart w:id="67" w:name="_Toc145865730"/>
      <w:bookmarkStart w:id="68" w:name="_Toc145865731"/>
      <w:bookmarkStart w:id="69" w:name="_Toc145865732"/>
      <w:bookmarkStart w:id="70" w:name="_Toc145865733"/>
      <w:bookmarkStart w:id="71" w:name="_Toc145865734"/>
      <w:bookmarkStart w:id="72" w:name="_Toc145865735"/>
      <w:bookmarkStart w:id="73" w:name="_Toc145865736"/>
      <w:bookmarkStart w:id="74" w:name="_Toc145865737"/>
      <w:bookmarkStart w:id="75" w:name="_Toc145865738"/>
      <w:bookmarkStart w:id="76" w:name="_Toc145865739"/>
      <w:bookmarkStart w:id="77" w:name="_Toc145865740"/>
      <w:bookmarkStart w:id="78" w:name="_Toc112436154"/>
      <w:bookmarkStart w:id="79" w:name="_Toc112436202"/>
      <w:bookmarkStart w:id="80" w:name="_Toc112436317"/>
      <w:bookmarkStart w:id="81" w:name="_Toc112436344"/>
      <w:bookmarkStart w:id="82" w:name="_Toc112443834"/>
      <w:bookmarkStart w:id="83" w:name="_Toc112443901"/>
      <w:bookmarkStart w:id="84" w:name="_Toc14620487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F97DE3">
        <w:lastRenderedPageBreak/>
        <w:t>Stanovení pořadí variant a výběr nejvhodnějšího řešení</w:t>
      </w:r>
      <w:bookmarkEnd w:id="60"/>
      <w:bookmarkEnd w:id="61"/>
      <w:bookmarkEnd w:id="84"/>
    </w:p>
    <w:p w14:paraId="603EC21C" w14:textId="77777777" w:rsidR="003B6042" w:rsidRPr="00F97DE3" w:rsidRDefault="003B6042" w:rsidP="003B6042">
      <w:pPr>
        <w:keepNext/>
      </w:pPr>
      <w:r w:rsidRPr="00F97DE3">
        <w:t>Níže uvedená tabulka je grafickým přehledem vyhodnocení variant, které byly zpracovávány v předchozí kapitole.</w:t>
      </w:r>
    </w:p>
    <w:p w14:paraId="62A98303" w14:textId="7F79F0FB" w:rsidR="003B6042" w:rsidRPr="00F97DE3" w:rsidRDefault="003B6042" w:rsidP="003B6042">
      <w:pPr>
        <w:pStyle w:val="Titulek"/>
        <w:keepNext/>
      </w:pPr>
      <w:r w:rsidRPr="00F97DE3">
        <w:t xml:space="preserve">Tabulka </w:t>
      </w:r>
      <w:r w:rsidR="00FC2507" w:rsidRPr="00F97DE3">
        <w:t>2</w:t>
      </w:r>
      <w:r w:rsidR="00FC2507">
        <w:t> </w:t>
      </w:r>
      <w:r w:rsidRPr="00F97DE3">
        <w:t>- Vyhodnocení navržených variant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633"/>
        <w:gridCol w:w="1633"/>
        <w:gridCol w:w="2173"/>
        <w:gridCol w:w="2173"/>
      </w:tblGrid>
      <w:tr w:rsidR="0091390E" w:rsidRPr="00F97DE3" w14:paraId="3BC6C586" w14:textId="4A2C863A" w:rsidTr="00387AFF">
        <w:trPr>
          <w:trHeight w:val="283"/>
        </w:trPr>
        <w:tc>
          <w:tcPr>
            <w:tcW w:w="800" w:type="pct"/>
            <w:shd w:val="clear" w:color="auto" w:fill="auto"/>
          </w:tcPr>
          <w:p w14:paraId="1C13F7F0" w14:textId="77777777" w:rsidR="0091390E" w:rsidRPr="00F97DE3" w:rsidRDefault="0091390E" w:rsidP="00341C83">
            <w:pPr>
              <w:pStyle w:val="Tabulka"/>
            </w:pPr>
          </w:p>
        </w:tc>
        <w:tc>
          <w:tcPr>
            <w:tcW w:w="901" w:type="pct"/>
          </w:tcPr>
          <w:p w14:paraId="451B709A" w14:textId="4B27BF42" w:rsidR="0091390E" w:rsidRPr="00F97DE3" w:rsidRDefault="0091390E" w:rsidP="00341C83">
            <w:pPr>
              <w:pStyle w:val="Tabulka"/>
            </w:pPr>
            <w:r w:rsidRPr="0091390E">
              <w:t>Soulad s doporučením FATF č. 32</w:t>
            </w:r>
          </w:p>
        </w:tc>
        <w:tc>
          <w:tcPr>
            <w:tcW w:w="901" w:type="pct"/>
            <w:shd w:val="clear" w:color="auto" w:fill="auto"/>
          </w:tcPr>
          <w:p w14:paraId="48BBA98C" w14:textId="1821D8E9" w:rsidR="0091390E" w:rsidRPr="00F97DE3" w:rsidRDefault="0091390E" w:rsidP="00175990">
            <w:pPr>
              <w:pStyle w:val="Tabulka"/>
            </w:pPr>
            <w:r w:rsidRPr="0091390E">
              <w:t>Náklady na straně osob převážejících nadlimitní objemy hotovosti</w:t>
            </w:r>
          </w:p>
        </w:tc>
        <w:tc>
          <w:tcPr>
            <w:tcW w:w="1199" w:type="pct"/>
          </w:tcPr>
          <w:p w14:paraId="62644563" w14:textId="658B2122" w:rsidR="0091390E" w:rsidRPr="00F97DE3" w:rsidRDefault="0091390E" w:rsidP="00341C83">
            <w:pPr>
              <w:pStyle w:val="Tabulka"/>
            </w:pPr>
            <w:r w:rsidRPr="0091390E">
              <w:t>Náklady na veřejné rozpočty</w:t>
            </w:r>
          </w:p>
        </w:tc>
        <w:tc>
          <w:tcPr>
            <w:tcW w:w="1199" w:type="pct"/>
          </w:tcPr>
          <w:p w14:paraId="29264A4B" w14:textId="7B4A84BB" w:rsidR="0091390E" w:rsidRPr="0091390E" w:rsidRDefault="0091390E" w:rsidP="00341C83">
            <w:pPr>
              <w:pStyle w:val="Tabulka"/>
            </w:pPr>
            <w:r w:rsidRPr="0091390E">
              <w:t>Zmírnění rizika legalizace výnosů z trestné činnosti</w:t>
            </w:r>
          </w:p>
        </w:tc>
      </w:tr>
      <w:tr w:rsidR="0091390E" w:rsidRPr="00F97DE3" w14:paraId="552232D2" w14:textId="3CFCF650" w:rsidTr="00387AFF">
        <w:trPr>
          <w:trHeight w:val="283"/>
        </w:trPr>
        <w:tc>
          <w:tcPr>
            <w:tcW w:w="800" w:type="pct"/>
            <w:shd w:val="clear" w:color="auto" w:fill="auto"/>
          </w:tcPr>
          <w:p w14:paraId="5394885C" w14:textId="258301ED" w:rsidR="0091390E" w:rsidRPr="00F97DE3" w:rsidRDefault="0091390E" w:rsidP="00341C83">
            <w:pPr>
              <w:pStyle w:val="Tabulka"/>
            </w:pPr>
            <w:r w:rsidRPr="00F97DE3">
              <w:t xml:space="preserve">Varianta </w:t>
            </w:r>
            <w:r>
              <w:t>1</w:t>
            </w:r>
          </w:p>
        </w:tc>
        <w:tc>
          <w:tcPr>
            <w:tcW w:w="901" w:type="pct"/>
          </w:tcPr>
          <w:p w14:paraId="044013BB" w14:textId="2DED9C25" w:rsidR="0091390E" w:rsidRPr="00F97DE3" w:rsidRDefault="0091390E" w:rsidP="00341C83">
            <w:pPr>
              <w:pStyle w:val="Tabulka"/>
            </w:pPr>
            <w:r>
              <w:t>4</w:t>
            </w:r>
          </w:p>
        </w:tc>
        <w:tc>
          <w:tcPr>
            <w:tcW w:w="901" w:type="pct"/>
            <w:shd w:val="clear" w:color="auto" w:fill="auto"/>
          </w:tcPr>
          <w:p w14:paraId="2941AC66" w14:textId="0F8BF004" w:rsidR="0091390E" w:rsidRPr="00F97DE3" w:rsidRDefault="00A14EC5" w:rsidP="00341C83">
            <w:pPr>
              <w:pStyle w:val="Tabulka"/>
            </w:pPr>
            <w:r>
              <w:t>1</w:t>
            </w:r>
          </w:p>
        </w:tc>
        <w:tc>
          <w:tcPr>
            <w:tcW w:w="1199" w:type="pct"/>
          </w:tcPr>
          <w:p w14:paraId="577F9920" w14:textId="06838241" w:rsidR="0091390E" w:rsidRPr="00F97DE3" w:rsidRDefault="00A65660" w:rsidP="00341C83">
            <w:pPr>
              <w:pStyle w:val="Tabulka"/>
            </w:pPr>
            <w:r>
              <w:t>3</w:t>
            </w:r>
          </w:p>
        </w:tc>
        <w:tc>
          <w:tcPr>
            <w:tcW w:w="1199" w:type="pct"/>
          </w:tcPr>
          <w:p w14:paraId="4F823773" w14:textId="1A062E74" w:rsidR="0091390E" w:rsidRPr="00F97DE3" w:rsidDel="0091390E" w:rsidRDefault="00A65660" w:rsidP="00341C83">
            <w:pPr>
              <w:pStyle w:val="Tabulka"/>
            </w:pPr>
            <w:r>
              <w:t>4</w:t>
            </w:r>
          </w:p>
        </w:tc>
      </w:tr>
      <w:tr w:rsidR="0091390E" w:rsidRPr="00F97DE3" w14:paraId="6C249074" w14:textId="51960F31" w:rsidTr="00387AFF">
        <w:trPr>
          <w:trHeight w:val="283"/>
        </w:trPr>
        <w:tc>
          <w:tcPr>
            <w:tcW w:w="800" w:type="pct"/>
            <w:shd w:val="clear" w:color="auto" w:fill="auto"/>
          </w:tcPr>
          <w:p w14:paraId="1C048619" w14:textId="7E289EF2" w:rsidR="0091390E" w:rsidRPr="00F97DE3" w:rsidRDefault="0091390E" w:rsidP="00341C83">
            <w:pPr>
              <w:pStyle w:val="Tabulka"/>
            </w:pPr>
            <w:r w:rsidRPr="00F97DE3">
              <w:t xml:space="preserve">Varianta </w:t>
            </w:r>
            <w:r>
              <w:t>2</w:t>
            </w:r>
          </w:p>
        </w:tc>
        <w:tc>
          <w:tcPr>
            <w:tcW w:w="901" w:type="pct"/>
          </w:tcPr>
          <w:p w14:paraId="74991E75" w14:textId="7766B7FA" w:rsidR="0091390E" w:rsidRPr="00F97DE3" w:rsidRDefault="0091390E" w:rsidP="00341C83">
            <w:pPr>
              <w:pStyle w:val="Tabulka"/>
            </w:pPr>
            <w:r>
              <w:t>4</w:t>
            </w:r>
          </w:p>
        </w:tc>
        <w:tc>
          <w:tcPr>
            <w:tcW w:w="901" w:type="pct"/>
            <w:shd w:val="clear" w:color="auto" w:fill="auto"/>
          </w:tcPr>
          <w:p w14:paraId="3132633E" w14:textId="3AACDAA5" w:rsidR="0091390E" w:rsidRPr="00F97DE3" w:rsidRDefault="00A65660" w:rsidP="00341C83">
            <w:pPr>
              <w:pStyle w:val="Tabulka"/>
            </w:pPr>
            <w:r>
              <w:t>2</w:t>
            </w:r>
          </w:p>
        </w:tc>
        <w:tc>
          <w:tcPr>
            <w:tcW w:w="1199" w:type="pct"/>
          </w:tcPr>
          <w:p w14:paraId="75161B5C" w14:textId="144CCA47" w:rsidR="0091390E" w:rsidRPr="00F97DE3" w:rsidRDefault="00A65660" w:rsidP="00341C83">
            <w:pPr>
              <w:pStyle w:val="Tabulka"/>
            </w:pPr>
            <w:r>
              <w:t>3</w:t>
            </w:r>
          </w:p>
        </w:tc>
        <w:tc>
          <w:tcPr>
            <w:tcW w:w="1199" w:type="pct"/>
          </w:tcPr>
          <w:p w14:paraId="04D1B188" w14:textId="5CC78F94" w:rsidR="0091390E" w:rsidRPr="00F97DE3" w:rsidDel="0091390E" w:rsidRDefault="00A65660" w:rsidP="00341C83">
            <w:pPr>
              <w:pStyle w:val="Tabulka"/>
            </w:pPr>
            <w:r>
              <w:t>3</w:t>
            </w:r>
          </w:p>
        </w:tc>
      </w:tr>
      <w:tr w:rsidR="0091390E" w:rsidRPr="00F97DE3" w14:paraId="3DB056A0" w14:textId="7B946301" w:rsidTr="00387AFF">
        <w:trPr>
          <w:trHeight w:val="283"/>
        </w:trPr>
        <w:tc>
          <w:tcPr>
            <w:tcW w:w="800" w:type="pct"/>
            <w:shd w:val="clear" w:color="auto" w:fill="auto"/>
          </w:tcPr>
          <w:p w14:paraId="1711304E" w14:textId="308D1636" w:rsidR="0091390E" w:rsidRPr="00F97DE3" w:rsidRDefault="0091390E" w:rsidP="00341C83">
            <w:pPr>
              <w:pStyle w:val="Tabulka"/>
            </w:pPr>
            <w:r w:rsidRPr="00F97DE3">
              <w:t>Varianta</w:t>
            </w:r>
            <w:r>
              <w:t xml:space="preserve"> 3</w:t>
            </w:r>
          </w:p>
        </w:tc>
        <w:tc>
          <w:tcPr>
            <w:tcW w:w="901" w:type="pct"/>
          </w:tcPr>
          <w:p w14:paraId="0976E87F" w14:textId="712B6E01" w:rsidR="0091390E" w:rsidRPr="00F97DE3" w:rsidRDefault="0091390E" w:rsidP="00341C83">
            <w:pPr>
              <w:pStyle w:val="Tabulka"/>
            </w:pPr>
            <w:r>
              <w:t>4</w:t>
            </w:r>
          </w:p>
        </w:tc>
        <w:tc>
          <w:tcPr>
            <w:tcW w:w="901" w:type="pct"/>
            <w:shd w:val="clear" w:color="auto" w:fill="auto"/>
          </w:tcPr>
          <w:p w14:paraId="31C2008B" w14:textId="607C2809" w:rsidR="0091390E" w:rsidRPr="00F97DE3" w:rsidRDefault="0091390E" w:rsidP="00341C83">
            <w:pPr>
              <w:pStyle w:val="Tabulka"/>
            </w:pPr>
            <w:r>
              <w:t>3</w:t>
            </w:r>
          </w:p>
        </w:tc>
        <w:tc>
          <w:tcPr>
            <w:tcW w:w="1199" w:type="pct"/>
          </w:tcPr>
          <w:p w14:paraId="7A9B9502" w14:textId="46797261" w:rsidR="0091390E" w:rsidRPr="00F97DE3" w:rsidRDefault="00A65660" w:rsidP="00341C83">
            <w:pPr>
              <w:pStyle w:val="Tabulka"/>
            </w:pPr>
            <w:r>
              <w:t>3</w:t>
            </w:r>
          </w:p>
        </w:tc>
        <w:tc>
          <w:tcPr>
            <w:tcW w:w="1199" w:type="pct"/>
          </w:tcPr>
          <w:p w14:paraId="06A70AD6" w14:textId="24BD9E9C" w:rsidR="0091390E" w:rsidRPr="00F97DE3" w:rsidRDefault="00A65660" w:rsidP="00341C83">
            <w:pPr>
              <w:pStyle w:val="Tabulka"/>
            </w:pPr>
            <w:r>
              <w:t>3</w:t>
            </w:r>
          </w:p>
        </w:tc>
      </w:tr>
      <w:tr w:rsidR="0091390E" w:rsidRPr="00F97DE3" w14:paraId="3BF53A70" w14:textId="515775C1" w:rsidTr="00387AFF">
        <w:trPr>
          <w:trHeight w:val="283"/>
        </w:trPr>
        <w:tc>
          <w:tcPr>
            <w:tcW w:w="800" w:type="pct"/>
            <w:shd w:val="clear" w:color="auto" w:fill="auto"/>
          </w:tcPr>
          <w:p w14:paraId="30F81D5B" w14:textId="184C8E47" w:rsidR="0091390E" w:rsidRPr="00F97DE3" w:rsidRDefault="0091390E" w:rsidP="00341C83">
            <w:pPr>
              <w:pStyle w:val="Tabulka"/>
            </w:pPr>
            <w:r w:rsidRPr="00F97DE3">
              <w:t>Varianta</w:t>
            </w:r>
            <w:r>
              <w:t xml:space="preserve"> 4</w:t>
            </w:r>
          </w:p>
        </w:tc>
        <w:tc>
          <w:tcPr>
            <w:tcW w:w="901" w:type="pct"/>
          </w:tcPr>
          <w:p w14:paraId="398AEEBF" w14:textId="67FAB94B" w:rsidR="0091390E" w:rsidRPr="00F97DE3" w:rsidRDefault="0091390E" w:rsidP="00341C83">
            <w:pPr>
              <w:pStyle w:val="Tabulka"/>
            </w:pPr>
            <w:r>
              <w:t>0</w:t>
            </w:r>
          </w:p>
        </w:tc>
        <w:tc>
          <w:tcPr>
            <w:tcW w:w="901" w:type="pct"/>
            <w:shd w:val="clear" w:color="auto" w:fill="auto"/>
          </w:tcPr>
          <w:p w14:paraId="21F5E231" w14:textId="56E70D42" w:rsidR="0091390E" w:rsidRPr="00F97DE3" w:rsidRDefault="0091390E" w:rsidP="00341C83">
            <w:pPr>
              <w:pStyle w:val="Tabulka"/>
            </w:pPr>
            <w:r>
              <w:t>4</w:t>
            </w:r>
          </w:p>
        </w:tc>
        <w:tc>
          <w:tcPr>
            <w:tcW w:w="1199" w:type="pct"/>
          </w:tcPr>
          <w:p w14:paraId="70F32C3E" w14:textId="1EA2A697" w:rsidR="0091390E" w:rsidRPr="00F97DE3" w:rsidRDefault="0091390E" w:rsidP="00341C83">
            <w:pPr>
              <w:pStyle w:val="Tabulka"/>
            </w:pPr>
            <w:r>
              <w:t>4</w:t>
            </w:r>
          </w:p>
        </w:tc>
        <w:tc>
          <w:tcPr>
            <w:tcW w:w="1199" w:type="pct"/>
          </w:tcPr>
          <w:p w14:paraId="234D47EE" w14:textId="78AAE678" w:rsidR="0091390E" w:rsidRPr="00F97DE3" w:rsidRDefault="00A65660" w:rsidP="00341C83">
            <w:pPr>
              <w:pStyle w:val="Tabulka"/>
            </w:pPr>
            <w:r>
              <w:t>1</w:t>
            </w:r>
          </w:p>
        </w:tc>
      </w:tr>
    </w:tbl>
    <w:p w14:paraId="51C6B20B" w14:textId="60F8D391" w:rsidR="00510203" w:rsidRPr="00F97DE3" w:rsidRDefault="00C114A2">
      <w:pPr>
        <w:rPr>
          <w:bCs/>
        </w:rPr>
      </w:pPr>
      <w:r w:rsidRPr="00F97DE3">
        <w:t xml:space="preserve">Na základě vyhodnocení variant podle jednotlivých kritérií bylo zjištěno, že nejvhodnější variantou k realizaci je </w:t>
      </w:r>
      <w:r w:rsidRPr="00F97DE3">
        <w:rPr>
          <w:b/>
        </w:rPr>
        <w:t xml:space="preserve">varianta </w:t>
      </w:r>
      <w:r w:rsidR="00A65660">
        <w:rPr>
          <w:b/>
        </w:rPr>
        <w:t>3</w:t>
      </w:r>
      <w:r w:rsidRPr="00F97DE3">
        <w:rPr>
          <w:bCs/>
        </w:rPr>
        <w:t xml:space="preserve">. </w:t>
      </w:r>
    </w:p>
    <w:p w14:paraId="4EA92C3B" w14:textId="77777777" w:rsidR="00510203" w:rsidRPr="00F97DE3" w:rsidRDefault="00C114A2" w:rsidP="00F97DE3">
      <w:pPr>
        <w:pStyle w:val="Nadpis1"/>
      </w:pPr>
      <w:bookmarkStart w:id="85" w:name="_Toc11698022"/>
      <w:bookmarkStart w:id="86" w:name="_Toc30142"/>
      <w:bookmarkStart w:id="87" w:name="_Toc146204879"/>
      <w:r w:rsidRPr="00F97DE3">
        <w:t>Implementace doporučené varianty a vynucování</w:t>
      </w:r>
      <w:bookmarkEnd w:id="85"/>
      <w:bookmarkEnd w:id="86"/>
      <w:bookmarkEnd w:id="87"/>
    </w:p>
    <w:p w14:paraId="4B12C446" w14:textId="6231C425" w:rsidR="00510203" w:rsidRPr="00F97DE3" w:rsidRDefault="006F387A">
      <w:r w:rsidRPr="00F97DE3">
        <w:t>Navrhovaná změna bude provedena formou novely AML zákona. Orgány odpovědnými za implementaci budou Finanční analytický úřad a</w:t>
      </w:r>
      <w:r>
        <w:t> </w:t>
      </w:r>
      <w:r w:rsidR="00B4761F">
        <w:t>orgány Celní správy České republiky</w:t>
      </w:r>
      <w:r w:rsidRPr="00F97DE3">
        <w:t xml:space="preserve">. Vynucování nově stanovených pravidel bude probíhat standardně prostřednictvím </w:t>
      </w:r>
      <w:r w:rsidR="00144E18">
        <w:t xml:space="preserve">oprávnění ke kontrole </w:t>
      </w:r>
      <w:r w:rsidRPr="00F97DE3">
        <w:t>u</w:t>
      </w:r>
      <w:r>
        <w:t> </w:t>
      </w:r>
      <w:r w:rsidRPr="00F97DE3">
        <w:t xml:space="preserve">osob </w:t>
      </w:r>
      <w:r w:rsidR="00B4761F">
        <w:t>povinných poskytnout informace</w:t>
      </w:r>
      <w:r w:rsidR="00144E18">
        <w:t xml:space="preserve"> </w:t>
      </w:r>
      <w:r w:rsidRPr="00F97DE3">
        <w:t>ze strany</w:t>
      </w:r>
      <w:r w:rsidR="00FB203E">
        <w:t xml:space="preserve"> </w:t>
      </w:r>
      <w:r w:rsidR="00144E18">
        <w:t>celního úřadu</w:t>
      </w:r>
      <w:r w:rsidRPr="00F97DE3">
        <w:t>. Vynucování probíhá podle standardních postupů upravených v</w:t>
      </w:r>
      <w:r>
        <w:t> </w:t>
      </w:r>
      <w:r w:rsidR="00555E35">
        <w:t>z</w:t>
      </w:r>
      <w:r w:rsidR="00DB577E">
        <w:t xml:space="preserve">ákoně o Celní správě České republiky, </w:t>
      </w:r>
      <w:r w:rsidR="00144E18">
        <w:t>daňovém</w:t>
      </w:r>
      <w:r w:rsidR="00144E18" w:rsidRPr="00F97DE3">
        <w:t xml:space="preserve"> </w:t>
      </w:r>
      <w:r w:rsidRPr="00F97DE3">
        <w:t>řádu a</w:t>
      </w:r>
      <w:r>
        <w:t> </w:t>
      </w:r>
      <w:r w:rsidRPr="00F97DE3">
        <w:t>zákoně o</w:t>
      </w:r>
      <w:r>
        <w:t> </w:t>
      </w:r>
      <w:r w:rsidRPr="00F97DE3">
        <w:t xml:space="preserve">odpovědnosti za přestupky. </w:t>
      </w:r>
    </w:p>
    <w:p w14:paraId="2A00A066" w14:textId="77777777" w:rsidR="00510203" w:rsidRPr="00F97DE3" w:rsidRDefault="00C114A2" w:rsidP="00F97DE3">
      <w:pPr>
        <w:pStyle w:val="Nadpis1"/>
      </w:pPr>
      <w:bookmarkStart w:id="88" w:name="_Toc11698023"/>
      <w:bookmarkStart w:id="89" w:name="_Toc18698"/>
      <w:bookmarkStart w:id="90" w:name="_Toc146204880"/>
      <w:r w:rsidRPr="00F97DE3">
        <w:t>Přezkum účinnosti regulace</w:t>
      </w:r>
      <w:bookmarkEnd w:id="88"/>
      <w:bookmarkEnd w:id="89"/>
      <w:bookmarkEnd w:id="90"/>
      <w:r w:rsidRPr="00F97DE3">
        <w:t xml:space="preserve"> </w:t>
      </w:r>
    </w:p>
    <w:p w14:paraId="2FEC4494" w14:textId="559F6735" w:rsidR="006F387A" w:rsidRPr="00F97DE3" w:rsidRDefault="006F387A" w:rsidP="006F387A">
      <w:r w:rsidRPr="00F97DE3">
        <w:t>Účinnost přijatých změn bude ověřována v</w:t>
      </w:r>
      <w:r>
        <w:t> </w:t>
      </w:r>
      <w:r w:rsidRPr="00F97DE3">
        <w:t>praxi s</w:t>
      </w:r>
      <w:r>
        <w:t> </w:t>
      </w:r>
      <w:r w:rsidRPr="00F97DE3">
        <w:t>tím, že bude předmětem národního hodnocení rizik praní peněz a</w:t>
      </w:r>
      <w:r>
        <w:t> </w:t>
      </w:r>
      <w:r w:rsidRPr="00F97DE3">
        <w:t>financování terorismu, jež je koordinováno Finančním analytickým úřadem a</w:t>
      </w:r>
      <w:r>
        <w:t> </w:t>
      </w:r>
      <w:r w:rsidRPr="00F97DE3">
        <w:t>na jehož zpracování se podílejí i</w:t>
      </w:r>
      <w:r>
        <w:t> </w:t>
      </w:r>
      <w:r w:rsidRPr="00F97DE3">
        <w:t>další orgány veřejné moci a</w:t>
      </w:r>
      <w:r>
        <w:t> </w:t>
      </w:r>
      <w:r w:rsidRPr="00F97DE3">
        <w:t>povinné osoby.</w:t>
      </w:r>
    </w:p>
    <w:p w14:paraId="721F7C37" w14:textId="77777777" w:rsidR="00510203" w:rsidRPr="00F97DE3" w:rsidRDefault="00C114A2" w:rsidP="00F97DE3">
      <w:pPr>
        <w:pStyle w:val="Nadpis1"/>
      </w:pPr>
      <w:bookmarkStart w:id="91" w:name="_Toc145865744"/>
      <w:bookmarkStart w:id="92" w:name="_Toc11698024"/>
      <w:bookmarkStart w:id="93" w:name="_Toc29723"/>
      <w:bookmarkStart w:id="94" w:name="_Toc146204881"/>
      <w:bookmarkEnd w:id="91"/>
      <w:r w:rsidRPr="00F97DE3">
        <w:t>Konzultace a zdroje dat</w:t>
      </w:r>
      <w:bookmarkEnd w:id="92"/>
      <w:bookmarkEnd w:id="93"/>
      <w:bookmarkEnd w:id="94"/>
    </w:p>
    <w:p w14:paraId="24C31C2C" w14:textId="2F4C2632" w:rsidR="006F387A" w:rsidRPr="00F97DE3" w:rsidRDefault="006F387A" w:rsidP="006F387A">
      <w:pPr>
        <w:pStyle w:val="Bezmezer"/>
        <w:keepNext w:val="0"/>
        <w:rPr>
          <w:sz w:val="24"/>
        </w:rPr>
      </w:pPr>
      <w:r w:rsidRPr="00F97DE3">
        <w:rPr>
          <w:sz w:val="24"/>
        </w:rPr>
        <w:t>Problematika byla konzultována s</w:t>
      </w:r>
      <w:r>
        <w:rPr>
          <w:sz w:val="24"/>
        </w:rPr>
        <w:t> Celní správou</w:t>
      </w:r>
      <w:r w:rsidR="005E4035">
        <w:rPr>
          <w:sz w:val="24"/>
        </w:rPr>
        <w:t xml:space="preserve"> České Republiky</w:t>
      </w:r>
      <w:r>
        <w:rPr>
          <w:sz w:val="24"/>
        </w:rPr>
        <w:t>.</w:t>
      </w:r>
    </w:p>
    <w:p w14:paraId="4F381A06" w14:textId="77777777" w:rsidR="00093B29" w:rsidRPr="00F97DE3" w:rsidRDefault="00093B29" w:rsidP="00093B29">
      <w:pPr>
        <w:pStyle w:val="Nadpis1"/>
      </w:pPr>
      <w:r w:rsidRPr="00F97DE3">
        <w:t>Kontakt na zpracovatele RIA</w:t>
      </w:r>
    </w:p>
    <w:p w14:paraId="364B3E3C" w14:textId="77777777" w:rsidR="00093B29" w:rsidRPr="00F97DE3" w:rsidRDefault="00093B29" w:rsidP="00093B29">
      <w:r>
        <w:t>Viktor Kabeš</w:t>
      </w:r>
    </w:p>
    <w:p w14:paraId="7F9F4668" w14:textId="77777777" w:rsidR="00093B29" w:rsidRPr="00F97DE3" w:rsidRDefault="00093B29" w:rsidP="00093B29">
      <w:r w:rsidRPr="00F97DE3">
        <w:t>Finanční analytický úřad, odbor právní</w:t>
      </w:r>
    </w:p>
    <w:p w14:paraId="1C5CEFFB" w14:textId="77777777" w:rsidR="00093B29" w:rsidRPr="00F97DE3" w:rsidRDefault="00093B29" w:rsidP="00093B29">
      <w:r w:rsidRPr="00F97DE3">
        <w:t>tel.: (257 044 5</w:t>
      </w:r>
      <w:r>
        <w:t>45</w:t>
      </w:r>
      <w:r w:rsidRPr="00F97DE3">
        <w:t>), e-mail: (</w:t>
      </w:r>
      <w:r>
        <w:t>viktor.kabes</w:t>
      </w:r>
      <w:r w:rsidRPr="00F97DE3">
        <w:t>@fau.mfcr.cz)</w:t>
      </w:r>
    </w:p>
    <w:p w14:paraId="15CABADF" w14:textId="5EAB4CBA" w:rsidR="00510203" w:rsidRPr="00F97DE3" w:rsidRDefault="002E6539" w:rsidP="00F97DE3">
      <w:pPr>
        <w:pStyle w:val="st"/>
      </w:pPr>
      <w:bookmarkStart w:id="95" w:name="_Toc146204882"/>
      <w:r>
        <w:lastRenderedPageBreak/>
        <w:t>Výběr orgánu příslušného pro výkon kontroly nad vnitrounijními převozy nadlimitní hotovosti</w:t>
      </w:r>
      <w:bookmarkEnd w:id="95"/>
    </w:p>
    <w:p w14:paraId="1D6FA733" w14:textId="77777777" w:rsidR="00510203" w:rsidRPr="00F97DE3" w:rsidRDefault="00C114A2" w:rsidP="00F97DE3">
      <w:pPr>
        <w:pStyle w:val="Nadpis1"/>
      </w:pPr>
      <w:bookmarkStart w:id="96" w:name="_Toc11698026"/>
      <w:bookmarkStart w:id="97" w:name="_Toc28520"/>
      <w:bookmarkStart w:id="98" w:name="_Toc146204883"/>
      <w:r w:rsidRPr="00F97DE3">
        <w:t>Důvod předložení a cíle</w:t>
      </w:r>
      <w:bookmarkEnd w:id="96"/>
      <w:bookmarkEnd w:id="97"/>
      <w:bookmarkEnd w:id="98"/>
    </w:p>
    <w:p w14:paraId="5F6E0D1E" w14:textId="77777777" w:rsidR="00510203" w:rsidRPr="00F97DE3" w:rsidRDefault="00C114A2" w:rsidP="00F97DE3">
      <w:pPr>
        <w:pStyle w:val="Nadpis2"/>
      </w:pPr>
      <w:r w:rsidRPr="00F97DE3">
        <w:t>Definice problému</w:t>
      </w:r>
    </w:p>
    <w:p w14:paraId="61CF87FA" w14:textId="394B86F1" w:rsidR="006F387A" w:rsidRDefault="006F387A" w:rsidP="006F387A">
      <w:r>
        <w:t>V</w:t>
      </w:r>
      <w:r w:rsidR="0096261F">
        <w:t> návaznosti na předchozí témata je nutno zvolit orgán, který bude věcně příslušný pro výkon kontroly nad převozy nadlimitní hotovosti.</w:t>
      </w:r>
    </w:p>
    <w:p w14:paraId="654D7CE6" w14:textId="77777777" w:rsidR="00510203" w:rsidRPr="00F97DE3" w:rsidRDefault="00C114A2" w:rsidP="00F97DE3">
      <w:pPr>
        <w:pStyle w:val="Nadpis2"/>
      </w:pPr>
      <w:r w:rsidRPr="00F97DE3">
        <w:t>Popis existujícího právního stavu v dané oblasti</w:t>
      </w:r>
    </w:p>
    <w:p w14:paraId="5057D556" w14:textId="77777777" w:rsidR="006F387A" w:rsidRPr="005E4329" w:rsidRDefault="006F387A" w:rsidP="006F387A">
      <w:pPr>
        <w:rPr>
          <w:rFonts w:eastAsia="Calibri"/>
        </w:rPr>
      </w:pPr>
      <w:r w:rsidRPr="005E4329">
        <w:rPr>
          <w:rFonts w:eastAsia="Calibri"/>
        </w:rPr>
        <w:t>Existující stav upravují tyto právní předpisy:</w:t>
      </w:r>
    </w:p>
    <w:p w14:paraId="54A01610" w14:textId="52FE8D8A" w:rsidR="006F387A" w:rsidRDefault="006F387A" w:rsidP="006F387A">
      <w:pPr>
        <w:pStyle w:val="Odrky"/>
      </w:pPr>
      <w:r>
        <w:t>Zákon č. 253/2008 Sb., o některých opatřeních proti legalizaci výnosů z </w:t>
      </w:r>
      <w:r w:rsidR="003C20A8">
        <w:t>trestné</w:t>
      </w:r>
      <w:r>
        <w:t xml:space="preserve"> činnosti a financování terorismu (dále jen „</w:t>
      </w:r>
      <w:r w:rsidRPr="005E4329">
        <w:t>AML zákon</w:t>
      </w:r>
      <w:r>
        <w:t>“)</w:t>
      </w:r>
    </w:p>
    <w:p w14:paraId="1C7B4B24" w14:textId="77777777" w:rsidR="006F387A" w:rsidRDefault="006F387A" w:rsidP="006F387A">
      <w:pPr>
        <w:pStyle w:val="Odrky"/>
        <w:rPr>
          <w:rFonts w:cstheme="minorHAnsi"/>
          <w:szCs w:val="24"/>
        </w:rPr>
      </w:pPr>
      <w:r w:rsidRPr="00B30C5E">
        <w:rPr>
          <w:rFonts w:cstheme="minorHAnsi"/>
          <w:szCs w:val="24"/>
        </w:rPr>
        <w:t>nařízení Evropského parlamentu a Rady (EU) 2018/1672 ze dne 23. října 2018 o kontrolách peněžní hotovosti vstupující do Unie nebo ji opouštějící a o zrušení nařízení (ES) č. 1889/2005</w:t>
      </w:r>
      <w:r>
        <w:rPr>
          <w:rFonts w:cstheme="minorHAnsi"/>
          <w:szCs w:val="24"/>
        </w:rPr>
        <w:t xml:space="preserve"> </w:t>
      </w:r>
    </w:p>
    <w:p w14:paraId="40FE6A10" w14:textId="77777777" w:rsidR="006F387A" w:rsidRDefault="006F387A" w:rsidP="006F387A">
      <w:pPr>
        <w:pStyle w:val="Odrky"/>
        <w:rPr>
          <w:rFonts w:cstheme="minorHAnsi"/>
          <w:szCs w:val="24"/>
        </w:rPr>
      </w:pPr>
      <w:r>
        <w:rPr>
          <w:rFonts w:cstheme="minorHAnsi"/>
          <w:szCs w:val="24"/>
        </w:rPr>
        <w:t>zákon č. 254/2004, o omezení plateb v hotovosti</w:t>
      </w:r>
    </w:p>
    <w:p w14:paraId="43CBBC54" w14:textId="5F290646" w:rsidR="0065301F" w:rsidRDefault="006F387A" w:rsidP="0065301F">
      <w:r>
        <w:t>V § 41, 42, 50 a v § 52 odst. 5 a 6 AML zákona je obsažena adaptace nařízení 2018/1672. Celní úřady zajišťují jak provádění kontroly plnění povinnosti oznamovat převozy nadlimitních objemů hotovosti přes hranici EU, tak projednávání korespondujícího přestupku.</w:t>
      </w:r>
      <w:r w:rsidR="0065301F" w:rsidRPr="00F97DE3">
        <w:t xml:space="preserve"> </w:t>
      </w:r>
    </w:p>
    <w:p w14:paraId="647518A3" w14:textId="1D63F1BE" w:rsidR="006F387A" w:rsidRPr="00F97DE3" w:rsidRDefault="006F387A" w:rsidP="0065301F">
      <w:r>
        <w:t>Dalším předpisem, který upravuje nakládání s hotovostí, a má tedy průnik s diskutovanou problematikou, je zákon o omezení plateb v hotovosti. Stanoví limit pro hotovostní transakce ve výši 270 000 Kč uskutečněné v jeden den</w:t>
      </w:r>
      <w:r w:rsidRPr="00D45780">
        <w:t xml:space="preserve"> </w:t>
      </w:r>
      <w:r>
        <w:t xml:space="preserve">mezi stejným plátcem a příjemcem. Limit se nevztahuje mimo jiné na </w:t>
      </w:r>
      <w:r w:rsidRPr="00627F21">
        <w:t>vložení peněžních prostředků v hotovosti na účet u peněžního ústavu a jejich výběr z účtu u peněžního ústavu</w:t>
      </w:r>
      <w:r>
        <w:t xml:space="preserve">. Kontrolu i projednávání korespondujících přestupků provádějí paralelně orgány Celní správy a Finanční správy. </w:t>
      </w:r>
    </w:p>
    <w:p w14:paraId="7A04C14C" w14:textId="77777777" w:rsidR="00510203" w:rsidRPr="00F97DE3" w:rsidRDefault="00C114A2" w:rsidP="00F97DE3">
      <w:pPr>
        <w:pStyle w:val="Nadpis2"/>
      </w:pPr>
      <w:r w:rsidRPr="00F97DE3">
        <w:t>Identifikace dotčených subjektů</w:t>
      </w:r>
    </w:p>
    <w:p w14:paraId="67A0974C" w14:textId="77777777" w:rsidR="006F387A" w:rsidRPr="00F97DE3" w:rsidRDefault="006F387A" w:rsidP="006F387A">
      <w:pPr>
        <w:pStyle w:val="Nadpisyvtextu"/>
      </w:pPr>
      <w:r>
        <w:t>Orgán příslušný k provádění kontroly</w:t>
      </w:r>
    </w:p>
    <w:p w14:paraId="16D92C88" w14:textId="77777777" w:rsidR="006F387A" w:rsidRDefault="006F387A" w:rsidP="006F387A">
      <w:r>
        <w:t xml:space="preserve">Tento orgán bude provádět kontrolu plnění oznamovací povinnosti. </w:t>
      </w:r>
    </w:p>
    <w:p w14:paraId="6CFE4ACB" w14:textId="77777777" w:rsidR="00510203" w:rsidRPr="00F97DE3" w:rsidRDefault="00C114A2" w:rsidP="00F97DE3">
      <w:pPr>
        <w:pStyle w:val="Nadpis2"/>
      </w:pPr>
      <w:r w:rsidRPr="00F97DE3">
        <w:t>Popis cílového stavu</w:t>
      </w:r>
    </w:p>
    <w:p w14:paraId="7288404F" w14:textId="0915E58C" w:rsidR="00510203" w:rsidRPr="00F97DE3" w:rsidRDefault="00AD29F6">
      <w:r w:rsidRPr="00F97DE3">
        <w:t xml:space="preserve">Cílem je </w:t>
      </w:r>
      <w:r w:rsidR="006F387A">
        <w:t>zvolení orgánu, který bude provádět kontrolu nad převozy hotovosti</w:t>
      </w:r>
      <w:r w:rsidR="0067622D">
        <w:t xml:space="preserve"> přes hranice České republiky nejefektivněji, zejména pak s minimálními rozpočtovými dopady.</w:t>
      </w:r>
    </w:p>
    <w:p w14:paraId="70180C8F" w14:textId="77777777" w:rsidR="00510203" w:rsidRPr="00F97DE3" w:rsidRDefault="00C114A2" w:rsidP="00F97DE3">
      <w:pPr>
        <w:pStyle w:val="Nadpis2"/>
      </w:pPr>
      <w:r w:rsidRPr="00F97DE3">
        <w:t>Zhodnocení rizika</w:t>
      </w:r>
    </w:p>
    <w:p w14:paraId="65A6BF82" w14:textId="77777777" w:rsidR="00AD29F6" w:rsidRPr="00F97DE3" w:rsidRDefault="00AD29F6" w:rsidP="00AD29F6">
      <w:r w:rsidRPr="00F97DE3">
        <w:t>V souvislosti s daným tématem nebyla žádná rizika identifikována.</w:t>
      </w:r>
    </w:p>
    <w:p w14:paraId="490DDE47" w14:textId="77777777" w:rsidR="00510203" w:rsidRPr="00F97DE3" w:rsidRDefault="00C114A2" w:rsidP="00F97DE3">
      <w:pPr>
        <w:pStyle w:val="Nadpis1"/>
      </w:pPr>
      <w:bookmarkStart w:id="99" w:name="_Toc11698027"/>
      <w:bookmarkStart w:id="100" w:name="_Toc28921"/>
      <w:bookmarkStart w:id="101" w:name="_Toc146204884"/>
      <w:r w:rsidRPr="00F97DE3">
        <w:lastRenderedPageBreak/>
        <w:t>Návrh variant řešení</w:t>
      </w:r>
      <w:bookmarkEnd w:id="99"/>
      <w:bookmarkEnd w:id="100"/>
      <w:bookmarkEnd w:id="101"/>
    </w:p>
    <w:p w14:paraId="341533E4" w14:textId="77777777" w:rsidR="00510203" w:rsidRPr="00F97DE3" w:rsidRDefault="00C114A2" w:rsidP="00F97DE3">
      <w:pPr>
        <w:pStyle w:val="Nadpis2"/>
      </w:pPr>
      <w:r w:rsidRPr="00F97DE3">
        <w:t>Popis variant řešení</w:t>
      </w:r>
    </w:p>
    <w:p w14:paraId="2C749376" w14:textId="5686507C" w:rsidR="00AD29F6" w:rsidRPr="00F97DE3" w:rsidRDefault="00AD29F6" w:rsidP="00AD29F6">
      <w:pPr>
        <w:rPr>
          <w:rStyle w:val="Styl11bTunVechnavelk"/>
          <w:bCs w:val="0"/>
          <w:caps w:val="0"/>
          <w:szCs w:val="24"/>
          <w:u w:val="single"/>
        </w:rPr>
      </w:pPr>
      <w:r w:rsidRPr="00F97DE3">
        <w:rPr>
          <w:rStyle w:val="Styl11bTunVechnavelk"/>
          <w:bCs w:val="0"/>
          <w:caps w:val="0"/>
          <w:szCs w:val="24"/>
          <w:u w:val="single"/>
        </w:rPr>
        <w:t xml:space="preserve">VARIANTA </w:t>
      </w:r>
      <w:r w:rsidR="0067622D">
        <w:rPr>
          <w:rStyle w:val="Styl11bTunVechnavelk"/>
          <w:bCs w:val="0"/>
          <w:caps w:val="0"/>
          <w:szCs w:val="24"/>
          <w:u w:val="single"/>
        </w:rPr>
        <w:t>1</w:t>
      </w:r>
      <w:r w:rsidR="00FC2507">
        <w:rPr>
          <w:rStyle w:val="Styl11bTunVechnavelk"/>
          <w:bCs w:val="0"/>
          <w:caps w:val="0"/>
          <w:szCs w:val="24"/>
          <w:u w:val="single"/>
        </w:rPr>
        <w:t> </w:t>
      </w:r>
      <w:r w:rsidRPr="00F97DE3">
        <w:rPr>
          <w:rStyle w:val="Styl11bTunVechnavelk"/>
          <w:bCs w:val="0"/>
          <w:caps w:val="0"/>
          <w:szCs w:val="24"/>
          <w:u w:val="single"/>
        </w:rPr>
        <w:t xml:space="preserve">– </w:t>
      </w:r>
      <w:r w:rsidR="0067622D">
        <w:rPr>
          <w:rStyle w:val="Styl11bTunVechnavelk"/>
          <w:bCs w:val="0"/>
          <w:caps w:val="0"/>
          <w:szCs w:val="24"/>
          <w:u w:val="single"/>
        </w:rPr>
        <w:t>Celní správa České republiky</w:t>
      </w:r>
    </w:p>
    <w:p w14:paraId="41689AF4" w14:textId="24ECAEB5" w:rsidR="00BC24A0" w:rsidRPr="00F97DE3" w:rsidRDefault="00BC24A0" w:rsidP="00BC24A0">
      <w:pPr>
        <w:rPr>
          <w:rStyle w:val="Styl11bTunVechnavelk"/>
          <w:b w:val="0"/>
          <w:bCs w:val="0"/>
          <w:caps w:val="0"/>
          <w:szCs w:val="24"/>
        </w:rPr>
      </w:pPr>
      <w:r>
        <w:rPr>
          <w:rStyle w:val="Styl11bTunVechnavelk"/>
          <w:b w:val="0"/>
          <w:bCs w:val="0"/>
          <w:caps w:val="0"/>
          <w:szCs w:val="24"/>
        </w:rPr>
        <w:t xml:space="preserve">Celní správa </w:t>
      </w:r>
      <w:r w:rsidRPr="00BC24A0">
        <w:rPr>
          <w:rStyle w:val="Styl11bTunVechnavelk"/>
          <w:b w:val="0"/>
          <w:bCs w:val="0"/>
          <w:caps w:val="0"/>
          <w:szCs w:val="24"/>
        </w:rPr>
        <w:t xml:space="preserve">České republiky </w:t>
      </w:r>
      <w:r>
        <w:rPr>
          <w:rStyle w:val="Styl11bTunVechnavelk"/>
          <w:b w:val="0"/>
          <w:bCs w:val="0"/>
          <w:caps w:val="0"/>
          <w:szCs w:val="24"/>
        </w:rPr>
        <w:t xml:space="preserve">je orgánem, který již v současnosti provádí kontrolu převozu nadlimitní hotovosti přes hranice EU, v kontextu České republiky tedy výlučně na mezinárodních letištích. Jako takový disponuje unikátní expertízou nejen obecně v oblasti mobilního dohledu, ale i přímo oblasti vyhledávání skryté hotovosti. </w:t>
      </w:r>
      <w:r w:rsidRPr="007A427F">
        <w:rPr>
          <w:rStyle w:val="Styl11bTunVechnavelk"/>
          <w:b w:val="0"/>
          <w:bCs w:val="0"/>
          <w:caps w:val="0"/>
          <w:szCs w:val="24"/>
        </w:rPr>
        <w:t>Celní správa</w:t>
      </w:r>
      <w:r>
        <w:rPr>
          <w:rStyle w:val="Styl11bTunVechnavelk"/>
          <w:b w:val="0"/>
          <w:bCs w:val="0"/>
          <w:caps w:val="0"/>
          <w:szCs w:val="24"/>
        </w:rPr>
        <w:t xml:space="preserve"> </w:t>
      </w:r>
      <w:r w:rsidRPr="00BC24A0">
        <w:rPr>
          <w:rStyle w:val="Styl11bTunVechnavelk"/>
          <w:b w:val="0"/>
          <w:bCs w:val="0"/>
          <w:caps w:val="0"/>
          <w:szCs w:val="24"/>
        </w:rPr>
        <w:t>České republiky</w:t>
      </w:r>
      <w:r w:rsidRPr="007A427F">
        <w:rPr>
          <w:rStyle w:val="Styl11bTunVechnavelk"/>
          <w:b w:val="0"/>
          <w:bCs w:val="0"/>
          <w:caps w:val="0"/>
          <w:szCs w:val="24"/>
        </w:rPr>
        <w:t xml:space="preserve"> má od 1. 4. 2022 celkem 5 699 systemizovaných míst, z toho v kategorii občanští zaměstnanci na 1 464 osob a v kategorii příslušníci bezpečnostních sborů na 4 235 osob. K 31. 12. 2022 byl skutečný evidenční stav příslušníků a zaměstnanců celní správy celkem 5</w:t>
      </w:r>
      <w:r>
        <w:rPr>
          <w:rStyle w:val="Styl11bTunVechnavelk"/>
          <w:b w:val="0"/>
          <w:bCs w:val="0"/>
          <w:caps w:val="0"/>
          <w:szCs w:val="24"/>
        </w:rPr>
        <w:t> </w:t>
      </w:r>
      <w:r w:rsidRPr="007A427F">
        <w:rPr>
          <w:rStyle w:val="Styl11bTunVechnavelk"/>
          <w:b w:val="0"/>
          <w:bCs w:val="0"/>
          <w:caps w:val="0"/>
          <w:szCs w:val="24"/>
        </w:rPr>
        <w:t>207</w:t>
      </w:r>
      <w:r>
        <w:rPr>
          <w:rStyle w:val="Styl11bTunVechnavelk"/>
          <w:b w:val="0"/>
          <w:bCs w:val="0"/>
          <w:caps w:val="0"/>
          <w:szCs w:val="24"/>
        </w:rPr>
        <w:t xml:space="preserve">. V současné době navíc disponuje šesti služebními psy se  specializací na vyhledávání peněz. Při zvolení </w:t>
      </w:r>
      <w:r>
        <w:t>ohlašovacího</w:t>
      </w:r>
      <w:r w:rsidDel="00043A8E">
        <w:rPr>
          <w:rStyle w:val="Styl11bTunVechnavelk"/>
          <w:b w:val="0"/>
          <w:bCs w:val="0"/>
          <w:caps w:val="0"/>
          <w:szCs w:val="24"/>
        </w:rPr>
        <w:t xml:space="preserve"> </w:t>
      </w:r>
      <w:r>
        <w:rPr>
          <w:rStyle w:val="Styl11bTunVechnavelk"/>
          <w:b w:val="0"/>
          <w:bCs w:val="0"/>
          <w:caps w:val="0"/>
          <w:szCs w:val="24"/>
        </w:rPr>
        <w:t xml:space="preserve">systému je tedy s to absorbovat tuto novou kompetenci se stávajícími zdroji. Kontrola vývozu a dovozu hotovosti představuje ve srovnání se širokou škálou agend Celní správou </w:t>
      </w:r>
      <w:r w:rsidRPr="00BC24A0">
        <w:rPr>
          <w:rStyle w:val="Styl11bTunVechnavelk"/>
          <w:b w:val="0"/>
          <w:bCs w:val="0"/>
          <w:caps w:val="0"/>
          <w:szCs w:val="24"/>
        </w:rPr>
        <w:t>České republiky</w:t>
      </w:r>
      <w:r>
        <w:rPr>
          <w:rStyle w:val="Styl11bTunVechnavelk"/>
          <w:b w:val="0"/>
          <w:bCs w:val="0"/>
          <w:caps w:val="0"/>
          <w:szCs w:val="24"/>
        </w:rPr>
        <w:t xml:space="preserve"> v současnosti vykonávaných činností čistě celnického charakteru. Zároveň nabízí synergie s těmito jinými agendami – příkladem lze uvést kontrolu povinnosti provádět platby bezhotovostním způsobem podle zákona o omezení plateb v hotovosti nebo výkon dělené správy podle daňového řádu.</w:t>
      </w:r>
    </w:p>
    <w:p w14:paraId="20A379C4" w14:textId="65B62688" w:rsidR="00AD29F6" w:rsidRPr="00F97DE3" w:rsidRDefault="00AD29F6" w:rsidP="00AD29F6">
      <w:pPr>
        <w:rPr>
          <w:rStyle w:val="Styl11bTunVechnavelk"/>
          <w:bCs w:val="0"/>
          <w:caps w:val="0"/>
          <w:szCs w:val="24"/>
          <w:u w:val="single"/>
        </w:rPr>
      </w:pPr>
      <w:r w:rsidRPr="00F97DE3">
        <w:rPr>
          <w:rStyle w:val="Styl11bTunVechnavelk"/>
          <w:bCs w:val="0"/>
          <w:caps w:val="0"/>
          <w:szCs w:val="24"/>
          <w:u w:val="single"/>
        </w:rPr>
        <w:t xml:space="preserve">VARIANTA </w:t>
      </w:r>
      <w:r w:rsidR="002203B5">
        <w:rPr>
          <w:rStyle w:val="Styl11bTunVechnavelk"/>
          <w:bCs w:val="0"/>
          <w:caps w:val="0"/>
          <w:szCs w:val="24"/>
          <w:u w:val="single"/>
        </w:rPr>
        <w:t>2</w:t>
      </w:r>
      <w:r w:rsidR="00FC2507">
        <w:rPr>
          <w:rStyle w:val="Styl11bTunVechnavelk"/>
          <w:bCs w:val="0"/>
          <w:caps w:val="0"/>
          <w:szCs w:val="24"/>
          <w:u w:val="single"/>
        </w:rPr>
        <w:t> </w:t>
      </w:r>
      <w:r w:rsidRPr="00F97DE3">
        <w:rPr>
          <w:rStyle w:val="Styl11bTunVechnavelk"/>
          <w:bCs w:val="0"/>
          <w:caps w:val="0"/>
          <w:szCs w:val="24"/>
          <w:u w:val="single"/>
        </w:rPr>
        <w:t xml:space="preserve">– </w:t>
      </w:r>
      <w:r w:rsidR="002203B5">
        <w:rPr>
          <w:rStyle w:val="Styl11bTunVechnavelk"/>
          <w:bCs w:val="0"/>
          <w:caps w:val="0"/>
          <w:szCs w:val="24"/>
          <w:u w:val="single"/>
        </w:rPr>
        <w:t>Finanční správa</w:t>
      </w:r>
      <w:r w:rsidR="002203B5" w:rsidRPr="002203B5">
        <w:rPr>
          <w:rStyle w:val="Styl11bTunVechnavelk"/>
          <w:bCs w:val="0"/>
          <w:caps w:val="0"/>
          <w:szCs w:val="24"/>
          <w:u w:val="single"/>
        </w:rPr>
        <w:t xml:space="preserve"> </w:t>
      </w:r>
      <w:r w:rsidR="002203B5">
        <w:rPr>
          <w:rStyle w:val="Styl11bTunVechnavelk"/>
          <w:bCs w:val="0"/>
          <w:caps w:val="0"/>
          <w:szCs w:val="24"/>
          <w:u w:val="single"/>
        </w:rPr>
        <w:t>České republiky</w:t>
      </w:r>
    </w:p>
    <w:p w14:paraId="3A832307" w14:textId="543AD2F3" w:rsidR="00510203" w:rsidRPr="00F97DE3" w:rsidRDefault="002203B5" w:rsidP="00AD29F6">
      <w:pPr>
        <w:rPr>
          <w:b/>
        </w:rPr>
      </w:pPr>
      <w:r>
        <w:rPr>
          <w:rStyle w:val="Styl11bTunVechnavelk"/>
          <w:b w:val="0"/>
          <w:bCs w:val="0"/>
          <w:caps w:val="0"/>
          <w:szCs w:val="24"/>
        </w:rPr>
        <w:t>V případě Finanční</w:t>
      </w:r>
      <w:r w:rsidR="00BC24A0">
        <w:rPr>
          <w:rStyle w:val="Styl11bTunVechnavelk"/>
          <w:b w:val="0"/>
          <w:bCs w:val="0"/>
          <w:caps w:val="0"/>
          <w:szCs w:val="24"/>
        </w:rPr>
        <w:t xml:space="preserve"> správy</w:t>
      </w:r>
      <w:r w:rsidR="00BC24A0" w:rsidRPr="00BC24A0">
        <w:t xml:space="preserve"> </w:t>
      </w:r>
      <w:r w:rsidR="00BC24A0" w:rsidRPr="00BC24A0">
        <w:rPr>
          <w:rStyle w:val="Styl11bTunVechnavelk"/>
          <w:b w:val="0"/>
          <w:bCs w:val="0"/>
          <w:caps w:val="0"/>
          <w:szCs w:val="24"/>
        </w:rPr>
        <w:t>České republiky</w:t>
      </w:r>
      <w:r>
        <w:rPr>
          <w:rStyle w:val="Styl11bTunVechnavelk"/>
          <w:b w:val="0"/>
          <w:bCs w:val="0"/>
          <w:caps w:val="0"/>
          <w:szCs w:val="24"/>
        </w:rPr>
        <w:t xml:space="preserve"> je relevantní synergie jen s výkonem kontrolní činnosti podle zákona o omezení plateb v hotovosti. Jinak Finanční správa </w:t>
      </w:r>
      <w:r w:rsidR="00BC24A0" w:rsidRPr="00BC24A0">
        <w:rPr>
          <w:rStyle w:val="Styl11bTunVechnavelk"/>
          <w:b w:val="0"/>
          <w:bCs w:val="0"/>
          <w:caps w:val="0"/>
          <w:szCs w:val="24"/>
        </w:rPr>
        <w:t xml:space="preserve">České republiky </w:t>
      </w:r>
      <w:r>
        <w:rPr>
          <w:rStyle w:val="Styl11bTunVechnavelk"/>
          <w:b w:val="0"/>
          <w:bCs w:val="0"/>
          <w:caps w:val="0"/>
          <w:szCs w:val="24"/>
        </w:rPr>
        <w:t>nedisponuje zdroji pro výkon diskutované agendy.</w:t>
      </w:r>
    </w:p>
    <w:p w14:paraId="53E3A0AE" w14:textId="77777777" w:rsidR="00510203" w:rsidRPr="00F97DE3" w:rsidRDefault="00C114A2" w:rsidP="00F97DE3">
      <w:pPr>
        <w:pStyle w:val="Nadpis2"/>
      </w:pPr>
      <w:r w:rsidRPr="00F97DE3">
        <w:t>Přizpůsobení variant regulaci a její vynucování</w:t>
      </w:r>
    </w:p>
    <w:p w14:paraId="5E980495" w14:textId="77777777" w:rsidR="00510203" w:rsidRPr="00F97DE3" w:rsidRDefault="00C114A2">
      <w:r w:rsidRPr="00F97DE3">
        <w:t>Vzhledem k tomu, že se žádná z navrhovaných variant nedá vyloučit pro její nerealizovatelnost, nebo pro rozpor s ústavním pořádkem nebo právem Evropské unie, budou všechny navržené varianty dále analyzovány.</w:t>
      </w:r>
    </w:p>
    <w:p w14:paraId="08F4AC03" w14:textId="77777777" w:rsidR="00510203" w:rsidRPr="00F97DE3" w:rsidRDefault="00C114A2" w:rsidP="00F97DE3">
      <w:pPr>
        <w:pStyle w:val="Nadpis1"/>
      </w:pPr>
      <w:bookmarkStart w:id="102" w:name="_Toc11698028"/>
      <w:bookmarkStart w:id="103" w:name="_Toc8650"/>
      <w:bookmarkStart w:id="104" w:name="_Toc146204885"/>
      <w:r w:rsidRPr="00F97DE3">
        <w:t xml:space="preserve">Identifikace </w:t>
      </w:r>
      <w:r w:rsidR="00782F08" w:rsidRPr="00F97DE3">
        <w:t>a </w:t>
      </w:r>
      <w:r w:rsidRPr="00F97DE3">
        <w:t>vyhodnocení nákladů a přínosů</w:t>
      </w:r>
      <w:bookmarkEnd w:id="102"/>
      <w:bookmarkEnd w:id="103"/>
      <w:bookmarkEnd w:id="104"/>
    </w:p>
    <w:p w14:paraId="2D77A770" w14:textId="5CEE51B4" w:rsidR="004745A2" w:rsidRPr="00F97DE3" w:rsidRDefault="004745A2" w:rsidP="00F97DE3">
      <w:pPr>
        <w:pStyle w:val="Nadpis2"/>
      </w:pPr>
      <w:r w:rsidRPr="00F97DE3">
        <w:t xml:space="preserve">Identifikace nákladů </w:t>
      </w:r>
      <w:r w:rsidR="00FC2507" w:rsidRPr="00F97DE3">
        <w:t>a</w:t>
      </w:r>
      <w:r w:rsidR="00FC2507">
        <w:t> </w:t>
      </w:r>
      <w:r w:rsidRPr="00F97DE3">
        <w:t>přínosů</w:t>
      </w:r>
    </w:p>
    <w:p w14:paraId="625F3DF1" w14:textId="44ED0972" w:rsidR="00B06D44" w:rsidRPr="00F97DE3" w:rsidRDefault="00B06D44" w:rsidP="00B06D44">
      <w:r w:rsidRPr="00F97DE3">
        <w:t xml:space="preserve">Výše uvedené varianty byly vyhodnoceny podle kritérií, která pokrývají klady </w:t>
      </w:r>
      <w:r w:rsidR="00FC2507" w:rsidRPr="00F97DE3">
        <w:t>a</w:t>
      </w:r>
      <w:r w:rsidR="00FC2507">
        <w:t> </w:t>
      </w:r>
      <w:r w:rsidRPr="00F97DE3">
        <w:t xml:space="preserve">zápory (resp. přínosy </w:t>
      </w:r>
      <w:r w:rsidR="00FC2507" w:rsidRPr="00F97DE3">
        <w:t>a</w:t>
      </w:r>
      <w:r w:rsidR="00FC2507">
        <w:t> </w:t>
      </w:r>
      <w:r w:rsidRPr="00F97DE3">
        <w:t xml:space="preserve">náklady) jednotlivých navržených variant. </w:t>
      </w:r>
    </w:p>
    <w:p w14:paraId="7AD8209C" w14:textId="77777777" w:rsidR="00B06D44" w:rsidRPr="00F97DE3" w:rsidRDefault="00B06D44" w:rsidP="00B06D44">
      <w:r w:rsidRPr="00F97DE3">
        <w:t>Jako hlavní hodnotící kritéria byla identifikována:</w:t>
      </w:r>
    </w:p>
    <w:p w14:paraId="50680D9C" w14:textId="27D2C1A9" w:rsidR="00B06D44" w:rsidRPr="00F97DE3" w:rsidRDefault="002203B5" w:rsidP="00B06D44">
      <w:pPr>
        <w:pStyle w:val="Odstavecseseznamem"/>
        <w:numPr>
          <w:ilvl w:val="0"/>
          <w:numId w:val="28"/>
        </w:numPr>
      </w:pPr>
      <w:r>
        <w:t xml:space="preserve">schopnost začít </w:t>
      </w:r>
      <w:r w:rsidR="000F64F0">
        <w:t>diskutovanou</w:t>
      </w:r>
      <w:r>
        <w:t xml:space="preserve"> agendu vykonávat s minimálními rozpočtovými dopady</w:t>
      </w:r>
    </w:p>
    <w:p w14:paraId="42DF0D23" w14:textId="7B097A76" w:rsidR="00B06D44" w:rsidRPr="00F97DE3" w:rsidRDefault="002203B5" w:rsidP="009105B0">
      <w:pPr>
        <w:pStyle w:val="Odstavecseseznamem"/>
        <w:numPr>
          <w:ilvl w:val="0"/>
          <w:numId w:val="28"/>
        </w:numPr>
      </w:pPr>
      <w:r>
        <w:t>synergie s jinými agendami</w:t>
      </w:r>
    </w:p>
    <w:p w14:paraId="13B27A83" w14:textId="28E05DB6" w:rsidR="005810D4" w:rsidRPr="00F97DE3" w:rsidRDefault="000F64F0" w:rsidP="005810D4">
      <w:pPr>
        <w:rPr>
          <w:u w:val="single"/>
        </w:rPr>
      </w:pPr>
      <w:r>
        <w:rPr>
          <w:u w:val="single"/>
        </w:rPr>
        <w:t>S</w:t>
      </w:r>
      <w:r w:rsidRPr="000F64F0">
        <w:rPr>
          <w:u w:val="single"/>
        </w:rPr>
        <w:t>chopnost začít diskutovanou agendu vykonávat s minimálními rozpočtovými dopady</w:t>
      </w:r>
    </w:p>
    <w:p w14:paraId="4112A0D7" w14:textId="3C6DE950" w:rsidR="005810D4" w:rsidRDefault="005810D4" w:rsidP="005810D4">
      <w:r w:rsidRPr="00F97DE3">
        <w:t xml:space="preserve">Testuje varianty </w:t>
      </w:r>
      <w:r w:rsidR="00FC2507" w:rsidRPr="00F97DE3">
        <w:t>z</w:t>
      </w:r>
      <w:r w:rsidR="00FC2507">
        <w:t> </w:t>
      </w:r>
      <w:r w:rsidRPr="00F97DE3">
        <w:t xml:space="preserve">hlediska </w:t>
      </w:r>
      <w:r w:rsidR="000F64F0">
        <w:t>schopnosti diskutovanou agendu vykonávat se stávajícími zdroji.</w:t>
      </w:r>
    </w:p>
    <w:p w14:paraId="283B6CD3" w14:textId="63037F2F" w:rsidR="000F64F0" w:rsidRPr="00387AFF" w:rsidRDefault="000F64F0" w:rsidP="005810D4">
      <w:pPr>
        <w:rPr>
          <w:u w:val="single"/>
        </w:rPr>
      </w:pPr>
      <w:r w:rsidRPr="00387AFF">
        <w:rPr>
          <w:u w:val="single"/>
        </w:rPr>
        <w:t>Synergie s jinými agendami</w:t>
      </w:r>
    </w:p>
    <w:p w14:paraId="18332CB5" w14:textId="77BDA6C4" w:rsidR="000F64F0" w:rsidRPr="00F97DE3" w:rsidRDefault="000F64F0" w:rsidP="005810D4">
      <w:r>
        <w:lastRenderedPageBreak/>
        <w:t>Testuje varianty z pohledu doplňování se s jinými stávajícími agendami.</w:t>
      </w:r>
    </w:p>
    <w:p w14:paraId="5449FB9E" w14:textId="3C853969" w:rsidR="0062538B" w:rsidRPr="00F97DE3" w:rsidRDefault="0062538B" w:rsidP="00F97DE3">
      <w:pPr>
        <w:pStyle w:val="Nadpis2"/>
      </w:pPr>
      <w:bookmarkStart w:id="105" w:name="_Toc112443920"/>
      <w:bookmarkStart w:id="106" w:name="_Toc112443921"/>
      <w:bookmarkStart w:id="107" w:name="_Toc112443922"/>
      <w:bookmarkStart w:id="108" w:name="_Toc112443924"/>
      <w:bookmarkEnd w:id="105"/>
      <w:bookmarkEnd w:id="106"/>
      <w:bookmarkEnd w:id="107"/>
      <w:bookmarkEnd w:id="108"/>
      <w:r w:rsidRPr="00F97DE3">
        <w:t>Vyhodnocení variant</w:t>
      </w:r>
    </w:p>
    <w:p w14:paraId="3546CE11" w14:textId="46B8E7B4" w:rsidR="0062538B" w:rsidRPr="00F97DE3" w:rsidRDefault="0062538B" w:rsidP="00F97DE3">
      <w:pPr>
        <w:pStyle w:val="Nadpis3"/>
      </w:pPr>
      <w:r w:rsidRPr="00F97DE3">
        <w:t xml:space="preserve">Varianta </w:t>
      </w:r>
      <w:r w:rsidR="000F64F0">
        <w:t>1</w:t>
      </w:r>
      <w:r w:rsidR="00FC2507">
        <w:t> </w:t>
      </w:r>
      <w:r w:rsidRPr="00F97DE3">
        <w:t xml:space="preserve">– </w:t>
      </w:r>
      <w:r w:rsidR="000F64F0">
        <w:t>Celní správa České republiky</w:t>
      </w:r>
    </w:p>
    <w:p w14:paraId="2C27FEEF" w14:textId="77777777" w:rsidR="000F64F0" w:rsidRDefault="000F64F0" w:rsidP="00F97DE3">
      <w:pPr>
        <w:keepNext/>
        <w:rPr>
          <w:u w:val="single"/>
        </w:rPr>
      </w:pPr>
      <w:r>
        <w:rPr>
          <w:u w:val="single"/>
        </w:rPr>
        <w:t>S</w:t>
      </w:r>
      <w:r w:rsidRPr="000F64F0">
        <w:rPr>
          <w:u w:val="single"/>
        </w:rPr>
        <w:t>chopnost začít diskutovanou agendu vykonávat s minimálními rozpočtovými dopady</w:t>
      </w:r>
    </w:p>
    <w:p w14:paraId="6DBEDE39" w14:textId="1AE15107" w:rsidR="00DF3A65" w:rsidRDefault="00DF3A65" w:rsidP="00230222">
      <w:r w:rsidRPr="00387AFF">
        <w:t>Celní správa již</w:t>
      </w:r>
      <w:r>
        <w:t xml:space="preserve"> v současné době disponuje schopností provádět ve velkém objemu kontroly vozidel. V roce 2017 provedla </w:t>
      </w:r>
      <w:r w:rsidRPr="00DF3A65">
        <w:t>141304</w:t>
      </w:r>
      <w:r>
        <w:t xml:space="preserve"> takovýchto kontrol, v roce 2018 </w:t>
      </w:r>
      <w:r w:rsidRPr="00DF3A65">
        <w:t>144123</w:t>
      </w:r>
      <w:r>
        <w:t xml:space="preserve"> a v roce 2019 pak </w:t>
      </w:r>
      <w:r w:rsidRPr="00DF3A65">
        <w:t>143929</w:t>
      </w:r>
      <w:r w:rsidR="008E1229">
        <w:t xml:space="preserve"> (k tomu vize </w:t>
      </w:r>
      <w:hyperlink r:id="rId15" w:history="1">
        <w:r w:rsidR="008E1229" w:rsidRPr="00765FCD">
          <w:rPr>
            <w:rStyle w:val="Hypertextovodkaz"/>
          </w:rPr>
          <w:t>https://www.celnisprava.cz/cz/statistiky/vozidla/Stranky/default.aspx</w:t>
        </w:r>
      </w:hyperlink>
      <w:r w:rsidR="008E1229">
        <w:t>)</w:t>
      </w:r>
      <w:r>
        <w:t xml:space="preserve">. Má tedy obecné předpoklady pro absorbování diskutované agendy. </w:t>
      </w:r>
    </w:p>
    <w:p w14:paraId="732E36D5" w14:textId="40CCF3F9" w:rsidR="00DF3A65" w:rsidRPr="00387AFF" w:rsidRDefault="00DF3A65" w:rsidP="00230222">
      <w:r>
        <w:t xml:space="preserve">Stejně tak </w:t>
      </w:r>
      <w:r w:rsidR="008E1229">
        <w:t>disponuje</w:t>
      </w:r>
      <w:r>
        <w:t xml:space="preserve"> specializovanou expertíz</w:t>
      </w:r>
      <w:r w:rsidR="008E1229">
        <w:t>o</w:t>
      </w:r>
      <w:r>
        <w:t xml:space="preserve">u pro rizikově orientovaný přístup na úseku kontroly převážené hotovosti. </w:t>
      </w:r>
      <w:r w:rsidR="008E1229">
        <w:t>V porovnání se 753 osobami, jež v roce 2022 deklarovaly nadlimitní převoz hotovosti (nad 10 000 EUR</w:t>
      </w:r>
      <w:r w:rsidR="000A77E7">
        <w:t>, přes hranice EU</w:t>
      </w:r>
      <w:r w:rsidR="008E1229">
        <w:t>) se jejím pracovníkům podařilo odhalit 28 případů nedeklarovaný</w:t>
      </w:r>
      <w:r w:rsidR="000A77E7">
        <w:t>ch</w:t>
      </w:r>
      <w:r w:rsidR="008E1229">
        <w:t xml:space="preserve"> nadlimitních převozů (k tomu vizte </w:t>
      </w:r>
      <w:hyperlink r:id="rId16" w:history="1">
        <w:r w:rsidR="008E1229" w:rsidRPr="00765FCD">
          <w:rPr>
            <w:rStyle w:val="Hypertextovodkaz"/>
          </w:rPr>
          <w:t>https://www.celnisprava.cz/cz/statistiky/cash_controls/Stranky/default.aspx</w:t>
        </w:r>
      </w:hyperlink>
      <w:r w:rsidR="008E1229">
        <w:t xml:space="preserve">). </w:t>
      </w:r>
    </w:p>
    <w:p w14:paraId="3C7982E7" w14:textId="2978BBE0" w:rsidR="00DF3A65" w:rsidRDefault="000A77E7" w:rsidP="00230222">
      <w:r w:rsidRPr="00822002">
        <w:rPr>
          <w:u w:val="single"/>
        </w:rPr>
        <w:t>Synergie s jinými agendami</w:t>
      </w:r>
    </w:p>
    <w:p w14:paraId="17CC3E32" w14:textId="2B66590E" w:rsidR="000A77E7" w:rsidRPr="00387AFF" w:rsidRDefault="000A77E7" w:rsidP="00230222">
      <w:r>
        <w:t xml:space="preserve">Nejvýznamnější synergie lze najít s agendou dělené správy podle daňového řádu. Pravomoc kontrolovat nadlimitní převozy hotovosti umožní </w:t>
      </w:r>
      <w:r w:rsidR="00C50ADB">
        <w:t xml:space="preserve">takto </w:t>
      </w:r>
      <w:r>
        <w:t>případně nalezenou hotovost využít k uhrazení dluhu vůči veřejným rozpočtům.</w:t>
      </w:r>
    </w:p>
    <w:p w14:paraId="0802DDD3" w14:textId="0F6FE83F" w:rsidR="00230222" w:rsidRPr="00F97DE3" w:rsidRDefault="00C50ADB" w:rsidP="00230222">
      <w:r w:rsidRPr="00387AFF">
        <w:t>Stejně tak tato pravomoc</w:t>
      </w:r>
      <w:r>
        <w:t xml:space="preserve"> usnadní dokazování v případě porušení zákona o omezení plateb v hotovosti. </w:t>
      </w:r>
    </w:p>
    <w:p w14:paraId="710494C2" w14:textId="2A7DD0D7" w:rsidR="0062538B" w:rsidRPr="00F97DE3" w:rsidRDefault="0062538B" w:rsidP="00F97DE3">
      <w:pPr>
        <w:pStyle w:val="Nadpis3"/>
      </w:pPr>
      <w:r w:rsidRPr="00F97DE3">
        <w:t xml:space="preserve">Varianta </w:t>
      </w:r>
      <w:r w:rsidR="00C50ADB">
        <w:t>2</w:t>
      </w:r>
      <w:r w:rsidR="005E4035">
        <w:t xml:space="preserve"> </w:t>
      </w:r>
      <w:r w:rsidRPr="00F97DE3">
        <w:t xml:space="preserve">– </w:t>
      </w:r>
      <w:r w:rsidR="00C50ADB">
        <w:t>Finanční správa České republiky</w:t>
      </w:r>
    </w:p>
    <w:p w14:paraId="6A37A293" w14:textId="77777777" w:rsidR="00C50ADB" w:rsidRDefault="00C50ADB" w:rsidP="00C50ADB">
      <w:pPr>
        <w:keepNext/>
        <w:rPr>
          <w:u w:val="single"/>
        </w:rPr>
      </w:pPr>
      <w:r>
        <w:rPr>
          <w:u w:val="single"/>
        </w:rPr>
        <w:t>S</w:t>
      </w:r>
      <w:r w:rsidRPr="000F64F0">
        <w:rPr>
          <w:u w:val="single"/>
        </w:rPr>
        <w:t>chopnost začít diskutovanou agendu vykonávat s minimálními rozpočtovými dopady</w:t>
      </w:r>
    </w:p>
    <w:p w14:paraId="7364E3B3" w14:textId="13C52B8A" w:rsidR="00C50ADB" w:rsidRDefault="00C50ADB" w:rsidP="00C50ADB">
      <w:r>
        <w:t>Finanční správa v současné době nedisponuje schopností provádět kontroly vozidel. Tuto kompetenci by tedy bylo třeba vytvořit tak říkajíc na zelené louce, čili se značnými rozpočtovými dopady.</w:t>
      </w:r>
    </w:p>
    <w:p w14:paraId="3D73B702" w14:textId="77777777" w:rsidR="00C50ADB" w:rsidRDefault="00C50ADB" w:rsidP="00C50ADB">
      <w:pPr>
        <w:rPr>
          <w:u w:val="single"/>
        </w:rPr>
      </w:pPr>
      <w:r w:rsidRPr="00822002">
        <w:rPr>
          <w:u w:val="single"/>
        </w:rPr>
        <w:t>Synergie s jinými agendami</w:t>
      </w:r>
    </w:p>
    <w:p w14:paraId="3E378E27" w14:textId="052F950C" w:rsidR="009838D8" w:rsidRPr="00F97DE3" w:rsidRDefault="00C50ADB" w:rsidP="009838D8">
      <w:r>
        <w:t xml:space="preserve">Stejně jako u Celní správy je zde synergie s kontrolou dodržování povinností podle zákona o omezen plateb v hotovosti. </w:t>
      </w:r>
    </w:p>
    <w:p w14:paraId="39D5EFB9" w14:textId="77777777" w:rsidR="00510203" w:rsidRPr="00F97DE3" w:rsidRDefault="00C114A2" w:rsidP="00F97DE3">
      <w:pPr>
        <w:pStyle w:val="Nadpis1"/>
      </w:pPr>
      <w:bookmarkStart w:id="109" w:name="_Toc145865750"/>
      <w:bookmarkStart w:id="110" w:name="_Toc145865751"/>
      <w:bookmarkStart w:id="111" w:name="_Toc145865752"/>
      <w:bookmarkStart w:id="112" w:name="_Toc145865753"/>
      <w:bookmarkStart w:id="113" w:name="_Toc112443846"/>
      <w:bookmarkStart w:id="114" w:name="_Toc112443928"/>
      <w:bookmarkStart w:id="115" w:name="_Toc11698029"/>
      <w:bookmarkStart w:id="116" w:name="_Toc3064"/>
      <w:bookmarkStart w:id="117" w:name="_Toc146204886"/>
      <w:bookmarkEnd w:id="109"/>
      <w:bookmarkEnd w:id="110"/>
      <w:bookmarkEnd w:id="111"/>
      <w:bookmarkEnd w:id="112"/>
      <w:bookmarkEnd w:id="113"/>
      <w:bookmarkEnd w:id="114"/>
      <w:r w:rsidRPr="00F97DE3">
        <w:lastRenderedPageBreak/>
        <w:t>Stanovení pořadí variant a výběr nejvhodnějšího řešení</w:t>
      </w:r>
      <w:bookmarkEnd w:id="115"/>
      <w:bookmarkEnd w:id="116"/>
      <w:bookmarkEnd w:id="117"/>
    </w:p>
    <w:p w14:paraId="5F5A5A0E" w14:textId="77777777" w:rsidR="00C73F72" w:rsidRPr="00F97DE3" w:rsidRDefault="00C73F72" w:rsidP="00C73F72">
      <w:pPr>
        <w:keepNext/>
      </w:pPr>
      <w:r w:rsidRPr="00F97DE3">
        <w:t>Níže uvedená tabulka je grafickým přehledem vyhodnocení variant, které byly zpracovávány v předchozí kapitole.</w:t>
      </w:r>
    </w:p>
    <w:p w14:paraId="283DC0BA" w14:textId="734B3A12" w:rsidR="00C73F72" w:rsidRPr="00F97DE3" w:rsidRDefault="00C73F72" w:rsidP="00C73F72">
      <w:pPr>
        <w:pStyle w:val="Titulek"/>
        <w:keepNext/>
      </w:pPr>
      <w:r w:rsidRPr="00F97DE3">
        <w:t xml:space="preserve">Tabulka </w:t>
      </w:r>
      <w:r w:rsidR="00FC2507" w:rsidRPr="00F97DE3">
        <w:t>3</w:t>
      </w:r>
      <w:r w:rsidR="00FC2507">
        <w:t> </w:t>
      </w:r>
      <w:r w:rsidRPr="00F97DE3">
        <w:t>- Vyhodnocení navržených variant</w:t>
      </w:r>
    </w:p>
    <w:tbl>
      <w:tblPr>
        <w:tblW w:w="6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2435"/>
        <w:gridCol w:w="1965"/>
      </w:tblGrid>
      <w:tr w:rsidR="00C50ADB" w:rsidRPr="00F97DE3" w14:paraId="15D78694" w14:textId="77777777" w:rsidTr="00387AFF">
        <w:trPr>
          <w:trHeight w:val="283"/>
        </w:trPr>
        <w:tc>
          <w:tcPr>
            <w:tcW w:w="1955" w:type="dxa"/>
            <w:shd w:val="clear" w:color="auto" w:fill="auto"/>
          </w:tcPr>
          <w:p w14:paraId="641759CA" w14:textId="77777777" w:rsidR="00C50ADB" w:rsidRPr="00F97DE3" w:rsidRDefault="00C50ADB" w:rsidP="00753387">
            <w:pPr>
              <w:pStyle w:val="Tabulka"/>
            </w:pPr>
          </w:p>
        </w:tc>
        <w:tc>
          <w:tcPr>
            <w:tcW w:w="2435" w:type="dxa"/>
          </w:tcPr>
          <w:p w14:paraId="6EDC7964" w14:textId="5DF9EAC7" w:rsidR="00C50ADB" w:rsidRPr="00F97DE3" w:rsidRDefault="00C50ADB" w:rsidP="00753387">
            <w:pPr>
              <w:pStyle w:val="Tabulka"/>
            </w:pPr>
            <w:r w:rsidRPr="00C50ADB">
              <w:t>Schopnost začít diskutovanou agendu vykonávat s minimálními rozpočtovými dopady</w:t>
            </w:r>
          </w:p>
        </w:tc>
        <w:tc>
          <w:tcPr>
            <w:tcW w:w="1965" w:type="dxa"/>
            <w:shd w:val="clear" w:color="auto" w:fill="auto"/>
          </w:tcPr>
          <w:p w14:paraId="1B29D775" w14:textId="1371A2FD" w:rsidR="00C50ADB" w:rsidRPr="00F97DE3" w:rsidRDefault="00C50ADB" w:rsidP="0099527D">
            <w:pPr>
              <w:pStyle w:val="Tabulka"/>
            </w:pPr>
            <w:r w:rsidRPr="00C50ADB">
              <w:t>Synergie s jinými agendami</w:t>
            </w:r>
          </w:p>
        </w:tc>
      </w:tr>
      <w:tr w:rsidR="00C50ADB" w:rsidRPr="00F97DE3" w14:paraId="03AFA47B" w14:textId="77777777" w:rsidTr="00387AFF">
        <w:trPr>
          <w:trHeight w:val="283"/>
        </w:trPr>
        <w:tc>
          <w:tcPr>
            <w:tcW w:w="1955" w:type="dxa"/>
            <w:shd w:val="clear" w:color="auto" w:fill="auto"/>
          </w:tcPr>
          <w:p w14:paraId="08529697" w14:textId="09868EB1" w:rsidR="00C50ADB" w:rsidRPr="00F97DE3" w:rsidRDefault="00C50ADB" w:rsidP="00753387">
            <w:pPr>
              <w:pStyle w:val="Tabulka"/>
            </w:pPr>
            <w:r w:rsidRPr="00F97DE3">
              <w:t xml:space="preserve">Varianta </w:t>
            </w:r>
            <w:r>
              <w:t>1</w:t>
            </w:r>
          </w:p>
        </w:tc>
        <w:tc>
          <w:tcPr>
            <w:tcW w:w="2435" w:type="dxa"/>
          </w:tcPr>
          <w:p w14:paraId="6367C285" w14:textId="77777777" w:rsidR="00C50ADB" w:rsidRPr="00F97DE3" w:rsidRDefault="00C50ADB" w:rsidP="00753387">
            <w:pPr>
              <w:pStyle w:val="Tabulka"/>
            </w:pPr>
            <w:r w:rsidRPr="00F97DE3">
              <w:t>1</w:t>
            </w:r>
          </w:p>
        </w:tc>
        <w:tc>
          <w:tcPr>
            <w:tcW w:w="1965" w:type="dxa"/>
            <w:shd w:val="clear" w:color="auto" w:fill="auto"/>
          </w:tcPr>
          <w:p w14:paraId="1E9E53D7" w14:textId="0A1CDA6C" w:rsidR="00C50ADB" w:rsidRPr="00F97DE3" w:rsidRDefault="00265DB8" w:rsidP="00753387">
            <w:pPr>
              <w:pStyle w:val="Tabulka"/>
            </w:pPr>
            <w:r>
              <w:t>3</w:t>
            </w:r>
          </w:p>
        </w:tc>
      </w:tr>
      <w:tr w:rsidR="00C50ADB" w:rsidRPr="00F97DE3" w14:paraId="61C96800" w14:textId="77777777" w:rsidTr="00387AFF">
        <w:trPr>
          <w:trHeight w:val="283"/>
        </w:trPr>
        <w:tc>
          <w:tcPr>
            <w:tcW w:w="1955" w:type="dxa"/>
            <w:shd w:val="clear" w:color="auto" w:fill="auto"/>
          </w:tcPr>
          <w:p w14:paraId="0445B63D" w14:textId="0FF4049B" w:rsidR="00C50ADB" w:rsidRPr="00F97DE3" w:rsidRDefault="00C50ADB" w:rsidP="00753387">
            <w:pPr>
              <w:pStyle w:val="Tabulka"/>
            </w:pPr>
            <w:r w:rsidRPr="00F97DE3">
              <w:t xml:space="preserve">Varianta </w:t>
            </w:r>
            <w:r>
              <w:t>2</w:t>
            </w:r>
          </w:p>
        </w:tc>
        <w:tc>
          <w:tcPr>
            <w:tcW w:w="2435" w:type="dxa"/>
          </w:tcPr>
          <w:p w14:paraId="016CF471" w14:textId="1F615799" w:rsidR="00C50ADB" w:rsidRPr="00F97DE3" w:rsidRDefault="00265DB8" w:rsidP="00753387">
            <w:pPr>
              <w:pStyle w:val="Tabulka"/>
            </w:pPr>
            <w:r>
              <w:t>0</w:t>
            </w:r>
          </w:p>
        </w:tc>
        <w:tc>
          <w:tcPr>
            <w:tcW w:w="1965" w:type="dxa"/>
            <w:shd w:val="clear" w:color="auto" w:fill="auto"/>
          </w:tcPr>
          <w:p w14:paraId="4BEA41F5" w14:textId="77777777" w:rsidR="00C50ADB" w:rsidRPr="00F97DE3" w:rsidRDefault="00C50ADB" w:rsidP="00753387">
            <w:pPr>
              <w:pStyle w:val="Tabulka"/>
            </w:pPr>
            <w:r w:rsidRPr="00F97DE3">
              <w:t>1</w:t>
            </w:r>
          </w:p>
        </w:tc>
      </w:tr>
    </w:tbl>
    <w:p w14:paraId="6D1D0B8B" w14:textId="77777777" w:rsidR="00C73F72" w:rsidRPr="00F97DE3" w:rsidRDefault="00C73F72" w:rsidP="00C73F72">
      <w:r w:rsidRPr="00F97DE3">
        <w:t>Na základě vyhodnocení variant podle jednotlivých kritérií bylo zjištěno, že nejvhodnější variantou k realizaci je varianta 1.</w:t>
      </w:r>
    </w:p>
    <w:p w14:paraId="0E50CB9C" w14:textId="77777777" w:rsidR="00510203" w:rsidRPr="00F97DE3" w:rsidRDefault="00C114A2" w:rsidP="00F97DE3">
      <w:pPr>
        <w:pStyle w:val="Nadpis1"/>
      </w:pPr>
      <w:bookmarkStart w:id="118" w:name="_Toc11698030"/>
      <w:bookmarkStart w:id="119" w:name="_Toc16384"/>
      <w:bookmarkStart w:id="120" w:name="_Toc146204887"/>
      <w:r w:rsidRPr="00F97DE3">
        <w:t>Implementace doporučené varianty a vynucování</w:t>
      </w:r>
      <w:bookmarkEnd w:id="118"/>
      <w:bookmarkEnd w:id="119"/>
      <w:bookmarkEnd w:id="120"/>
    </w:p>
    <w:p w14:paraId="4C9FD9BE" w14:textId="07EDEF80" w:rsidR="00510203" w:rsidRPr="00F97DE3" w:rsidRDefault="00C73F72">
      <w:r w:rsidRPr="00F97DE3">
        <w:t xml:space="preserve">Navrhovaná změna bude provedena formou novely </w:t>
      </w:r>
      <w:r w:rsidR="003610A5" w:rsidRPr="00F97DE3">
        <w:t xml:space="preserve">AML </w:t>
      </w:r>
      <w:r w:rsidRPr="00F97DE3">
        <w:t xml:space="preserve">zákona. Orgánem odpovědným za implementaci bude především </w:t>
      </w:r>
      <w:r w:rsidR="00265DB8">
        <w:t xml:space="preserve">Celní správa České republiky. </w:t>
      </w:r>
    </w:p>
    <w:p w14:paraId="2B711F19" w14:textId="77777777" w:rsidR="00510203" w:rsidRPr="00F97DE3" w:rsidRDefault="00C114A2" w:rsidP="00F97DE3">
      <w:pPr>
        <w:pStyle w:val="Nadpis1"/>
      </w:pPr>
      <w:bookmarkStart w:id="121" w:name="_Toc11698031"/>
      <w:bookmarkStart w:id="122" w:name="_Toc21217"/>
      <w:bookmarkStart w:id="123" w:name="_Toc146204888"/>
      <w:r w:rsidRPr="00F97DE3">
        <w:t>Přezkum účinnosti regulace</w:t>
      </w:r>
      <w:bookmarkEnd w:id="121"/>
      <w:bookmarkEnd w:id="122"/>
      <w:bookmarkEnd w:id="123"/>
      <w:r w:rsidRPr="00F97DE3">
        <w:t xml:space="preserve"> </w:t>
      </w:r>
    </w:p>
    <w:p w14:paraId="2DC2CA17" w14:textId="287C11F7" w:rsidR="00510203" w:rsidRPr="00F97DE3" w:rsidRDefault="00C73F72">
      <w:r w:rsidRPr="00F97DE3">
        <w:t xml:space="preserve">Účinnost přijatých změn bude ověřována </w:t>
      </w:r>
      <w:r w:rsidR="00FC2507" w:rsidRPr="00F97DE3">
        <w:t>v</w:t>
      </w:r>
      <w:r w:rsidR="00FC2507">
        <w:t> </w:t>
      </w:r>
      <w:r w:rsidRPr="00F97DE3">
        <w:t xml:space="preserve">praxi </w:t>
      </w:r>
      <w:r w:rsidR="00FC2507" w:rsidRPr="00F97DE3">
        <w:t>s</w:t>
      </w:r>
      <w:r w:rsidR="00FC2507">
        <w:t> </w:t>
      </w:r>
      <w:r w:rsidRPr="00F97DE3">
        <w:t xml:space="preserve">tím, že bude předmětem národního hodnocení rizik </w:t>
      </w:r>
      <w:r w:rsidR="0099527D" w:rsidRPr="00F97DE3">
        <w:t>praní peněz</w:t>
      </w:r>
      <w:r w:rsidRPr="00F97DE3">
        <w:t xml:space="preserve"> </w:t>
      </w:r>
      <w:r w:rsidR="00FC2507" w:rsidRPr="00F97DE3">
        <w:t>a</w:t>
      </w:r>
      <w:r w:rsidR="00FC2507">
        <w:t> </w:t>
      </w:r>
      <w:r w:rsidRPr="00F97DE3">
        <w:t xml:space="preserve">financování terorismu, jež je koordinováno Finančním analytickým úřadem </w:t>
      </w:r>
      <w:r w:rsidR="00FC2507" w:rsidRPr="00F97DE3">
        <w:t>a</w:t>
      </w:r>
      <w:r w:rsidR="00FC2507">
        <w:t> </w:t>
      </w:r>
      <w:r w:rsidRPr="00F97DE3">
        <w:t xml:space="preserve">na jehož zpracování se podílejí </w:t>
      </w:r>
      <w:r w:rsidR="00FC2507" w:rsidRPr="00F97DE3">
        <w:t>i</w:t>
      </w:r>
      <w:r w:rsidR="00FC2507">
        <w:t> </w:t>
      </w:r>
      <w:r w:rsidRPr="00F97DE3">
        <w:t xml:space="preserve">další orgány veřejné moci </w:t>
      </w:r>
      <w:r w:rsidR="00FC2507" w:rsidRPr="00F97DE3">
        <w:t>a</w:t>
      </w:r>
      <w:r w:rsidR="00FC2507">
        <w:t> </w:t>
      </w:r>
      <w:r w:rsidRPr="00F97DE3">
        <w:t>povinné osoby</w:t>
      </w:r>
      <w:r w:rsidR="00C114A2" w:rsidRPr="00F97DE3">
        <w:t>.</w:t>
      </w:r>
    </w:p>
    <w:p w14:paraId="24CF9D30" w14:textId="77777777" w:rsidR="00510203" w:rsidRPr="00F97DE3" w:rsidRDefault="00C114A2" w:rsidP="00F97DE3">
      <w:pPr>
        <w:pStyle w:val="Nadpis1"/>
      </w:pPr>
      <w:bookmarkStart w:id="124" w:name="_Toc11698032"/>
      <w:bookmarkStart w:id="125" w:name="_Toc14657"/>
      <w:bookmarkStart w:id="126" w:name="_Toc146204889"/>
      <w:r w:rsidRPr="00F97DE3">
        <w:t>Konzultace a zdroje dat</w:t>
      </w:r>
      <w:bookmarkEnd w:id="124"/>
      <w:bookmarkEnd w:id="125"/>
      <w:bookmarkEnd w:id="126"/>
    </w:p>
    <w:p w14:paraId="4BCE0331" w14:textId="794AED11" w:rsidR="003610A5" w:rsidRDefault="00C114A2" w:rsidP="003610A5">
      <w:pPr>
        <w:pStyle w:val="Bezmezer"/>
        <w:keepNext w:val="0"/>
        <w:rPr>
          <w:sz w:val="24"/>
          <w:szCs w:val="22"/>
          <w:lang w:eastAsia="en-US"/>
        </w:rPr>
      </w:pPr>
      <w:r w:rsidRPr="00093B29">
        <w:rPr>
          <w:sz w:val="24"/>
          <w:szCs w:val="22"/>
          <w:lang w:eastAsia="en-US"/>
        </w:rPr>
        <w:t>Problematika byla konzultována s</w:t>
      </w:r>
      <w:r w:rsidR="00265DB8" w:rsidRPr="00093B29">
        <w:rPr>
          <w:sz w:val="24"/>
          <w:szCs w:val="22"/>
          <w:lang w:eastAsia="en-US"/>
        </w:rPr>
        <w:t> Celní správou České republiky.</w:t>
      </w:r>
    </w:p>
    <w:p w14:paraId="7FED8632" w14:textId="77777777" w:rsidR="00093B29" w:rsidRPr="00F97DE3" w:rsidRDefault="00093B29" w:rsidP="00093B29">
      <w:pPr>
        <w:pStyle w:val="Nadpis1"/>
      </w:pPr>
      <w:r w:rsidRPr="00F97DE3">
        <w:t>Kontakt na zpracovatele RIA</w:t>
      </w:r>
    </w:p>
    <w:p w14:paraId="56422326" w14:textId="77777777" w:rsidR="00093B29" w:rsidRPr="00F97DE3" w:rsidRDefault="00093B29" w:rsidP="00093B29">
      <w:r>
        <w:t>Viktor Kabeš</w:t>
      </w:r>
    </w:p>
    <w:p w14:paraId="424B53BA" w14:textId="77777777" w:rsidR="00093B29" w:rsidRPr="00F97DE3" w:rsidRDefault="00093B29" w:rsidP="00093B29">
      <w:r w:rsidRPr="00F97DE3">
        <w:t>Finanční analytický úřad, odbor právní</w:t>
      </w:r>
    </w:p>
    <w:p w14:paraId="5ED7E820" w14:textId="77777777" w:rsidR="00093B29" w:rsidRPr="00F97DE3" w:rsidRDefault="00093B29" w:rsidP="00093B29">
      <w:r w:rsidRPr="00F97DE3">
        <w:t>tel.: (257 044 5</w:t>
      </w:r>
      <w:r>
        <w:t>45</w:t>
      </w:r>
      <w:r w:rsidRPr="00F97DE3">
        <w:t>), e-mail: (</w:t>
      </w:r>
      <w:r>
        <w:t>viktor.kabes</w:t>
      </w:r>
      <w:r w:rsidRPr="00F97DE3">
        <w:t>@fau.mfcr.cz)</w:t>
      </w:r>
    </w:p>
    <w:p w14:paraId="4A75A168" w14:textId="77777777" w:rsidR="00093B29" w:rsidRPr="00093B29" w:rsidRDefault="00093B29" w:rsidP="003610A5">
      <w:pPr>
        <w:pStyle w:val="Bezmezer"/>
        <w:keepNext w:val="0"/>
        <w:rPr>
          <w:b/>
          <w:sz w:val="24"/>
        </w:rPr>
      </w:pPr>
    </w:p>
    <w:p w14:paraId="1D284380" w14:textId="7C7BAFDE" w:rsidR="00FE7608" w:rsidRPr="00F97DE3" w:rsidRDefault="00F97BF8" w:rsidP="00FE7608">
      <w:pPr>
        <w:pStyle w:val="st"/>
      </w:pPr>
      <w:bookmarkStart w:id="127" w:name="_Toc146204890"/>
      <w:r>
        <w:lastRenderedPageBreak/>
        <w:t>Výběr orgánu příslušného k projednávání přestupků na úseku vnitrounijních převozů nadlimitní hotovosti</w:t>
      </w:r>
      <w:bookmarkEnd w:id="127"/>
    </w:p>
    <w:p w14:paraId="2CB25453" w14:textId="77777777" w:rsidR="00FE7608" w:rsidRPr="00F97DE3" w:rsidRDefault="00FE7608" w:rsidP="00FE7608">
      <w:pPr>
        <w:pStyle w:val="Nadpis1"/>
      </w:pPr>
      <w:bookmarkStart w:id="128" w:name="_Toc146204891"/>
      <w:r w:rsidRPr="00F97DE3">
        <w:t>Důvod předložení a cíle</w:t>
      </w:r>
      <w:bookmarkEnd w:id="128"/>
    </w:p>
    <w:p w14:paraId="5059D14A" w14:textId="77777777" w:rsidR="00FE7608" w:rsidRPr="00F97DE3" w:rsidRDefault="00FE7608" w:rsidP="00FE7608">
      <w:pPr>
        <w:pStyle w:val="Nadpis2"/>
      </w:pPr>
      <w:r w:rsidRPr="00F97DE3">
        <w:t>Definice problému</w:t>
      </w:r>
    </w:p>
    <w:p w14:paraId="5408027E" w14:textId="532D6CF6" w:rsidR="00FE7608" w:rsidRPr="00F97DE3" w:rsidRDefault="00FE7608" w:rsidP="00FE7608">
      <w:r>
        <w:t xml:space="preserve">V návaznosti na předchozí témata je nutno zvolit orgán, který bude věcně příslušný </w:t>
      </w:r>
      <w:r w:rsidR="00F97BF8">
        <w:t>k</w:t>
      </w:r>
      <w:r>
        <w:t xml:space="preserve"> </w:t>
      </w:r>
      <w:r w:rsidR="00BC522B">
        <w:t xml:space="preserve">projednávání přestupků na úseku </w:t>
      </w:r>
      <w:proofErr w:type="spellStart"/>
      <w:r w:rsidR="00BC522B">
        <w:t>vnitrounijních</w:t>
      </w:r>
      <w:proofErr w:type="spellEnd"/>
      <w:r w:rsidR="00BC522B">
        <w:t xml:space="preserve"> převozů nadlimitní hotovosti.</w:t>
      </w:r>
    </w:p>
    <w:p w14:paraId="52547A7B" w14:textId="77777777" w:rsidR="00FE7608" w:rsidRPr="00F97DE3" w:rsidRDefault="00FE7608" w:rsidP="00FE7608">
      <w:pPr>
        <w:pStyle w:val="Nadpis2"/>
      </w:pPr>
      <w:r w:rsidRPr="00F97DE3">
        <w:t>Popis existujícího právního stavu v dané oblasti</w:t>
      </w:r>
    </w:p>
    <w:p w14:paraId="0DEBB14E" w14:textId="77777777" w:rsidR="00FE7608" w:rsidRPr="005E4329" w:rsidRDefault="00FE7608" w:rsidP="00FE7608">
      <w:pPr>
        <w:rPr>
          <w:rFonts w:eastAsia="Calibri"/>
        </w:rPr>
      </w:pPr>
      <w:r w:rsidRPr="005E4329">
        <w:rPr>
          <w:rFonts w:eastAsia="Calibri"/>
        </w:rPr>
        <w:t>Existující stav upravují tyto právní předpisy:</w:t>
      </w:r>
    </w:p>
    <w:p w14:paraId="25FDB10A" w14:textId="58319F99" w:rsidR="00FE7608" w:rsidRDefault="00FE7608" w:rsidP="00FE7608">
      <w:pPr>
        <w:pStyle w:val="Odrky"/>
      </w:pPr>
      <w:r>
        <w:t>Zákon č. 253/2008 Sb., o některých opatřeních proti legalizaci výnosů z </w:t>
      </w:r>
      <w:r w:rsidR="003C20A8">
        <w:t>trestné</w:t>
      </w:r>
      <w:r>
        <w:t xml:space="preserve"> činnosti a financování terorismu (dále jen „</w:t>
      </w:r>
      <w:r w:rsidRPr="005E4329">
        <w:t>AML zákon</w:t>
      </w:r>
      <w:r>
        <w:t>“)</w:t>
      </w:r>
    </w:p>
    <w:p w14:paraId="107D8CD9" w14:textId="77777777" w:rsidR="00FE7608" w:rsidRDefault="00FE7608" w:rsidP="00FE7608">
      <w:pPr>
        <w:pStyle w:val="Odrky"/>
        <w:rPr>
          <w:rFonts w:cstheme="minorHAnsi"/>
          <w:szCs w:val="24"/>
        </w:rPr>
      </w:pPr>
      <w:r w:rsidRPr="00B30C5E">
        <w:rPr>
          <w:rFonts w:cstheme="minorHAnsi"/>
          <w:szCs w:val="24"/>
        </w:rPr>
        <w:t>nařízení Evropského parlamentu a Rady (EU) 2018/1672 ze dne 23. října 2018 o kontrolách peněžní hotovosti vstupující do Unie nebo ji opouštějící a o zrušení nařízení (ES) č. 1889/2005</w:t>
      </w:r>
      <w:r>
        <w:rPr>
          <w:rFonts w:cstheme="minorHAnsi"/>
          <w:szCs w:val="24"/>
        </w:rPr>
        <w:t xml:space="preserve"> </w:t>
      </w:r>
    </w:p>
    <w:p w14:paraId="3B912DDC" w14:textId="77777777" w:rsidR="00FE7608" w:rsidRDefault="00FE7608" w:rsidP="00FE7608">
      <w:pPr>
        <w:pStyle w:val="Odrky"/>
        <w:rPr>
          <w:rFonts w:cstheme="minorHAnsi"/>
          <w:szCs w:val="24"/>
        </w:rPr>
      </w:pPr>
      <w:r>
        <w:rPr>
          <w:rFonts w:cstheme="minorHAnsi"/>
          <w:szCs w:val="24"/>
        </w:rPr>
        <w:t>zákon č. 254/2004, o omezení plateb v hotovosti</w:t>
      </w:r>
    </w:p>
    <w:p w14:paraId="4B992045" w14:textId="77777777" w:rsidR="00FE7608" w:rsidRDefault="00FE7608" w:rsidP="00FE7608">
      <w:r>
        <w:t>V § 41, 42, 50 a v § 52 odst. 5 a 6 AML zákona je obsažena adaptace nařízení 2018/1672. Celní úřady zajišťují jak provádění kontroly plnění povinnosti oznamovat převozy nadlimitních objemů hotovosti přes hranici EU, tak projednávání korespondujícího přestupku.</w:t>
      </w:r>
      <w:r w:rsidRPr="00F97DE3">
        <w:t xml:space="preserve"> </w:t>
      </w:r>
    </w:p>
    <w:p w14:paraId="4C77DE9E" w14:textId="77777777" w:rsidR="00FE7608" w:rsidRPr="00F97DE3" w:rsidRDefault="00FE7608" w:rsidP="00FE7608">
      <w:r>
        <w:t>Dalším předpisem, který upravuje nakládání s hotovostí, a má tedy průnik s diskutovanou problematikou, je zákon o omezení plateb v hotovosti. Stanoví limit pro hotovostní transakce ve výši 270 000 Kč uskutečněné v jeden den</w:t>
      </w:r>
      <w:r w:rsidRPr="00D45780">
        <w:t xml:space="preserve"> </w:t>
      </w:r>
      <w:r>
        <w:t xml:space="preserve">mezi stejným plátcem a příjemcem. Limit se nevztahuje mimo jiné na </w:t>
      </w:r>
      <w:r w:rsidRPr="00627F21">
        <w:t>vložení peněžních prostředků v hotovosti na účet u peněžního ústavu a jejich výběr z účtu u peněžního ústavu</w:t>
      </w:r>
      <w:r>
        <w:t xml:space="preserve">. Kontrolu i projednávání korespondujících přestupků provádějí paralelně orgány Celní správy a Finanční správy. </w:t>
      </w:r>
    </w:p>
    <w:p w14:paraId="2DA42E4A" w14:textId="77777777" w:rsidR="00FE7608" w:rsidRPr="00F97DE3" w:rsidRDefault="00FE7608" w:rsidP="00FE7608">
      <w:pPr>
        <w:pStyle w:val="Nadpis2"/>
      </w:pPr>
      <w:r w:rsidRPr="00F97DE3">
        <w:t>Identifikace dotčených subjektů</w:t>
      </w:r>
    </w:p>
    <w:p w14:paraId="0E908D06" w14:textId="7A1AA3E2" w:rsidR="00FE7608" w:rsidRPr="00F97DE3" w:rsidRDefault="00FE7608" w:rsidP="00FE7608">
      <w:pPr>
        <w:pStyle w:val="Nadpisyvtextu"/>
      </w:pPr>
      <w:r>
        <w:t>Orgán příslušný k</w:t>
      </w:r>
      <w:r w:rsidR="00BC522B">
        <w:t> projednávání přestupků</w:t>
      </w:r>
    </w:p>
    <w:p w14:paraId="5A7EE53D" w14:textId="285E9961" w:rsidR="00FE7608" w:rsidRDefault="00FE7608" w:rsidP="00FE7608">
      <w:r>
        <w:t xml:space="preserve">Tento orgán bude </w:t>
      </w:r>
      <w:r w:rsidR="00BC522B">
        <w:t>v návaznosti na porušení zjištěná v rámci kontroly nad plněním povinností na úseku převozů hotovosti projednávat korespondující přestupky.</w:t>
      </w:r>
    </w:p>
    <w:p w14:paraId="4C7C8FAA" w14:textId="77777777" w:rsidR="00FE7608" w:rsidRPr="00F97DE3" w:rsidRDefault="00FE7608" w:rsidP="00FE7608">
      <w:pPr>
        <w:pStyle w:val="Nadpis2"/>
      </w:pPr>
      <w:r w:rsidRPr="00F97DE3">
        <w:t>Popis cílového stavu</w:t>
      </w:r>
    </w:p>
    <w:p w14:paraId="61A04B2A" w14:textId="55C9D437" w:rsidR="00FE7608" w:rsidRPr="00F97DE3" w:rsidRDefault="00FE7608" w:rsidP="00FE7608">
      <w:r w:rsidRPr="00F97DE3">
        <w:t xml:space="preserve">Cílem je </w:t>
      </w:r>
      <w:r>
        <w:t xml:space="preserve">zvolení orgánu, který bude </w:t>
      </w:r>
      <w:r w:rsidR="00441206">
        <w:t>projednávat přestupky na úseku převozů</w:t>
      </w:r>
      <w:r>
        <w:t xml:space="preserve"> hotovosti přes hranice České republiky nejefektivněji, zejména pak s minimálními rozpočtovými dopady.</w:t>
      </w:r>
    </w:p>
    <w:p w14:paraId="5D70855D" w14:textId="77777777" w:rsidR="00FE7608" w:rsidRPr="00F97DE3" w:rsidRDefault="00FE7608" w:rsidP="00FE7608">
      <w:pPr>
        <w:pStyle w:val="Nadpis2"/>
      </w:pPr>
      <w:r w:rsidRPr="00F97DE3">
        <w:lastRenderedPageBreak/>
        <w:t>Zhodnocení rizika</w:t>
      </w:r>
    </w:p>
    <w:p w14:paraId="40B92B55" w14:textId="77777777" w:rsidR="00FE7608" w:rsidRPr="00F97DE3" w:rsidRDefault="00FE7608" w:rsidP="00FE7608">
      <w:r w:rsidRPr="00F97DE3">
        <w:t>V souvislosti s daným tématem nebyla žádná rizika identifikována.</w:t>
      </w:r>
    </w:p>
    <w:p w14:paraId="1AC040F6" w14:textId="77777777" w:rsidR="00FE7608" w:rsidRPr="00F97DE3" w:rsidRDefault="00FE7608" w:rsidP="00FE7608">
      <w:pPr>
        <w:pStyle w:val="Nadpis1"/>
      </w:pPr>
      <w:bookmarkStart w:id="129" w:name="_Toc146204892"/>
      <w:r w:rsidRPr="00F97DE3">
        <w:t>Návrh variant řešení</w:t>
      </w:r>
      <w:bookmarkEnd w:id="129"/>
    </w:p>
    <w:p w14:paraId="5C88D21E" w14:textId="77777777" w:rsidR="00FE7608" w:rsidRPr="00F97DE3" w:rsidRDefault="00FE7608" w:rsidP="00FE7608">
      <w:pPr>
        <w:pStyle w:val="Nadpis2"/>
      </w:pPr>
      <w:r w:rsidRPr="00F97DE3">
        <w:t>Popis variant řešení</w:t>
      </w:r>
    </w:p>
    <w:p w14:paraId="07F19DF2" w14:textId="77777777" w:rsidR="00FE7608" w:rsidRPr="00F97DE3" w:rsidRDefault="00FE7608" w:rsidP="00FE7608">
      <w:pPr>
        <w:rPr>
          <w:rStyle w:val="Styl11bTunVechnavelk"/>
          <w:bCs w:val="0"/>
          <w:caps w:val="0"/>
          <w:szCs w:val="24"/>
          <w:u w:val="single"/>
        </w:rPr>
      </w:pPr>
      <w:r w:rsidRPr="00F97DE3">
        <w:rPr>
          <w:rStyle w:val="Styl11bTunVechnavelk"/>
          <w:bCs w:val="0"/>
          <w:caps w:val="0"/>
          <w:szCs w:val="24"/>
          <w:u w:val="single"/>
        </w:rPr>
        <w:t xml:space="preserve">VARIANTA </w:t>
      </w:r>
      <w:r>
        <w:rPr>
          <w:rStyle w:val="Styl11bTunVechnavelk"/>
          <w:bCs w:val="0"/>
          <w:caps w:val="0"/>
          <w:szCs w:val="24"/>
          <w:u w:val="single"/>
        </w:rPr>
        <w:t>1 </w:t>
      </w:r>
      <w:r w:rsidRPr="00F97DE3">
        <w:rPr>
          <w:rStyle w:val="Styl11bTunVechnavelk"/>
          <w:bCs w:val="0"/>
          <w:caps w:val="0"/>
          <w:szCs w:val="24"/>
          <w:u w:val="single"/>
        </w:rPr>
        <w:t xml:space="preserve">– </w:t>
      </w:r>
      <w:r>
        <w:rPr>
          <w:rStyle w:val="Styl11bTunVechnavelk"/>
          <w:bCs w:val="0"/>
          <w:caps w:val="0"/>
          <w:szCs w:val="24"/>
          <w:u w:val="single"/>
        </w:rPr>
        <w:t>Celní správa České republiky</w:t>
      </w:r>
    </w:p>
    <w:p w14:paraId="1D368206" w14:textId="3E79010D" w:rsidR="00305A1A" w:rsidRDefault="00FE7608" w:rsidP="00FE7608">
      <w:pPr>
        <w:rPr>
          <w:rStyle w:val="Styl11bTunVechnavelk"/>
          <w:b w:val="0"/>
          <w:bCs w:val="0"/>
          <w:caps w:val="0"/>
          <w:szCs w:val="24"/>
        </w:rPr>
      </w:pPr>
      <w:r>
        <w:rPr>
          <w:rStyle w:val="Styl11bTunVechnavelk"/>
          <w:b w:val="0"/>
          <w:bCs w:val="0"/>
          <w:caps w:val="0"/>
          <w:szCs w:val="24"/>
        </w:rPr>
        <w:t xml:space="preserve">Celní správa je orgánem, který již v současnosti provádí kontrolu převozu nadlimitní hotovosti přes hranice EU, v kontextu ČR tedy výlučně na mezinárodních letištích. </w:t>
      </w:r>
      <w:r w:rsidR="00441206">
        <w:rPr>
          <w:rStyle w:val="Styl11bTunVechnavelk"/>
          <w:b w:val="0"/>
          <w:bCs w:val="0"/>
          <w:caps w:val="0"/>
          <w:szCs w:val="24"/>
        </w:rPr>
        <w:t xml:space="preserve">Mimo to je také jediným orgánem, který projednává korespondující přestupky (k tomu vizte § 50 a § 52 odst. 5 a 6 AML zákona). </w:t>
      </w:r>
      <w:r w:rsidR="004B361D">
        <w:rPr>
          <w:rStyle w:val="Styl11bTunVechnavelk"/>
          <w:b w:val="0"/>
          <w:bCs w:val="0"/>
          <w:caps w:val="0"/>
          <w:szCs w:val="24"/>
        </w:rPr>
        <w:t>Toto aranžmá má nespornou výhodu v tom, že jak kontrola, tak následné projednávání přestupku zajišťuje jediný orgán – odpadají tak náklady s předáváním si podkladů</w:t>
      </w:r>
      <w:r w:rsidR="00305A1A">
        <w:rPr>
          <w:rStyle w:val="Styl11bTunVechnavelk"/>
          <w:b w:val="0"/>
          <w:bCs w:val="0"/>
          <w:caps w:val="0"/>
          <w:szCs w:val="24"/>
        </w:rPr>
        <w:t xml:space="preserve"> mezi orgánem, který v rámci výkonu kontroly zjistil pochybení, a orgánem, který projednává přestupek. Takto integrované řešení se osvědčilo v kontextu převozů hotovosti přes hranice EU. Jeho nespornou výhodou je to, že lze bez nutnosti koordinace mezi vícero orgány stanovit odpovídající prioritu jak výkonu kontroly, tak projednávání přestupků. Lze se tak vyhnout stavu, kdy by například počet v rámci kontrolní činnosti odhalených porušení </w:t>
      </w:r>
      <w:r w:rsidR="00BE31CA">
        <w:rPr>
          <w:rStyle w:val="Styl11bTunVechnavelk"/>
          <w:b w:val="0"/>
          <w:bCs w:val="0"/>
          <w:caps w:val="0"/>
          <w:szCs w:val="24"/>
        </w:rPr>
        <w:t xml:space="preserve">přesahoval kapacity alokované na projednávání korespondujícího přestupku. </w:t>
      </w:r>
    </w:p>
    <w:p w14:paraId="021B6345" w14:textId="77777777" w:rsidR="00FE7608" w:rsidRPr="00F97DE3" w:rsidRDefault="00FE7608" w:rsidP="00FE7608">
      <w:pPr>
        <w:rPr>
          <w:rStyle w:val="Styl11bTunVechnavelk"/>
          <w:bCs w:val="0"/>
          <w:caps w:val="0"/>
          <w:szCs w:val="24"/>
          <w:u w:val="single"/>
        </w:rPr>
      </w:pPr>
      <w:r w:rsidRPr="00F97DE3">
        <w:rPr>
          <w:rStyle w:val="Styl11bTunVechnavelk"/>
          <w:bCs w:val="0"/>
          <w:caps w:val="0"/>
          <w:szCs w:val="24"/>
          <w:u w:val="single"/>
        </w:rPr>
        <w:t xml:space="preserve">VARIANTA </w:t>
      </w:r>
      <w:r>
        <w:rPr>
          <w:rStyle w:val="Styl11bTunVechnavelk"/>
          <w:bCs w:val="0"/>
          <w:caps w:val="0"/>
          <w:szCs w:val="24"/>
          <w:u w:val="single"/>
        </w:rPr>
        <w:t>2 </w:t>
      </w:r>
      <w:r w:rsidRPr="00F97DE3">
        <w:rPr>
          <w:rStyle w:val="Styl11bTunVechnavelk"/>
          <w:bCs w:val="0"/>
          <w:caps w:val="0"/>
          <w:szCs w:val="24"/>
          <w:u w:val="single"/>
        </w:rPr>
        <w:t xml:space="preserve">– </w:t>
      </w:r>
      <w:r>
        <w:rPr>
          <w:rStyle w:val="Styl11bTunVechnavelk"/>
          <w:bCs w:val="0"/>
          <w:caps w:val="0"/>
          <w:szCs w:val="24"/>
          <w:u w:val="single"/>
        </w:rPr>
        <w:t>Finanční správa</w:t>
      </w:r>
      <w:r w:rsidRPr="002203B5">
        <w:rPr>
          <w:rStyle w:val="Styl11bTunVechnavelk"/>
          <w:bCs w:val="0"/>
          <w:caps w:val="0"/>
          <w:szCs w:val="24"/>
          <w:u w:val="single"/>
        </w:rPr>
        <w:t xml:space="preserve"> </w:t>
      </w:r>
      <w:r>
        <w:rPr>
          <w:rStyle w:val="Styl11bTunVechnavelk"/>
          <w:bCs w:val="0"/>
          <w:caps w:val="0"/>
          <w:szCs w:val="24"/>
          <w:u w:val="single"/>
        </w:rPr>
        <w:t>České republiky</w:t>
      </w:r>
    </w:p>
    <w:p w14:paraId="6FBC0450" w14:textId="23E42428" w:rsidR="00FE7608" w:rsidRDefault="00F91C7C" w:rsidP="00FE7608">
      <w:pPr>
        <w:rPr>
          <w:rStyle w:val="Styl11bTunVechnavelk"/>
          <w:b w:val="0"/>
          <w:bCs w:val="0"/>
          <w:caps w:val="0"/>
          <w:szCs w:val="24"/>
        </w:rPr>
      </w:pPr>
      <w:r>
        <w:rPr>
          <w:rStyle w:val="Styl11bTunVechnavelk"/>
          <w:b w:val="0"/>
          <w:bCs w:val="0"/>
          <w:caps w:val="0"/>
          <w:szCs w:val="24"/>
        </w:rPr>
        <w:t xml:space="preserve">Finanční správa </w:t>
      </w:r>
      <w:r w:rsidR="002013EC">
        <w:rPr>
          <w:rStyle w:val="Styl11bTunVechnavelk"/>
          <w:b w:val="0"/>
          <w:bCs w:val="0"/>
          <w:caps w:val="0"/>
          <w:szCs w:val="24"/>
        </w:rPr>
        <w:t xml:space="preserve">sice neprojednává žádné přestupky na úseku převozů hotovosti přes hranice EU, nicméně projednává přestupky například na úseku úpravy účetnictví či podle zákona o omezení plateb v hotovosti. </w:t>
      </w:r>
    </w:p>
    <w:p w14:paraId="28AA7E73" w14:textId="55E2545C" w:rsidR="00BE31CA" w:rsidRDefault="00BE31CA" w:rsidP="00BE31CA">
      <w:pPr>
        <w:rPr>
          <w:rStyle w:val="Styl11bTunVechnavelk"/>
          <w:bCs w:val="0"/>
          <w:caps w:val="0"/>
          <w:szCs w:val="24"/>
        </w:rPr>
      </w:pPr>
      <w:r w:rsidRPr="00F97DE3">
        <w:rPr>
          <w:rStyle w:val="Styl11bTunVechnavelk"/>
          <w:bCs w:val="0"/>
          <w:caps w:val="0"/>
          <w:szCs w:val="24"/>
          <w:u w:val="single"/>
        </w:rPr>
        <w:t xml:space="preserve">VARIANTA </w:t>
      </w:r>
      <w:r>
        <w:rPr>
          <w:rStyle w:val="Styl11bTunVechnavelk"/>
          <w:bCs w:val="0"/>
          <w:caps w:val="0"/>
          <w:szCs w:val="24"/>
          <w:u w:val="single"/>
        </w:rPr>
        <w:t>3 </w:t>
      </w:r>
      <w:r w:rsidRPr="00F97DE3">
        <w:rPr>
          <w:rStyle w:val="Styl11bTunVechnavelk"/>
          <w:bCs w:val="0"/>
          <w:caps w:val="0"/>
          <w:szCs w:val="24"/>
          <w:u w:val="single"/>
        </w:rPr>
        <w:t xml:space="preserve">– </w:t>
      </w:r>
      <w:r>
        <w:rPr>
          <w:rStyle w:val="Styl11bTunVechnavelk"/>
          <w:bCs w:val="0"/>
          <w:caps w:val="0"/>
          <w:szCs w:val="24"/>
          <w:u w:val="single"/>
        </w:rPr>
        <w:t>Finanční analytický úřad</w:t>
      </w:r>
    </w:p>
    <w:p w14:paraId="66CB36FE" w14:textId="40308D3B" w:rsidR="00BE31CA" w:rsidRDefault="00BE31CA" w:rsidP="00BE31CA">
      <w:pPr>
        <w:rPr>
          <w:rStyle w:val="Styl11bTunVechnavelk"/>
          <w:b w:val="0"/>
          <w:bCs w:val="0"/>
          <w:caps w:val="0"/>
          <w:szCs w:val="24"/>
        </w:rPr>
      </w:pPr>
      <w:r w:rsidRPr="00387AFF">
        <w:rPr>
          <w:rStyle w:val="Styl11bTunVechnavelk"/>
          <w:b w:val="0"/>
          <w:bCs w:val="0"/>
          <w:caps w:val="0"/>
          <w:szCs w:val="24"/>
        </w:rPr>
        <w:t>Fi</w:t>
      </w:r>
      <w:r w:rsidRPr="00A518BA">
        <w:rPr>
          <w:rStyle w:val="Styl11bTunVechnavelk"/>
          <w:b w:val="0"/>
          <w:bCs w:val="0"/>
          <w:caps w:val="0"/>
          <w:szCs w:val="24"/>
        </w:rPr>
        <w:t>nanční analytický úřad</w:t>
      </w:r>
      <w:r w:rsidR="00AA020C">
        <w:rPr>
          <w:rStyle w:val="Styl11bTunVechnavelk"/>
          <w:b w:val="0"/>
          <w:bCs w:val="0"/>
          <w:caps w:val="0"/>
          <w:szCs w:val="24"/>
        </w:rPr>
        <w:t xml:space="preserve"> (dále také „FAÚ“)</w:t>
      </w:r>
      <w:r w:rsidRPr="00A518BA">
        <w:rPr>
          <w:rStyle w:val="Styl11bTunVechnavelk"/>
          <w:b w:val="0"/>
          <w:bCs w:val="0"/>
          <w:caps w:val="0"/>
          <w:szCs w:val="24"/>
        </w:rPr>
        <w:t xml:space="preserve"> v</w:t>
      </w:r>
      <w:r>
        <w:rPr>
          <w:rStyle w:val="Styl11bTunVechnavelk"/>
          <w:b w:val="0"/>
          <w:bCs w:val="0"/>
          <w:caps w:val="0"/>
          <w:szCs w:val="24"/>
        </w:rPr>
        <w:t> </w:t>
      </w:r>
      <w:r w:rsidRPr="00A518BA">
        <w:rPr>
          <w:rStyle w:val="Styl11bTunVechnavelk"/>
          <w:b w:val="0"/>
          <w:bCs w:val="0"/>
          <w:caps w:val="0"/>
          <w:szCs w:val="24"/>
        </w:rPr>
        <w:t xml:space="preserve">první </w:t>
      </w:r>
      <w:r>
        <w:rPr>
          <w:rStyle w:val="Styl11bTunVechnavelk"/>
          <w:b w:val="0"/>
          <w:bCs w:val="0"/>
          <w:caps w:val="0"/>
          <w:szCs w:val="24"/>
        </w:rPr>
        <w:t>řadě vykonává funkci finanční zpravodajské jednotky ČR. Jde tedy o orgán příslušný k příjmu a šetření oznámení podezřelého o</w:t>
      </w:r>
      <w:r w:rsidR="00AA020C">
        <w:rPr>
          <w:rStyle w:val="Styl11bTunVechnavelk"/>
          <w:b w:val="0"/>
          <w:bCs w:val="0"/>
          <w:caps w:val="0"/>
          <w:szCs w:val="24"/>
        </w:rPr>
        <w:t>b</w:t>
      </w:r>
      <w:r>
        <w:rPr>
          <w:rStyle w:val="Styl11bTunVechnavelk"/>
          <w:b w:val="0"/>
          <w:bCs w:val="0"/>
          <w:caps w:val="0"/>
          <w:szCs w:val="24"/>
        </w:rPr>
        <w:t>chodu od povinných osob podle § 2 AML zákona. V rámci šetření získané zpravodajské informace pak předává formou trestního oznámení orgánům činným v trestním řízení, případně dalším orgánům, jako jsou například Finanč</w:t>
      </w:r>
      <w:r w:rsidR="00AA020C">
        <w:rPr>
          <w:rStyle w:val="Styl11bTunVechnavelk"/>
          <w:b w:val="0"/>
          <w:bCs w:val="0"/>
          <w:caps w:val="0"/>
          <w:szCs w:val="24"/>
        </w:rPr>
        <w:t>n</w:t>
      </w:r>
      <w:r>
        <w:rPr>
          <w:rStyle w:val="Styl11bTunVechnavelk"/>
          <w:b w:val="0"/>
          <w:bCs w:val="0"/>
          <w:caps w:val="0"/>
          <w:szCs w:val="24"/>
        </w:rPr>
        <w:t xml:space="preserve">í správa či zpravodajské služby. </w:t>
      </w:r>
    </w:p>
    <w:p w14:paraId="024BE987" w14:textId="10B9FC6D" w:rsidR="00BE31CA" w:rsidRPr="00F97DE3" w:rsidRDefault="00BE31CA" w:rsidP="00FE7608">
      <w:pPr>
        <w:rPr>
          <w:b/>
        </w:rPr>
      </w:pPr>
      <w:r>
        <w:rPr>
          <w:rStyle w:val="Styl11bTunVechnavelk"/>
          <w:b w:val="0"/>
          <w:bCs w:val="0"/>
          <w:caps w:val="0"/>
          <w:szCs w:val="24"/>
        </w:rPr>
        <w:t xml:space="preserve">Vedle toho </w:t>
      </w:r>
      <w:r w:rsidR="00AA020C">
        <w:rPr>
          <w:rStyle w:val="Styl11bTunVechnavelk"/>
          <w:b w:val="0"/>
          <w:bCs w:val="0"/>
          <w:caps w:val="0"/>
          <w:szCs w:val="24"/>
        </w:rPr>
        <w:t>FAÚ</w:t>
      </w:r>
      <w:r>
        <w:rPr>
          <w:rStyle w:val="Styl11bTunVechnavelk"/>
          <w:b w:val="0"/>
          <w:bCs w:val="0"/>
          <w:caps w:val="0"/>
          <w:szCs w:val="24"/>
        </w:rPr>
        <w:t xml:space="preserve"> </w:t>
      </w:r>
      <w:r w:rsidR="00AA020C">
        <w:rPr>
          <w:rStyle w:val="Styl11bTunVechnavelk"/>
          <w:b w:val="0"/>
          <w:bCs w:val="0"/>
          <w:caps w:val="0"/>
          <w:szCs w:val="24"/>
        </w:rPr>
        <w:t xml:space="preserve">vykonává rovněž dohled nad povinnými osobami podle § 2 AML zákona, a to spolu s Českou národní bankou (finanční a úvěrové instituce), Celní správou (provozovatelé hazardních her), stavovskými komorami (příslušníci těchto komor), a Českou obchodní inspekcí (obchodníci s použitým zbožím). Z tohoto výčtu je patrné, že existuje velké penzum povinných osob, nad nimiž vykonává AML/CFT dohled výlučně FAÚ. </w:t>
      </w:r>
      <w:r w:rsidR="00FF1580">
        <w:rPr>
          <w:rStyle w:val="Styl11bTunVechnavelk"/>
          <w:b w:val="0"/>
          <w:bCs w:val="0"/>
          <w:caps w:val="0"/>
          <w:szCs w:val="24"/>
        </w:rPr>
        <w:t xml:space="preserve">Disponuje přitom přibližně 70 pracovníky, z nichž většina se věnuje analýze podezřelých obchodů (těch v roce 2022 bylo </w:t>
      </w:r>
      <w:r w:rsidR="00FF1580" w:rsidRPr="00FF1580">
        <w:rPr>
          <w:rStyle w:val="Styl11bTunVechnavelk"/>
          <w:b w:val="0"/>
          <w:bCs w:val="0"/>
          <w:caps w:val="0"/>
          <w:szCs w:val="24"/>
        </w:rPr>
        <w:t>6 145</w:t>
      </w:r>
      <w:r w:rsidR="00FF1580">
        <w:rPr>
          <w:rStyle w:val="Styl11bTunVechnavelk"/>
          <w:b w:val="0"/>
          <w:bCs w:val="0"/>
          <w:caps w:val="0"/>
          <w:szCs w:val="24"/>
        </w:rPr>
        <w:t xml:space="preserve">). </w:t>
      </w:r>
      <w:r w:rsidR="00BE1782">
        <w:rPr>
          <w:rStyle w:val="Styl11bTunVechnavelk"/>
          <w:b w:val="0"/>
          <w:bCs w:val="0"/>
          <w:caps w:val="0"/>
          <w:szCs w:val="24"/>
        </w:rPr>
        <w:t xml:space="preserve">Kontrolní oddělení FAÚ přitom disponuje jen 6 pracovníky. </w:t>
      </w:r>
    </w:p>
    <w:p w14:paraId="1AFE5E63" w14:textId="77777777" w:rsidR="00FE7608" w:rsidRPr="00F97DE3" w:rsidRDefault="00FE7608" w:rsidP="00FE7608">
      <w:pPr>
        <w:pStyle w:val="Nadpis2"/>
      </w:pPr>
      <w:r w:rsidRPr="00F97DE3">
        <w:t>Přizpůsobení variant regulaci a její vynucování</w:t>
      </w:r>
    </w:p>
    <w:p w14:paraId="2B77C6F8" w14:textId="77777777" w:rsidR="00FE7608" w:rsidRPr="00F97DE3" w:rsidRDefault="00FE7608" w:rsidP="00FE7608">
      <w:r w:rsidRPr="00F97DE3">
        <w:t>Vzhledem k tomu, že se žádná z navrhovaných variant nedá vyloučit pro její nerealizovatelnost, nebo pro rozpor s ústavním pořádkem nebo právem Evropské unie, budou všechny navržené varianty dále analyzovány.</w:t>
      </w:r>
    </w:p>
    <w:p w14:paraId="2D18EB1E" w14:textId="77777777" w:rsidR="00FE7608" w:rsidRPr="00F97DE3" w:rsidRDefault="00FE7608" w:rsidP="00FE7608">
      <w:pPr>
        <w:pStyle w:val="Nadpis1"/>
      </w:pPr>
      <w:bookmarkStart w:id="130" w:name="_Toc146204893"/>
      <w:r w:rsidRPr="00F97DE3">
        <w:lastRenderedPageBreak/>
        <w:t>Identifikace a vyhodnocení nákladů a přínosů</w:t>
      </w:r>
      <w:bookmarkEnd w:id="130"/>
    </w:p>
    <w:p w14:paraId="30009B44" w14:textId="77777777" w:rsidR="00FE7608" w:rsidRPr="00F97DE3" w:rsidRDefault="00FE7608" w:rsidP="00FE7608">
      <w:pPr>
        <w:pStyle w:val="Nadpis2"/>
      </w:pPr>
      <w:r w:rsidRPr="00F97DE3">
        <w:t>Identifikace nákladů a</w:t>
      </w:r>
      <w:r>
        <w:t> </w:t>
      </w:r>
      <w:r w:rsidRPr="00F97DE3">
        <w:t>přínosů</w:t>
      </w:r>
    </w:p>
    <w:p w14:paraId="2251507A" w14:textId="77777777" w:rsidR="00FE7608" w:rsidRPr="00F97DE3" w:rsidRDefault="00FE7608" w:rsidP="00FE7608">
      <w:r w:rsidRPr="00F97DE3">
        <w:t>Výše uvedené varianty byly vyhodnoceny podle kritérií, která pokrývají klady a</w:t>
      </w:r>
      <w:r>
        <w:t> </w:t>
      </w:r>
      <w:r w:rsidRPr="00F97DE3">
        <w:t>zápory (resp. přínosy a</w:t>
      </w:r>
      <w:r>
        <w:t> </w:t>
      </w:r>
      <w:r w:rsidRPr="00F97DE3">
        <w:t xml:space="preserve">náklady) jednotlivých navržených variant. </w:t>
      </w:r>
    </w:p>
    <w:p w14:paraId="24892AD2" w14:textId="77777777" w:rsidR="00FE7608" w:rsidRPr="00F97DE3" w:rsidRDefault="00FE7608" w:rsidP="00FE7608">
      <w:r w:rsidRPr="00F97DE3">
        <w:t>Jako hlavní hodnotící kritéria byla identifikována:</w:t>
      </w:r>
    </w:p>
    <w:p w14:paraId="3D3C6D3E" w14:textId="77777777" w:rsidR="00FE7608" w:rsidRPr="00F97DE3" w:rsidRDefault="00FE7608" w:rsidP="00FE7608">
      <w:pPr>
        <w:pStyle w:val="Odstavecseseznamem"/>
        <w:numPr>
          <w:ilvl w:val="0"/>
          <w:numId w:val="28"/>
        </w:numPr>
      </w:pPr>
      <w:r>
        <w:t>schopnost začít diskutovanou agendu vykonávat s minimálními rozpočtovými dopady</w:t>
      </w:r>
    </w:p>
    <w:p w14:paraId="5237AAC8" w14:textId="77777777" w:rsidR="00FE7608" w:rsidRPr="00F97DE3" w:rsidRDefault="00FE7608" w:rsidP="00FE7608">
      <w:pPr>
        <w:pStyle w:val="Odstavecseseznamem"/>
        <w:numPr>
          <w:ilvl w:val="0"/>
          <w:numId w:val="28"/>
        </w:numPr>
      </w:pPr>
      <w:r>
        <w:t>synergie s jinými agendami</w:t>
      </w:r>
    </w:p>
    <w:p w14:paraId="4F924F02" w14:textId="77777777" w:rsidR="00FE7608" w:rsidRPr="00F97DE3" w:rsidRDefault="00FE7608" w:rsidP="00FE7608">
      <w:pPr>
        <w:rPr>
          <w:u w:val="single"/>
        </w:rPr>
      </w:pPr>
      <w:r>
        <w:rPr>
          <w:u w:val="single"/>
        </w:rPr>
        <w:t>S</w:t>
      </w:r>
      <w:r w:rsidRPr="000F64F0">
        <w:rPr>
          <w:u w:val="single"/>
        </w:rPr>
        <w:t>chopnost začít diskutovanou agendu vykonávat s minimálními rozpočtovými dopady</w:t>
      </w:r>
    </w:p>
    <w:p w14:paraId="3AEDE422" w14:textId="77777777" w:rsidR="00FE7608" w:rsidRDefault="00FE7608" w:rsidP="00FE7608">
      <w:r w:rsidRPr="00F97DE3">
        <w:t>Testuje varianty z</w:t>
      </w:r>
      <w:r>
        <w:t> </w:t>
      </w:r>
      <w:r w:rsidRPr="00F97DE3">
        <w:t xml:space="preserve">hlediska </w:t>
      </w:r>
      <w:r>
        <w:t>schopnosti diskutovanou agendu vykonávat se stávajícími zdroji.</w:t>
      </w:r>
    </w:p>
    <w:p w14:paraId="5355AF1D" w14:textId="77777777" w:rsidR="00FE7608" w:rsidRPr="001A41A4" w:rsidRDefault="00FE7608" w:rsidP="00FE7608">
      <w:pPr>
        <w:rPr>
          <w:u w:val="single"/>
        </w:rPr>
      </w:pPr>
      <w:r w:rsidRPr="001A41A4">
        <w:rPr>
          <w:u w:val="single"/>
        </w:rPr>
        <w:t>Synergie s jinými agendami</w:t>
      </w:r>
    </w:p>
    <w:p w14:paraId="192BBF4F" w14:textId="77777777" w:rsidR="00FE7608" w:rsidRPr="00F97DE3" w:rsidRDefault="00FE7608" w:rsidP="00FE7608">
      <w:r>
        <w:t>Testuje varianty z pohledu doplňování se s jinými stávajícími agendami.</w:t>
      </w:r>
    </w:p>
    <w:p w14:paraId="3E56F006" w14:textId="77777777" w:rsidR="00FE7608" w:rsidRPr="00F97DE3" w:rsidRDefault="00FE7608" w:rsidP="00FE7608">
      <w:pPr>
        <w:pStyle w:val="Nadpis2"/>
      </w:pPr>
      <w:r w:rsidRPr="00F97DE3">
        <w:t>Vyhodnocení variant</w:t>
      </w:r>
    </w:p>
    <w:p w14:paraId="2842E41B" w14:textId="77777777" w:rsidR="00FE7608" w:rsidRPr="00F97DE3" w:rsidRDefault="00FE7608" w:rsidP="00FE7608">
      <w:pPr>
        <w:pStyle w:val="Nadpis3"/>
      </w:pPr>
      <w:r w:rsidRPr="00F97DE3">
        <w:t xml:space="preserve">Varianta </w:t>
      </w:r>
      <w:r>
        <w:t>1 </w:t>
      </w:r>
      <w:r w:rsidRPr="00F97DE3">
        <w:t xml:space="preserve">– </w:t>
      </w:r>
      <w:r>
        <w:t>Celní správa České republiky</w:t>
      </w:r>
    </w:p>
    <w:p w14:paraId="2935B60E" w14:textId="77777777" w:rsidR="00FE7608" w:rsidRDefault="00FE7608" w:rsidP="00FE7608">
      <w:pPr>
        <w:keepNext/>
        <w:rPr>
          <w:u w:val="single"/>
        </w:rPr>
      </w:pPr>
      <w:r>
        <w:rPr>
          <w:u w:val="single"/>
        </w:rPr>
        <w:t>S</w:t>
      </w:r>
      <w:r w:rsidRPr="000F64F0">
        <w:rPr>
          <w:u w:val="single"/>
        </w:rPr>
        <w:t>chopnost začít diskutovanou agendu vykonávat s minimálními rozpočtovými dopady</w:t>
      </w:r>
    </w:p>
    <w:p w14:paraId="6EB90375" w14:textId="0485869B" w:rsidR="00FE7608" w:rsidRPr="001A41A4" w:rsidRDefault="00FE7608">
      <w:r w:rsidRPr="001A41A4">
        <w:t>Celní správa již</w:t>
      </w:r>
      <w:r>
        <w:t xml:space="preserve"> v současné době disponuje schopností provádět </w:t>
      </w:r>
      <w:r w:rsidR="00CB1448">
        <w:t>projednávat přestupky na úseku převozů nadlimitní hotovosti přes hranice EU. V roce 2022</w:t>
      </w:r>
      <w:r>
        <w:t xml:space="preserve"> </w:t>
      </w:r>
      <w:r w:rsidR="00CB1448">
        <w:t xml:space="preserve">projednala </w:t>
      </w:r>
      <w:r>
        <w:t xml:space="preserve">28 </w:t>
      </w:r>
      <w:r w:rsidR="00CB1448">
        <w:t xml:space="preserve">takových přestupků </w:t>
      </w:r>
      <w:r>
        <w:t xml:space="preserve">(k tomu vizte </w:t>
      </w:r>
      <w:hyperlink r:id="rId17" w:history="1">
        <w:r w:rsidRPr="00765FCD">
          <w:rPr>
            <w:rStyle w:val="Hypertextovodkaz"/>
          </w:rPr>
          <w:t>https://www.celnisprava.cz/cz/statistiky/cash_controls/Stranky/default.aspx</w:t>
        </w:r>
      </w:hyperlink>
      <w:r>
        <w:t xml:space="preserve">). </w:t>
      </w:r>
      <w:r w:rsidR="00CB1448">
        <w:t xml:space="preserve">Má tedy hmatatelné zkušenosti </w:t>
      </w:r>
      <w:r w:rsidR="004E7E43">
        <w:t xml:space="preserve">s velmi příbuznou agendou. Zároveň bude schopna, i s ohledem na to, byla vybrána jako orgán příslušný pro výkon kontroly nad </w:t>
      </w:r>
      <w:proofErr w:type="spellStart"/>
      <w:r w:rsidR="004E7E43">
        <w:t>vnitrounijními</w:t>
      </w:r>
      <w:proofErr w:type="spellEnd"/>
      <w:r w:rsidR="004E7E43">
        <w:t xml:space="preserve"> převozy nadlimitní hotovosti, regulovat počet projednávaných přestupků. Bude tedy s to předmětnou agendu absorbovat se stávajícími zdroji. </w:t>
      </w:r>
    </w:p>
    <w:p w14:paraId="4AC6821C" w14:textId="77777777" w:rsidR="00FE7608" w:rsidRDefault="00FE7608" w:rsidP="00FE7608">
      <w:r w:rsidRPr="00822002">
        <w:rPr>
          <w:u w:val="single"/>
        </w:rPr>
        <w:t>Synergie s jinými agendami</w:t>
      </w:r>
    </w:p>
    <w:p w14:paraId="0043020C" w14:textId="4A159A05" w:rsidR="00FE7608" w:rsidRPr="00F97DE3" w:rsidRDefault="004E7E43" w:rsidP="00FE7608">
      <w:r>
        <w:t>Synergie lze najít s agendou projednávání přestupků podle</w:t>
      </w:r>
      <w:r w:rsidR="00FE7608">
        <w:t xml:space="preserve"> zákona o omezení plateb v hotovosti. </w:t>
      </w:r>
    </w:p>
    <w:p w14:paraId="25B235B7" w14:textId="53DB5BB3" w:rsidR="00FE7608" w:rsidRPr="00F97DE3" w:rsidRDefault="00FE7608" w:rsidP="00FE7608">
      <w:pPr>
        <w:pStyle w:val="Nadpis3"/>
      </w:pPr>
      <w:r w:rsidRPr="00F97DE3">
        <w:t xml:space="preserve">Varianta </w:t>
      </w:r>
      <w:r>
        <w:t>2</w:t>
      </w:r>
      <w:r w:rsidR="00CE2EB2">
        <w:t xml:space="preserve"> </w:t>
      </w:r>
      <w:r w:rsidRPr="00F97DE3">
        <w:t xml:space="preserve">– </w:t>
      </w:r>
      <w:r>
        <w:t>Finanční správa České republiky</w:t>
      </w:r>
    </w:p>
    <w:p w14:paraId="40C37F87" w14:textId="77777777" w:rsidR="00FE7608" w:rsidRDefault="00FE7608" w:rsidP="00FE7608">
      <w:pPr>
        <w:keepNext/>
        <w:rPr>
          <w:u w:val="single"/>
        </w:rPr>
      </w:pPr>
      <w:r>
        <w:rPr>
          <w:u w:val="single"/>
        </w:rPr>
        <w:t>S</w:t>
      </w:r>
      <w:r w:rsidRPr="000F64F0">
        <w:rPr>
          <w:u w:val="single"/>
        </w:rPr>
        <w:t>chopnost začít diskutovanou agendu vykonávat s minimálními rozpočtovými dopady</w:t>
      </w:r>
    </w:p>
    <w:p w14:paraId="2700424D" w14:textId="1F72F40A" w:rsidR="00FE7608" w:rsidRDefault="00FE7608" w:rsidP="00FE7608">
      <w:r>
        <w:t xml:space="preserve">Finanční správa v současné době </w:t>
      </w:r>
      <w:r w:rsidR="008429D6">
        <w:rPr>
          <w:rStyle w:val="Styl11bTunVechnavelk"/>
          <w:b w:val="0"/>
          <w:bCs w:val="0"/>
          <w:caps w:val="0"/>
          <w:szCs w:val="24"/>
        </w:rPr>
        <w:t>projednává přestupky například na úseku úpravy účetnictví či přestupky podle zákona o omezení plateb v hotovosti. Má tedy obecné předpoklady k vedení řízení o přestupku. Jelikož pro ni pracuje 16 000 pracovníků, byla by patrně schopna absorbovat tuto agendu i se stávajícími zdroji. S ohledem na chybějící praktické zkušenosti s agendou převozů hotovosti by však nebyla s to, alespoň po přechodnou dobu, tuto agendu vykonávat s optimální efektivitou.</w:t>
      </w:r>
    </w:p>
    <w:p w14:paraId="4FFC38CC" w14:textId="77777777" w:rsidR="00FE7608" w:rsidRDefault="00FE7608" w:rsidP="00FE7608">
      <w:pPr>
        <w:rPr>
          <w:u w:val="single"/>
        </w:rPr>
      </w:pPr>
      <w:r w:rsidRPr="00822002">
        <w:rPr>
          <w:u w:val="single"/>
        </w:rPr>
        <w:t>Synergie s jinými agendami</w:t>
      </w:r>
    </w:p>
    <w:p w14:paraId="1A1BC620" w14:textId="1D7E5897" w:rsidR="00FE7608" w:rsidRDefault="00FE7608" w:rsidP="00FE7608">
      <w:r>
        <w:lastRenderedPageBreak/>
        <w:t>Stejně jako u Celní správy je zde synergie s kontrolou dodržování povinností podle zákona o omezen</w:t>
      </w:r>
      <w:r w:rsidR="0079356B">
        <w:t>í</w:t>
      </w:r>
      <w:r>
        <w:t xml:space="preserve"> plateb v hotovosti. </w:t>
      </w:r>
    </w:p>
    <w:p w14:paraId="2DC8A193" w14:textId="5C773122" w:rsidR="00843B4D" w:rsidRPr="00F97DE3" w:rsidRDefault="00843B4D" w:rsidP="00843B4D">
      <w:pPr>
        <w:pStyle w:val="Nadpis3"/>
      </w:pPr>
      <w:r w:rsidRPr="00F97DE3">
        <w:t xml:space="preserve">Varianta </w:t>
      </w:r>
      <w:r>
        <w:t>3</w:t>
      </w:r>
      <w:r w:rsidR="00CE2EB2">
        <w:t xml:space="preserve"> </w:t>
      </w:r>
      <w:r w:rsidRPr="00F97DE3">
        <w:t xml:space="preserve">– </w:t>
      </w:r>
      <w:r>
        <w:t>Finanční analytický úřad</w:t>
      </w:r>
    </w:p>
    <w:p w14:paraId="04EB47EB" w14:textId="77777777" w:rsidR="00843B4D" w:rsidRDefault="00843B4D" w:rsidP="00843B4D">
      <w:pPr>
        <w:keepNext/>
        <w:rPr>
          <w:u w:val="single"/>
        </w:rPr>
      </w:pPr>
      <w:r>
        <w:rPr>
          <w:u w:val="single"/>
        </w:rPr>
        <w:t>S</w:t>
      </w:r>
      <w:r w:rsidRPr="000F64F0">
        <w:rPr>
          <w:u w:val="single"/>
        </w:rPr>
        <w:t>chopnost začít diskutovanou agendu vykonávat s minimálními rozpočtovými dopady</w:t>
      </w:r>
    </w:p>
    <w:p w14:paraId="5132A8BC" w14:textId="3F28A596" w:rsidR="00843B4D" w:rsidRDefault="0079356B" w:rsidP="00843B4D">
      <w:r>
        <w:t>FAÚ v současné době projednává přestupky na úseku AML zákona</w:t>
      </w:r>
      <w:r w:rsidR="00A518BA">
        <w:t>, n</w:t>
      </w:r>
      <w:r w:rsidR="00A518BA" w:rsidRPr="00A518BA">
        <w:t>ařízení Evropského parlamentu a Rady (EU) 2015/847 ze dne 20. května 2015 o informacích doprovázejících převody peněžních prostředků a o zrušení nařízení (ES) č. 1781/2006</w:t>
      </w:r>
      <w:r>
        <w:t xml:space="preserve"> a zákona o</w:t>
      </w:r>
      <w:r w:rsidR="00A518BA">
        <w:t xml:space="preserve"> provádění mezinárodních sankcí. Disponuje tedy obecnými znalostmi nutnými k projednávání přestupků, nicméně stejně jako Finanční správa nemá zkušenosti s agendou převozů nadlimitní hotovosti. Nadto je jeho kontrolní oddělení zoufale poddimenzováno. Jelikož s ohledem na evropské právo není možné rezignovat na výkon AML/CFT dohledu, hrozí, že by přestupky na úseku </w:t>
      </w:r>
      <w:proofErr w:type="spellStart"/>
      <w:r w:rsidR="00A518BA">
        <w:t>vnitrounijních</w:t>
      </w:r>
      <w:proofErr w:type="spellEnd"/>
      <w:r w:rsidR="00A518BA">
        <w:t xml:space="preserve"> převozů nadlimitní hotovosti zůstaly neprojednány. FAÚ tedy není schopen se stávajícími zdroji diskutovanou agendu vykonávat.</w:t>
      </w:r>
    </w:p>
    <w:p w14:paraId="1F800E23" w14:textId="77777777" w:rsidR="00843B4D" w:rsidRDefault="00843B4D" w:rsidP="00843B4D">
      <w:pPr>
        <w:rPr>
          <w:u w:val="single"/>
        </w:rPr>
      </w:pPr>
      <w:r w:rsidRPr="00822002">
        <w:rPr>
          <w:u w:val="single"/>
        </w:rPr>
        <w:t>Synergie s jinými agendami</w:t>
      </w:r>
    </w:p>
    <w:p w14:paraId="0EAB2664" w14:textId="235ACE9E" w:rsidR="00843B4D" w:rsidRPr="00F97DE3" w:rsidRDefault="00A518BA" w:rsidP="00843B4D">
      <w:r>
        <w:t xml:space="preserve">Nebyla identifikována synergie s žádnou jinou agendou. </w:t>
      </w:r>
    </w:p>
    <w:p w14:paraId="368C6F33" w14:textId="77777777" w:rsidR="00FE7608" w:rsidRPr="00F97DE3" w:rsidRDefault="00FE7608" w:rsidP="00FE7608">
      <w:pPr>
        <w:pStyle w:val="Nadpis1"/>
      </w:pPr>
      <w:bookmarkStart w:id="131" w:name="_Toc146204894"/>
      <w:r w:rsidRPr="00F97DE3">
        <w:t>Stanovení pořadí variant a výběr nejvhodnějšího řešení</w:t>
      </w:r>
      <w:bookmarkEnd w:id="131"/>
    </w:p>
    <w:p w14:paraId="4492CC7F" w14:textId="77777777" w:rsidR="00FE7608" w:rsidRPr="00F97DE3" w:rsidRDefault="00FE7608" w:rsidP="00FE7608">
      <w:pPr>
        <w:keepNext/>
      </w:pPr>
      <w:r w:rsidRPr="00F97DE3">
        <w:t>Níže uvedená tabulka je grafickým přehledem vyhodnocení variant, které byly zpracovávány v předchozí kapitole.</w:t>
      </w:r>
    </w:p>
    <w:p w14:paraId="4EBBFD3A" w14:textId="77777777" w:rsidR="00FE7608" w:rsidRPr="00F97DE3" w:rsidRDefault="00FE7608" w:rsidP="00FE7608">
      <w:pPr>
        <w:pStyle w:val="Titulek"/>
        <w:keepNext/>
      </w:pPr>
      <w:r w:rsidRPr="00F97DE3">
        <w:t>Tabulka 3</w:t>
      </w:r>
      <w:r>
        <w:t> </w:t>
      </w:r>
      <w:r w:rsidRPr="00F97DE3">
        <w:t>- Vyhodnocení navržených variant</w:t>
      </w:r>
    </w:p>
    <w:tbl>
      <w:tblPr>
        <w:tblW w:w="6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2435"/>
        <w:gridCol w:w="1965"/>
      </w:tblGrid>
      <w:tr w:rsidR="00FE7608" w:rsidRPr="00F97DE3" w14:paraId="74F5D41C" w14:textId="77777777" w:rsidTr="00357531">
        <w:trPr>
          <w:trHeight w:val="283"/>
        </w:trPr>
        <w:tc>
          <w:tcPr>
            <w:tcW w:w="1955" w:type="dxa"/>
            <w:shd w:val="clear" w:color="auto" w:fill="auto"/>
          </w:tcPr>
          <w:p w14:paraId="1CEE72CA" w14:textId="77777777" w:rsidR="00FE7608" w:rsidRPr="00F97DE3" w:rsidRDefault="00FE7608" w:rsidP="00357531">
            <w:pPr>
              <w:pStyle w:val="Tabulka"/>
            </w:pPr>
          </w:p>
        </w:tc>
        <w:tc>
          <w:tcPr>
            <w:tcW w:w="2435" w:type="dxa"/>
          </w:tcPr>
          <w:p w14:paraId="02B66543" w14:textId="77777777" w:rsidR="00FE7608" w:rsidRPr="00F97DE3" w:rsidRDefault="00FE7608" w:rsidP="00357531">
            <w:pPr>
              <w:pStyle w:val="Tabulka"/>
            </w:pPr>
            <w:r w:rsidRPr="00C50ADB">
              <w:t>Schopnost začít diskutovanou agendu vykonávat s minimálními rozpočtovými dopady</w:t>
            </w:r>
          </w:p>
        </w:tc>
        <w:tc>
          <w:tcPr>
            <w:tcW w:w="1965" w:type="dxa"/>
            <w:shd w:val="clear" w:color="auto" w:fill="auto"/>
          </w:tcPr>
          <w:p w14:paraId="2A575F75" w14:textId="77777777" w:rsidR="00FE7608" w:rsidRPr="00F97DE3" w:rsidRDefault="00FE7608" w:rsidP="00357531">
            <w:pPr>
              <w:pStyle w:val="Tabulka"/>
            </w:pPr>
            <w:r w:rsidRPr="00C50ADB">
              <w:t>Synergie s jinými agendami</w:t>
            </w:r>
          </w:p>
        </w:tc>
      </w:tr>
      <w:tr w:rsidR="00FE7608" w:rsidRPr="00F97DE3" w14:paraId="11A40CF7" w14:textId="77777777" w:rsidTr="00357531">
        <w:trPr>
          <w:trHeight w:val="283"/>
        </w:trPr>
        <w:tc>
          <w:tcPr>
            <w:tcW w:w="1955" w:type="dxa"/>
            <w:shd w:val="clear" w:color="auto" w:fill="auto"/>
          </w:tcPr>
          <w:p w14:paraId="15D72764" w14:textId="77777777" w:rsidR="00FE7608" w:rsidRPr="00F97DE3" w:rsidRDefault="00FE7608" w:rsidP="00357531">
            <w:pPr>
              <w:pStyle w:val="Tabulka"/>
            </w:pPr>
            <w:r w:rsidRPr="00F97DE3">
              <w:t xml:space="preserve">Varianta </w:t>
            </w:r>
            <w:r>
              <w:t>1</w:t>
            </w:r>
          </w:p>
        </w:tc>
        <w:tc>
          <w:tcPr>
            <w:tcW w:w="2435" w:type="dxa"/>
          </w:tcPr>
          <w:p w14:paraId="7A0EEC7C" w14:textId="30C75A88" w:rsidR="00FE7608" w:rsidRPr="00F97DE3" w:rsidRDefault="00AA2B1F" w:rsidP="00357531">
            <w:pPr>
              <w:pStyle w:val="Tabulka"/>
            </w:pPr>
            <w:r>
              <w:t>3</w:t>
            </w:r>
          </w:p>
        </w:tc>
        <w:tc>
          <w:tcPr>
            <w:tcW w:w="1965" w:type="dxa"/>
            <w:shd w:val="clear" w:color="auto" w:fill="auto"/>
          </w:tcPr>
          <w:p w14:paraId="299343FD" w14:textId="77777777" w:rsidR="00FE7608" w:rsidRPr="00F97DE3" w:rsidRDefault="00FE7608" w:rsidP="00357531">
            <w:pPr>
              <w:pStyle w:val="Tabulka"/>
            </w:pPr>
            <w:r>
              <w:t>3</w:t>
            </w:r>
          </w:p>
        </w:tc>
      </w:tr>
      <w:tr w:rsidR="00FE7608" w:rsidRPr="00F97DE3" w14:paraId="0276998F" w14:textId="77777777" w:rsidTr="00357531">
        <w:trPr>
          <w:trHeight w:val="283"/>
        </w:trPr>
        <w:tc>
          <w:tcPr>
            <w:tcW w:w="1955" w:type="dxa"/>
            <w:shd w:val="clear" w:color="auto" w:fill="auto"/>
          </w:tcPr>
          <w:p w14:paraId="5D922137" w14:textId="77777777" w:rsidR="00FE7608" w:rsidRPr="00F97DE3" w:rsidRDefault="00FE7608" w:rsidP="00357531">
            <w:pPr>
              <w:pStyle w:val="Tabulka"/>
            </w:pPr>
            <w:r w:rsidRPr="00F97DE3">
              <w:t xml:space="preserve">Varianta </w:t>
            </w:r>
            <w:r>
              <w:t>2</w:t>
            </w:r>
          </w:p>
        </w:tc>
        <w:tc>
          <w:tcPr>
            <w:tcW w:w="2435" w:type="dxa"/>
          </w:tcPr>
          <w:p w14:paraId="4A1131BE" w14:textId="6AE8D710" w:rsidR="00FE7608" w:rsidRPr="00F97DE3" w:rsidRDefault="00AA2B1F" w:rsidP="00357531">
            <w:pPr>
              <w:pStyle w:val="Tabulka"/>
            </w:pPr>
            <w:r>
              <w:t>1</w:t>
            </w:r>
          </w:p>
        </w:tc>
        <w:tc>
          <w:tcPr>
            <w:tcW w:w="1965" w:type="dxa"/>
            <w:shd w:val="clear" w:color="auto" w:fill="auto"/>
          </w:tcPr>
          <w:p w14:paraId="10AE1C0B" w14:textId="77777777" w:rsidR="00FE7608" w:rsidRPr="00F97DE3" w:rsidRDefault="00FE7608" w:rsidP="00357531">
            <w:pPr>
              <w:pStyle w:val="Tabulka"/>
            </w:pPr>
            <w:r w:rsidRPr="00F97DE3">
              <w:t>1</w:t>
            </w:r>
          </w:p>
        </w:tc>
      </w:tr>
      <w:tr w:rsidR="00AA2B1F" w:rsidRPr="00F97DE3" w14:paraId="7E983584" w14:textId="77777777" w:rsidTr="00357531">
        <w:trPr>
          <w:trHeight w:val="283"/>
        </w:trPr>
        <w:tc>
          <w:tcPr>
            <w:tcW w:w="1955" w:type="dxa"/>
            <w:shd w:val="clear" w:color="auto" w:fill="auto"/>
          </w:tcPr>
          <w:p w14:paraId="4B68FB3E" w14:textId="5A0AABC0" w:rsidR="00AA2B1F" w:rsidRPr="00F97DE3" w:rsidRDefault="00AA2B1F" w:rsidP="00357531">
            <w:pPr>
              <w:pStyle w:val="Tabulka"/>
            </w:pPr>
            <w:r w:rsidRPr="00F97DE3">
              <w:t>Varianta</w:t>
            </w:r>
            <w:r>
              <w:t xml:space="preserve"> 3</w:t>
            </w:r>
          </w:p>
        </w:tc>
        <w:tc>
          <w:tcPr>
            <w:tcW w:w="2435" w:type="dxa"/>
          </w:tcPr>
          <w:p w14:paraId="157B565D" w14:textId="6B516760" w:rsidR="00AA2B1F" w:rsidRDefault="00AA2B1F" w:rsidP="00357531">
            <w:pPr>
              <w:pStyle w:val="Tabulka"/>
            </w:pPr>
            <w:r>
              <w:t>0</w:t>
            </w:r>
          </w:p>
        </w:tc>
        <w:tc>
          <w:tcPr>
            <w:tcW w:w="1965" w:type="dxa"/>
            <w:shd w:val="clear" w:color="auto" w:fill="auto"/>
          </w:tcPr>
          <w:p w14:paraId="37ACE349" w14:textId="1A5F5225" w:rsidR="00AA2B1F" w:rsidRPr="00F97DE3" w:rsidRDefault="00AA2B1F" w:rsidP="00357531">
            <w:pPr>
              <w:pStyle w:val="Tabulka"/>
            </w:pPr>
            <w:r>
              <w:t>0</w:t>
            </w:r>
          </w:p>
        </w:tc>
      </w:tr>
    </w:tbl>
    <w:p w14:paraId="1AEDA1F9" w14:textId="77777777" w:rsidR="00FE7608" w:rsidRPr="00F97DE3" w:rsidRDefault="00FE7608" w:rsidP="00FE7608">
      <w:r w:rsidRPr="00F97DE3">
        <w:t>Na základě vyhodnocení variant podle jednotlivých kritérií bylo zjištěno, že nejvhodnější variantou k realizaci je varianta 1.</w:t>
      </w:r>
    </w:p>
    <w:p w14:paraId="296B8894" w14:textId="77777777" w:rsidR="00FE7608" w:rsidRPr="00F97DE3" w:rsidRDefault="00FE7608" w:rsidP="00FE7608">
      <w:pPr>
        <w:pStyle w:val="Nadpis1"/>
      </w:pPr>
      <w:bookmarkStart w:id="132" w:name="_Toc146204895"/>
      <w:r w:rsidRPr="00F97DE3">
        <w:t>Implementace doporučené varianty a vynucování</w:t>
      </w:r>
      <w:bookmarkEnd w:id="132"/>
    </w:p>
    <w:p w14:paraId="1D636C4F" w14:textId="77777777" w:rsidR="00FE7608" w:rsidRPr="00F97DE3" w:rsidRDefault="00FE7608" w:rsidP="00FE7608">
      <w:r w:rsidRPr="00F97DE3">
        <w:t xml:space="preserve">Navrhovaná změna bude provedena formou novely AML zákona. Orgánem odpovědným za implementaci bude především </w:t>
      </w:r>
      <w:r>
        <w:t xml:space="preserve">Celní správa České republiky. </w:t>
      </w:r>
    </w:p>
    <w:p w14:paraId="0A3EE4AD" w14:textId="77777777" w:rsidR="00FE7608" w:rsidRPr="00F97DE3" w:rsidRDefault="00FE7608" w:rsidP="00FE7608">
      <w:pPr>
        <w:pStyle w:val="Nadpis1"/>
      </w:pPr>
      <w:bookmarkStart w:id="133" w:name="_Toc146204896"/>
      <w:r w:rsidRPr="00F97DE3">
        <w:t>Přezkum účinnosti regulace</w:t>
      </w:r>
      <w:bookmarkEnd w:id="133"/>
      <w:r w:rsidRPr="00F97DE3">
        <w:t xml:space="preserve"> </w:t>
      </w:r>
    </w:p>
    <w:p w14:paraId="29D76963" w14:textId="77777777" w:rsidR="00FE7608" w:rsidRPr="00F97DE3" w:rsidRDefault="00FE7608" w:rsidP="00FE7608">
      <w:r w:rsidRPr="00F97DE3">
        <w:t>Účinnost přijatých změn bude ověřována v</w:t>
      </w:r>
      <w:r>
        <w:t> </w:t>
      </w:r>
      <w:r w:rsidRPr="00F97DE3">
        <w:t>praxi s</w:t>
      </w:r>
      <w:r>
        <w:t> </w:t>
      </w:r>
      <w:r w:rsidRPr="00F97DE3">
        <w:t>tím, že bude předmětem národního hodnocení rizik praní peněz a</w:t>
      </w:r>
      <w:r>
        <w:t> </w:t>
      </w:r>
      <w:r w:rsidRPr="00F97DE3">
        <w:t xml:space="preserve">financování terorismu, jež je koordinováno Finančním </w:t>
      </w:r>
      <w:r w:rsidRPr="00F97DE3">
        <w:lastRenderedPageBreak/>
        <w:t>analytickým úřadem a</w:t>
      </w:r>
      <w:r>
        <w:t> </w:t>
      </w:r>
      <w:r w:rsidRPr="00F97DE3">
        <w:t>na jehož zpracování se podílejí i</w:t>
      </w:r>
      <w:r>
        <w:t> </w:t>
      </w:r>
      <w:r w:rsidRPr="00F97DE3">
        <w:t>další orgány veřejné moci a</w:t>
      </w:r>
      <w:r>
        <w:t> </w:t>
      </w:r>
      <w:r w:rsidRPr="00F97DE3">
        <w:t>povinné osoby.</w:t>
      </w:r>
    </w:p>
    <w:p w14:paraId="47F2B8B5" w14:textId="77777777" w:rsidR="00FE7608" w:rsidRPr="00F97DE3" w:rsidRDefault="00FE7608" w:rsidP="00FE7608">
      <w:pPr>
        <w:pStyle w:val="Nadpis1"/>
      </w:pPr>
      <w:bookmarkStart w:id="134" w:name="_Toc146204897"/>
      <w:r w:rsidRPr="00F97DE3">
        <w:t>Konzultace a zdroje dat</w:t>
      </w:r>
      <w:bookmarkEnd w:id="134"/>
    </w:p>
    <w:p w14:paraId="45A4C501" w14:textId="31FB9528" w:rsidR="00FE7608" w:rsidRDefault="00FE7608" w:rsidP="00FE7608">
      <w:pPr>
        <w:pStyle w:val="Bezmezer"/>
        <w:keepNext w:val="0"/>
        <w:rPr>
          <w:sz w:val="24"/>
          <w:szCs w:val="22"/>
          <w:lang w:eastAsia="en-US"/>
        </w:rPr>
      </w:pPr>
      <w:r w:rsidRPr="000C77D4">
        <w:rPr>
          <w:sz w:val="24"/>
          <w:szCs w:val="22"/>
          <w:lang w:eastAsia="en-US"/>
        </w:rPr>
        <w:t>Problematika byla konzultována s Celní správou České republiky</w:t>
      </w:r>
      <w:r w:rsidRPr="008329B4">
        <w:rPr>
          <w:sz w:val="24"/>
          <w:szCs w:val="22"/>
          <w:lang w:eastAsia="en-US"/>
        </w:rPr>
        <w:t>.</w:t>
      </w:r>
    </w:p>
    <w:p w14:paraId="097E1AD5" w14:textId="77777777" w:rsidR="00093B29" w:rsidRPr="00F97DE3" w:rsidRDefault="00093B29" w:rsidP="00093B29">
      <w:pPr>
        <w:pStyle w:val="Nadpis1"/>
      </w:pPr>
      <w:r w:rsidRPr="00F97DE3">
        <w:t>Kontakt na zpracovatele RIA</w:t>
      </w:r>
    </w:p>
    <w:p w14:paraId="45D80B16" w14:textId="77777777" w:rsidR="00093B29" w:rsidRPr="00F97DE3" w:rsidRDefault="00093B29" w:rsidP="00093B29">
      <w:r>
        <w:t>Viktor Kabeš</w:t>
      </w:r>
    </w:p>
    <w:p w14:paraId="0C2E3430" w14:textId="77777777" w:rsidR="00093B29" w:rsidRPr="00F97DE3" w:rsidRDefault="00093B29" w:rsidP="00093B29">
      <w:r w:rsidRPr="00F97DE3">
        <w:t>Finanční analytický úřad, odbor právní</w:t>
      </w:r>
    </w:p>
    <w:p w14:paraId="6394BA86" w14:textId="77777777" w:rsidR="00093B29" w:rsidRPr="00F97DE3" w:rsidRDefault="00093B29" w:rsidP="00093B29">
      <w:r w:rsidRPr="00F97DE3">
        <w:t>tel.: (257 044 5</w:t>
      </w:r>
      <w:r>
        <w:t>45</w:t>
      </w:r>
      <w:r w:rsidRPr="00F97DE3">
        <w:t>), e-mail: (</w:t>
      </w:r>
      <w:r>
        <w:t>viktor.kabes</w:t>
      </w:r>
      <w:r w:rsidRPr="00F97DE3">
        <w:t>@fau.mfcr.cz)</w:t>
      </w:r>
    </w:p>
    <w:p w14:paraId="1B95F148" w14:textId="7D9CDD1F" w:rsidR="008329B4" w:rsidRDefault="008329B4" w:rsidP="00FE7608">
      <w:pPr>
        <w:pStyle w:val="Bezmezer"/>
        <w:keepNext w:val="0"/>
        <w:rPr>
          <w:sz w:val="24"/>
          <w:szCs w:val="22"/>
          <w:lang w:eastAsia="en-US"/>
        </w:rPr>
      </w:pPr>
    </w:p>
    <w:p w14:paraId="6E844AF4" w14:textId="226EDA75" w:rsidR="008329B4" w:rsidRPr="00F97DE3" w:rsidRDefault="008329B4" w:rsidP="008329B4">
      <w:pPr>
        <w:pStyle w:val="st"/>
      </w:pPr>
      <w:bookmarkStart w:id="135" w:name="_Toc146204898"/>
      <w:r>
        <w:lastRenderedPageBreak/>
        <w:t>Zajištění provádění mezinárodních sankcí proti terorismu, financování terorismu, šíření zbraní hrom</w:t>
      </w:r>
      <w:r w:rsidR="00F97BF8">
        <w:t>adného ničení a financování šíř</w:t>
      </w:r>
      <w:r>
        <w:t>e</w:t>
      </w:r>
      <w:r w:rsidR="00F97BF8">
        <w:t>n</w:t>
      </w:r>
      <w:r>
        <w:t>í zbraní hromadného ničení</w:t>
      </w:r>
      <w:bookmarkEnd w:id="135"/>
    </w:p>
    <w:p w14:paraId="643C5864" w14:textId="77777777" w:rsidR="008329B4" w:rsidRPr="00F97DE3" w:rsidRDefault="008329B4" w:rsidP="008329B4">
      <w:pPr>
        <w:pStyle w:val="Nadpis1"/>
      </w:pPr>
      <w:bookmarkStart w:id="136" w:name="_Toc146204899"/>
      <w:r w:rsidRPr="00F97DE3">
        <w:t>Důvod předložení a cíle</w:t>
      </w:r>
      <w:bookmarkEnd w:id="136"/>
    </w:p>
    <w:p w14:paraId="7A17E7F0" w14:textId="77777777" w:rsidR="008329B4" w:rsidRPr="00F97DE3" w:rsidRDefault="008329B4" w:rsidP="008329B4">
      <w:pPr>
        <w:pStyle w:val="Nadpis2"/>
      </w:pPr>
      <w:r w:rsidRPr="00F97DE3">
        <w:t>Definice problému</w:t>
      </w:r>
    </w:p>
    <w:p w14:paraId="0229ECCF" w14:textId="77777777" w:rsidR="008329B4" w:rsidRDefault="008329B4" w:rsidP="008329B4">
      <w:r>
        <w:t>Doporučení FATF č. 6 a 7 mimo jiné vyžadují, aby se mezinárodní sankce</w:t>
      </w:r>
      <w:r w:rsidRPr="00145257">
        <w:t xml:space="preserve"> </w:t>
      </w:r>
      <w:r>
        <w:t xml:space="preserve">vyplývající z rozhodnutí Rady bezpečnosti OSN proti terorismu, financování terorismu, šíření zbraní hromadného ničení a financování šíření zbraní hromadného ničení a spočívající v příkazu zmrazit majetek sankcionovaných osob uplatňovaly bez zbytečného odkladu poté, co jsou tyto osoby ze strany sankčních výborů OSN zřízených podle předmětných rozhodnutí Rady bezpečnosti nalistovány na sankční seznamy OSN. Cílem je, aby tyto osoby neměly šanci svůj majetek skrýt před zmrazením. </w:t>
      </w:r>
    </w:p>
    <w:p w14:paraId="1D6E762D" w14:textId="77777777" w:rsidR="008329B4" w:rsidRDefault="008329B4" w:rsidP="008329B4">
      <w:r>
        <w:t>V České republice se tento druh mezinárodních sankcí uplatňuje na základě nařízení Rady EU (například nařízení</w:t>
      </w:r>
      <w:r w:rsidRPr="007A7C35">
        <w:t xml:space="preserve"> č. 753/2011 ze dne 1. srpna 2011 o omezujících opatřeních namířených proti některým osobám, skupinám, podnikům a subjektům vzhledem k situaci v Afghánistánu, ve znění pozdějších předpisů</w:t>
      </w:r>
      <w:r>
        <w:t xml:space="preserve">). Problémem je, že sankční seznamy EU reflektují zařazení nových osob na sankční seznamy OSN s několikadenním zpožděním, a nesplňují tak požadavek Doporučení FATF, jež připouštějí zpoždění maximálně v jednotkách hodin. </w:t>
      </w:r>
    </w:p>
    <w:p w14:paraId="31B85FF0" w14:textId="77777777" w:rsidR="008329B4" w:rsidRDefault="008329B4" w:rsidP="008329B4">
      <w:r>
        <w:t xml:space="preserve">Členské státy EU, včetně České republiky, se snažily tomuto problému čelit pomocí institutů obsažených v právních předpisech proti legalizaci výnosů z trestné činnosti a financování terorismu a šíření zbraní hromadného ničení. Jde o to, že povinné osoby podle těchto předpisů (typicky finanční a úvěrové instituce) by měly transakci osoby nově zařazené na sankční seznam OSN detekovat jako podezřelý obchod (jelikož jde o transakci spojenou s podezřením na financování terorismu nebo financování šíření zbraní hromadného ničení) a na přechodnou dobu odložit její splnění (§ 20 AML zákona v tomto směru počítá s blokací až na 6 pracovních dnů). Během této doby se předmětná osoba ocitne i na sankčním seznamu podle příslušného nařízení Rady EU, podle něhož je její majetek zmrazen dlouhodobě. </w:t>
      </w:r>
    </w:p>
    <w:p w14:paraId="09453E87" w14:textId="77777777" w:rsidR="008329B4" w:rsidRPr="006E189D" w:rsidRDefault="008329B4" w:rsidP="008329B4">
      <w:r>
        <w:t xml:space="preserve">Tento systém se v mezinárodním srovnání v praxi velmi osvědčil. Majetek nově nalistovaných osob se totiž zpravidla nachází buď v moci povinných osob (například na bankovním účtu), nebo je zapojení </w:t>
      </w:r>
      <w:r w:rsidRPr="006E189D">
        <w:t xml:space="preserve">povinné osoby nezbytné k jeho přesunu (například hotovost). Pokud se majetek u povinných osob nenachází (například nemovité věci), pak jsou transakce s ním typicky natolik pomalé (například převody nemovitých věcí), že jej sankcionované osoby v mezidobí nedokáží skrýt. </w:t>
      </w:r>
    </w:p>
    <w:p w14:paraId="407C6755" w14:textId="77777777" w:rsidR="008329B4" w:rsidRDefault="008329B4" w:rsidP="008329B4">
      <w:r w:rsidRPr="006E189D">
        <w:t>Hodnotitelé FATF však toto řešení neakceptují. Argumentují tím, že doporučení FATF č. 6 a 7 jsou splněna jen tehdy, pokud jsou sankce OSN od počátku závazné nejen pro povinné osoby, ale pro každého. Také argumentují tím, že není zajištěno, že sankční seznamy EU budou vždy reflektovat sankční seznamy OSN. To je sice</w:t>
      </w:r>
      <w:r>
        <w:t xml:space="preserve"> pravda, nicméně v praxi k tomu nikdy nedošlo. </w:t>
      </w:r>
    </w:p>
    <w:p w14:paraId="7F94FABF" w14:textId="77777777" w:rsidR="008329B4" w:rsidRDefault="008329B4" w:rsidP="008329B4">
      <w:r>
        <w:lastRenderedPageBreak/>
        <w:t xml:space="preserve">Na základě dat Finančního analytického úřadu je nutno poznamenat, že v kontextu České republiky nikdy k využití výše uvedeného systému v praxi nedošlo. To je dáno skutečností, že na předmětných sankčních seznamech jsou vedeny osoby z Afriky a Asie, které na Českou republiku nemají žádnou vazbu. Tento stav se nezmění ani do budoucna. Osoby spojené s Ruskou agresí proti Ukrajině, které vazby na Českou republiku mnohdy mají, se s ohledem na právo veta Ruské federace v Radě bezpečnosti na sankčních seznamech OSN pravděpodobně nikdy neocitnou. Mezinárodní sankce jsou proti nim uplatňovány na základě autonomních sankčních režimů EU, kde diskutovaný problém z povahy věci nemůže vzniknout. </w:t>
      </w:r>
    </w:p>
    <w:p w14:paraId="11646D8C" w14:textId="77777777" w:rsidR="008329B4" w:rsidRPr="00F97DE3" w:rsidRDefault="008329B4" w:rsidP="008329B4">
      <w:r>
        <w:t xml:space="preserve">Nesplnění doporučení FATF č. 6 a 7 bylo České republice vytýkáno již v 5. kole hodnocení MONEYVAL, které se konalo v roce 2018. V případě nenapravení tohoto stavu hrozí v návaznosti na 6. kolo hodnocení MONEYVAL, které vyvrcholí na podzim roku 2025 návštěvou hodnotitelské mise, zařazení na tzv. šedý seznam FATF, se všemi z toho vyplývajícími důsledky. </w:t>
      </w:r>
    </w:p>
    <w:p w14:paraId="54CB4696" w14:textId="77777777" w:rsidR="008329B4" w:rsidRPr="00F97DE3" w:rsidRDefault="008329B4" w:rsidP="008329B4">
      <w:pPr>
        <w:pStyle w:val="Nadpis2"/>
      </w:pPr>
      <w:r w:rsidRPr="00F97DE3">
        <w:t>Popis existujícího právního stavu v dané oblasti</w:t>
      </w:r>
    </w:p>
    <w:p w14:paraId="155FC136" w14:textId="77777777" w:rsidR="008329B4" w:rsidRPr="005E4329" w:rsidRDefault="008329B4" w:rsidP="008329B4">
      <w:pPr>
        <w:rPr>
          <w:rFonts w:eastAsia="Calibri"/>
        </w:rPr>
      </w:pPr>
      <w:r w:rsidRPr="005E4329">
        <w:rPr>
          <w:rFonts w:eastAsia="Calibri"/>
        </w:rPr>
        <w:t>Existující stav upravují tyto právní předpisy:</w:t>
      </w:r>
    </w:p>
    <w:p w14:paraId="1583EA7E" w14:textId="77777777" w:rsidR="008329B4" w:rsidRDefault="008329B4" w:rsidP="008329B4">
      <w:pPr>
        <w:pStyle w:val="Odrky"/>
      </w:pPr>
      <w:r>
        <w:t>Zákon č. 253/2008 Sb., o některých opatřeních proti legalizaci výnosů z trestné činnosti a financování terorismu (dále jen „</w:t>
      </w:r>
      <w:r w:rsidRPr="005E4329">
        <w:t>AML zákon</w:t>
      </w:r>
      <w:r>
        <w:t>“),</w:t>
      </w:r>
    </w:p>
    <w:p w14:paraId="00C7AE42" w14:textId="77777777" w:rsidR="008329B4" w:rsidRPr="009514B2" w:rsidRDefault="008329B4" w:rsidP="008329B4">
      <w:pPr>
        <w:pStyle w:val="Odrky"/>
      </w:pPr>
      <w:r>
        <w:t>Zákon č. 69/2006 Sb., o provádění mezinárodních sankcí,</w:t>
      </w:r>
    </w:p>
    <w:p w14:paraId="0774BC39" w14:textId="77777777" w:rsidR="008329B4" w:rsidRDefault="008329B4" w:rsidP="008329B4">
      <w:pPr>
        <w:pStyle w:val="Odrky"/>
        <w:rPr>
          <w:rFonts w:cstheme="minorHAnsi"/>
          <w:szCs w:val="24"/>
        </w:rPr>
      </w:pPr>
      <w:r w:rsidRPr="002F02FF">
        <w:rPr>
          <w:rFonts w:cstheme="minorHAnsi"/>
          <w:szCs w:val="24"/>
        </w:rPr>
        <w:t>Nařízení Rady (EU) č. 753/2011 ze dne 1. srpna 2011 o omezujících opatřeních namířených proti některým osobám, skupinám, podnikům a subjektům vzhledem k situaci v</w:t>
      </w:r>
      <w:r>
        <w:rPr>
          <w:rFonts w:cstheme="minorHAnsi"/>
          <w:szCs w:val="24"/>
        </w:rPr>
        <w:t> </w:t>
      </w:r>
      <w:r w:rsidRPr="002F02FF">
        <w:rPr>
          <w:rFonts w:cstheme="minorHAnsi"/>
          <w:szCs w:val="24"/>
        </w:rPr>
        <w:t>Afghánistánu</w:t>
      </w:r>
      <w:r>
        <w:rPr>
          <w:rFonts w:cstheme="minorHAnsi"/>
          <w:szCs w:val="24"/>
        </w:rPr>
        <w:t>,</w:t>
      </w:r>
    </w:p>
    <w:p w14:paraId="24658A90" w14:textId="77777777" w:rsidR="008329B4" w:rsidRDefault="008329B4" w:rsidP="008329B4">
      <w:pPr>
        <w:pStyle w:val="Odrky"/>
      </w:pPr>
      <w:r>
        <w:t>N</w:t>
      </w:r>
      <w:r w:rsidRPr="005F75B5">
        <w:t>ařízení Rady (EU) 2017/1509 ze dne 30. srpna 2017 o omezujících opatřeních vůči Korejské lidově demokratické republice a o zrušení nařízení (ES) č. 329/2007</w:t>
      </w:r>
      <w:r>
        <w:t>,</w:t>
      </w:r>
    </w:p>
    <w:p w14:paraId="66816999" w14:textId="77777777" w:rsidR="008329B4" w:rsidRPr="00F371A6" w:rsidRDefault="008329B4" w:rsidP="008329B4">
      <w:pPr>
        <w:pStyle w:val="Odrky"/>
        <w:rPr>
          <w:rFonts w:ascii="Segoe UI" w:hAnsi="Segoe UI" w:cs="Segoe UI"/>
          <w:sz w:val="23"/>
          <w:szCs w:val="23"/>
          <w:lang w:eastAsia="cs-CZ"/>
        </w:rPr>
      </w:pPr>
      <w:r w:rsidRPr="00F371A6">
        <w:rPr>
          <w:lang w:eastAsia="cs-CZ"/>
        </w:rPr>
        <w:t>Rezoluce Rady bezpečnosti OSN 1267/1999,</w:t>
      </w:r>
    </w:p>
    <w:p w14:paraId="0DBD0C62" w14:textId="77777777" w:rsidR="008329B4" w:rsidRPr="00F371A6" w:rsidRDefault="008329B4" w:rsidP="008329B4">
      <w:pPr>
        <w:pStyle w:val="Odrky"/>
        <w:rPr>
          <w:rFonts w:ascii="Segoe UI" w:hAnsi="Segoe UI" w:cs="Segoe UI"/>
          <w:sz w:val="23"/>
          <w:szCs w:val="23"/>
          <w:lang w:eastAsia="cs-CZ"/>
        </w:rPr>
      </w:pPr>
      <w:r w:rsidRPr="00F371A6">
        <w:rPr>
          <w:lang w:eastAsia="cs-CZ"/>
        </w:rPr>
        <w:t>Rezoluce Rady bezpečnosti OSN 1373/2001,</w:t>
      </w:r>
    </w:p>
    <w:p w14:paraId="2890B5B7" w14:textId="77777777" w:rsidR="008329B4" w:rsidRPr="00F371A6" w:rsidRDefault="008329B4" w:rsidP="008329B4">
      <w:pPr>
        <w:pStyle w:val="Odrky"/>
        <w:rPr>
          <w:rFonts w:ascii="Segoe UI" w:hAnsi="Segoe UI" w:cs="Segoe UI"/>
          <w:sz w:val="23"/>
          <w:szCs w:val="23"/>
          <w:lang w:eastAsia="cs-CZ"/>
        </w:rPr>
      </w:pPr>
      <w:r w:rsidRPr="00F371A6">
        <w:rPr>
          <w:lang w:eastAsia="cs-CZ"/>
        </w:rPr>
        <w:t>Rezoluce Rady bezpečnosti OSN 1718/2006,</w:t>
      </w:r>
    </w:p>
    <w:p w14:paraId="5297E41A" w14:textId="77777777" w:rsidR="008329B4" w:rsidRPr="00F371A6" w:rsidRDefault="008329B4" w:rsidP="008329B4">
      <w:pPr>
        <w:pStyle w:val="Odrky"/>
        <w:rPr>
          <w:rFonts w:ascii="Segoe UI" w:hAnsi="Segoe UI" w:cs="Segoe UI"/>
          <w:sz w:val="23"/>
          <w:szCs w:val="23"/>
          <w:lang w:eastAsia="cs-CZ"/>
        </w:rPr>
      </w:pPr>
      <w:r w:rsidRPr="00F371A6">
        <w:rPr>
          <w:lang w:eastAsia="cs-CZ"/>
        </w:rPr>
        <w:t>Rezoluce Rady bezpečnosti OSN 1737/2006.</w:t>
      </w:r>
    </w:p>
    <w:p w14:paraId="2816A33F" w14:textId="77777777" w:rsidR="008329B4" w:rsidRPr="00F97DE3" w:rsidRDefault="008329B4" w:rsidP="008329B4">
      <w:pPr>
        <w:pStyle w:val="Nadpis2"/>
      </w:pPr>
      <w:r w:rsidRPr="00F97DE3">
        <w:t>Identifikace dotčených subjektů</w:t>
      </w:r>
    </w:p>
    <w:p w14:paraId="07816DA6" w14:textId="77777777" w:rsidR="008329B4" w:rsidRPr="00F97DE3" w:rsidRDefault="008329B4" w:rsidP="008329B4">
      <w:pPr>
        <w:pStyle w:val="Nadpisyvtextu"/>
      </w:pPr>
      <w:r>
        <w:t>Osoby, u kterých je předpoklad, že se u nich může nacházet majetek osob figurujících na sankčních seznamech OSN</w:t>
      </w:r>
    </w:p>
    <w:p w14:paraId="0B5830E8" w14:textId="77777777" w:rsidR="008329B4" w:rsidRDefault="008329B4" w:rsidP="008329B4">
      <w:r>
        <w:t xml:space="preserve">Tyto osoby se budou rekrutovat zejména z řad finančních a úvěrových institucí, čili povinných osob podle § 2 odst. 1 písm. a) a b) AML zákona. </w:t>
      </w:r>
    </w:p>
    <w:p w14:paraId="5158DF37" w14:textId="77777777" w:rsidR="008329B4" w:rsidRPr="00F97DE3" w:rsidRDefault="008329B4" w:rsidP="008329B4"/>
    <w:p w14:paraId="59781DE4" w14:textId="77777777" w:rsidR="008329B4" w:rsidRPr="00F97DE3" w:rsidRDefault="008329B4" w:rsidP="008329B4">
      <w:pPr>
        <w:pStyle w:val="Nadpis2"/>
      </w:pPr>
      <w:r w:rsidRPr="00F97DE3">
        <w:t>Popis cílového stavu</w:t>
      </w:r>
    </w:p>
    <w:p w14:paraId="701F96A8" w14:textId="77777777" w:rsidR="008329B4" w:rsidRPr="00F97DE3" w:rsidRDefault="008329B4" w:rsidP="008329B4">
      <w:r w:rsidRPr="00F97DE3">
        <w:t xml:space="preserve">Cílem je </w:t>
      </w:r>
      <w:r>
        <w:t xml:space="preserve">zajištění stavu, kdy se budou mezinárodní sankce spočívající ve zmrazení majetku vztahovat vůči osobám na sankčních seznamech OSN bez zbytečného odkladu poté, co se na nich ocitnou. V okamžiku, kdy se tedy osoby ocitnou i na sankčním seznamu EU, budou se mezinárodní sankce vůči nim uplatňovat na základě příslušného rozhodnutí Rady EU. </w:t>
      </w:r>
    </w:p>
    <w:p w14:paraId="06E39B47" w14:textId="77777777" w:rsidR="008329B4" w:rsidRPr="00F97DE3" w:rsidRDefault="008329B4" w:rsidP="008329B4">
      <w:pPr>
        <w:pStyle w:val="Nadpis2"/>
      </w:pPr>
      <w:r w:rsidRPr="00F97DE3">
        <w:lastRenderedPageBreak/>
        <w:t>Zhodnocení rizika</w:t>
      </w:r>
    </w:p>
    <w:p w14:paraId="64C8AA2A" w14:textId="77777777" w:rsidR="008329B4" w:rsidRPr="00F97DE3" w:rsidRDefault="008329B4" w:rsidP="008329B4">
      <w:r w:rsidRPr="00F97DE3">
        <w:t>V souvislosti s daným tématem nebyla žádná rizika identifikována.</w:t>
      </w:r>
    </w:p>
    <w:p w14:paraId="0134F004" w14:textId="77777777" w:rsidR="008329B4" w:rsidRPr="00F97DE3" w:rsidRDefault="008329B4" w:rsidP="008329B4">
      <w:pPr>
        <w:pStyle w:val="Nadpis1"/>
      </w:pPr>
      <w:bookmarkStart w:id="137" w:name="_Toc146204900"/>
      <w:r w:rsidRPr="00F97DE3">
        <w:t>Návrh variant řešení</w:t>
      </w:r>
      <w:bookmarkEnd w:id="137"/>
    </w:p>
    <w:p w14:paraId="66E88C5D" w14:textId="77777777" w:rsidR="008329B4" w:rsidRPr="00F97DE3" w:rsidRDefault="008329B4" w:rsidP="008329B4">
      <w:pPr>
        <w:pStyle w:val="Nadpis2"/>
      </w:pPr>
      <w:r w:rsidRPr="00F97DE3">
        <w:t>Popis variant řešení</w:t>
      </w:r>
    </w:p>
    <w:p w14:paraId="025DAD7F" w14:textId="77777777" w:rsidR="008329B4" w:rsidRPr="00F97DE3" w:rsidRDefault="008329B4" w:rsidP="008329B4">
      <w:pPr>
        <w:rPr>
          <w:rStyle w:val="Styl11bTunVechnavelk"/>
          <w:bCs w:val="0"/>
          <w:caps w:val="0"/>
          <w:szCs w:val="24"/>
          <w:u w:val="single"/>
        </w:rPr>
      </w:pPr>
      <w:r w:rsidRPr="00F97DE3">
        <w:rPr>
          <w:rStyle w:val="Styl11bTunVechnavelk"/>
          <w:bCs w:val="0"/>
          <w:caps w:val="0"/>
          <w:szCs w:val="24"/>
          <w:u w:val="single"/>
        </w:rPr>
        <w:t xml:space="preserve">VARIANTA </w:t>
      </w:r>
      <w:r>
        <w:rPr>
          <w:rStyle w:val="Styl11bTunVechnavelk"/>
          <w:bCs w:val="0"/>
          <w:caps w:val="0"/>
          <w:szCs w:val="24"/>
          <w:u w:val="single"/>
        </w:rPr>
        <w:t>1 – Přímá aplikovatelnost mezinárodních sankcí OSN</w:t>
      </w:r>
    </w:p>
    <w:p w14:paraId="5ED59AAE" w14:textId="4DB83AAF" w:rsidR="008329B4" w:rsidRDefault="008329B4" w:rsidP="008329B4">
      <w:pPr>
        <w:rPr>
          <w:rStyle w:val="Styl11bTunVechnavelk"/>
          <w:b w:val="0"/>
          <w:bCs w:val="0"/>
          <w:caps w:val="0"/>
          <w:szCs w:val="24"/>
        </w:rPr>
      </w:pPr>
      <w:r>
        <w:rPr>
          <w:rStyle w:val="Styl11bTunVechnavelk"/>
          <w:b w:val="0"/>
          <w:bCs w:val="0"/>
          <w:caps w:val="0"/>
          <w:szCs w:val="24"/>
        </w:rPr>
        <w:t>Tato varianta počítá s tím, že zákon o provádění mezinárodních sankcí zakotví v České republice přímou právní závaznost sankčních seznamů OSN podle rezolucí Rady bezpečnosti zavádějících sankci v podobě zmrazení majetku osob spojených s terorismem, financováním terorismu, šířením zbraní hromadného ničení a financováním šíření zbraní hromadného ničení. Ty vymezí Fina</w:t>
      </w:r>
      <w:r w:rsidR="00BC24A0">
        <w:rPr>
          <w:rStyle w:val="Styl11bTunVechnavelk"/>
          <w:b w:val="0"/>
          <w:bCs w:val="0"/>
          <w:caps w:val="0"/>
          <w:szCs w:val="24"/>
        </w:rPr>
        <w:t>nční analytický úřad v opatření</w:t>
      </w:r>
      <w:r>
        <w:rPr>
          <w:rStyle w:val="Styl11bTunVechnavelk"/>
          <w:b w:val="0"/>
          <w:bCs w:val="0"/>
          <w:caps w:val="0"/>
          <w:szCs w:val="24"/>
        </w:rPr>
        <w:t xml:space="preserve"> obecné povahy, kde uvede rovněž webovou stránku OSN, kde se tyto seznamy nacházejí. Seznamy OSN jsou dostupné jak v rozsahu omezeném na daný sankční režim (například </w:t>
      </w:r>
      <w:hyperlink r:id="rId18" w:history="1">
        <w:r w:rsidRPr="002515C8">
          <w:rPr>
            <w:rStyle w:val="Hypertextovodkaz"/>
            <w:szCs w:val="24"/>
          </w:rPr>
          <w:t>https://www.un.org/securitycouncil/sanctions/1267/aq_sanctions_list</w:t>
        </w:r>
      </w:hyperlink>
      <w:r>
        <w:rPr>
          <w:rStyle w:val="Styl11bTunVechnavelk"/>
          <w:b w:val="0"/>
          <w:bCs w:val="0"/>
          <w:caps w:val="0"/>
          <w:szCs w:val="24"/>
        </w:rPr>
        <w:t>), tak v podobě konsolidovaného seznamu zahrnujícího všechny osoby, vůči nimž se mezinárodní sankce OSN uplatňují, přičemž u každé osoby je uveden příznak daného sankčního režimu (</w:t>
      </w:r>
      <w:hyperlink r:id="rId19" w:history="1">
        <w:r w:rsidRPr="002515C8">
          <w:rPr>
            <w:rStyle w:val="Hypertextovodkaz"/>
            <w:szCs w:val="24"/>
          </w:rPr>
          <w:t>https://www.un.org/securitycouncil/content/un-sc-consolidated-list</w:t>
        </w:r>
      </w:hyperlink>
      <w:r>
        <w:rPr>
          <w:rStyle w:val="Styl11bTunVechnavelk"/>
          <w:b w:val="0"/>
          <w:bCs w:val="0"/>
          <w:caps w:val="0"/>
          <w:szCs w:val="24"/>
        </w:rPr>
        <w:t xml:space="preserve">). V druhém případě seznam disponuje i RSS kanálem, který umožňuje si uživatelsky přívětivou formou nastavit instantní notifikace o nových </w:t>
      </w:r>
      <w:proofErr w:type="spellStart"/>
      <w:r>
        <w:rPr>
          <w:rStyle w:val="Styl11bTunVechnavelk"/>
          <w:b w:val="0"/>
          <w:bCs w:val="0"/>
          <w:caps w:val="0"/>
          <w:szCs w:val="24"/>
        </w:rPr>
        <w:t>listacích</w:t>
      </w:r>
      <w:proofErr w:type="spellEnd"/>
      <w:r>
        <w:rPr>
          <w:rStyle w:val="Styl11bTunVechnavelk"/>
          <w:b w:val="0"/>
          <w:bCs w:val="0"/>
          <w:caps w:val="0"/>
          <w:szCs w:val="24"/>
        </w:rPr>
        <w:t xml:space="preserve"> do emailu či do interního informačního systému povinné osoby. Všechny tyto seznamy js</w:t>
      </w:r>
      <w:r w:rsidR="00BC24A0">
        <w:rPr>
          <w:rStyle w:val="Styl11bTunVechnavelk"/>
          <w:b w:val="0"/>
          <w:bCs w:val="0"/>
          <w:caps w:val="0"/>
          <w:szCs w:val="24"/>
        </w:rPr>
        <w:t xml:space="preserve">ou přístupné ve formátech </w:t>
      </w:r>
      <w:proofErr w:type="spellStart"/>
      <w:r w:rsidR="00BC24A0">
        <w:rPr>
          <w:rStyle w:val="Styl11bTunVechnavelk"/>
          <w:b w:val="0"/>
          <w:bCs w:val="0"/>
          <w:caps w:val="0"/>
          <w:szCs w:val="24"/>
        </w:rPr>
        <w:t>pdf</w:t>
      </w:r>
      <w:proofErr w:type="spellEnd"/>
      <w:r w:rsidR="00BC24A0">
        <w:rPr>
          <w:rStyle w:val="Styl11bTunVechnavelk"/>
          <w:b w:val="0"/>
          <w:bCs w:val="0"/>
          <w:caps w:val="0"/>
          <w:szCs w:val="24"/>
        </w:rPr>
        <w:t xml:space="preserve">, </w:t>
      </w:r>
      <w:proofErr w:type="spellStart"/>
      <w:r>
        <w:rPr>
          <w:rStyle w:val="Styl11bTunVechnavelk"/>
          <w:b w:val="0"/>
          <w:bCs w:val="0"/>
          <w:caps w:val="0"/>
          <w:szCs w:val="24"/>
        </w:rPr>
        <w:t>xml</w:t>
      </w:r>
      <w:proofErr w:type="spellEnd"/>
      <w:r>
        <w:rPr>
          <w:rStyle w:val="Styl11bTunVechnavelk"/>
          <w:b w:val="0"/>
          <w:bCs w:val="0"/>
          <w:caps w:val="0"/>
          <w:szCs w:val="24"/>
        </w:rPr>
        <w:t xml:space="preserve"> a </w:t>
      </w:r>
      <w:proofErr w:type="spellStart"/>
      <w:r>
        <w:rPr>
          <w:rStyle w:val="Styl11bTunVechnavelk"/>
          <w:b w:val="0"/>
          <w:bCs w:val="0"/>
          <w:caps w:val="0"/>
          <w:szCs w:val="24"/>
        </w:rPr>
        <w:t>html</w:t>
      </w:r>
      <w:proofErr w:type="spellEnd"/>
      <w:r>
        <w:rPr>
          <w:rStyle w:val="Styl11bTunVechnavelk"/>
          <w:b w:val="0"/>
          <w:bCs w:val="0"/>
          <w:caps w:val="0"/>
          <w:szCs w:val="24"/>
        </w:rPr>
        <w:t xml:space="preserve">, čili umožňují i strojové zpracování strukturovaných dat. </w:t>
      </w:r>
    </w:p>
    <w:p w14:paraId="439BF23C" w14:textId="77777777" w:rsidR="008329B4" w:rsidRDefault="008329B4" w:rsidP="008329B4">
      <w:pPr>
        <w:rPr>
          <w:rStyle w:val="Styl11bTunVechnavelk"/>
          <w:b w:val="0"/>
          <w:bCs w:val="0"/>
          <w:caps w:val="0"/>
          <w:szCs w:val="24"/>
        </w:rPr>
      </w:pPr>
      <w:r>
        <w:rPr>
          <w:rStyle w:val="Styl11bTunVechnavelk"/>
          <w:b w:val="0"/>
          <w:bCs w:val="0"/>
          <w:caps w:val="0"/>
          <w:szCs w:val="24"/>
        </w:rPr>
        <w:t xml:space="preserve">Tato varianta je inspirována řešením uplatňovaným v Nizozemí, Lucembursku či Slovensku. </w:t>
      </w:r>
    </w:p>
    <w:p w14:paraId="7472A362" w14:textId="77777777" w:rsidR="008329B4" w:rsidRPr="00F97DE3" w:rsidRDefault="008329B4" w:rsidP="008329B4">
      <w:pPr>
        <w:rPr>
          <w:rStyle w:val="Styl11bTunVechnavelk"/>
          <w:bCs w:val="0"/>
          <w:caps w:val="0"/>
          <w:szCs w:val="24"/>
          <w:u w:val="single"/>
        </w:rPr>
      </w:pPr>
      <w:r w:rsidRPr="00F97DE3">
        <w:rPr>
          <w:rStyle w:val="Styl11bTunVechnavelk"/>
          <w:bCs w:val="0"/>
          <w:caps w:val="0"/>
          <w:szCs w:val="24"/>
          <w:u w:val="single"/>
        </w:rPr>
        <w:t xml:space="preserve">VARIANTA </w:t>
      </w:r>
      <w:r>
        <w:rPr>
          <w:rStyle w:val="Styl11bTunVechnavelk"/>
          <w:bCs w:val="0"/>
          <w:caps w:val="0"/>
          <w:szCs w:val="24"/>
          <w:u w:val="single"/>
        </w:rPr>
        <w:t>2 </w:t>
      </w:r>
      <w:r w:rsidRPr="00F97DE3">
        <w:rPr>
          <w:rStyle w:val="Styl11bTunVechnavelk"/>
          <w:bCs w:val="0"/>
          <w:caps w:val="0"/>
          <w:szCs w:val="24"/>
          <w:u w:val="single"/>
        </w:rPr>
        <w:t xml:space="preserve">– </w:t>
      </w:r>
      <w:r>
        <w:rPr>
          <w:rStyle w:val="Styl11bTunVechnavelk"/>
          <w:bCs w:val="0"/>
          <w:caps w:val="0"/>
          <w:szCs w:val="24"/>
          <w:u w:val="single"/>
        </w:rPr>
        <w:t>Transpozice sankčních seznamů OSN do seznamu vedeného na národní úrovni</w:t>
      </w:r>
    </w:p>
    <w:p w14:paraId="6CF2EF32" w14:textId="77777777" w:rsidR="008329B4" w:rsidRDefault="008329B4" w:rsidP="008329B4">
      <w:pPr>
        <w:rPr>
          <w:rStyle w:val="Styl11bTunVechnavelk"/>
          <w:b w:val="0"/>
          <w:bCs w:val="0"/>
          <w:caps w:val="0"/>
          <w:szCs w:val="24"/>
        </w:rPr>
      </w:pPr>
      <w:r>
        <w:rPr>
          <w:rStyle w:val="Styl11bTunVechnavelk"/>
          <w:b w:val="0"/>
          <w:bCs w:val="0"/>
          <w:caps w:val="0"/>
          <w:szCs w:val="24"/>
        </w:rPr>
        <w:t>Tato varianta počítá s tím, že sankční seznamy OSN budou bez zbytečného odkladu propsány do národního sankčního seznamu. Jeho právní závaznost by byla stanovena v zákoně o provádění mezinárodních sankcí.</w:t>
      </w:r>
    </w:p>
    <w:p w14:paraId="3ECF3019" w14:textId="77777777" w:rsidR="008329B4" w:rsidRDefault="008329B4" w:rsidP="008329B4">
      <w:pPr>
        <w:rPr>
          <w:rStyle w:val="Styl11bTunVechnavelk"/>
          <w:b w:val="0"/>
          <w:bCs w:val="0"/>
          <w:caps w:val="0"/>
          <w:szCs w:val="24"/>
        </w:rPr>
      </w:pPr>
      <w:r>
        <w:rPr>
          <w:rStyle w:val="Styl11bTunVechnavelk"/>
          <w:b w:val="0"/>
          <w:bCs w:val="0"/>
          <w:caps w:val="0"/>
          <w:szCs w:val="24"/>
        </w:rPr>
        <w:t xml:space="preserve">Nevýhodou tohoto řešení je jak určitá nevyhnutelná prodleva, tak skutečnost, že je spojena s náklady pro veřejné rozpočty. V rámci její implementace připadá v úvahu manuální přepisování nově nalistovaných osob, které je spojeno s potřebou držení nepřetržité pohotovosti. Alternativou by byl mechanismus automatického přepisování seznamů z webových stránek OSN. I ten by si však vyžádal kromě nákladů na pořízení také náklady na údržbu nutnou k zaručení spolehlivosti takového aranžmá. V obou případech by odhadované náklady dosahovaly stovek tisíc Kč za rok. </w:t>
      </w:r>
    </w:p>
    <w:p w14:paraId="2D750E51" w14:textId="77777777" w:rsidR="008329B4" w:rsidRDefault="008329B4" w:rsidP="008329B4">
      <w:pPr>
        <w:rPr>
          <w:rStyle w:val="Styl11bTunVechnavelk"/>
          <w:b w:val="0"/>
          <w:bCs w:val="0"/>
          <w:caps w:val="0"/>
          <w:szCs w:val="24"/>
        </w:rPr>
      </w:pPr>
      <w:r>
        <w:rPr>
          <w:rStyle w:val="Styl11bTunVechnavelk"/>
          <w:b w:val="0"/>
          <w:bCs w:val="0"/>
          <w:caps w:val="0"/>
          <w:szCs w:val="24"/>
        </w:rPr>
        <w:t xml:space="preserve">Využití vnitrostátního sankčního seznamu podle sankčního zákona není možné z důvodu kategorického odporu Ministerstva spravedlnosti, které se dovolává toho, že mu v kontextu mezinárodních, respektive národních sankcí náleží pouze plnění </w:t>
      </w:r>
      <w:proofErr w:type="spellStart"/>
      <w:r>
        <w:rPr>
          <w:rStyle w:val="Styl11bTunVechnavelk"/>
          <w:b w:val="0"/>
          <w:bCs w:val="0"/>
          <w:caps w:val="0"/>
          <w:szCs w:val="24"/>
        </w:rPr>
        <w:t>policy</w:t>
      </w:r>
      <w:proofErr w:type="spellEnd"/>
      <w:r>
        <w:rPr>
          <w:rStyle w:val="Styl11bTunVechnavelk"/>
          <w:b w:val="0"/>
          <w:bCs w:val="0"/>
          <w:caps w:val="0"/>
          <w:szCs w:val="24"/>
        </w:rPr>
        <w:t xml:space="preserve"> </w:t>
      </w:r>
      <w:proofErr w:type="spellStart"/>
      <w:r>
        <w:rPr>
          <w:rStyle w:val="Styl11bTunVechnavelk"/>
          <w:b w:val="0"/>
          <w:bCs w:val="0"/>
          <w:caps w:val="0"/>
          <w:szCs w:val="24"/>
        </w:rPr>
        <w:t>makingu</w:t>
      </w:r>
      <w:proofErr w:type="spellEnd"/>
      <w:r>
        <w:rPr>
          <w:rStyle w:val="Styl11bTunVechnavelk"/>
          <w:b w:val="0"/>
          <w:bCs w:val="0"/>
          <w:caps w:val="0"/>
          <w:szCs w:val="24"/>
        </w:rPr>
        <w:t xml:space="preserve">, do něhož zajištění právní závaznosti mezinárodních sankcí OSN nespadá. Je tak vyloučena synergie </w:t>
      </w:r>
      <w:r>
        <w:rPr>
          <w:rStyle w:val="Styl11bTunVechnavelk"/>
          <w:b w:val="0"/>
          <w:bCs w:val="0"/>
          <w:caps w:val="0"/>
          <w:szCs w:val="24"/>
        </w:rPr>
        <w:lastRenderedPageBreak/>
        <w:t>s vnitrostátním sankčním seznamem, pročež tato varianta, stejně jako varianta č. 1, vyžaduje sledování dvou separátních seznamů.</w:t>
      </w:r>
    </w:p>
    <w:p w14:paraId="7EB30E17" w14:textId="77777777" w:rsidR="008329B4" w:rsidRDefault="008329B4" w:rsidP="008329B4">
      <w:pPr>
        <w:rPr>
          <w:rStyle w:val="Styl11bTunVechnavelk"/>
          <w:b w:val="0"/>
          <w:bCs w:val="0"/>
          <w:caps w:val="0"/>
          <w:szCs w:val="24"/>
        </w:rPr>
      </w:pPr>
      <w:r>
        <w:rPr>
          <w:rStyle w:val="Styl11bTunVechnavelk"/>
          <w:b w:val="0"/>
          <w:bCs w:val="0"/>
          <w:caps w:val="0"/>
          <w:szCs w:val="24"/>
        </w:rPr>
        <w:t xml:space="preserve">Tato varianta je inspirována řešením uplatňovaným ve Francii nebo Dánsku. </w:t>
      </w:r>
    </w:p>
    <w:p w14:paraId="3630924D" w14:textId="77777777" w:rsidR="008329B4" w:rsidRDefault="008329B4" w:rsidP="008329B4">
      <w:pPr>
        <w:rPr>
          <w:rStyle w:val="Styl11bTunVechnavelk"/>
          <w:b w:val="0"/>
          <w:bCs w:val="0"/>
          <w:caps w:val="0"/>
          <w:szCs w:val="24"/>
        </w:rPr>
      </w:pPr>
    </w:p>
    <w:p w14:paraId="006956E3" w14:textId="77777777" w:rsidR="008329B4" w:rsidRPr="00F97DE3" w:rsidRDefault="008329B4" w:rsidP="008329B4">
      <w:pPr>
        <w:pStyle w:val="Nadpis2"/>
      </w:pPr>
      <w:r w:rsidRPr="00F97DE3">
        <w:t>Přizpůsobení variant regulaci a její vynucování</w:t>
      </w:r>
    </w:p>
    <w:p w14:paraId="6436FDCE" w14:textId="77777777" w:rsidR="008329B4" w:rsidRDefault="008329B4" w:rsidP="008329B4">
      <w:r w:rsidRPr="00F97DE3">
        <w:t>Vzhledem k tomu, že se žádná z navrhovaných variant nedá vyloučit pro její nerealizovatelnost, nebo pro rozpor s ústavním pořádkem nebo právem Evropské unie, budou všechny navržené varianty dále analyzovány.</w:t>
      </w:r>
      <w:r>
        <w:t xml:space="preserve"> </w:t>
      </w:r>
    </w:p>
    <w:p w14:paraId="2CB3C2A5" w14:textId="77777777" w:rsidR="008329B4" w:rsidRPr="00F97DE3" w:rsidRDefault="008329B4" w:rsidP="008329B4">
      <w:r>
        <w:t xml:space="preserve">Vyloučení rozporu s Evropským právem je po vzoru jiných členských států zajištěn tak, že se po nalistování dané osoby na sankční seznam EU bude postupovat výlučně podle příslušného nařízení Rady EU. </w:t>
      </w:r>
    </w:p>
    <w:p w14:paraId="073F1102" w14:textId="77777777" w:rsidR="008329B4" w:rsidRPr="00F97DE3" w:rsidRDefault="008329B4" w:rsidP="008329B4">
      <w:pPr>
        <w:pStyle w:val="Nadpis1"/>
      </w:pPr>
      <w:bookmarkStart w:id="138" w:name="_Toc146204901"/>
      <w:r w:rsidRPr="00F97DE3">
        <w:t>Identifikace a vyhodnocení nákladů a přínosů</w:t>
      </w:r>
      <w:bookmarkEnd w:id="138"/>
    </w:p>
    <w:p w14:paraId="197C1DC5" w14:textId="77777777" w:rsidR="008329B4" w:rsidRPr="00F97DE3" w:rsidRDefault="008329B4" w:rsidP="008329B4">
      <w:pPr>
        <w:pStyle w:val="Nadpis2"/>
      </w:pPr>
      <w:r w:rsidRPr="00F97DE3">
        <w:t>Identifikace nákladů a</w:t>
      </w:r>
      <w:r>
        <w:t> </w:t>
      </w:r>
      <w:r w:rsidRPr="00F97DE3">
        <w:t>přínosů</w:t>
      </w:r>
    </w:p>
    <w:p w14:paraId="498ED034" w14:textId="77777777" w:rsidR="008329B4" w:rsidRPr="00F97DE3" w:rsidRDefault="008329B4" w:rsidP="008329B4">
      <w:r w:rsidRPr="00F97DE3">
        <w:t>Výše uvedené varianty byly vyhodnoceny podle kritérií, která pokrývají klady a</w:t>
      </w:r>
      <w:r>
        <w:t> </w:t>
      </w:r>
      <w:r w:rsidRPr="00F97DE3">
        <w:t>zápory (resp. přínosy a</w:t>
      </w:r>
      <w:r>
        <w:t> </w:t>
      </w:r>
      <w:r w:rsidRPr="00F97DE3">
        <w:t xml:space="preserve">náklady) jednotlivých navržených variant. </w:t>
      </w:r>
    </w:p>
    <w:p w14:paraId="06D6393B" w14:textId="77777777" w:rsidR="008329B4" w:rsidRPr="00F97DE3" w:rsidRDefault="008329B4" w:rsidP="008329B4">
      <w:r w:rsidRPr="00F97DE3">
        <w:t>Jako hlavní hodnotící kritéria byla identifikována:</w:t>
      </w:r>
    </w:p>
    <w:p w14:paraId="635E33D8" w14:textId="77777777" w:rsidR="008329B4" w:rsidRPr="00F97DE3" w:rsidRDefault="008329B4" w:rsidP="008329B4">
      <w:pPr>
        <w:pStyle w:val="Odstavecseseznamem"/>
        <w:numPr>
          <w:ilvl w:val="0"/>
          <w:numId w:val="28"/>
        </w:numPr>
      </w:pPr>
      <w:r>
        <w:t>schopnost zajistit právní závaznost vybraných sankčních režimů OSN s minimálními rozpočtovými dopady</w:t>
      </w:r>
    </w:p>
    <w:p w14:paraId="2FF7D424" w14:textId="77777777" w:rsidR="008329B4" w:rsidRDefault="008329B4" w:rsidP="008329B4">
      <w:pPr>
        <w:pStyle w:val="Odstavecseseznamem"/>
        <w:numPr>
          <w:ilvl w:val="0"/>
          <w:numId w:val="28"/>
        </w:numPr>
      </w:pPr>
      <w:r>
        <w:t>uživatelská přívětivost</w:t>
      </w:r>
    </w:p>
    <w:p w14:paraId="5192276B" w14:textId="77777777" w:rsidR="008329B4" w:rsidRPr="00F97DE3" w:rsidRDefault="008329B4" w:rsidP="008329B4">
      <w:pPr>
        <w:pStyle w:val="Odstavecseseznamem"/>
        <w:numPr>
          <w:ilvl w:val="0"/>
          <w:numId w:val="28"/>
        </w:numPr>
      </w:pPr>
      <w:r>
        <w:t>spolehlivost řešení</w:t>
      </w:r>
    </w:p>
    <w:p w14:paraId="6EFF1281" w14:textId="77777777" w:rsidR="008329B4" w:rsidRDefault="008329B4" w:rsidP="008329B4"/>
    <w:p w14:paraId="4A75C883" w14:textId="77777777" w:rsidR="008329B4" w:rsidRPr="00F97DE3" w:rsidRDefault="008329B4" w:rsidP="008329B4">
      <w:pPr>
        <w:rPr>
          <w:u w:val="single"/>
        </w:rPr>
      </w:pPr>
      <w:r>
        <w:rPr>
          <w:u w:val="single"/>
        </w:rPr>
        <w:t>S</w:t>
      </w:r>
      <w:r w:rsidRPr="00E217E9">
        <w:rPr>
          <w:u w:val="single"/>
        </w:rPr>
        <w:t>chopnost zajistit právní závaznost vybraných sankčních režimů OSN s minimálními rozpočtovými dopady</w:t>
      </w:r>
    </w:p>
    <w:p w14:paraId="239A27ED" w14:textId="77777777" w:rsidR="008329B4" w:rsidRDefault="008329B4" w:rsidP="008329B4">
      <w:r w:rsidRPr="00F97DE3">
        <w:t>Testuje varianty z</w:t>
      </w:r>
      <w:r>
        <w:t> </w:t>
      </w:r>
      <w:r w:rsidRPr="00F97DE3">
        <w:t xml:space="preserve">hlediska </w:t>
      </w:r>
      <w:r>
        <w:t>schopnosti zajistit právní závaznost vybraných sankčních režimů OSN s minimálními rozpočtovými dopady.</w:t>
      </w:r>
    </w:p>
    <w:p w14:paraId="6BFA7CDF" w14:textId="77777777" w:rsidR="008329B4" w:rsidRPr="001A41A4" w:rsidRDefault="008329B4" w:rsidP="008329B4">
      <w:pPr>
        <w:rPr>
          <w:u w:val="single"/>
        </w:rPr>
      </w:pPr>
      <w:r>
        <w:rPr>
          <w:u w:val="single"/>
        </w:rPr>
        <w:t>U</w:t>
      </w:r>
      <w:r w:rsidRPr="00E217E9">
        <w:rPr>
          <w:u w:val="single"/>
        </w:rPr>
        <w:t>živatelská přívětivost</w:t>
      </w:r>
    </w:p>
    <w:p w14:paraId="039565AF" w14:textId="77777777" w:rsidR="008329B4" w:rsidRDefault="008329B4" w:rsidP="008329B4">
      <w:r>
        <w:t>Testuje varianty z pohledu uživatelské přívětivosti pro osoby, u kterých je předpoklad, že se u nich nachází majetek osob nalistovaných na sankční seznamy EU.</w:t>
      </w:r>
    </w:p>
    <w:p w14:paraId="156AA8FE" w14:textId="77777777" w:rsidR="008329B4" w:rsidRPr="009016A6" w:rsidRDefault="008329B4" w:rsidP="008329B4">
      <w:pPr>
        <w:rPr>
          <w:u w:val="single"/>
        </w:rPr>
      </w:pPr>
      <w:r w:rsidRPr="009016A6">
        <w:rPr>
          <w:u w:val="single"/>
        </w:rPr>
        <w:t>Spolehlivost řešení</w:t>
      </w:r>
    </w:p>
    <w:p w14:paraId="37E1D784" w14:textId="77777777" w:rsidR="008329B4" w:rsidRPr="00F97DE3" w:rsidRDefault="008329B4" w:rsidP="008329B4">
      <w:r>
        <w:t xml:space="preserve">Testuje varianty z pohledu spolehlivosti. To zahrnuje i odolnost proti kybernetickým útokům. </w:t>
      </w:r>
    </w:p>
    <w:p w14:paraId="6E15A21D" w14:textId="77777777" w:rsidR="008329B4" w:rsidRPr="00F97DE3" w:rsidRDefault="008329B4" w:rsidP="008329B4">
      <w:pPr>
        <w:pStyle w:val="Nadpis2"/>
      </w:pPr>
      <w:r w:rsidRPr="00F97DE3">
        <w:lastRenderedPageBreak/>
        <w:t>Vyhodnocení variant</w:t>
      </w:r>
    </w:p>
    <w:p w14:paraId="4EF93775" w14:textId="77777777" w:rsidR="008329B4" w:rsidRPr="00F97DE3" w:rsidRDefault="008329B4" w:rsidP="008329B4">
      <w:pPr>
        <w:pStyle w:val="Nadpis3"/>
      </w:pPr>
      <w:r w:rsidRPr="00F97DE3">
        <w:t xml:space="preserve">Varianta </w:t>
      </w:r>
      <w:r>
        <w:t>1 – P</w:t>
      </w:r>
      <w:r w:rsidRPr="009016A6">
        <w:t>římá aplikovatelnost mezinárodních sankcí OSN</w:t>
      </w:r>
    </w:p>
    <w:p w14:paraId="49D16656" w14:textId="77777777" w:rsidR="008329B4" w:rsidRDefault="008329B4" w:rsidP="008329B4">
      <w:pPr>
        <w:keepNext/>
        <w:rPr>
          <w:u w:val="single"/>
        </w:rPr>
      </w:pPr>
      <w:r>
        <w:rPr>
          <w:u w:val="single"/>
        </w:rPr>
        <w:t>S</w:t>
      </w:r>
      <w:r w:rsidRPr="00E217E9">
        <w:rPr>
          <w:u w:val="single"/>
        </w:rPr>
        <w:t>chopnost zajistit právní závaznost vybraných sankčních režimů OSN s minimálními rozpočtovými dopady</w:t>
      </w:r>
    </w:p>
    <w:p w14:paraId="014FBB20" w14:textId="77777777" w:rsidR="008329B4" w:rsidRPr="001A41A4" w:rsidRDefault="008329B4" w:rsidP="008329B4">
      <w:r>
        <w:t>Rozpočtové dopady tohoto řešení zahrnují pouze úsilí nutné k vydání výše popsaného opatření obecné povahy Finančního analytického úřadu. To je možné zajistit se stávajícími kapacitami. Rozpočtové dopady tohoto řešení jsou tedy nulové.</w:t>
      </w:r>
    </w:p>
    <w:p w14:paraId="6ACA71D8" w14:textId="77777777" w:rsidR="008329B4" w:rsidRDefault="008329B4" w:rsidP="008329B4">
      <w:pPr>
        <w:rPr>
          <w:u w:val="single"/>
        </w:rPr>
      </w:pPr>
      <w:r>
        <w:rPr>
          <w:u w:val="single"/>
        </w:rPr>
        <w:t>U</w:t>
      </w:r>
      <w:r w:rsidRPr="00E217E9">
        <w:rPr>
          <w:u w:val="single"/>
        </w:rPr>
        <w:t>živatelská přívětivost</w:t>
      </w:r>
    </w:p>
    <w:p w14:paraId="737E66A6" w14:textId="77777777" w:rsidR="008329B4" w:rsidRDefault="008329B4" w:rsidP="008329B4">
      <w:r>
        <w:t xml:space="preserve">Jak bylo uvedeno výše, sankční seznamy OSN jsou dostupné na jeho webových stránkách ve formátu </w:t>
      </w:r>
      <w:proofErr w:type="spellStart"/>
      <w:r>
        <w:t>pdf</w:t>
      </w:r>
      <w:proofErr w:type="spellEnd"/>
      <w:r>
        <w:t xml:space="preserve">, </w:t>
      </w:r>
      <w:proofErr w:type="spellStart"/>
      <w:r>
        <w:t>xml</w:t>
      </w:r>
      <w:proofErr w:type="spellEnd"/>
      <w:r>
        <w:t xml:space="preserve"> i </w:t>
      </w:r>
      <w:proofErr w:type="spellStart"/>
      <w:r>
        <w:t>html</w:t>
      </w:r>
      <w:proofErr w:type="spellEnd"/>
      <w:r>
        <w:t xml:space="preserve">, zároveň je možné si nastavit automatické notifikace o nalistování nových osob. Jde tedy o míru uživatelské přívětivosti, kterou vůbec nelze srovnávat například s vnitrostátním sankčním seznamem podle sankčního zákona, který nabízí jen formáty </w:t>
      </w:r>
      <w:proofErr w:type="spellStart"/>
      <w:r>
        <w:t>xls</w:t>
      </w:r>
      <w:proofErr w:type="spellEnd"/>
      <w:r>
        <w:t xml:space="preserve"> a </w:t>
      </w:r>
      <w:proofErr w:type="spellStart"/>
      <w:r>
        <w:t>pdf</w:t>
      </w:r>
      <w:proofErr w:type="spellEnd"/>
      <w:r>
        <w:t>, a žádný systém automatických notifikací.</w:t>
      </w:r>
    </w:p>
    <w:p w14:paraId="5334EB5C" w14:textId="77777777" w:rsidR="008329B4" w:rsidRPr="00EB63B1" w:rsidRDefault="008329B4" w:rsidP="008329B4">
      <w:pPr>
        <w:rPr>
          <w:u w:val="single"/>
        </w:rPr>
      </w:pPr>
      <w:r w:rsidRPr="00EB63B1">
        <w:rPr>
          <w:u w:val="single"/>
        </w:rPr>
        <w:t>Spolehlivost</w:t>
      </w:r>
    </w:p>
    <w:p w14:paraId="30360868" w14:textId="77777777" w:rsidR="008329B4" w:rsidRPr="009016A6" w:rsidRDefault="008329B4" w:rsidP="008329B4">
      <w:r>
        <w:t>Jelikož tato varianta pracuje jen s využitím seznamů uvedených na webových stránkách OSN, je dosaženo nejvyšší možné míry spolehlivosti. Zranitelnosti se nacházejí z povahy věci jen na straně OSN, což je nevyhnutelné a z pohledu České republiky neovlivnitelné.</w:t>
      </w:r>
    </w:p>
    <w:p w14:paraId="23ED4B69" w14:textId="77777777" w:rsidR="008329B4" w:rsidRPr="00F97DE3" w:rsidRDefault="008329B4" w:rsidP="008329B4">
      <w:pPr>
        <w:pStyle w:val="Nadpis3"/>
      </w:pPr>
      <w:r w:rsidRPr="00F97DE3">
        <w:t xml:space="preserve">Varianta </w:t>
      </w:r>
      <w:r>
        <w:t xml:space="preserve">2 </w:t>
      </w:r>
      <w:r w:rsidRPr="00F97DE3">
        <w:t xml:space="preserve">– </w:t>
      </w:r>
      <w:r w:rsidRPr="00334CDC">
        <w:t>Transpozice sankčních seznamů OSN do seznamu vedeného na národní úrovni</w:t>
      </w:r>
    </w:p>
    <w:p w14:paraId="6172B583" w14:textId="77777777" w:rsidR="008329B4" w:rsidRDefault="008329B4" w:rsidP="008329B4">
      <w:pPr>
        <w:keepNext/>
        <w:rPr>
          <w:u w:val="single"/>
        </w:rPr>
      </w:pPr>
      <w:r>
        <w:rPr>
          <w:u w:val="single"/>
        </w:rPr>
        <w:t>S</w:t>
      </w:r>
      <w:r w:rsidRPr="00E217E9">
        <w:rPr>
          <w:u w:val="single"/>
        </w:rPr>
        <w:t>chopnost zajistit právní závaznost vybraných sankčních režimů OSN s minimálními rozpočtovými dopady</w:t>
      </w:r>
    </w:p>
    <w:p w14:paraId="08AA4F8A" w14:textId="77777777" w:rsidR="008329B4" w:rsidRPr="001A41A4" w:rsidRDefault="008329B4" w:rsidP="008329B4">
      <w:r>
        <w:t>Rozpočtové dopady tohoto řešení zahrnují náklady na zajištění nepřetržité pohotovosti (při manuálním přepisování seznamů OSN), nebo náklady na vytvoření automatického systému přebírajícího údaje z webových stránek OSN a náklady na jeho údržbu. To v obou případech zahrnuje náklady v řádech stovek tisíc Kč ročně.</w:t>
      </w:r>
    </w:p>
    <w:p w14:paraId="08BA18A9" w14:textId="77777777" w:rsidR="008329B4" w:rsidRDefault="008329B4" w:rsidP="008329B4">
      <w:pPr>
        <w:rPr>
          <w:u w:val="single"/>
        </w:rPr>
      </w:pPr>
      <w:r>
        <w:rPr>
          <w:u w:val="single"/>
        </w:rPr>
        <w:t>U</w:t>
      </w:r>
      <w:r w:rsidRPr="00E217E9">
        <w:rPr>
          <w:u w:val="single"/>
        </w:rPr>
        <w:t>živatelská přívětivost</w:t>
      </w:r>
    </w:p>
    <w:p w14:paraId="6650AF5C" w14:textId="77777777" w:rsidR="008329B4" w:rsidRDefault="008329B4" w:rsidP="008329B4">
      <w:r>
        <w:t xml:space="preserve">Jak bylo uvedeno výše, není možné využít vnitrostátní sankční seznam. Nelze se tedy, stejně jako u první varianty, vyhnout sledování dvou sankčních seznamů. I kdyby byl vnitrostátní sankční seznam využit, znamenalo by to absenci strojově snadno zpracovatelného formátu </w:t>
      </w:r>
      <w:proofErr w:type="spellStart"/>
      <w:r>
        <w:t>xml</w:t>
      </w:r>
      <w:proofErr w:type="spellEnd"/>
      <w:r>
        <w:t xml:space="preserve">, jakož i absenci automatických notifikací o nových </w:t>
      </w:r>
      <w:proofErr w:type="spellStart"/>
      <w:r>
        <w:t>listacích</w:t>
      </w:r>
      <w:proofErr w:type="spellEnd"/>
      <w:r>
        <w:t>.</w:t>
      </w:r>
    </w:p>
    <w:p w14:paraId="40643D74" w14:textId="77777777" w:rsidR="008329B4" w:rsidRPr="00EB63B1" w:rsidRDefault="008329B4" w:rsidP="008329B4">
      <w:pPr>
        <w:rPr>
          <w:u w:val="single"/>
        </w:rPr>
      </w:pPr>
      <w:r w:rsidRPr="00EB63B1">
        <w:rPr>
          <w:u w:val="single"/>
        </w:rPr>
        <w:t>Spolehlivost</w:t>
      </w:r>
    </w:p>
    <w:p w14:paraId="60966D98" w14:textId="77777777" w:rsidR="008329B4" w:rsidRPr="009016A6" w:rsidRDefault="008329B4" w:rsidP="008329B4">
      <w:r>
        <w:t xml:space="preserve">Tato varianta pracuje s národním článkem zprostředkujícím přenos údajů ze sankčního seznamu OSN. To s sebou nese zranitelnosti vůči kybernetickým hrozbám. Ty mohou vyústit v náhradu škody ze strany státu v případě, že by útočníci na národní seznam doplnily osoby, které nebyly ze strany OSN listovány. </w:t>
      </w:r>
    </w:p>
    <w:p w14:paraId="05F753FD" w14:textId="77777777" w:rsidR="008329B4" w:rsidRPr="00F97DE3" w:rsidRDefault="008329B4" w:rsidP="008329B4"/>
    <w:p w14:paraId="7C5DB65F" w14:textId="77777777" w:rsidR="008329B4" w:rsidRPr="00F97DE3" w:rsidRDefault="008329B4" w:rsidP="008329B4">
      <w:pPr>
        <w:pStyle w:val="Nadpis1"/>
      </w:pPr>
      <w:bookmarkStart w:id="139" w:name="_Toc146204902"/>
      <w:r w:rsidRPr="00F97DE3">
        <w:lastRenderedPageBreak/>
        <w:t>Stanovení pořadí variant a výběr nejvhodnějšího řešení</w:t>
      </w:r>
      <w:bookmarkEnd w:id="139"/>
    </w:p>
    <w:p w14:paraId="322A53D2" w14:textId="77777777" w:rsidR="008329B4" w:rsidRPr="00F97DE3" w:rsidRDefault="008329B4" w:rsidP="008329B4">
      <w:pPr>
        <w:keepNext/>
      </w:pPr>
      <w:r w:rsidRPr="00F97DE3">
        <w:t>Níže uvedená tabulka je grafickým přehledem vyhodnocení variant, které byly zpracovávány v předchozí kapitole.</w:t>
      </w:r>
    </w:p>
    <w:p w14:paraId="1CDE7C21" w14:textId="77777777" w:rsidR="008329B4" w:rsidRPr="00F97DE3" w:rsidRDefault="008329B4" w:rsidP="008329B4">
      <w:pPr>
        <w:pStyle w:val="Titulek"/>
        <w:keepNext/>
      </w:pPr>
      <w:r w:rsidRPr="00F97DE3">
        <w:t>Tabulka 3</w:t>
      </w:r>
      <w:r>
        <w:t> </w:t>
      </w:r>
      <w:r w:rsidRPr="00F97DE3">
        <w:t>- Vyhodnocení navržených variant</w:t>
      </w:r>
    </w:p>
    <w:tbl>
      <w:tblPr>
        <w:tblW w:w="8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2435"/>
        <w:gridCol w:w="1965"/>
        <w:gridCol w:w="1965"/>
      </w:tblGrid>
      <w:tr w:rsidR="008329B4" w:rsidRPr="00F97DE3" w14:paraId="7DAEC8CF" w14:textId="77777777" w:rsidTr="005D0C13">
        <w:trPr>
          <w:trHeight w:val="283"/>
        </w:trPr>
        <w:tc>
          <w:tcPr>
            <w:tcW w:w="1955" w:type="dxa"/>
            <w:shd w:val="clear" w:color="auto" w:fill="auto"/>
          </w:tcPr>
          <w:p w14:paraId="1E4CB37D" w14:textId="77777777" w:rsidR="008329B4" w:rsidRPr="00F97DE3" w:rsidRDefault="008329B4" w:rsidP="005D0C13">
            <w:pPr>
              <w:pStyle w:val="Tabulka"/>
            </w:pPr>
          </w:p>
        </w:tc>
        <w:tc>
          <w:tcPr>
            <w:tcW w:w="2435" w:type="dxa"/>
          </w:tcPr>
          <w:p w14:paraId="7F8E9068" w14:textId="77777777" w:rsidR="008329B4" w:rsidRPr="00F97DE3" w:rsidRDefault="008329B4" w:rsidP="005D0C13">
            <w:pPr>
              <w:pStyle w:val="Tabulka"/>
            </w:pPr>
            <w:r w:rsidRPr="00D87DE7">
              <w:t>Schopnost zajistit právní závaznost vybraných sankčních režimů OSN s minimálními rozpočtovými dopady</w:t>
            </w:r>
          </w:p>
        </w:tc>
        <w:tc>
          <w:tcPr>
            <w:tcW w:w="1965" w:type="dxa"/>
            <w:shd w:val="clear" w:color="auto" w:fill="auto"/>
          </w:tcPr>
          <w:p w14:paraId="1B46E95C" w14:textId="77777777" w:rsidR="008329B4" w:rsidRPr="00F97DE3" w:rsidRDefault="008329B4" w:rsidP="005D0C13">
            <w:pPr>
              <w:pStyle w:val="Tabulka"/>
            </w:pPr>
            <w:r w:rsidRPr="00D87DE7">
              <w:t>Uživatelská přívětivost</w:t>
            </w:r>
          </w:p>
        </w:tc>
        <w:tc>
          <w:tcPr>
            <w:tcW w:w="1965" w:type="dxa"/>
          </w:tcPr>
          <w:p w14:paraId="0A732067" w14:textId="77777777" w:rsidR="008329B4" w:rsidRPr="00C50ADB" w:rsidRDefault="008329B4" w:rsidP="005D0C13">
            <w:pPr>
              <w:pStyle w:val="Tabulka"/>
            </w:pPr>
            <w:r w:rsidRPr="00D87DE7">
              <w:t>Spolehlivost</w:t>
            </w:r>
          </w:p>
        </w:tc>
      </w:tr>
      <w:tr w:rsidR="008329B4" w:rsidRPr="00F97DE3" w14:paraId="06C784D3" w14:textId="77777777" w:rsidTr="005D0C13">
        <w:trPr>
          <w:trHeight w:val="283"/>
        </w:trPr>
        <w:tc>
          <w:tcPr>
            <w:tcW w:w="1955" w:type="dxa"/>
            <w:shd w:val="clear" w:color="auto" w:fill="auto"/>
          </w:tcPr>
          <w:p w14:paraId="355AB2A6" w14:textId="77777777" w:rsidR="008329B4" w:rsidRPr="00F97DE3" w:rsidRDefault="008329B4" w:rsidP="005D0C13">
            <w:pPr>
              <w:pStyle w:val="Tabulka"/>
            </w:pPr>
            <w:r w:rsidRPr="00F97DE3">
              <w:t xml:space="preserve">Varianta </w:t>
            </w:r>
            <w:r>
              <w:t>1</w:t>
            </w:r>
          </w:p>
        </w:tc>
        <w:tc>
          <w:tcPr>
            <w:tcW w:w="2435" w:type="dxa"/>
          </w:tcPr>
          <w:p w14:paraId="7384511C" w14:textId="77777777" w:rsidR="008329B4" w:rsidRPr="00F97DE3" w:rsidRDefault="008329B4" w:rsidP="005D0C13">
            <w:pPr>
              <w:pStyle w:val="Tabulka"/>
            </w:pPr>
            <w:r>
              <w:t>2</w:t>
            </w:r>
          </w:p>
        </w:tc>
        <w:tc>
          <w:tcPr>
            <w:tcW w:w="1965" w:type="dxa"/>
            <w:shd w:val="clear" w:color="auto" w:fill="auto"/>
          </w:tcPr>
          <w:p w14:paraId="362891F7" w14:textId="77777777" w:rsidR="008329B4" w:rsidRPr="00F97DE3" w:rsidRDefault="008329B4" w:rsidP="005D0C13">
            <w:pPr>
              <w:pStyle w:val="Tabulka"/>
            </w:pPr>
            <w:r>
              <w:t>2</w:t>
            </w:r>
          </w:p>
        </w:tc>
        <w:tc>
          <w:tcPr>
            <w:tcW w:w="1965" w:type="dxa"/>
          </w:tcPr>
          <w:p w14:paraId="4D746EB2" w14:textId="77777777" w:rsidR="008329B4" w:rsidRDefault="008329B4" w:rsidP="005D0C13">
            <w:pPr>
              <w:pStyle w:val="Tabulka"/>
            </w:pPr>
            <w:r>
              <w:t>2</w:t>
            </w:r>
          </w:p>
        </w:tc>
      </w:tr>
      <w:tr w:rsidR="008329B4" w:rsidRPr="00F97DE3" w14:paraId="687DF70B" w14:textId="77777777" w:rsidTr="005D0C13">
        <w:trPr>
          <w:trHeight w:val="283"/>
        </w:trPr>
        <w:tc>
          <w:tcPr>
            <w:tcW w:w="1955" w:type="dxa"/>
            <w:shd w:val="clear" w:color="auto" w:fill="auto"/>
          </w:tcPr>
          <w:p w14:paraId="2F3F442E" w14:textId="77777777" w:rsidR="008329B4" w:rsidRPr="00F97DE3" w:rsidRDefault="008329B4" w:rsidP="005D0C13">
            <w:pPr>
              <w:pStyle w:val="Tabulka"/>
            </w:pPr>
            <w:r w:rsidRPr="00F97DE3">
              <w:t xml:space="preserve">Varianta </w:t>
            </w:r>
            <w:r>
              <w:t>2</w:t>
            </w:r>
          </w:p>
        </w:tc>
        <w:tc>
          <w:tcPr>
            <w:tcW w:w="2435" w:type="dxa"/>
          </w:tcPr>
          <w:p w14:paraId="29277506" w14:textId="77777777" w:rsidR="008329B4" w:rsidRPr="00F97DE3" w:rsidRDefault="008329B4" w:rsidP="005D0C13">
            <w:pPr>
              <w:pStyle w:val="Tabulka"/>
            </w:pPr>
            <w:r>
              <w:t>1</w:t>
            </w:r>
          </w:p>
        </w:tc>
        <w:tc>
          <w:tcPr>
            <w:tcW w:w="1965" w:type="dxa"/>
            <w:shd w:val="clear" w:color="auto" w:fill="auto"/>
          </w:tcPr>
          <w:p w14:paraId="69C138A0" w14:textId="77777777" w:rsidR="008329B4" w:rsidRPr="00F97DE3" w:rsidRDefault="008329B4" w:rsidP="005D0C13">
            <w:pPr>
              <w:pStyle w:val="Tabulka"/>
            </w:pPr>
            <w:r>
              <w:t>2</w:t>
            </w:r>
          </w:p>
        </w:tc>
        <w:tc>
          <w:tcPr>
            <w:tcW w:w="1965" w:type="dxa"/>
          </w:tcPr>
          <w:p w14:paraId="34A63CF9" w14:textId="77777777" w:rsidR="008329B4" w:rsidRPr="00F97DE3" w:rsidRDefault="008329B4" w:rsidP="005D0C13">
            <w:pPr>
              <w:pStyle w:val="Tabulka"/>
            </w:pPr>
            <w:r>
              <w:t>1</w:t>
            </w:r>
          </w:p>
        </w:tc>
      </w:tr>
    </w:tbl>
    <w:p w14:paraId="437B51FD" w14:textId="77777777" w:rsidR="008329B4" w:rsidRPr="00F97DE3" w:rsidRDefault="008329B4" w:rsidP="008329B4">
      <w:r w:rsidRPr="00F97DE3">
        <w:t>Na základě vyhodnocení variant podle jednotlivých kritérií bylo zjištěno, že nejvhodnější variantou k realizaci je varianta 1.</w:t>
      </w:r>
    </w:p>
    <w:p w14:paraId="6D052D73" w14:textId="77777777" w:rsidR="008329B4" w:rsidRPr="00F97DE3" w:rsidRDefault="008329B4" w:rsidP="008329B4">
      <w:pPr>
        <w:pStyle w:val="Nadpis1"/>
      </w:pPr>
      <w:bookmarkStart w:id="140" w:name="_Toc146204903"/>
      <w:r w:rsidRPr="00F97DE3">
        <w:t>Implementace doporučené varianty a vynucování</w:t>
      </w:r>
      <w:bookmarkEnd w:id="140"/>
    </w:p>
    <w:p w14:paraId="7AAD8D1C" w14:textId="77777777" w:rsidR="008329B4" w:rsidRPr="00F97DE3" w:rsidRDefault="008329B4" w:rsidP="008329B4">
      <w:r w:rsidRPr="00F97DE3">
        <w:t xml:space="preserve">Navrhovaná změna bude provedena formou novely </w:t>
      </w:r>
      <w:r>
        <w:t>zákona o provádění mezinárodních sankcí</w:t>
      </w:r>
      <w:r w:rsidRPr="00F97DE3">
        <w:t xml:space="preserve">. Orgánem odpovědným za implementaci bude především </w:t>
      </w:r>
      <w:r>
        <w:t xml:space="preserve">Finanční analytický úřad. </w:t>
      </w:r>
    </w:p>
    <w:p w14:paraId="6F0B6095" w14:textId="77777777" w:rsidR="008329B4" w:rsidRPr="00F97DE3" w:rsidRDefault="008329B4" w:rsidP="008329B4">
      <w:pPr>
        <w:pStyle w:val="Nadpis1"/>
      </w:pPr>
      <w:bookmarkStart w:id="141" w:name="_Toc146204904"/>
      <w:r w:rsidRPr="00F97DE3">
        <w:t>Přezkum účinnosti regulace</w:t>
      </w:r>
      <w:bookmarkEnd w:id="141"/>
      <w:r w:rsidRPr="00F97DE3">
        <w:t xml:space="preserve"> </w:t>
      </w:r>
    </w:p>
    <w:p w14:paraId="2285263F" w14:textId="77777777" w:rsidR="008329B4" w:rsidRPr="00F97DE3" w:rsidRDefault="008329B4" w:rsidP="008329B4">
      <w:r w:rsidRPr="00F97DE3">
        <w:t>Účinnost přijatých změn bude ověřována v</w:t>
      </w:r>
      <w:r>
        <w:t> </w:t>
      </w:r>
      <w:r w:rsidRPr="00F97DE3">
        <w:t>praxi s</w:t>
      </w:r>
      <w:r>
        <w:t> </w:t>
      </w:r>
      <w:r w:rsidRPr="00F97DE3">
        <w:t>tím, že bude předmětem národního hodnocení rizik praní peněz a</w:t>
      </w:r>
      <w:r>
        <w:t> </w:t>
      </w:r>
      <w:r w:rsidRPr="00F97DE3">
        <w:t>financování terorismu, jež je koordinováno Finančním analytickým úřadem a</w:t>
      </w:r>
      <w:r>
        <w:t> </w:t>
      </w:r>
      <w:r w:rsidRPr="00F97DE3">
        <w:t>na jehož zpracování se podílejí i</w:t>
      </w:r>
      <w:r>
        <w:t> </w:t>
      </w:r>
      <w:r w:rsidRPr="00F97DE3">
        <w:t>další orgány veřejné moci a</w:t>
      </w:r>
      <w:r>
        <w:t> </w:t>
      </w:r>
      <w:r w:rsidRPr="00F97DE3">
        <w:t>povinné osoby.</w:t>
      </w:r>
    </w:p>
    <w:p w14:paraId="69190AF0" w14:textId="77777777" w:rsidR="008329B4" w:rsidRPr="00F97DE3" w:rsidRDefault="008329B4" w:rsidP="008329B4">
      <w:pPr>
        <w:pStyle w:val="Nadpis1"/>
      </w:pPr>
      <w:bookmarkStart w:id="142" w:name="_Toc146204905"/>
      <w:r w:rsidRPr="00F97DE3">
        <w:t>Konzultace a zdroje dat</w:t>
      </w:r>
      <w:bookmarkEnd w:id="142"/>
    </w:p>
    <w:p w14:paraId="05DBE1E1" w14:textId="30FC75C7" w:rsidR="008329B4" w:rsidRDefault="008329B4" w:rsidP="00FE7608">
      <w:pPr>
        <w:pStyle w:val="Bezmezer"/>
        <w:keepNext w:val="0"/>
        <w:rPr>
          <w:sz w:val="24"/>
          <w:szCs w:val="22"/>
          <w:lang w:eastAsia="en-US"/>
        </w:rPr>
      </w:pPr>
      <w:r w:rsidRPr="002C2D12">
        <w:rPr>
          <w:sz w:val="24"/>
          <w:szCs w:val="22"/>
          <w:lang w:eastAsia="en-US"/>
        </w:rPr>
        <w:t>Problematika byla konzultována s Ministerstvem</w:t>
      </w:r>
      <w:r>
        <w:rPr>
          <w:sz w:val="24"/>
          <w:szCs w:val="22"/>
          <w:lang w:eastAsia="en-US"/>
        </w:rPr>
        <w:t xml:space="preserve"> zahraničních věcí. </w:t>
      </w:r>
    </w:p>
    <w:p w14:paraId="7BB4AB34" w14:textId="77777777" w:rsidR="00093B29" w:rsidRPr="00F97DE3" w:rsidRDefault="00093B29" w:rsidP="00093B29">
      <w:pPr>
        <w:pStyle w:val="Nadpis1"/>
      </w:pPr>
      <w:r w:rsidRPr="00F97DE3">
        <w:t>Kontakt na zpracovatele RIA</w:t>
      </w:r>
    </w:p>
    <w:p w14:paraId="5D18F46E" w14:textId="77777777" w:rsidR="00093B29" w:rsidRPr="00F97DE3" w:rsidRDefault="00093B29" w:rsidP="00093B29">
      <w:r>
        <w:t>Viktor Kabeš</w:t>
      </w:r>
    </w:p>
    <w:p w14:paraId="21661A9F" w14:textId="77777777" w:rsidR="00093B29" w:rsidRPr="00F97DE3" w:rsidRDefault="00093B29" w:rsidP="00093B29">
      <w:r w:rsidRPr="00F97DE3">
        <w:t>Finanční analytický úřad, odbor právní</w:t>
      </w:r>
    </w:p>
    <w:p w14:paraId="6518067F" w14:textId="77777777" w:rsidR="00093B29" w:rsidRPr="00F97DE3" w:rsidRDefault="00093B29" w:rsidP="00093B29">
      <w:r w:rsidRPr="00F97DE3">
        <w:t>tel.: (257 044 5</w:t>
      </w:r>
      <w:r>
        <w:t>45</w:t>
      </w:r>
      <w:r w:rsidRPr="00F97DE3">
        <w:t>), e-mail: (</w:t>
      </w:r>
      <w:r>
        <w:t>viktor.kabes</w:t>
      </w:r>
      <w:r w:rsidRPr="00F97DE3">
        <w:t>@fau.mfcr.cz)</w:t>
      </w:r>
    </w:p>
    <w:p w14:paraId="668DA9F8" w14:textId="02C3B278" w:rsidR="005D0C13" w:rsidRPr="00F97DE3" w:rsidRDefault="00F97BF8" w:rsidP="005D0C13">
      <w:pPr>
        <w:pStyle w:val="st"/>
      </w:pPr>
      <w:bookmarkStart w:id="143" w:name="_Toc146204906"/>
      <w:r>
        <w:lastRenderedPageBreak/>
        <w:t>V</w:t>
      </w:r>
      <w:r w:rsidR="005D0C13">
        <w:t>ymezení definice virtuálního aktiva</w:t>
      </w:r>
      <w:bookmarkEnd w:id="143"/>
    </w:p>
    <w:p w14:paraId="63BE6CD4" w14:textId="77777777" w:rsidR="005D0C13" w:rsidRPr="00F97DE3" w:rsidRDefault="005D0C13" w:rsidP="005D0C13">
      <w:pPr>
        <w:pStyle w:val="Nadpis1"/>
      </w:pPr>
      <w:bookmarkStart w:id="144" w:name="_Toc146204907"/>
      <w:r w:rsidRPr="00F97DE3">
        <w:t>Důvod předložení a cíle</w:t>
      </w:r>
      <w:bookmarkEnd w:id="144"/>
    </w:p>
    <w:p w14:paraId="1B61E3C6" w14:textId="26EA662D" w:rsidR="005D0C13" w:rsidRDefault="005D0C13" w:rsidP="005D0C13">
      <w:pPr>
        <w:pStyle w:val="Nadpis2"/>
      </w:pPr>
      <w:r w:rsidRPr="00F97DE3">
        <w:t>Definice problému</w:t>
      </w:r>
    </w:p>
    <w:p w14:paraId="095E8406" w14:textId="54EFFD34" w:rsidR="005D0C13" w:rsidRDefault="00A6410A" w:rsidP="000C77D4">
      <w:r w:rsidRPr="00A6410A">
        <w:t xml:space="preserve">Nařízení Evropského parlamentu a Rady (EU) 2023/1113 ze dne 31. května 2023 o informacích doprovázejících převody peněžních prostředků a některých </w:t>
      </w:r>
      <w:proofErr w:type="spellStart"/>
      <w:r w:rsidRPr="00A6410A">
        <w:t>kryptoaktiv</w:t>
      </w:r>
      <w:proofErr w:type="spellEnd"/>
      <w:r w:rsidRPr="00A6410A">
        <w:t xml:space="preserve"> a o změně směrnice (EU) 2015/849</w:t>
      </w:r>
      <w:r>
        <w:t xml:space="preserve"> (dále také „</w:t>
      </w:r>
      <w:r w:rsidRPr="009C5645">
        <w:t>TFR</w:t>
      </w:r>
      <w:r>
        <w:t>“)</w:t>
      </w:r>
      <w:r w:rsidR="00603D19">
        <w:t xml:space="preserve"> mění definici </w:t>
      </w:r>
      <w:proofErr w:type="spellStart"/>
      <w:r w:rsidR="00603D19">
        <w:t>kryptoaktiva</w:t>
      </w:r>
      <w:proofErr w:type="spellEnd"/>
      <w:r w:rsidR="00603D19">
        <w:t xml:space="preserve"> ve směrnici </w:t>
      </w:r>
      <w:r w:rsidR="00603D19" w:rsidRPr="00603D19">
        <w:t>Evropského parlamentu a Rady (EU) 2015/849 ze dne 20. května 2015 o předcházení využívání finančního systému k praní peněz nebo financování terorismu, o změně nařízení Evropského parlamentu a Rady (EU) č. 648/2012 a o zrušení směrnice Evropského parlamentu a Rady 2005/60/ES a směrnice Komise 2006/70/ES</w:t>
      </w:r>
      <w:r w:rsidR="00603D19">
        <w:t xml:space="preserve"> (dále </w:t>
      </w:r>
      <w:r w:rsidR="00FD4C5E">
        <w:t>také</w:t>
      </w:r>
      <w:r w:rsidR="00603D19">
        <w:t xml:space="preserve"> „AML směrnice“). </w:t>
      </w:r>
    </w:p>
    <w:p w14:paraId="18F1B3E7" w14:textId="15D1A21D" w:rsidR="00715351" w:rsidRDefault="00603D19" w:rsidP="000C77D4">
      <w:r>
        <w:t xml:space="preserve">Nová definice </w:t>
      </w:r>
      <w:proofErr w:type="spellStart"/>
      <w:r>
        <w:t>kryptoaktiva</w:t>
      </w:r>
      <w:proofErr w:type="spellEnd"/>
      <w:r>
        <w:t xml:space="preserve"> v AML směrnici se odkazuje na definici podle n</w:t>
      </w:r>
      <w:r w:rsidRPr="00603D19">
        <w:t xml:space="preserve">ařízení Evropského parlamentu a Rady (EU) 2023/1114 ze dne 31. května 2023 o trzích </w:t>
      </w:r>
      <w:proofErr w:type="spellStart"/>
      <w:r w:rsidRPr="00603D19">
        <w:t>kryptoaktiv</w:t>
      </w:r>
      <w:proofErr w:type="spellEnd"/>
      <w:r w:rsidRPr="00603D19">
        <w:t xml:space="preserve"> a o změně nařízení (EU) č. 1093/2010 a (EU) č. 1095/2010 a směrnic 2013/36/EU a (EU) 2019/1937</w:t>
      </w:r>
      <w:r>
        <w:t xml:space="preserve"> (dále </w:t>
      </w:r>
      <w:r w:rsidR="00FD4C5E">
        <w:t>také</w:t>
      </w:r>
      <w:r>
        <w:t xml:space="preserve"> </w:t>
      </w:r>
      <w:proofErr w:type="spellStart"/>
      <w:r>
        <w:t>MiCA</w:t>
      </w:r>
      <w:proofErr w:type="spellEnd"/>
      <w:r>
        <w:t xml:space="preserve">): </w:t>
      </w:r>
    </w:p>
    <w:p w14:paraId="4A3B8F6C" w14:textId="2644ED6E" w:rsidR="009F5365" w:rsidRDefault="00603D19" w:rsidP="000C77D4">
      <w:pPr>
        <w:rPr>
          <w:i/>
        </w:rPr>
      </w:pPr>
      <w:r w:rsidRPr="000C77D4">
        <w:rPr>
          <w:i/>
        </w:rPr>
        <w:t xml:space="preserve">„18) </w:t>
      </w:r>
      <w:r w:rsidR="00FD4C5E">
        <w:rPr>
          <w:i/>
        </w:rPr>
        <w:t xml:space="preserve">[…] </w:t>
      </w:r>
      <w:proofErr w:type="spellStart"/>
      <w:r w:rsidRPr="000C77D4">
        <w:rPr>
          <w:i/>
        </w:rPr>
        <w:t>kryptoaktiva</w:t>
      </w:r>
      <w:proofErr w:type="spellEnd"/>
      <w:r w:rsidRPr="000C77D4">
        <w:rPr>
          <w:i/>
        </w:rPr>
        <w:t xml:space="preserve"> ve smyslu čl. 3 odst. 1 bodu 5 nařízení Evropského parlamentu a Rady (EU) 2023/1114 (*1), pokud nespadají do kategorií uvedených v čl. 2 odst. 2, 3 a 4 zmíněného nařízení nebo jsou z jiných důvodů kvalifikována jako peněžní prostředky;“</w:t>
      </w:r>
    </w:p>
    <w:p w14:paraId="1C76553D" w14:textId="77777777" w:rsidR="00715351" w:rsidRDefault="00715351" w:rsidP="000C77D4">
      <w:pPr>
        <w:rPr>
          <w:i/>
        </w:rPr>
      </w:pPr>
    </w:p>
    <w:p w14:paraId="54BE7404" w14:textId="10354F68" w:rsidR="00715351" w:rsidRDefault="009F5365" w:rsidP="000C77D4">
      <w:r>
        <w:t xml:space="preserve">Pozitivní definice </w:t>
      </w:r>
      <w:proofErr w:type="spellStart"/>
      <w:r w:rsidR="00FD4C5E">
        <w:t>kryptoaktiva</w:t>
      </w:r>
      <w:proofErr w:type="spellEnd"/>
      <w:r>
        <w:t xml:space="preserve"> podle čl. 3 odst. 1 bodu 5 </w:t>
      </w:r>
      <w:proofErr w:type="spellStart"/>
      <w:r>
        <w:t>MiCA</w:t>
      </w:r>
      <w:proofErr w:type="spellEnd"/>
      <w:r>
        <w:t xml:space="preserve"> zní takto: </w:t>
      </w:r>
    </w:p>
    <w:p w14:paraId="2350F452" w14:textId="683415BB" w:rsidR="005D0C13" w:rsidRDefault="009F5365" w:rsidP="000C77D4">
      <w:pPr>
        <w:rPr>
          <w:i/>
        </w:rPr>
      </w:pPr>
      <w:r w:rsidRPr="000C77D4">
        <w:rPr>
          <w:i/>
        </w:rPr>
        <w:t xml:space="preserve">„5) </w:t>
      </w:r>
      <w:r w:rsidR="00FD4C5E">
        <w:rPr>
          <w:i/>
        </w:rPr>
        <w:t>[…]</w:t>
      </w:r>
      <w:r w:rsidRPr="000C77D4">
        <w:rPr>
          <w:i/>
        </w:rPr>
        <w:t xml:space="preserve"> digitální zachycení hodnoty nebo práva, které může být převáděno a ukládáno elektronicky pomocí technologie distribuovaného registru nebo pomocí podobné technologie;“.</w:t>
      </w:r>
    </w:p>
    <w:p w14:paraId="0E2BAC8D" w14:textId="77777777" w:rsidR="00715351" w:rsidRPr="009C5645" w:rsidRDefault="00715351" w:rsidP="000C77D4"/>
    <w:p w14:paraId="3EF5B38A" w14:textId="313295AE" w:rsidR="009F5365" w:rsidRDefault="009F5365" w:rsidP="000C77D4">
      <w:r>
        <w:t xml:space="preserve">Negativní vymezení </w:t>
      </w:r>
      <w:proofErr w:type="spellStart"/>
      <w:r w:rsidR="00FD4C5E">
        <w:t>krypto</w:t>
      </w:r>
      <w:r>
        <w:t>aktiva</w:t>
      </w:r>
      <w:proofErr w:type="spellEnd"/>
      <w:r>
        <w:t xml:space="preserve"> v </w:t>
      </w:r>
      <w:r w:rsidRPr="009F5365">
        <w:t>čl. 2 odst. 2, 3 a 4</w:t>
      </w:r>
      <w:r>
        <w:t xml:space="preserve"> nařízení </w:t>
      </w:r>
      <w:proofErr w:type="spellStart"/>
      <w:r>
        <w:t>MiCA</w:t>
      </w:r>
      <w:proofErr w:type="spellEnd"/>
      <w:r>
        <w:t xml:space="preserve"> zní takto:</w:t>
      </w:r>
    </w:p>
    <w:p w14:paraId="56651330" w14:textId="6338C497" w:rsidR="009F5365" w:rsidRPr="000C77D4" w:rsidRDefault="009F5365" w:rsidP="009F5365">
      <w:pPr>
        <w:rPr>
          <w:i/>
        </w:rPr>
      </w:pPr>
      <w:r w:rsidRPr="000C77D4">
        <w:rPr>
          <w:i/>
        </w:rPr>
        <w:t>„2.   Toto nařízení se nevztahuje na:</w:t>
      </w:r>
    </w:p>
    <w:p w14:paraId="26FDDCB4" w14:textId="6C09EA19" w:rsidR="009F5365" w:rsidRPr="000C77D4" w:rsidRDefault="009F5365" w:rsidP="009F5365">
      <w:pPr>
        <w:rPr>
          <w:i/>
        </w:rPr>
      </w:pPr>
      <w:r w:rsidRPr="000C77D4">
        <w:rPr>
          <w:i/>
        </w:rPr>
        <w:t xml:space="preserve">a) osoby, které poskytují služby související s </w:t>
      </w:r>
      <w:proofErr w:type="spellStart"/>
      <w:r w:rsidRPr="000C77D4">
        <w:rPr>
          <w:i/>
        </w:rPr>
        <w:t>kryptoaktivy</w:t>
      </w:r>
      <w:proofErr w:type="spellEnd"/>
      <w:r w:rsidRPr="000C77D4">
        <w:rPr>
          <w:i/>
        </w:rPr>
        <w:t xml:space="preserve"> výhradně pro své mateřské společnosti, své dceřiné podniky nebo jiné dceřiné podniky svých mateřských společností;</w:t>
      </w:r>
    </w:p>
    <w:p w14:paraId="333C3EAF" w14:textId="61AC45D4" w:rsidR="009F5365" w:rsidRPr="000C77D4" w:rsidRDefault="009F5365" w:rsidP="009F5365">
      <w:pPr>
        <w:rPr>
          <w:i/>
        </w:rPr>
      </w:pPr>
      <w:r w:rsidRPr="000C77D4">
        <w:rPr>
          <w:i/>
        </w:rPr>
        <w:t>b) likvidátora nebo správce podstaty vykonávajícího svou funkci v insolvenčním řízení, s výjimkou použití pro účely článku 47;</w:t>
      </w:r>
    </w:p>
    <w:p w14:paraId="33F23B43" w14:textId="7C78B6AB" w:rsidR="009F5365" w:rsidRPr="000C77D4" w:rsidRDefault="009F5365" w:rsidP="009F5365">
      <w:pPr>
        <w:rPr>
          <w:i/>
        </w:rPr>
      </w:pPr>
      <w:r w:rsidRPr="000C77D4">
        <w:rPr>
          <w:i/>
        </w:rPr>
        <w:t>c) ECB, centrální banky členských států, pokud jednají jako měnové orgány, nebo jiné veřejné orgány členských států;</w:t>
      </w:r>
    </w:p>
    <w:p w14:paraId="24B3E2C3" w14:textId="1493D2EC" w:rsidR="009F5365" w:rsidRPr="000C77D4" w:rsidRDefault="009F5365" w:rsidP="009F5365">
      <w:pPr>
        <w:rPr>
          <w:i/>
        </w:rPr>
      </w:pPr>
      <w:r w:rsidRPr="000C77D4">
        <w:rPr>
          <w:i/>
        </w:rPr>
        <w:t>d) Evropskou investiční banku a její dceřiné společnosti;</w:t>
      </w:r>
    </w:p>
    <w:p w14:paraId="1B8876BE" w14:textId="1A1E4284" w:rsidR="009F5365" w:rsidRPr="000C77D4" w:rsidRDefault="009F5365" w:rsidP="009F5365">
      <w:pPr>
        <w:rPr>
          <w:i/>
        </w:rPr>
      </w:pPr>
      <w:r w:rsidRPr="000C77D4">
        <w:rPr>
          <w:i/>
        </w:rPr>
        <w:t>e) Evropský nástroj finanční stability a Evropský mechanismus stability;</w:t>
      </w:r>
    </w:p>
    <w:p w14:paraId="0AAF5A4D" w14:textId="03C84BC7" w:rsidR="009F5365" w:rsidRPr="000C77D4" w:rsidRDefault="009F5365" w:rsidP="009F5365">
      <w:pPr>
        <w:rPr>
          <w:i/>
        </w:rPr>
      </w:pPr>
      <w:r w:rsidRPr="000C77D4">
        <w:rPr>
          <w:i/>
        </w:rPr>
        <w:t>f) veřejné mezinárodní organizace.</w:t>
      </w:r>
    </w:p>
    <w:p w14:paraId="090BD81F" w14:textId="5ABC497D" w:rsidR="009F5365" w:rsidRPr="000C77D4" w:rsidRDefault="009F5365" w:rsidP="009F5365">
      <w:pPr>
        <w:rPr>
          <w:i/>
          <w:u w:val="single"/>
        </w:rPr>
      </w:pPr>
      <w:r w:rsidRPr="000C77D4">
        <w:rPr>
          <w:i/>
          <w:u w:val="single"/>
        </w:rPr>
        <w:t xml:space="preserve">3.   Toto nařízení se nevztahuje na </w:t>
      </w:r>
      <w:proofErr w:type="spellStart"/>
      <w:r w:rsidRPr="000C77D4">
        <w:rPr>
          <w:i/>
          <w:u w:val="single"/>
        </w:rPr>
        <w:t>kryptoaktiva</w:t>
      </w:r>
      <w:proofErr w:type="spellEnd"/>
      <w:r w:rsidRPr="000C77D4">
        <w:rPr>
          <w:i/>
          <w:u w:val="single"/>
        </w:rPr>
        <w:t xml:space="preserve">, která jsou jedinečná a nejsou zastupitelná jinými </w:t>
      </w:r>
      <w:proofErr w:type="spellStart"/>
      <w:r w:rsidRPr="000C77D4">
        <w:rPr>
          <w:i/>
          <w:u w:val="single"/>
        </w:rPr>
        <w:t>kryptoaktivy</w:t>
      </w:r>
      <w:proofErr w:type="spellEnd"/>
      <w:r w:rsidRPr="000C77D4">
        <w:rPr>
          <w:i/>
          <w:u w:val="single"/>
        </w:rPr>
        <w:t>.</w:t>
      </w:r>
    </w:p>
    <w:p w14:paraId="02426BBE" w14:textId="0992CA1B" w:rsidR="009F5365" w:rsidRPr="000C77D4" w:rsidRDefault="009F5365" w:rsidP="009F5365">
      <w:pPr>
        <w:rPr>
          <w:i/>
        </w:rPr>
      </w:pPr>
      <w:r w:rsidRPr="000C77D4">
        <w:rPr>
          <w:i/>
        </w:rPr>
        <w:lastRenderedPageBreak/>
        <w:t xml:space="preserve">4.   Toto nařízení se nevztahuje na </w:t>
      </w:r>
      <w:proofErr w:type="spellStart"/>
      <w:r w:rsidRPr="000C77D4">
        <w:rPr>
          <w:i/>
        </w:rPr>
        <w:t>kryptoaktiva</w:t>
      </w:r>
      <w:proofErr w:type="spellEnd"/>
      <w:r w:rsidRPr="000C77D4">
        <w:rPr>
          <w:i/>
        </w:rPr>
        <w:t>, která lze zařadit do jedné nebo více z těchto kategorií:</w:t>
      </w:r>
    </w:p>
    <w:p w14:paraId="03D92A36" w14:textId="5BA27E24" w:rsidR="009F5365" w:rsidRPr="000C77D4" w:rsidRDefault="009F5365" w:rsidP="009F5365">
      <w:pPr>
        <w:rPr>
          <w:i/>
        </w:rPr>
      </w:pPr>
      <w:r w:rsidRPr="000C77D4">
        <w:rPr>
          <w:i/>
        </w:rPr>
        <w:t>a) finanční nástroje;</w:t>
      </w:r>
    </w:p>
    <w:p w14:paraId="51442330" w14:textId="6E98694F" w:rsidR="009F5365" w:rsidRPr="000C77D4" w:rsidRDefault="009F5365" w:rsidP="009F5365">
      <w:pPr>
        <w:rPr>
          <w:i/>
        </w:rPr>
      </w:pPr>
      <w:r w:rsidRPr="000C77D4">
        <w:rPr>
          <w:i/>
        </w:rPr>
        <w:t>b) vklady včetně strukturovaných vkladů;</w:t>
      </w:r>
    </w:p>
    <w:p w14:paraId="41D7A5EB" w14:textId="6D85D9CD" w:rsidR="009F5365" w:rsidRPr="000C77D4" w:rsidRDefault="009F5365" w:rsidP="009F5365">
      <w:pPr>
        <w:rPr>
          <w:i/>
        </w:rPr>
      </w:pPr>
      <w:r w:rsidRPr="000C77D4">
        <w:rPr>
          <w:i/>
        </w:rPr>
        <w:t>c) peněžní prostředky, ledaže splňují znaky elektronických peněžních tokenů;</w:t>
      </w:r>
    </w:p>
    <w:p w14:paraId="54B3B777" w14:textId="72E5717E" w:rsidR="009F5365" w:rsidRPr="000C77D4" w:rsidRDefault="009F5365" w:rsidP="009F5365">
      <w:pPr>
        <w:rPr>
          <w:i/>
        </w:rPr>
      </w:pPr>
      <w:r w:rsidRPr="000C77D4">
        <w:rPr>
          <w:i/>
        </w:rPr>
        <w:t xml:space="preserve">d) </w:t>
      </w:r>
      <w:proofErr w:type="spellStart"/>
      <w:r w:rsidRPr="000C77D4">
        <w:rPr>
          <w:i/>
        </w:rPr>
        <w:t>sekuritizované</w:t>
      </w:r>
      <w:proofErr w:type="spellEnd"/>
      <w:r w:rsidRPr="000C77D4">
        <w:rPr>
          <w:i/>
        </w:rPr>
        <w:t xml:space="preserve"> pozice v kontextu </w:t>
      </w:r>
      <w:proofErr w:type="spellStart"/>
      <w:r w:rsidRPr="000C77D4">
        <w:rPr>
          <w:i/>
        </w:rPr>
        <w:t>sekuritizace</w:t>
      </w:r>
      <w:proofErr w:type="spellEnd"/>
      <w:r w:rsidRPr="000C77D4">
        <w:rPr>
          <w:i/>
        </w:rPr>
        <w:t xml:space="preserve"> ve smyslu čl. 2 bodu 1 nařízení (EU) 2017/2402;</w:t>
      </w:r>
    </w:p>
    <w:p w14:paraId="1046B988" w14:textId="1CC668CD" w:rsidR="009F5365" w:rsidRPr="000C77D4" w:rsidRDefault="009F5365" w:rsidP="009F5365">
      <w:pPr>
        <w:rPr>
          <w:i/>
        </w:rPr>
      </w:pPr>
      <w:r w:rsidRPr="000C77D4">
        <w:rPr>
          <w:i/>
        </w:rPr>
        <w:t xml:space="preserve">e) produkty neživotního nebo životního pojištění spadající do pojistných odvětví uvedených v přílohách I a II směrnice Evropského parlamentu a Rady 2009/138/ES (27) nebo zajišťovací nebo </w:t>
      </w:r>
      <w:proofErr w:type="spellStart"/>
      <w:r w:rsidRPr="000C77D4">
        <w:rPr>
          <w:i/>
        </w:rPr>
        <w:t>retrocesní</w:t>
      </w:r>
      <w:proofErr w:type="spellEnd"/>
      <w:r w:rsidRPr="000C77D4">
        <w:rPr>
          <w:i/>
        </w:rPr>
        <w:t xml:space="preserve"> smlouvy podle uvedené směrnice;</w:t>
      </w:r>
    </w:p>
    <w:p w14:paraId="5D3D0C6C" w14:textId="3243DC4E" w:rsidR="009F5365" w:rsidRPr="000C77D4" w:rsidRDefault="009F5365" w:rsidP="009F5365">
      <w:pPr>
        <w:rPr>
          <w:i/>
        </w:rPr>
      </w:pPr>
      <w:r w:rsidRPr="000C77D4">
        <w:rPr>
          <w:i/>
        </w:rPr>
        <w:t>f) penzijní produkty, jejichž primárním účelem je podle vnitrostátního práva poskytovat investorům příjem v důchodu a jež investora opravňují k získání určitých výhod;</w:t>
      </w:r>
    </w:p>
    <w:p w14:paraId="6E52511A" w14:textId="1AD32C8C" w:rsidR="009F5365" w:rsidRPr="000C77D4" w:rsidRDefault="009F5365" w:rsidP="009F5365">
      <w:pPr>
        <w:rPr>
          <w:i/>
        </w:rPr>
      </w:pPr>
      <w:r w:rsidRPr="000C77D4">
        <w:rPr>
          <w:i/>
        </w:rPr>
        <w:t>g) úředně uznané zaměstnanecké penzijní systémy spadající do oblasti působnosti směrnice Evropského parlamentu a Rady (EU) 2016/2341 (28) nebo směrnice 2009/138/ES;</w:t>
      </w:r>
    </w:p>
    <w:p w14:paraId="44C74D28" w14:textId="28C19D6E" w:rsidR="009F5365" w:rsidRPr="000C77D4" w:rsidRDefault="009F5365" w:rsidP="009F5365">
      <w:pPr>
        <w:rPr>
          <w:i/>
        </w:rPr>
      </w:pPr>
      <w:r w:rsidRPr="000C77D4">
        <w:rPr>
          <w:i/>
        </w:rPr>
        <w:t>h) individuální penzijní produkty, na něž podle vnitrostátního práva povinně finančně přispívá zaměstnavatel a zaměstnavatel ani zaměstnanec si nemohou zvolit penzijní produkt ani poskytovatele;</w:t>
      </w:r>
    </w:p>
    <w:p w14:paraId="614D4266" w14:textId="4D0B4E6F" w:rsidR="009F5365" w:rsidRPr="000C77D4" w:rsidRDefault="009F5365" w:rsidP="009F5365">
      <w:pPr>
        <w:rPr>
          <w:i/>
        </w:rPr>
      </w:pPr>
      <w:r w:rsidRPr="000C77D4">
        <w:rPr>
          <w:i/>
        </w:rPr>
        <w:t>i) panevropský osobní penzijní produkt ve smyslu čl. 2 bodu 2 nařízení Evropského parlamentu a Rady (EU) 2019/1238 (29);</w:t>
      </w:r>
    </w:p>
    <w:p w14:paraId="3A050DBD" w14:textId="30E83CEE" w:rsidR="009F5365" w:rsidRDefault="009F5365" w:rsidP="000C77D4">
      <w:r w:rsidRPr="000C77D4">
        <w:rPr>
          <w:i/>
        </w:rPr>
        <w:t>j) systémy sociálního zabezpečení, na které se vztahují nařízení Evropského parlamentu a Rady (ES) č. 883/2004 (30) a (ES) č. 987/2009 (31).“</w:t>
      </w:r>
    </w:p>
    <w:p w14:paraId="47746EF9" w14:textId="025E6987" w:rsidR="009F5365" w:rsidRDefault="009F5365" w:rsidP="000C77D4"/>
    <w:p w14:paraId="7B031B4F" w14:textId="6169D24B" w:rsidR="00715351" w:rsidRDefault="00715351" w:rsidP="000C77D4">
      <w:r>
        <w:t xml:space="preserve">V souhrnu lze tedy říci, že definice </w:t>
      </w:r>
      <w:proofErr w:type="spellStart"/>
      <w:r w:rsidR="0006215B">
        <w:t>krypto</w:t>
      </w:r>
      <w:r>
        <w:t>aktiva</w:t>
      </w:r>
      <w:proofErr w:type="spellEnd"/>
      <w:r>
        <w:t xml:space="preserve"> podle AML směrnice nezahrnuje takzvané non </w:t>
      </w:r>
      <w:proofErr w:type="spellStart"/>
      <w:r>
        <w:t>fungible</w:t>
      </w:r>
      <w:proofErr w:type="spellEnd"/>
      <w:r>
        <w:t xml:space="preserve"> </w:t>
      </w:r>
      <w:proofErr w:type="spellStart"/>
      <w:r>
        <w:t>tokens</w:t>
      </w:r>
      <w:proofErr w:type="spellEnd"/>
      <w:r w:rsidR="0006215B">
        <w:t xml:space="preserve"> (dále také „</w:t>
      </w:r>
      <w:proofErr w:type="spellStart"/>
      <w:r w:rsidR="0006215B">
        <w:t>NFTs</w:t>
      </w:r>
      <w:proofErr w:type="spellEnd"/>
      <w:r w:rsidR="0006215B">
        <w:t>“)</w:t>
      </w:r>
      <w:r>
        <w:t xml:space="preserve">. Jde o jedinečná </w:t>
      </w:r>
      <w:proofErr w:type="spellStart"/>
      <w:r w:rsidR="0006215B">
        <w:t>krypto</w:t>
      </w:r>
      <w:r>
        <w:t>aktiva</w:t>
      </w:r>
      <w:proofErr w:type="spellEnd"/>
      <w:r w:rsidR="00626193">
        <w:t>,</w:t>
      </w:r>
      <w:r>
        <w:t xml:space="preserve"> například v podobě obrázku, jehož </w:t>
      </w:r>
      <w:proofErr w:type="spellStart"/>
      <w:r>
        <w:t>hash</w:t>
      </w:r>
      <w:proofErr w:type="spellEnd"/>
      <w:r>
        <w:t xml:space="preserve"> je zaznamenán v </w:t>
      </w:r>
      <w:proofErr w:type="spellStart"/>
      <w:r>
        <w:t>blockchainu</w:t>
      </w:r>
      <w:proofErr w:type="spellEnd"/>
      <w:r>
        <w:t>.</w:t>
      </w:r>
      <w:r w:rsidR="00626193">
        <w:t xml:space="preserve"> Jejich potenciál pro legalizaci výnosů z trestné činnosti a financování terorismu je dán tím, že v sobě spojují atributy výtvarného umění, tedy možnost v podstatě arbitrárního stanovení ceny, a atributy virtuálních aktiv, tedy možnost rychlého a pseudonymního převádění bez ohledu na hranice států. </w:t>
      </w:r>
    </w:p>
    <w:p w14:paraId="7A6F617A" w14:textId="7BC8975B" w:rsidR="00626193" w:rsidRDefault="00626193" w:rsidP="000C77D4">
      <w:r>
        <w:t>Na tuto skutečnost reaguje rovněž definice virtuálního aktiva podle Doporučení FATF:</w:t>
      </w:r>
    </w:p>
    <w:p w14:paraId="59636DC7" w14:textId="57728DF1" w:rsidR="00626193" w:rsidRPr="000C77D4" w:rsidRDefault="00626193" w:rsidP="000C77D4">
      <w:pPr>
        <w:rPr>
          <w:i/>
        </w:rPr>
      </w:pPr>
      <w:r w:rsidRPr="000C77D4">
        <w:rPr>
          <w:i/>
        </w:rPr>
        <w:t xml:space="preserve">„Virtuální aktivum je digitální reprezentace hodnoty, která může být digitálně obchodována nebo převáděna a může být použita pro platební nebo investiční účely. Virtuální aktiva nezahrnují digitální reprezentace </w:t>
      </w:r>
      <w:proofErr w:type="spellStart"/>
      <w:r w:rsidRPr="000C77D4">
        <w:rPr>
          <w:i/>
        </w:rPr>
        <w:t>fiat</w:t>
      </w:r>
      <w:proofErr w:type="spellEnd"/>
      <w:r w:rsidRPr="000C77D4">
        <w:rPr>
          <w:i/>
        </w:rPr>
        <w:t xml:space="preserve"> měn, cenných papírů a jiných finančních aktiv, která jsou již pokryta jinde v Doporučeních FATF.“</w:t>
      </w:r>
    </w:p>
    <w:p w14:paraId="24705035" w14:textId="4789428B" w:rsidR="00715351" w:rsidRDefault="00CE6A2A" w:rsidP="000C77D4">
      <w:r>
        <w:t xml:space="preserve">Jinými slovy, definice virtuálního aktiva podle FATF zahrnuje všechna </w:t>
      </w:r>
      <w:proofErr w:type="spellStart"/>
      <w:r w:rsidR="0006215B">
        <w:t>krypto</w:t>
      </w:r>
      <w:r>
        <w:t>aktiva</w:t>
      </w:r>
      <w:proofErr w:type="spellEnd"/>
      <w:r>
        <w:t xml:space="preserve"> podle nařízení </w:t>
      </w:r>
      <w:proofErr w:type="spellStart"/>
      <w:r>
        <w:t>MiCA</w:t>
      </w:r>
      <w:proofErr w:type="spellEnd"/>
      <w:r>
        <w:t xml:space="preserve">, s výjimkou těch, jež nejsou použitelná pro platební nebo investiční účely. Zahrnuje i ty </w:t>
      </w:r>
      <w:proofErr w:type="spellStart"/>
      <w:r w:rsidR="0006215B">
        <w:t>NFTs</w:t>
      </w:r>
      <w:proofErr w:type="spellEnd"/>
      <w:r>
        <w:t>, jež jsou použiteln</w:t>
      </w:r>
      <w:r w:rsidR="00A111B0">
        <w:t>é</w:t>
      </w:r>
      <w:r>
        <w:t xml:space="preserve"> alespoň pro jeden z těchto účelů. </w:t>
      </w:r>
      <w:r w:rsidR="00A111B0">
        <w:t xml:space="preserve">Definice virtuálního aktiva v AML směrnici tedy není v souladu s Doporučeními FATF. </w:t>
      </w:r>
    </w:p>
    <w:p w14:paraId="656103BA" w14:textId="077EAE9B" w:rsidR="00A111B0" w:rsidRDefault="004366E9" w:rsidP="000C77D4">
      <w:r>
        <w:lastRenderedPageBreak/>
        <w:t xml:space="preserve">Toho si všímá i návrh novely směrnice </w:t>
      </w:r>
      <w:r w:rsidRPr="004366E9">
        <w:t>Rady 2011/16/EU ze dne 15. února 2011 o správní spolupráci v oblasti daní a o zrušení směrnice 77/799/EHS</w:t>
      </w:r>
      <w:r>
        <w:t xml:space="preserve"> (dále jen DAC 8). </w:t>
      </w:r>
    </w:p>
    <w:p w14:paraId="21FD1BEB" w14:textId="179E5C46" w:rsidR="004366E9" w:rsidRDefault="00A83F30" w:rsidP="000C77D4">
      <w:r>
        <w:t xml:space="preserve">DAC 8 pracuje s definicí </w:t>
      </w:r>
      <w:proofErr w:type="spellStart"/>
      <w:r>
        <w:t>kryptoaktiva</w:t>
      </w:r>
      <w:proofErr w:type="spellEnd"/>
      <w:r>
        <w:t xml:space="preserve"> rovněž se odkazující na pozitivní definici </w:t>
      </w:r>
      <w:proofErr w:type="spellStart"/>
      <w:r>
        <w:t>krypto</w:t>
      </w:r>
      <w:r w:rsidR="0006215B">
        <w:t>ak</w:t>
      </w:r>
      <w:r>
        <w:t>tiva</w:t>
      </w:r>
      <w:proofErr w:type="spellEnd"/>
      <w:r w:rsidR="00C20AC5">
        <w:t xml:space="preserve"> podle</w:t>
      </w:r>
      <w:r>
        <w:t xml:space="preserve"> nařízení </w:t>
      </w:r>
      <w:proofErr w:type="spellStart"/>
      <w:r>
        <w:t>MiCA</w:t>
      </w:r>
      <w:proofErr w:type="spellEnd"/>
      <w:r>
        <w:t xml:space="preserve">, nicméně z ní nevylučuje ta </w:t>
      </w:r>
      <w:proofErr w:type="spellStart"/>
      <w:r w:rsidR="00C20AC5">
        <w:t>kryptoaktiva</w:t>
      </w:r>
      <w:proofErr w:type="spellEnd"/>
      <w:r w:rsidR="00C20AC5">
        <w:t xml:space="preserve">, </w:t>
      </w:r>
      <w:r w:rsidR="00C20AC5" w:rsidRPr="000C77D4">
        <w:t xml:space="preserve">která jsou jedinečná a nejsou zastupitelná jinými </w:t>
      </w:r>
      <w:proofErr w:type="spellStart"/>
      <w:r w:rsidR="00C20AC5" w:rsidRPr="000C77D4">
        <w:t>kryptoaktivy</w:t>
      </w:r>
      <w:proofErr w:type="spellEnd"/>
      <w:r w:rsidR="00C20AC5">
        <w:t xml:space="preserve">, pokud mají investiční nebo platební funkci. </w:t>
      </w:r>
    </w:p>
    <w:p w14:paraId="65464155" w14:textId="1E105BA2" w:rsidR="00C20AC5" w:rsidRDefault="00C20AC5" w:rsidP="000C77D4">
      <w:r>
        <w:t xml:space="preserve">Poskytovatelům služeb s takto definovanými </w:t>
      </w:r>
      <w:proofErr w:type="spellStart"/>
      <w:r>
        <w:t>kryptoaktivy</w:t>
      </w:r>
      <w:proofErr w:type="spellEnd"/>
      <w:r>
        <w:t xml:space="preserve"> ukládá zjišťovat ovládající osobu, která se pojmově kryje s definicí skutečného majitele ve smyslu Doporučení FATF. Zároveň stanoví, že poskytovatelé služeb s takto definovanými virtuálními aktivy</w:t>
      </w:r>
      <w:r w:rsidR="0006215B">
        <w:t>, kteří</w:t>
      </w:r>
      <w:r>
        <w:t xml:space="preserve"> nemají povinnost provádět AML opatření, by měli mít povinnost provádět opatření obdobná.</w:t>
      </w:r>
    </w:p>
    <w:p w14:paraId="46ADF2D2" w14:textId="12BBB0D2" w:rsidR="00C20AC5" w:rsidRDefault="00C20AC5" w:rsidP="000C77D4">
      <w:r>
        <w:t xml:space="preserve">Lze tedy shrnout, že DAC 8 za účelem boje proti daňovým </w:t>
      </w:r>
      <w:r w:rsidR="00D963CE">
        <w:t>p</w:t>
      </w:r>
      <w:r>
        <w:t>odvodům využívá synergie s AML/CFT opatřeními, a to i ve vztahu k poskytovatelům služeb spojeným s</w:t>
      </w:r>
      <w:r w:rsidR="00D963CE">
        <w:t> </w:t>
      </w:r>
      <w:proofErr w:type="spellStart"/>
      <w:r w:rsidR="0006215B">
        <w:t>NFTs</w:t>
      </w:r>
      <w:proofErr w:type="spellEnd"/>
      <w:r w:rsidR="00D963CE">
        <w:t>, které plní platební nebo investiční funkci.</w:t>
      </w:r>
    </w:p>
    <w:p w14:paraId="3AEF08F8" w14:textId="353F594B" w:rsidR="00D05B3A" w:rsidRDefault="00D963CE" w:rsidP="000C77D4">
      <w:r>
        <w:t xml:space="preserve">Tito poskytovatelé jsou poskytovateli služeb s virtuálním aktivem (a tedy povinnou osobou) i podle stávajícího znění AML zákona. </w:t>
      </w:r>
    </w:p>
    <w:p w14:paraId="5A51566E" w14:textId="21C7B4E1" w:rsidR="00D963CE" w:rsidRDefault="00D963CE" w:rsidP="000C77D4">
      <w:r>
        <w:t>Problém tedy tkví v rozhodnutí, zda zachovat</w:t>
      </w:r>
      <w:r w:rsidR="00F31364">
        <w:t xml:space="preserve"> stávající</w:t>
      </w:r>
      <w:r>
        <w:t xml:space="preserve"> povinnost plnit AML/CFT opatření podle AML zákona i ve vzt</w:t>
      </w:r>
      <w:r w:rsidR="00F31364">
        <w:t>ahu k poskytování</w:t>
      </w:r>
      <w:r>
        <w:t xml:space="preserve"> služ</w:t>
      </w:r>
      <w:r w:rsidR="00F31364">
        <w:t>e</w:t>
      </w:r>
      <w:r>
        <w:t>b spojeným s </w:t>
      </w:r>
      <w:proofErr w:type="spellStart"/>
      <w:r w:rsidR="00F31364" w:rsidRPr="00F31364">
        <w:t>NFTs</w:t>
      </w:r>
      <w:proofErr w:type="spellEnd"/>
      <w:r w:rsidR="00F31364" w:rsidRPr="00F31364">
        <w:t>, které plní platební nebo investiční funkci</w:t>
      </w:r>
      <w:r w:rsidR="00F31364">
        <w:t>, či zda tyto povinnosti zredukovat jen na zjišťování skutečného majitele.</w:t>
      </w:r>
    </w:p>
    <w:p w14:paraId="64C37A72" w14:textId="77777777" w:rsidR="00CE6A2A" w:rsidRDefault="00CE6A2A" w:rsidP="000C77D4"/>
    <w:p w14:paraId="0DA54B5F" w14:textId="77777777" w:rsidR="005D0C13" w:rsidRPr="00F97DE3" w:rsidRDefault="005D0C13" w:rsidP="005D0C13">
      <w:pPr>
        <w:pStyle w:val="Nadpis2"/>
      </w:pPr>
      <w:r w:rsidRPr="00F97DE3">
        <w:t>Popis existujícího právního stavu v dané oblasti</w:t>
      </w:r>
    </w:p>
    <w:p w14:paraId="19493536" w14:textId="77777777" w:rsidR="005D0C13" w:rsidRPr="005E4329" w:rsidRDefault="005D0C13" w:rsidP="005D0C13">
      <w:pPr>
        <w:rPr>
          <w:rFonts w:eastAsia="Calibri"/>
        </w:rPr>
      </w:pPr>
      <w:r w:rsidRPr="005E4329">
        <w:rPr>
          <w:rFonts w:eastAsia="Calibri"/>
        </w:rPr>
        <w:t>Existující stav upravují tyto právní předpisy:</w:t>
      </w:r>
    </w:p>
    <w:p w14:paraId="288B06DA" w14:textId="24603EAA" w:rsidR="005D0C13" w:rsidRDefault="005D0C13" w:rsidP="005D0C13">
      <w:pPr>
        <w:pStyle w:val="Odrky"/>
      </w:pPr>
      <w:r>
        <w:t>Zákon č. 253/2008 Sb., o některých opatřeních proti legalizaci výnosů z trestné činnosti a financování terorismu (dále jen „</w:t>
      </w:r>
      <w:r w:rsidRPr="005E4329">
        <w:t>AML zákon</w:t>
      </w:r>
      <w:r>
        <w:t>“),</w:t>
      </w:r>
    </w:p>
    <w:p w14:paraId="1B50BC87" w14:textId="65188815" w:rsidR="00D963CE" w:rsidRDefault="00D963CE" w:rsidP="000C77D4">
      <w:pPr>
        <w:pStyle w:val="Odrky"/>
      </w:pPr>
      <w:r>
        <w:t xml:space="preserve">Zákon č. 455/1993 Sb., </w:t>
      </w:r>
      <w:r w:rsidRPr="00D963CE">
        <w:t>o živnostenském podnikání</w:t>
      </w:r>
      <w:r>
        <w:t>,</w:t>
      </w:r>
    </w:p>
    <w:p w14:paraId="79297387" w14:textId="04E9EA83" w:rsidR="00D963CE" w:rsidRPr="000C77D4" w:rsidRDefault="007B5E66" w:rsidP="000C77D4">
      <w:pPr>
        <w:pStyle w:val="Odrky"/>
      </w:pPr>
      <w:r>
        <w:t xml:space="preserve">Nařízení vlády č. </w:t>
      </w:r>
      <w:r w:rsidRPr="007B5E66">
        <w:t>278/2008 Sb.</w:t>
      </w:r>
      <w:r>
        <w:t>,</w:t>
      </w:r>
      <w:r w:rsidRPr="007B5E66">
        <w:t xml:space="preserve"> o obsahových náplních jednotlivých živnost</w:t>
      </w:r>
      <w:r>
        <w:t>í.</w:t>
      </w:r>
    </w:p>
    <w:p w14:paraId="03123F85" w14:textId="77777777" w:rsidR="00D963CE" w:rsidRPr="000C77D4" w:rsidRDefault="00D963CE" w:rsidP="000C77D4"/>
    <w:p w14:paraId="01A76CBA" w14:textId="77777777" w:rsidR="005D0C13" w:rsidRPr="00F97DE3" w:rsidRDefault="005D0C13" w:rsidP="005D0C13">
      <w:pPr>
        <w:pStyle w:val="Nadpis2"/>
      </w:pPr>
      <w:r w:rsidRPr="00F97DE3">
        <w:t>Identifikace dotčených subjektů</w:t>
      </w:r>
    </w:p>
    <w:p w14:paraId="0F02D5CB" w14:textId="7976E144" w:rsidR="005D0C13" w:rsidRPr="00F97DE3" w:rsidRDefault="005D0C13" w:rsidP="005D0C13">
      <w:pPr>
        <w:pStyle w:val="Nadpisyvtextu"/>
      </w:pPr>
      <w:r>
        <w:t xml:space="preserve">Osoby, </w:t>
      </w:r>
      <w:r w:rsidR="00D963CE">
        <w:t xml:space="preserve">které poskytují služby spojené s </w:t>
      </w:r>
      <w:proofErr w:type="spellStart"/>
      <w:r w:rsidR="00D963CE">
        <w:t>kryptoaktivy</w:t>
      </w:r>
      <w:proofErr w:type="spellEnd"/>
      <w:r w:rsidR="00D963CE" w:rsidRPr="00D963CE">
        <w:t xml:space="preserve">, která jsou jedinečná a nejsou zastupitelná jinými </w:t>
      </w:r>
      <w:proofErr w:type="spellStart"/>
      <w:r w:rsidR="00D963CE" w:rsidRPr="00D963CE">
        <w:t>kryptoaktivy</w:t>
      </w:r>
      <w:proofErr w:type="spellEnd"/>
      <w:r w:rsidR="00D963CE" w:rsidRPr="00D963CE">
        <w:t>, pokud mají investiční nebo platební funkci</w:t>
      </w:r>
    </w:p>
    <w:p w14:paraId="7AD08564" w14:textId="65B10922" w:rsidR="005D0C13" w:rsidRDefault="00D963CE" w:rsidP="005D0C13">
      <w:r>
        <w:t xml:space="preserve">Tyto osoby jsou podle </w:t>
      </w:r>
      <w:r w:rsidR="007B5E66">
        <w:t xml:space="preserve">stávajícího znění AML zákona povinnými osobami. Podle kvalifikovaného odhadu Finančního analytického úřadu jich v České republice aktivně působí kolem třiceti. </w:t>
      </w:r>
      <w:r w:rsidR="00FD4C5E">
        <w:t xml:space="preserve">Zároveň poskytují služby spojené i s jinými </w:t>
      </w:r>
      <w:proofErr w:type="spellStart"/>
      <w:r w:rsidR="00FD4C5E">
        <w:t>kryptoaktivy</w:t>
      </w:r>
      <w:proofErr w:type="spellEnd"/>
      <w:r w:rsidR="00FD4C5E">
        <w:t>.</w:t>
      </w:r>
    </w:p>
    <w:p w14:paraId="2C9A3EF5" w14:textId="77777777" w:rsidR="005D0C13" w:rsidRPr="00F97DE3" w:rsidRDefault="005D0C13" w:rsidP="005D0C13"/>
    <w:p w14:paraId="346E1558" w14:textId="77777777" w:rsidR="005D0C13" w:rsidRPr="00F97DE3" w:rsidRDefault="005D0C13" w:rsidP="005D0C13">
      <w:pPr>
        <w:pStyle w:val="Nadpis2"/>
      </w:pPr>
      <w:r w:rsidRPr="00F97DE3">
        <w:t>Popis cílového stavu</w:t>
      </w:r>
    </w:p>
    <w:p w14:paraId="7E35B0B9" w14:textId="5E0D3A41" w:rsidR="005D0C13" w:rsidRPr="00F97DE3" w:rsidRDefault="005D0C13" w:rsidP="005D0C13">
      <w:r w:rsidRPr="00F97DE3">
        <w:t xml:space="preserve">Cílem je </w:t>
      </w:r>
      <w:r>
        <w:t xml:space="preserve">zajištění stavu, </w:t>
      </w:r>
      <w:r w:rsidR="007B5E66">
        <w:t>kdy bude nalezena rovnováha mezi ochranou finančního systému České republiky před legalizací výnosů z trestné činnosti a financování terorismu</w:t>
      </w:r>
      <w:r w:rsidR="00F31364">
        <w:t xml:space="preserve"> (dále také </w:t>
      </w:r>
      <w:r w:rsidR="00F31364">
        <w:lastRenderedPageBreak/>
        <w:t>„ML/TF“)</w:t>
      </w:r>
      <w:r w:rsidR="007B5E66">
        <w:t>, souladu s Doporučeními FATF, efektivní</w:t>
      </w:r>
      <w:r w:rsidR="00FD4C5E">
        <w:t xml:space="preserve"> implementací</w:t>
      </w:r>
      <w:r w:rsidR="007B5E66">
        <w:t xml:space="preserve"> směrnice DAC 8 a minimalizací nákladů pro dotčené osoby. </w:t>
      </w:r>
    </w:p>
    <w:p w14:paraId="6CC9AEA7" w14:textId="77777777" w:rsidR="005D0C13" w:rsidRPr="00F97DE3" w:rsidRDefault="005D0C13" w:rsidP="005D0C13">
      <w:pPr>
        <w:pStyle w:val="Nadpis2"/>
      </w:pPr>
      <w:r w:rsidRPr="00F97DE3">
        <w:t>Zhodnocení rizika</w:t>
      </w:r>
    </w:p>
    <w:p w14:paraId="103E29D7" w14:textId="77777777" w:rsidR="005D0C13" w:rsidRPr="00F97DE3" w:rsidRDefault="005D0C13" w:rsidP="005D0C13">
      <w:r w:rsidRPr="00F97DE3">
        <w:t>V souvislosti s daným tématem nebyla žádná rizika identifikována.</w:t>
      </w:r>
    </w:p>
    <w:p w14:paraId="3BD7E99C" w14:textId="77777777" w:rsidR="005D0C13" w:rsidRPr="00F97DE3" w:rsidRDefault="005D0C13" w:rsidP="005D0C13">
      <w:pPr>
        <w:pStyle w:val="Nadpis1"/>
      </w:pPr>
      <w:bookmarkStart w:id="145" w:name="_Toc146204908"/>
      <w:r w:rsidRPr="00F97DE3">
        <w:t>Návrh variant řešení</w:t>
      </w:r>
      <w:bookmarkEnd w:id="145"/>
    </w:p>
    <w:p w14:paraId="6529CA9B" w14:textId="77777777" w:rsidR="005D0C13" w:rsidRPr="00F97DE3" w:rsidRDefault="005D0C13" w:rsidP="005D0C13">
      <w:pPr>
        <w:pStyle w:val="Nadpis2"/>
      </w:pPr>
      <w:r w:rsidRPr="00F97DE3">
        <w:t>Popis variant řešení</w:t>
      </w:r>
    </w:p>
    <w:p w14:paraId="0F4E7A59" w14:textId="3C80BCB6" w:rsidR="005D0C13" w:rsidRPr="00F97DE3" w:rsidRDefault="005D0C13" w:rsidP="005D0C13">
      <w:pPr>
        <w:rPr>
          <w:rStyle w:val="Styl11bTunVechnavelk"/>
          <w:bCs w:val="0"/>
          <w:caps w:val="0"/>
          <w:szCs w:val="24"/>
          <w:u w:val="single"/>
        </w:rPr>
      </w:pPr>
      <w:r w:rsidRPr="00F97DE3">
        <w:rPr>
          <w:rStyle w:val="Styl11bTunVechnavelk"/>
          <w:bCs w:val="0"/>
          <w:caps w:val="0"/>
          <w:szCs w:val="24"/>
          <w:u w:val="single"/>
        </w:rPr>
        <w:t xml:space="preserve">VARIANTA </w:t>
      </w:r>
      <w:r>
        <w:rPr>
          <w:rStyle w:val="Styl11bTunVechnavelk"/>
          <w:bCs w:val="0"/>
          <w:caps w:val="0"/>
          <w:szCs w:val="24"/>
          <w:u w:val="single"/>
        </w:rPr>
        <w:t xml:space="preserve">1 – </w:t>
      </w:r>
      <w:r w:rsidR="00FD4C5E">
        <w:rPr>
          <w:rStyle w:val="Styl11bTunVechnavelk"/>
          <w:bCs w:val="0"/>
          <w:caps w:val="0"/>
          <w:szCs w:val="24"/>
          <w:u w:val="single"/>
        </w:rPr>
        <w:t>Zachování stávajícího stavu</w:t>
      </w:r>
    </w:p>
    <w:p w14:paraId="1166017C" w14:textId="13BE3B03" w:rsidR="00FD4C5E" w:rsidRDefault="00F31364" w:rsidP="005D0C13">
      <w:pPr>
        <w:rPr>
          <w:rStyle w:val="Styl11bTunVechnavelk"/>
          <w:b w:val="0"/>
          <w:bCs w:val="0"/>
          <w:caps w:val="0"/>
          <w:szCs w:val="24"/>
        </w:rPr>
      </w:pPr>
      <w:r>
        <w:rPr>
          <w:rStyle w:val="Styl11bTunVechnavelk"/>
          <w:b w:val="0"/>
          <w:bCs w:val="0"/>
          <w:caps w:val="0"/>
          <w:szCs w:val="24"/>
        </w:rPr>
        <w:t>Poskytovatelé služeb s </w:t>
      </w:r>
      <w:proofErr w:type="spellStart"/>
      <w:r>
        <w:t>NFTs</w:t>
      </w:r>
      <w:proofErr w:type="spellEnd"/>
      <w:r>
        <w:t>, které plní platební nebo investiční funkci, by byli i nadále povinnou osobou podle AML zákona a plnily všechny povinnosti z něj plynoucí.</w:t>
      </w:r>
      <w:r>
        <w:rPr>
          <w:rStyle w:val="Styl11bTunVechnavelk"/>
          <w:b w:val="0"/>
          <w:bCs w:val="0"/>
          <w:caps w:val="0"/>
          <w:szCs w:val="24"/>
        </w:rPr>
        <w:t xml:space="preserve"> </w:t>
      </w:r>
    </w:p>
    <w:p w14:paraId="5106C5B2" w14:textId="77777777" w:rsidR="005D0C13" w:rsidRDefault="005D0C13" w:rsidP="005D0C13">
      <w:pPr>
        <w:rPr>
          <w:rStyle w:val="Styl11bTunVechnavelk"/>
          <w:b w:val="0"/>
          <w:bCs w:val="0"/>
          <w:caps w:val="0"/>
          <w:szCs w:val="24"/>
        </w:rPr>
      </w:pPr>
    </w:p>
    <w:p w14:paraId="0BDB2A63" w14:textId="7485E86B" w:rsidR="005D0C13" w:rsidRPr="00F97DE3" w:rsidRDefault="005D0C13" w:rsidP="005D0C13">
      <w:pPr>
        <w:rPr>
          <w:rStyle w:val="Styl11bTunVechnavelk"/>
          <w:bCs w:val="0"/>
          <w:caps w:val="0"/>
          <w:szCs w:val="24"/>
          <w:u w:val="single"/>
        </w:rPr>
      </w:pPr>
      <w:r w:rsidRPr="00F97DE3">
        <w:rPr>
          <w:rStyle w:val="Styl11bTunVechnavelk"/>
          <w:bCs w:val="0"/>
          <w:caps w:val="0"/>
          <w:szCs w:val="24"/>
          <w:u w:val="single"/>
        </w:rPr>
        <w:t xml:space="preserve">VARIANTA </w:t>
      </w:r>
      <w:r>
        <w:rPr>
          <w:rStyle w:val="Styl11bTunVechnavelk"/>
          <w:bCs w:val="0"/>
          <w:caps w:val="0"/>
          <w:szCs w:val="24"/>
          <w:u w:val="single"/>
        </w:rPr>
        <w:t>2 </w:t>
      </w:r>
      <w:r w:rsidRPr="00F97DE3">
        <w:rPr>
          <w:rStyle w:val="Styl11bTunVechnavelk"/>
          <w:bCs w:val="0"/>
          <w:caps w:val="0"/>
          <w:szCs w:val="24"/>
          <w:u w:val="single"/>
        </w:rPr>
        <w:t xml:space="preserve">– </w:t>
      </w:r>
      <w:r w:rsidR="00FD4C5E">
        <w:rPr>
          <w:rStyle w:val="Styl11bTunVechnavelk"/>
          <w:bCs w:val="0"/>
          <w:caps w:val="0"/>
          <w:szCs w:val="24"/>
          <w:u w:val="single"/>
        </w:rPr>
        <w:t>Uložení povinnosti dotčeným osobám v souvislosti s NFT zjišťovat pouze skutečného majitele</w:t>
      </w:r>
    </w:p>
    <w:p w14:paraId="1769B9C9" w14:textId="77777777" w:rsidR="008230E4" w:rsidRDefault="00F31364" w:rsidP="005D0C13">
      <w:pPr>
        <w:rPr>
          <w:rStyle w:val="Styl11bTunVechnavelk"/>
          <w:b w:val="0"/>
          <w:bCs w:val="0"/>
          <w:caps w:val="0"/>
          <w:szCs w:val="24"/>
        </w:rPr>
      </w:pPr>
      <w:r>
        <w:rPr>
          <w:rStyle w:val="Styl11bTunVechnavelk"/>
          <w:b w:val="0"/>
          <w:bCs w:val="0"/>
          <w:caps w:val="0"/>
          <w:szCs w:val="24"/>
        </w:rPr>
        <w:t>Poskytovatelé služeb s </w:t>
      </w:r>
      <w:proofErr w:type="spellStart"/>
      <w:r>
        <w:t>NFTs</w:t>
      </w:r>
      <w:proofErr w:type="spellEnd"/>
      <w:r>
        <w:t>, které plní platební nebo investiční funkci, by</w:t>
      </w:r>
      <w:r w:rsidDel="00FD4C5E">
        <w:rPr>
          <w:rStyle w:val="Styl11bTunVechnavelk"/>
          <w:b w:val="0"/>
          <w:bCs w:val="0"/>
          <w:caps w:val="0"/>
          <w:szCs w:val="24"/>
        </w:rPr>
        <w:t xml:space="preserve"> </w:t>
      </w:r>
      <w:r w:rsidR="008230E4">
        <w:rPr>
          <w:rStyle w:val="Styl11bTunVechnavelk"/>
          <w:b w:val="0"/>
          <w:bCs w:val="0"/>
          <w:caps w:val="0"/>
          <w:szCs w:val="24"/>
        </w:rPr>
        <w:t xml:space="preserve">plnili jen povinnost podle § 9 odst. 2 písm. b) AML zákona. </w:t>
      </w:r>
    </w:p>
    <w:p w14:paraId="2A11C536" w14:textId="77777777" w:rsidR="005D0C13" w:rsidRDefault="005D0C13" w:rsidP="005D0C13">
      <w:pPr>
        <w:rPr>
          <w:rStyle w:val="Styl11bTunVechnavelk"/>
          <w:b w:val="0"/>
          <w:bCs w:val="0"/>
          <w:caps w:val="0"/>
          <w:szCs w:val="24"/>
        </w:rPr>
      </w:pPr>
    </w:p>
    <w:p w14:paraId="06C76730" w14:textId="77777777" w:rsidR="005D0C13" w:rsidRPr="00F97DE3" w:rsidRDefault="005D0C13" w:rsidP="005D0C13">
      <w:pPr>
        <w:pStyle w:val="Nadpis2"/>
      </w:pPr>
      <w:r w:rsidRPr="00F97DE3">
        <w:t>Přizpůsobení variant regulaci a její vynucování</w:t>
      </w:r>
    </w:p>
    <w:p w14:paraId="2ACE4341" w14:textId="77777777" w:rsidR="005D0C13" w:rsidRDefault="005D0C13" w:rsidP="005D0C13">
      <w:r w:rsidRPr="00F97DE3">
        <w:t>Vzhledem k tomu, že se žádná z navrhovaných variant nedá vyloučit pro její nerealizovatelnost, nebo pro rozpor s ústavním pořádkem nebo právem Evropské unie, budou všechny navržené varianty dále analyzovány.</w:t>
      </w:r>
      <w:r>
        <w:t xml:space="preserve"> </w:t>
      </w:r>
    </w:p>
    <w:p w14:paraId="27EB2615" w14:textId="77777777" w:rsidR="005D0C13" w:rsidRPr="00F97DE3" w:rsidRDefault="005D0C13" w:rsidP="005D0C13">
      <w:pPr>
        <w:pStyle w:val="Nadpis1"/>
      </w:pPr>
      <w:bookmarkStart w:id="146" w:name="_Toc146204909"/>
      <w:r w:rsidRPr="00F97DE3">
        <w:t>Identifikace a vyhodnocení nákladů a přínosů</w:t>
      </w:r>
      <w:bookmarkEnd w:id="146"/>
    </w:p>
    <w:p w14:paraId="0320A8E8" w14:textId="77777777" w:rsidR="005D0C13" w:rsidRPr="00F97DE3" w:rsidRDefault="005D0C13" w:rsidP="005D0C13">
      <w:pPr>
        <w:pStyle w:val="Nadpis2"/>
      </w:pPr>
      <w:r w:rsidRPr="00F97DE3">
        <w:t>Identifikace nákladů a</w:t>
      </w:r>
      <w:r>
        <w:t> </w:t>
      </w:r>
      <w:r w:rsidRPr="00F97DE3">
        <w:t>přínosů</w:t>
      </w:r>
    </w:p>
    <w:p w14:paraId="16FC8561" w14:textId="77777777" w:rsidR="005D0C13" w:rsidRPr="00F97DE3" w:rsidRDefault="005D0C13" w:rsidP="005D0C13">
      <w:r w:rsidRPr="00F97DE3">
        <w:t>Výše uvedené varianty byly vyhodnoceny podle kritérií, která pokrývají klady a</w:t>
      </w:r>
      <w:r>
        <w:t> </w:t>
      </w:r>
      <w:r w:rsidRPr="00F97DE3">
        <w:t>zápory (resp. přínosy a</w:t>
      </w:r>
      <w:r>
        <w:t> </w:t>
      </w:r>
      <w:r w:rsidRPr="00F97DE3">
        <w:t xml:space="preserve">náklady) jednotlivých navržených variant. </w:t>
      </w:r>
    </w:p>
    <w:p w14:paraId="70959D73" w14:textId="77777777" w:rsidR="005D0C13" w:rsidRPr="00F97DE3" w:rsidRDefault="005D0C13" w:rsidP="005D0C13">
      <w:r w:rsidRPr="00F97DE3">
        <w:t>Jako hlavní hodnotící kritéria byla identifikována:</w:t>
      </w:r>
    </w:p>
    <w:p w14:paraId="36C632FF" w14:textId="62A31CD1" w:rsidR="005D0C13" w:rsidRPr="00F97DE3" w:rsidRDefault="008230E4" w:rsidP="005D0C13">
      <w:pPr>
        <w:pStyle w:val="Odstavecseseznamem"/>
        <w:numPr>
          <w:ilvl w:val="0"/>
          <w:numId w:val="28"/>
        </w:numPr>
      </w:pPr>
      <w:r w:rsidRPr="008230E4">
        <w:t>Ochrana finančního systému České republiky před ML/TF</w:t>
      </w:r>
      <w:r>
        <w:t>,</w:t>
      </w:r>
      <w:r w:rsidRPr="008230E4" w:rsidDel="008230E4">
        <w:t xml:space="preserve"> </w:t>
      </w:r>
    </w:p>
    <w:p w14:paraId="6C9F41F7" w14:textId="26955718" w:rsidR="005D0C13" w:rsidRDefault="008230E4" w:rsidP="008230E4">
      <w:pPr>
        <w:pStyle w:val="Odstavecseseznamem"/>
        <w:numPr>
          <w:ilvl w:val="0"/>
          <w:numId w:val="28"/>
        </w:numPr>
      </w:pPr>
      <w:r w:rsidRPr="008230E4">
        <w:t>Soulad s Doporučeními FATF</w:t>
      </w:r>
      <w:r>
        <w:t xml:space="preserve">, </w:t>
      </w:r>
    </w:p>
    <w:p w14:paraId="1C2377C9" w14:textId="77777777" w:rsidR="008230E4" w:rsidRDefault="008230E4" w:rsidP="008230E4">
      <w:pPr>
        <w:pStyle w:val="Odstavecseseznamem"/>
        <w:numPr>
          <w:ilvl w:val="0"/>
          <w:numId w:val="28"/>
        </w:numPr>
      </w:pPr>
      <w:r w:rsidRPr="008230E4">
        <w:t>Efektivní implementace směrnice DAC 8</w:t>
      </w:r>
      <w:r>
        <w:t xml:space="preserve">, </w:t>
      </w:r>
    </w:p>
    <w:p w14:paraId="34B29F10" w14:textId="4A3AED0A" w:rsidR="005D0C13" w:rsidRPr="00F97DE3" w:rsidRDefault="008230E4" w:rsidP="008230E4">
      <w:pPr>
        <w:pStyle w:val="Odstavecseseznamem"/>
        <w:numPr>
          <w:ilvl w:val="0"/>
          <w:numId w:val="28"/>
        </w:numPr>
      </w:pPr>
      <w:r w:rsidRPr="008230E4">
        <w:t>Minimalizace nákladů pro dotčené osoby</w:t>
      </w:r>
    </w:p>
    <w:p w14:paraId="438CE5E1" w14:textId="77777777" w:rsidR="005D0C13" w:rsidRDefault="005D0C13" w:rsidP="005D0C13"/>
    <w:p w14:paraId="203BC05D" w14:textId="77777777" w:rsidR="008230E4" w:rsidRDefault="008230E4" w:rsidP="005D0C13">
      <w:r w:rsidRPr="008230E4">
        <w:rPr>
          <w:u w:val="single"/>
        </w:rPr>
        <w:t>Ochrana finančního systému České republiky před ML/TF</w:t>
      </w:r>
    </w:p>
    <w:p w14:paraId="0F5BC401" w14:textId="35693F65" w:rsidR="005D0C13" w:rsidRPr="00F97DE3" w:rsidRDefault="008230E4" w:rsidP="005D0C13">
      <w:pPr>
        <w:rPr>
          <w:u w:val="single"/>
        </w:rPr>
      </w:pPr>
      <w:r>
        <w:lastRenderedPageBreak/>
        <w:t xml:space="preserve">Testuje varianty z hlediska ochrany finančního systému České republiky před ML/TF za využití </w:t>
      </w:r>
      <w:proofErr w:type="spellStart"/>
      <w:r w:rsidRPr="008230E4">
        <w:t>NFTs</w:t>
      </w:r>
      <w:proofErr w:type="spellEnd"/>
      <w:r w:rsidRPr="008230E4">
        <w:t>, které plní platební nebo investiční funkci</w:t>
      </w:r>
      <w:r>
        <w:t>.</w:t>
      </w:r>
      <w:r w:rsidRPr="008230E4" w:rsidDel="008230E4">
        <w:t xml:space="preserve"> </w:t>
      </w:r>
    </w:p>
    <w:p w14:paraId="632D72FF" w14:textId="2AD85F1A" w:rsidR="005D0C13" w:rsidRPr="001A41A4" w:rsidRDefault="008230E4" w:rsidP="005D0C13">
      <w:pPr>
        <w:rPr>
          <w:u w:val="single"/>
        </w:rPr>
      </w:pPr>
      <w:r w:rsidRPr="008351C4">
        <w:rPr>
          <w:u w:val="single"/>
        </w:rPr>
        <w:t>Soulad s Doporučeními FATF</w:t>
      </w:r>
    </w:p>
    <w:p w14:paraId="61A19C57" w14:textId="62FA1A53" w:rsidR="005D0C13" w:rsidRDefault="005D0C13" w:rsidP="005D0C13">
      <w:r>
        <w:t>Testuje varianty z</w:t>
      </w:r>
      <w:r w:rsidR="008230E4">
        <w:t> hlediska souladu s Doporučeními FATF.</w:t>
      </w:r>
    </w:p>
    <w:p w14:paraId="0FF7B18A" w14:textId="2FD0BB8B" w:rsidR="005D0C13" w:rsidRPr="009016A6" w:rsidRDefault="008230E4" w:rsidP="005D0C13">
      <w:pPr>
        <w:rPr>
          <w:u w:val="single"/>
        </w:rPr>
      </w:pPr>
      <w:r w:rsidRPr="008351C4">
        <w:rPr>
          <w:u w:val="single"/>
        </w:rPr>
        <w:t>Efektivní implementace směrnice DAC 8</w:t>
      </w:r>
    </w:p>
    <w:p w14:paraId="2C62BF3F" w14:textId="75B791B8" w:rsidR="005D0C13" w:rsidRDefault="005D0C13" w:rsidP="005D0C13">
      <w:r>
        <w:t xml:space="preserve">Testuje varianty z pohledu </w:t>
      </w:r>
      <w:r w:rsidR="008230E4">
        <w:t>e</w:t>
      </w:r>
      <w:r w:rsidR="008230E4" w:rsidRPr="008230E4">
        <w:t>fektivní implementace směrnice DAC 8</w:t>
      </w:r>
      <w:r w:rsidR="008230E4">
        <w:t xml:space="preserve">. Jde o to, zda bude </w:t>
      </w:r>
      <w:r w:rsidR="002D2663">
        <w:t>naplněna nejen litera této směrnice, ale i zda bude dosaženo jejího účelu, tedy zabránění daňovým únikům.</w:t>
      </w:r>
    </w:p>
    <w:p w14:paraId="7EF8CC7F" w14:textId="17D9B2CB" w:rsidR="002D2663" w:rsidRDefault="002D2663" w:rsidP="005D0C13">
      <w:r w:rsidRPr="008351C4">
        <w:rPr>
          <w:u w:val="single"/>
        </w:rPr>
        <w:t>Minimalizace nákladů pro dotčené osoby</w:t>
      </w:r>
    </w:p>
    <w:p w14:paraId="15ACC7A7" w14:textId="7F3C737D" w:rsidR="002D2663" w:rsidRPr="000C77D4" w:rsidRDefault="002D2663" w:rsidP="005D0C13">
      <w:r>
        <w:t xml:space="preserve">Testuje varianty z pohledu nákladů pro dotčené osoby, které jim vzniknou v souvislosti s plněním předmětných povinností. </w:t>
      </w:r>
    </w:p>
    <w:p w14:paraId="634F8BA2" w14:textId="77777777" w:rsidR="005D0C13" w:rsidRPr="00F97DE3" w:rsidRDefault="005D0C13" w:rsidP="005D0C13">
      <w:pPr>
        <w:pStyle w:val="Nadpis2"/>
      </w:pPr>
      <w:r w:rsidRPr="00F97DE3">
        <w:t>Vyhodnocení variant</w:t>
      </w:r>
    </w:p>
    <w:p w14:paraId="7DACA515" w14:textId="1EAF766C" w:rsidR="005D0C13" w:rsidRPr="00F97DE3" w:rsidRDefault="005D0C13" w:rsidP="002D2663">
      <w:pPr>
        <w:pStyle w:val="Nadpis3"/>
      </w:pPr>
      <w:r w:rsidRPr="00F97DE3">
        <w:t xml:space="preserve">Varianta </w:t>
      </w:r>
      <w:r>
        <w:t xml:space="preserve">1 – </w:t>
      </w:r>
      <w:r w:rsidR="002D2663" w:rsidRPr="002D2663">
        <w:t>Zachování stávajícího stavu</w:t>
      </w:r>
    </w:p>
    <w:p w14:paraId="634611A9" w14:textId="6C2D5F9A" w:rsidR="005D0C13" w:rsidRDefault="002D2663" w:rsidP="005D0C13">
      <w:pPr>
        <w:keepNext/>
        <w:rPr>
          <w:u w:val="single"/>
        </w:rPr>
      </w:pPr>
      <w:r w:rsidRPr="008351C4">
        <w:rPr>
          <w:u w:val="single"/>
        </w:rPr>
        <w:t>Ochrana finančního systému České republiky před ML/TF</w:t>
      </w:r>
      <w:r w:rsidDel="002D2663">
        <w:rPr>
          <w:u w:val="single"/>
        </w:rPr>
        <w:t xml:space="preserve"> </w:t>
      </w:r>
    </w:p>
    <w:p w14:paraId="12206421" w14:textId="2155C513" w:rsidR="005D0C13" w:rsidRPr="001A41A4" w:rsidRDefault="002D2663" w:rsidP="005D0C13">
      <w:r>
        <w:t xml:space="preserve">Varianta 1 v tomto směru dosahuje maximálního možného standardu. Její výhodou je skutečnost, že je v souladu s Doporučeními FATF: Nehrozí tedy, že by se Česká republika stala vyhledávanou destinací pro ML pomocí </w:t>
      </w:r>
      <w:proofErr w:type="spellStart"/>
      <w:r>
        <w:t>NFTs</w:t>
      </w:r>
      <w:proofErr w:type="spellEnd"/>
      <w:r>
        <w:t xml:space="preserve"> z důvodu, že uplatňuje méně robustní opatření, než jiné státy. </w:t>
      </w:r>
    </w:p>
    <w:p w14:paraId="7FADF065" w14:textId="3B00E500" w:rsidR="005D0C13" w:rsidRDefault="002D2663" w:rsidP="005D0C13">
      <w:pPr>
        <w:rPr>
          <w:u w:val="single"/>
        </w:rPr>
      </w:pPr>
      <w:r w:rsidRPr="008351C4">
        <w:rPr>
          <w:u w:val="single"/>
        </w:rPr>
        <w:t>Soulad s Doporučeními FATF</w:t>
      </w:r>
      <w:r w:rsidDel="002D2663">
        <w:rPr>
          <w:u w:val="single"/>
        </w:rPr>
        <w:t xml:space="preserve"> </w:t>
      </w:r>
    </w:p>
    <w:p w14:paraId="4EEC4B8D" w14:textId="2BA3CCF9" w:rsidR="005D0C13" w:rsidRDefault="002D2663" w:rsidP="005D0C13">
      <w:r>
        <w:t>Varianta 1 je plně v souladu s Doporučeními FATF. Nehrozí tedy, že by zvyšovala riziko zařazení České republiky na šedý seznam FATF.</w:t>
      </w:r>
    </w:p>
    <w:p w14:paraId="5A1B399C" w14:textId="45FB2AA6" w:rsidR="005D0C13" w:rsidRPr="00EB63B1" w:rsidRDefault="002D2663" w:rsidP="005D0C13">
      <w:pPr>
        <w:rPr>
          <w:u w:val="single"/>
        </w:rPr>
      </w:pPr>
      <w:r w:rsidRPr="008351C4">
        <w:rPr>
          <w:u w:val="single"/>
        </w:rPr>
        <w:t>Efektivní implementace směrnice DAC 8</w:t>
      </w:r>
    </w:p>
    <w:p w14:paraId="617E0A42" w14:textId="463A38E4" w:rsidR="005D0C13" w:rsidRDefault="002D2663" w:rsidP="005D0C13">
      <w:r>
        <w:t xml:space="preserve">Provádění celé palety AML/CFT opatření </w:t>
      </w:r>
      <w:r w:rsidR="003B14BC">
        <w:t xml:space="preserve">pomáhá odhalovat daňové úniky (daňová trestná činnost je významným zdrojovým trestným činem pro ML). </w:t>
      </w:r>
      <w:proofErr w:type="gramStart"/>
      <w:r w:rsidR="003B14BC">
        <w:t>V tomto</w:t>
      </w:r>
      <w:proofErr w:type="gramEnd"/>
      <w:r w:rsidR="003B14BC">
        <w:t xml:space="preserve"> směru je předmětná varianta výhodná i z pohledu hodnocení efektivity opatření proti daňovým únikům, které provádění </w:t>
      </w:r>
      <w:proofErr w:type="gramStart"/>
      <w:r w:rsidR="003B14BC">
        <w:t>OECD.</w:t>
      </w:r>
      <w:proofErr w:type="gramEnd"/>
      <w:r w:rsidR="003B14BC">
        <w:t xml:space="preserve"> </w:t>
      </w:r>
    </w:p>
    <w:p w14:paraId="7B430FBB" w14:textId="26E6F6E3" w:rsidR="003B14BC" w:rsidRDefault="003B14BC" w:rsidP="005D0C13">
      <w:pPr>
        <w:rPr>
          <w:u w:val="single"/>
        </w:rPr>
      </w:pPr>
      <w:r w:rsidRPr="008351C4">
        <w:rPr>
          <w:u w:val="single"/>
        </w:rPr>
        <w:t>Minimalizace nákladů pro dotčené osoby</w:t>
      </w:r>
    </w:p>
    <w:p w14:paraId="059A350A" w14:textId="49632CF1" w:rsidR="003B14BC" w:rsidRPr="000C77D4" w:rsidRDefault="003B14BC" w:rsidP="005D0C13">
      <w:r>
        <w:t>Varianta přináší oproti variantě 2 dodatečné náklady například v souvislosti s prováděním identifikace klienta.</w:t>
      </w:r>
    </w:p>
    <w:p w14:paraId="3B5C7818" w14:textId="42A56044" w:rsidR="005D0C13" w:rsidRPr="00F97DE3" w:rsidRDefault="005D0C13" w:rsidP="003B14BC">
      <w:pPr>
        <w:pStyle w:val="Nadpis3"/>
      </w:pPr>
      <w:r w:rsidRPr="00F97DE3">
        <w:t xml:space="preserve">Varianta </w:t>
      </w:r>
      <w:r>
        <w:t xml:space="preserve">2 </w:t>
      </w:r>
      <w:r w:rsidRPr="00F97DE3">
        <w:t xml:space="preserve">– </w:t>
      </w:r>
      <w:r w:rsidR="003B14BC" w:rsidRPr="003B14BC">
        <w:t>Uložení povinnosti dotčeným osobám v souvislosti s NFT zjišťovat pouze skutečného majitele</w:t>
      </w:r>
    </w:p>
    <w:p w14:paraId="3397A54C" w14:textId="77777777" w:rsidR="003B14BC" w:rsidRDefault="003B14BC" w:rsidP="003B14BC">
      <w:pPr>
        <w:keepNext/>
        <w:rPr>
          <w:u w:val="single"/>
        </w:rPr>
      </w:pPr>
      <w:r w:rsidRPr="008351C4">
        <w:rPr>
          <w:u w:val="single"/>
        </w:rPr>
        <w:t>Ochrana finančního systému České republiky před ML/TF</w:t>
      </w:r>
      <w:r w:rsidDel="002D2663">
        <w:rPr>
          <w:u w:val="single"/>
        </w:rPr>
        <w:t xml:space="preserve"> </w:t>
      </w:r>
    </w:p>
    <w:p w14:paraId="195460DE" w14:textId="4B24F1CE" w:rsidR="003B14BC" w:rsidRDefault="003B14BC" w:rsidP="003B14BC">
      <w:r>
        <w:t>Varianta 2 efektivní ochranu nezajistí. AML/CFT opatření vytvářejí vnitřně propojený systém využívající synergie mezi jeho jednotlivými prvky. Z tohoto kontextu vytržené opatření spočívající ve zjišťování skutečného majitele není efektivní, a to již z toho důvodu,</w:t>
      </w:r>
      <w:r w:rsidR="002C05DD">
        <w:t xml:space="preserve"> že na něj </w:t>
      </w:r>
      <w:r w:rsidR="002C05DD">
        <w:lastRenderedPageBreak/>
        <w:t xml:space="preserve">nenavazuje povinnost detekce podezřelých obchodů a jejich oznamování Finančnímu analytickému úřadu. </w:t>
      </w:r>
    </w:p>
    <w:p w14:paraId="635D4BAB" w14:textId="48574773" w:rsidR="002C05DD" w:rsidRDefault="002C05DD" w:rsidP="003B14BC">
      <w:r>
        <w:t xml:space="preserve">Dále, jak bylo naznačeno u popisu varianty č. 1, hrozí vznik situace, kdy se bude ML s využitím </w:t>
      </w:r>
      <w:proofErr w:type="spellStart"/>
      <w:r>
        <w:t>NFTs</w:t>
      </w:r>
      <w:proofErr w:type="spellEnd"/>
      <w:r>
        <w:t>, které plní platební nebo investiční funkci, koncentrovat v České republice, a to pro její příznivé prostředí pro páchání takovéto trestné činnosti.</w:t>
      </w:r>
    </w:p>
    <w:p w14:paraId="1E79DC57" w14:textId="77777777" w:rsidR="003B14BC" w:rsidRDefault="003B14BC" w:rsidP="003B14BC">
      <w:pPr>
        <w:rPr>
          <w:u w:val="single"/>
        </w:rPr>
      </w:pPr>
      <w:r w:rsidRPr="008351C4">
        <w:rPr>
          <w:u w:val="single"/>
        </w:rPr>
        <w:t>Soulad s Doporučeními FATF</w:t>
      </w:r>
      <w:r w:rsidDel="002D2663">
        <w:rPr>
          <w:u w:val="single"/>
        </w:rPr>
        <w:t xml:space="preserve"> </w:t>
      </w:r>
    </w:p>
    <w:p w14:paraId="4406AC27" w14:textId="0F5334D9" w:rsidR="003B14BC" w:rsidRDefault="003B14BC" w:rsidP="003B14BC">
      <w:r>
        <w:t>V</w:t>
      </w:r>
      <w:r w:rsidR="002C05DD">
        <w:t>arianta 2</w:t>
      </w:r>
      <w:r>
        <w:t xml:space="preserve"> </w:t>
      </w:r>
      <w:r w:rsidR="002C05DD">
        <w:t>není</w:t>
      </w:r>
      <w:r>
        <w:t xml:space="preserve"> v souladu s Doporučeními FATF. </w:t>
      </w:r>
      <w:r w:rsidR="002C05DD">
        <w:t>H</w:t>
      </w:r>
      <w:r>
        <w:t>rozí tedy, že by zvyšovala riziko zařazení České republiky na šedý seznam FATF.</w:t>
      </w:r>
    </w:p>
    <w:p w14:paraId="4F0736FF" w14:textId="77777777" w:rsidR="003B14BC" w:rsidRPr="00EB63B1" w:rsidRDefault="003B14BC" w:rsidP="003B14BC">
      <w:pPr>
        <w:rPr>
          <w:u w:val="single"/>
        </w:rPr>
      </w:pPr>
      <w:r w:rsidRPr="008351C4">
        <w:rPr>
          <w:u w:val="single"/>
        </w:rPr>
        <w:t>Efektivní implementace směrnice DAC 8</w:t>
      </w:r>
    </w:p>
    <w:p w14:paraId="62D5C4E1" w14:textId="5D2322D2" w:rsidR="003B14BC" w:rsidRDefault="002C05DD" w:rsidP="003B14BC">
      <w:r>
        <w:t xml:space="preserve">Bez synergie s </w:t>
      </w:r>
      <w:r w:rsidR="003B14BC">
        <w:t>AML/CFT opatření</w:t>
      </w:r>
      <w:r>
        <w:t>mi</w:t>
      </w:r>
      <w:r w:rsidR="003B14BC">
        <w:t xml:space="preserve"> </w:t>
      </w:r>
      <w:r>
        <w:t>je schopnost</w:t>
      </w:r>
      <w:r w:rsidR="003B14BC">
        <w:t xml:space="preserve"> odhalovat daňové úniky </w:t>
      </w:r>
      <w:r>
        <w:t>značně omezená</w:t>
      </w:r>
      <w:r w:rsidR="003B14BC">
        <w:t xml:space="preserve">. </w:t>
      </w:r>
    </w:p>
    <w:p w14:paraId="3DEEC953" w14:textId="77777777" w:rsidR="003B14BC" w:rsidRDefault="003B14BC" w:rsidP="003B14BC">
      <w:pPr>
        <w:rPr>
          <w:u w:val="single"/>
        </w:rPr>
      </w:pPr>
      <w:r w:rsidRPr="008351C4">
        <w:rPr>
          <w:u w:val="single"/>
        </w:rPr>
        <w:t>Minimalizace nákladů pro dotčené osoby</w:t>
      </w:r>
    </w:p>
    <w:p w14:paraId="0CAE49FA" w14:textId="17B866AA" w:rsidR="003B14BC" w:rsidRPr="008F0A25" w:rsidRDefault="003B14BC" w:rsidP="003B14BC">
      <w:r>
        <w:t xml:space="preserve">Varianta přináší oproti variantě </w:t>
      </w:r>
      <w:r w:rsidR="002C05DD">
        <w:t xml:space="preserve">1 poměrně nižší </w:t>
      </w:r>
      <w:r w:rsidR="003F0D26">
        <w:t xml:space="preserve">marginální přírůstky nákladů pro zajištění souladu s regulací. Na druhou stranu fixní náklady jsou typicky neměnné, jelikož poskytovatelé služeb s </w:t>
      </w:r>
      <w:proofErr w:type="spellStart"/>
      <w:r w:rsidR="003F0D26">
        <w:t>NFTs</w:t>
      </w:r>
      <w:proofErr w:type="spellEnd"/>
      <w:r w:rsidR="003F0D26">
        <w:t>, které plní platební nebo investiční funkci, v praxi poskytují i jiné služby s virtuálními aktivy, a proto jejich vnitřní systémy musejí být s to naplnit celou paletu AML/CFT opatření.</w:t>
      </w:r>
    </w:p>
    <w:p w14:paraId="1B6C63B7" w14:textId="77777777" w:rsidR="005D0C13" w:rsidRPr="00F97DE3" w:rsidRDefault="005D0C13" w:rsidP="005D0C13"/>
    <w:p w14:paraId="283A153C" w14:textId="77777777" w:rsidR="005D0C13" w:rsidRPr="00F97DE3" w:rsidRDefault="005D0C13" w:rsidP="005D0C13">
      <w:pPr>
        <w:pStyle w:val="Nadpis1"/>
      </w:pPr>
      <w:bookmarkStart w:id="147" w:name="_Toc146204910"/>
      <w:r w:rsidRPr="00F97DE3">
        <w:t>Stanovení pořadí variant a výběr nejvhodnějšího řešení</w:t>
      </w:r>
      <w:bookmarkEnd w:id="147"/>
    </w:p>
    <w:p w14:paraId="574D69A6" w14:textId="77777777" w:rsidR="005D0C13" w:rsidRPr="00F97DE3" w:rsidRDefault="005D0C13" w:rsidP="005D0C13">
      <w:pPr>
        <w:keepNext/>
      </w:pPr>
      <w:r w:rsidRPr="00F97DE3">
        <w:t>Níže uvedená tabulka je grafickým přehledem vyhodnocení variant, které byly zpracovávány v předchozí kapitole.</w:t>
      </w:r>
    </w:p>
    <w:p w14:paraId="4FDAF0C0" w14:textId="77777777" w:rsidR="005D0C13" w:rsidRPr="00F97DE3" w:rsidRDefault="005D0C13" w:rsidP="005D0C13">
      <w:pPr>
        <w:pStyle w:val="Titulek"/>
        <w:keepNext/>
      </w:pPr>
      <w:r w:rsidRPr="00F97DE3">
        <w:t>Tabulka 3</w:t>
      </w:r>
      <w:r>
        <w:t> </w:t>
      </w:r>
      <w:r w:rsidRPr="00F97DE3">
        <w:t>- Vyhodnocení navržených variant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2435"/>
        <w:gridCol w:w="1701"/>
        <w:gridCol w:w="1842"/>
        <w:gridCol w:w="1418"/>
      </w:tblGrid>
      <w:tr w:rsidR="003F0D26" w:rsidRPr="00F97DE3" w14:paraId="0CE12147" w14:textId="7C6ADC6D" w:rsidTr="00093B29">
        <w:trPr>
          <w:trHeight w:val="283"/>
        </w:trPr>
        <w:tc>
          <w:tcPr>
            <w:tcW w:w="1955" w:type="dxa"/>
            <w:shd w:val="clear" w:color="auto" w:fill="auto"/>
          </w:tcPr>
          <w:p w14:paraId="1D52E1B9" w14:textId="77777777" w:rsidR="003F0D26" w:rsidRPr="00F97DE3" w:rsidRDefault="003F0D26" w:rsidP="005D0C13">
            <w:pPr>
              <w:pStyle w:val="Tabulka"/>
            </w:pPr>
          </w:p>
        </w:tc>
        <w:tc>
          <w:tcPr>
            <w:tcW w:w="2435" w:type="dxa"/>
          </w:tcPr>
          <w:p w14:paraId="0FAA463C" w14:textId="38C20014" w:rsidR="003F0D26" w:rsidRPr="00F97DE3" w:rsidRDefault="003F0D26" w:rsidP="005D0C13">
            <w:pPr>
              <w:pStyle w:val="Tabulka"/>
            </w:pPr>
            <w:r w:rsidRPr="003F0D26">
              <w:t>Ochrana finančního systému České republiky před ML/TF</w:t>
            </w:r>
          </w:p>
        </w:tc>
        <w:tc>
          <w:tcPr>
            <w:tcW w:w="1701" w:type="dxa"/>
            <w:shd w:val="clear" w:color="auto" w:fill="auto"/>
          </w:tcPr>
          <w:p w14:paraId="12551EFA" w14:textId="0589D882" w:rsidR="003F0D26" w:rsidRPr="00F97DE3" w:rsidRDefault="003F0D26" w:rsidP="005D0C13">
            <w:pPr>
              <w:pStyle w:val="Tabulka"/>
            </w:pPr>
            <w:r w:rsidRPr="003F0D26">
              <w:t>Soulad s Doporučeními FATF</w:t>
            </w:r>
          </w:p>
        </w:tc>
        <w:tc>
          <w:tcPr>
            <w:tcW w:w="1842" w:type="dxa"/>
          </w:tcPr>
          <w:p w14:paraId="6692129E" w14:textId="1443B385" w:rsidR="003F0D26" w:rsidRPr="00C50ADB" w:rsidRDefault="003F0D26" w:rsidP="005D0C13">
            <w:pPr>
              <w:pStyle w:val="Tabulka"/>
            </w:pPr>
            <w:r w:rsidRPr="003F0D26">
              <w:t>Efektivní implementace směrnice DAC 8</w:t>
            </w:r>
          </w:p>
        </w:tc>
        <w:tc>
          <w:tcPr>
            <w:tcW w:w="1418" w:type="dxa"/>
          </w:tcPr>
          <w:p w14:paraId="2A973284" w14:textId="5803F2DD" w:rsidR="003F0D26" w:rsidRPr="00D87DE7" w:rsidRDefault="003F0D26" w:rsidP="005D0C13">
            <w:pPr>
              <w:pStyle w:val="Tabulka"/>
            </w:pPr>
            <w:r w:rsidRPr="003F0D26">
              <w:t>Minimalizace nákladů pro dotčené osoby</w:t>
            </w:r>
          </w:p>
        </w:tc>
      </w:tr>
      <w:tr w:rsidR="003F0D26" w:rsidRPr="00F97DE3" w14:paraId="4C53A475" w14:textId="0579C19B" w:rsidTr="00093B29">
        <w:trPr>
          <w:trHeight w:val="283"/>
        </w:trPr>
        <w:tc>
          <w:tcPr>
            <w:tcW w:w="1955" w:type="dxa"/>
            <w:shd w:val="clear" w:color="auto" w:fill="auto"/>
          </w:tcPr>
          <w:p w14:paraId="33C64728" w14:textId="77777777" w:rsidR="003F0D26" w:rsidRPr="00F97DE3" w:rsidRDefault="003F0D26" w:rsidP="005D0C13">
            <w:pPr>
              <w:pStyle w:val="Tabulka"/>
            </w:pPr>
            <w:r w:rsidRPr="00F97DE3">
              <w:t xml:space="preserve">Varianta </w:t>
            </w:r>
            <w:r>
              <w:t>1</w:t>
            </w:r>
          </w:p>
        </w:tc>
        <w:tc>
          <w:tcPr>
            <w:tcW w:w="2435" w:type="dxa"/>
          </w:tcPr>
          <w:p w14:paraId="58A4A35E" w14:textId="77777777" w:rsidR="003F0D26" w:rsidRPr="00F97DE3" w:rsidRDefault="003F0D26" w:rsidP="005D0C13">
            <w:pPr>
              <w:pStyle w:val="Tabulka"/>
            </w:pPr>
            <w:r>
              <w:t>2</w:t>
            </w:r>
          </w:p>
        </w:tc>
        <w:tc>
          <w:tcPr>
            <w:tcW w:w="1701" w:type="dxa"/>
            <w:shd w:val="clear" w:color="auto" w:fill="auto"/>
          </w:tcPr>
          <w:p w14:paraId="3F1C452F" w14:textId="77777777" w:rsidR="003F0D26" w:rsidRPr="00F97DE3" w:rsidRDefault="003F0D26" w:rsidP="005D0C13">
            <w:pPr>
              <w:pStyle w:val="Tabulka"/>
            </w:pPr>
            <w:r>
              <w:t>2</w:t>
            </w:r>
          </w:p>
        </w:tc>
        <w:tc>
          <w:tcPr>
            <w:tcW w:w="1842" w:type="dxa"/>
          </w:tcPr>
          <w:p w14:paraId="3A96F577" w14:textId="77777777" w:rsidR="003F0D26" w:rsidRDefault="003F0D26" w:rsidP="005D0C13">
            <w:pPr>
              <w:pStyle w:val="Tabulka"/>
            </w:pPr>
            <w:r>
              <w:t>2</w:t>
            </w:r>
          </w:p>
        </w:tc>
        <w:tc>
          <w:tcPr>
            <w:tcW w:w="1418" w:type="dxa"/>
          </w:tcPr>
          <w:p w14:paraId="2B050E02" w14:textId="1D290CF5" w:rsidR="003F0D26" w:rsidRDefault="003F0D26" w:rsidP="005D0C13">
            <w:pPr>
              <w:pStyle w:val="Tabulka"/>
            </w:pPr>
            <w:r>
              <w:t>1</w:t>
            </w:r>
          </w:p>
        </w:tc>
      </w:tr>
      <w:tr w:rsidR="003F0D26" w:rsidRPr="00F97DE3" w14:paraId="64778B0A" w14:textId="7BF72D21" w:rsidTr="00093B29">
        <w:trPr>
          <w:trHeight w:val="283"/>
        </w:trPr>
        <w:tc>
          <w:tcPr>
            <w:tcW w:w="1955" w:type="dxa"/>
            <w:shd w:val="clear" w:color="auto" w:fill="auto"/>
          </w:tcPr>
          <w:p w14:paraId="3FD8E842" w14:textId="77777777" w:rsidR="003F0D26" w:rsidRPr="00F97DE3" w:rsidRDefault="003F0D26" w:rsidP="005D0C13">
            <w:pPr>
              <w:pStyle w:val="Tabulka"/>
            </w:pPr>
            <w:r w:rsidRPr="00F97DE3">
              <w:t xml:space="preserve">Varianta </w:t>
            </w:r>
            <w:r>
              <w:t>2</w:t>
            </w:r>
          </w:p>
        </w:tc>
        <w:tc>
          <w:tcPr>
            <w:tcW w:w="2435" w:type="dxa"/>
          </w:tcPr>
          <w:p w14:paraId="7F52F7F3" w14:textId="044AA2F4" w:rsidR="003F0D26" w:rsidRPr="00F97DE3" w:rsidRDefault="003F0D26" w:rsidP="005D0C13">
            <w:pPr>
              <w:pStyle w:val="Tabulka"/>
            </w:pPr>
            <w:r>
              <w:t>0</w:t>
            </w:r>
          </w:p>
        </w:tc>
        <w:tc>
          <w:tcPr>
            <w:tcW w:w="1701" w:type="dxa"/>
            <w:shd w:val="clear" w:color="auto" w:fill="auto"/>
          </w:tcPr>
          <w:p w14:paraId="2CFF2C86" w14:textId="3E5A0F81" w:rsidR="003F0D26" w:rsidRPr="00F97DE3" w:rsidRDefault="003F0D26" w:rsidP="005D0C13">
            <w:pPr>
              <w:pStyle w:val="Tabulka"/>
            </w:pPr>
            <w:r>
              <w:t>0</w:t>
            </w:r>
          </w:p>
        </w:tc>
        <w:tc>
          <w:tcPr>
            <w:tcW w:w="1842" w:type="dxa"/>
          </w:tcPr>
          <w:p w14:paraId="545BE546" w14:textId="77777777" w:rsidR="003F0D26" w:rsidRPr="00F97DE3" w:rsidRDefault="003F0D26" w:rsidP="005D0C13">
            <w:pPr>
              <w:pStyle w:val="Tabulka"/>
            </w:pPr>
            <w:r>
              <w:t>1</w:t>
            </w:r>
          </w:p>
        </w:tc>
        <w:tc>
          <w:tcPr>
            <w:tcW w:w="1418" w:type="dxa"/>
          </w:tcPr>
          <w:p w14:paraId="548B32FD" w14:textId="4123DE7F" w:rsidR="003F0D26" w:rsidRDefault="003F0D26" w:rsidP="005D0C13">
            <w:pPr>
              <w:pStyle w:val="Tabulka"/>
            </w:pPr>
            <w:r>
              <w:t>2</w:t>
            </w:r>
          </w:p>
        </w:tc>
      </w:tr>
    </w:tbl>
    <w:p w14:paraId="591DEBF4" w14:textId="2011AFCB" w:rsidR="005D0C13" w:rsidRPr="00F97DE3" w:rsidRDefault="005D0C13" w:rsidP="005D0C13">
      <w:r w:rsidRPr="00F97DE3">
        <w:t xml:space="preserve">Na základě vyhodnocení variant podle jednotlivých kritérií bylo zjištěno, že nejvhodnější variantou k realizaci je varianta </w:t>
      </w:r>
      <w:r w:rsidR="003F0D26">
        <w:t>1</w:t>
      </w:r>
      <w:r w:rsidRPr="00F97DE3">
        <w:t>.</w:t>
      </w:r>
    </w:p>
    <w:p w14:paraId="6BF1CA00" w14:textId="77777777" w:rsidR="005D0C13" w:rsidRPr="00F97DE3" w:rsidRDefault="005D0C13" w:rsidP="005D0C13">
      <w:pPr>
        <w:pStyle w:val="Nadpis1"/>
      </w:pPr>
      <w:bookmarkStart w:id="148" w:name="_Toc146204911"/>
      <w:r w:rsidRPr="00F97DE3">
        <w:t>Implementace doporučené varianty a vynucování</w:t>
      </w:r>
      <w:bookmarkEnd w:id="148"/>
    </w:p>
    <w:p w14:paraId="35DF6473" w14:textId="6040EA3C" w:rsidR="005D0C13" w:rsidRPr="00F97DE3" w:rsidRDefault="005D0C13" w:rsidP="005D0C13">
      <w:r w:rsidRPr="00F97DE3">
        <w:t xml:space="preserve">Navrhovaná změna bude provedena formou novely </w:t>
      </w:r>
      <w:r w:rsidR="003F0D26">
        <w:t xml:space="preserve">AML </w:t>
      </w:r>
      <w:r>
        <w:t xml:space="preserve">zákona. </w:t>
      </w:r>
    </w:p>
    <w:p w14:paraId="561D72C2" w14:textId="77777777" w:rsidR="005D0C13" w:rsidRPr="00F97DE3" w:rsidRDefault="005D0C13" w:rsidP="005D0C13">
      <w:pPr>
        <w:pStyle w:val="Nadpis1"/>
      </w:pPr>
      <w:bookmarkStart w:id="149" w:name="_Toc146204912"/>
      <w:r w:rsidRPr="00F97DE3">
        <w:t>Přezkum účinnosti regulace</w:t>
      </w:r>
      <w:bookmarkEnd w:id="149"/>
      <w:r w:rsidRPr="00F97DE3">
        <w:t xml:space="preserve"> </w:t>
      </w:r>
    </w:p>
    <w:p w14:paraId="42C8544B" w14:textId="77777777" w:rsidR="005D0C13" w:rsidRPr="00F97DE3" w:rsidRDefault="005D0C13" w:rsidP="005D0C13">
      <w:r w:rsidRPr="00F97DE3">
        <w:t>Účinnost přijatých změn bude ověřována v</w:t>
      </w:r>
      <w:r>
        <w:t> </w:t>
      </w:r>
      <w:r w:rsidRPr="00F97DE3">
        <w:t>praxi s</w:t>
      </w:r>
      <w:r>
        <w:t> </w:t>
      </w:r>
      <w:r w:rsidRPr="00F97DE3">
        <w:t>tím, že bude předmětem národního hodnocení rizik praní peněz a</w:t>
      </w:r>
      <w:r>
        <w:t> </w:t>
      </w:r>
      <w:r w:rsidRPr="00F97DE3">
        <w:t xml:space="preserve">financování terorismu, jež je koordinováno Finančním </w:t>
      </w:r>
      <w:r w:rsidRPr="00F97DE3">
        <w:lastRenderedPageBreak/>
        <w:t>analytickým úřadem a</w:t>
      </w:r>
      <w:r>
        <w:t> </w:t>
      </w:r>
      <w:r w:rsidRPr="00F97DE3">
        <w:t>na jehož zpracování se podílejí i</w:t>
      </w:r>
      <w:r>
        <w:t> </w:t>
      </w:r>
      <w:r w:rsidRPr="00F97DE3">
        <w:t>další orgány veřejné moci a</w:t>
      </w:r>
      <w:r>
        <w:t> </w:t>
      </w:r>
      <w:r w:rsidRPr="00F97DE3">
        <w:t>povinné osoby.</w:t>
      </w:r>
    </w:p>
    <w:p w14:paraId="1A569698" w14:textId="77777777" w:rsidR="005D0C13" w:rsidRPr="00F97DE3" w:rsidRDefault="005D0C13" w:rsidP="005D0C13">
      <w:pPr>
        <w:pStyle w:val="Nadpis1"/>
      </w:pPr>
      <w:bookmarkStart w:id="150" w:name="_Toc146204913"/>
      <w:r w:rsidRPr="00F97DE3">
        <w:t>Konzultace a zdroje dat</w:t>
      </w:r>
      <w:bookmarkEnd w:id="150"/>
    </w:p>
    <w:p w14:paraId="06DBF46D" w14:textId="1796B93B" w:rsidR="005D0C13" w:rsidRDefault="005D0C13" w:rsidP="005D0C13">
      <w:pPr>
        <w:pStyle w:val="Bezmezer"/>
        <w:keepNext w:val="0"/>
        <w:rPr>
          <w:sz w:val="24"/>
          <w:szCs w:val="22"/>
          <w:lang w:eastAsia="en-US"/>
        </w:rPr>
      </w:pPr>
      <w:r w:rsidRPr="002C2D12">
        <w:rPr>
          <w:sz w:val="24"/>
          <w:szCs w:val="22"/>
          <w:lang w:eastAsia="en-US"/>
        </w:rPr>
        <w:t>Problematika byla konzultována s Ministerstvem</w:t>
      </w:r>
      <w:r>
        <w:rPr>
          <w:sz w:val="24"/>
          <w:szCs w:val="22"/>
          <w:lang w:eastAsia="en-US"/>
        </w:rPr>
        <w:t xml:space="preserve"> </w:t>
      </w:r>
      <w:r w:rsidR="003F0D26">
        <w:rPr>
          <w:sz w:val="24"/>
          <w:szCs w:val="22"/>
          <w:lang w:eastAsia="en-US"/>
        </w:rPr>
        <w:t>financí.</w:t>
      </w:r>
      <w:r>
        <w:rPr>
          <w:sz w:val="24"/>
          <w:szCs w:val="22"/>
          <w:lang w:eastAsia="en-US"/>
        </w:rPr>
        <w:t xml:space="preserve"> </w:t>
      </w:r>
    </w:p>
    <w:p w14:paraId="50E4BE91" w14:textId="77777777" w:rsidR="00093B29" w:rsidRPr="00F97DE3" w:rsidRDefault="00093B29" w:rsidP="00093B29">
      <w:pPr>
        <w:pStyle w:val="Nadpis1"/>
      </w:pPr>
      <w:r w:rsidRPr="00F97DE3">
        <w:t>Kontakt na zpracovatele RIA</w:t>
      </w:r>
    </w:p>
    <w:p w14:paraId="726F9844" w14:textId="77777777" w:rsidR="00093B29" w:rsidRPr="00F97DE3" w:rsidRDefault="00093B29" w:rsidP="00093B29">
      <w:r>
        <w:t>Viktor Kabeš</w:t>
      </w:r>
    </w:p>
    <w:p w14:paraId="3E314F81" w14:textId="77777777" w:rsidR="00093B29" w:rsidRPr="00F97DE3" w:rsidRDefault="00093B29" w:rsidP="00093B29">
      <w:r w:rsidRPr="00F97DE3">
        <w:t>Finanční analytický úřad, odbor právní</w:t>
      </w:r>
    </w:p>
    <w:p w14:paraId="04C3E9CC" w14:textId="77777777" w:rsidR="00093B29" w:rsidRPr="00F97DE3" w:rsidRDefault="00093B29" w:rsidP="00093B29">
      <w:r w:rsidRPr="00F97DE3">
        <w:t>tel.: (257 044 5</w:t>
      </w:r>
      <w:r>
        <w:t>45</w:t>
      </w:r>
      <w:r w:rsidRPr="00F97DE3">
        <w:t>), e-mail: (</w:t>
      </w:r>
      <w:r>
        <w:t>viktor.kabes</w:t>
      </w:r>
      <w:r w:rsidRPr="00F97DE3">
        <w:t>@fau.mfcr.cz)</w:t>
      </w:r>
    </w:p>
    <w:p w14:paraId="0C4CD38B" w14:textId="77777777" w:rsidR="00093B29" w:rsidRPr="00F97DE3" w:rsidRDefault="00093B29" w:rsidP="005D0C13">
      <w:pPr>
        <w:pStyle w:val="Bezmezer"/>
        <w:keepNext w:val="0"/>
        <w:rPr>
          <w:sz w:val="24"/>
        </w:rPr>
      </w:pPr>
    </w:p>
    <w:p w14:paraId="5ADB9D88" w14:textId="103F4DB7" w:rsidR="00510203" w:rsidRPr="00387CD5" w:rsidRDefault="00510203" w:rsidP="00387AFF">
      <w:pPr>
        <w:pStyle w:val="st"/>
        <w:numPr>
          <w:ilvl w:val="0"/>
          <w:numId w:val="0"/>
        </w:numPr>
        <w:jc w:val="both"/>
      </w:pPr>
    </w:p>
    <w:sectPr w:rsidR="00510203" w:rsidRPr="00387CD5">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349C8" w14:textId="77777777" w:rsidR="00AA0738" w:rsidRDefault="00AA0738">
      <w:pPr>
        <w:spacing w:before="0" w:after="0" w:line="240" w:lineRule="auto"/>
      </w:pPr>
      <w:r>
        <w:separator/>
      </w:r>
    </w:p>
  </w:endnote>
  <w:endnote w:type="continuationSeparator" w:id="0">
    <w:p w14:paraId="2D4A2D4F" w14:textId="77777777" w:rsidR="00AA0738" w:rsidRDefault="00AA07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BCFC0" w14:textId="77777777" w:rsidR="00AA0738" w:rsidRDefault="00AA073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60001" w14:textId="77777777" w:rsidR="00AA0738" w:rsidRDefault="00AA0738">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5AF30" w14:textId="77777777" w:rsidR="00AA0738" w:rsidRDefault="00AA073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9C70E" w14:textId="77777777" w:rsidR="00AA0738" w:rsidRDefault="00AA0738">
      <w:pPr>
        <w:spacing w:before="0" w:after="0" w:line="240" w:lineRule="auto"/>
      </w:pPr>
      <w:r>
        <w:separator/>
      </w:r>
    </w:p>
  </w:footnote>
  <w:footnote w:type="continuationSeparator" w:id="0">
    <w:p w14:paraId="58F1DD08" w14:textId="77777777" w:rsidR="00AA0738" w:rsidRDefault="00AA073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A5E9D" w14:textId="77777777" w:rsidR="00AA0738" w:rsidRDefault="00AA073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16018" w14:textId="0BC0BBE4" w:rsidR="00AA0738" w:rsidRDefault="00AA0738">
    <w:pPr>
      <w:pStyle w:val="Zhlav"/>
      <w:jc w:val="center"/>
    </w:pPr>
    <w:r>
      <w:t xml:space="preserve">- </w:t>
    </w:r>
    <w:r>
      <w:fldChar w:fldCharType="begin"/>
    </w:r>
    <w:r>
      <w:instrText>PAGE   \* MERGEFORMAT</w:instrText>
    </w:r>
    <w:r>
      <w:fldChar w:fldCharType="separate"/>
    </w:r>
    <w:r w:rsidR="00AB594C">
      <w:rPr>
        <w:noProof/>
      </w:rPr>
      <w:t>21</w:t>
    </w:r>
    <w:r>
      <w:fldChar w:fldCharType="end"/>
    </w:r>
    <w:r>
      <w:t xml:space="preserve"> -</w:t>
    </w:r>
  </w:p>
  <w:p w14:paraId="53A047EB" w14:textId="77777777" w:rsidR="00AA0738" w:rsidRDefault="00AA073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B35AE" w14:textId="26FA686A" w:rsidR="00AA0738" w:rsidRPr="00AC48D8" w:rsidRDefault="00AA0738">
    <w:pPr>
      <w:pStyle w:val="Zhlav"/>
      <w:jc w:val="right"/>
      <w:rPr>
        <w:b/>
      </w:rPr>
    </w:pPr>
    <w:r w:rsidRPr="00AC48D8">
      <w:rPr>
        <w:b/>
      </w:rPr>
      <w:t>VI.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slovanseznam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slovanseznam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slovanseznam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slovanseznam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Seznamsodrkami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Seznamsodrkami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Seznamsodrkami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Seznamsodrkami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slovanseznam"/>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Seznamsodrkami"/>
      <w:lvlText w:val=""/>
      <w:lvlJc w:val="left"/>
      <w:pPr>
        <w:tabs>
          <w:tab w:val="left" w:pos="360"/>
        </w:tabs>
        <w:ind w:left="360" w:hanging="360"/>
      </w:pPr>
      <w:rPr>
        <w:rFonts w:ascii="Symbol" w:hAnsi="Symbol" w:hint="default"/>
      </w:rPr>
    </w:lvl>
  </w:abstractNum>
  <w:abstractNum w:abstractNumId="10" w15:restartNumberingAfterBreak="0">
    <w:nsid w:val="00630589"/>
    <w:multiLevelType w:val="hybridMultilevel"/>
    <w:tmpl w:val="5576E084"/>
    <w:lvl w:ilvl="0" w:tplc="0405000F">
      <w:start w:val="1"/>
      <w:numFmt w:val="decimal"/>
      <w:lvlText w:val="%1."/>
      <w:lvlJc w:val="left"/>
      <w:pPr>
        <w:ind w:left="720" w:hanging="360"/>
      </w:pPr>
      <w:rPr>
        <w:rFonts w:eastAsia="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1BB7843"/>
    <w:multiLevelType w:val="hybridMultilevel"/>
    <w:tmpl w:val="F8D82F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3960AAF"/>
    <w:multiLevelType w:val="hybridMultilevel"/>
    <w:tmpl w:val="844E1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B65341D"/>
    <w:multiLevelType w:val="hybridMultilevel"/>
    <w:tmpl w:val="D81E9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903A4D"/>
    <w:multiLevelType w:val="multilevel"/>
    <w:tmpl w:val="1E903A4D"/>
    <w:lvl w:ilvl="0">
      <w:start w:val="1"/>
      <w:numFmt w:val="bullet"/>
      <w:pStyle w:val="Odrky"/>
      <w:lvlText w:val=""/>
      <w:lvlJc w:val="left"/>
      <w:pPr>
        <w:ind w:left="1074"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15" w15:restartNumberingAfterBreak="0">
    <w:nsid w:val="210908F7"/>
    <w:multiLevelType w:val="hybridMultilevel"/>
    <w:tmpl w:val="2ED037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748227D"/>
    <w:multiLevelType w:val="hybridMultilevel"/>
    <w:tmpl w:val="CC461D18"/>
    <w:lvl w:ilvl="0" w:tplc="0405000F">
      <w:start w:val="30"/>
      <w:numFmt w:val="decimal"/>
      <w:lvlText w:val="%1."/>
      <w:lvlJc w:val="left"/>
      <w:pPr>
        <w:ind w:left="720" w:hanging="360"/>
      </w:pPr>
      <w:rPr>
        <w:rFonts w:eastAsia="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7CC2BEB"/>
    <w:multiLevelType w:val="multilevel"/>
    <w:tmpl w:val="47CC2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992EFC"/>
    <w:multiLevelType w:val="multilevel"/>
    <w:tmpl w:val="54992E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7877AB3"/>
    <w:multiLevelType w:val="multilevel"/>
    <w:tmpl w:val="67877AB3"/>
    <w:lvl w:ilvl="0">
      <w:start w:val="1"/>
      <w:numFmt w:val="upperLetter"/>
      <w:pStyle w:val="st"/>
      <w:lvlText w:val="%1"/>
      <w:lvlJc w:val="left"/>
      <w:pPr>
        <w:ind w:left="999" w:hanging="432"/>
      </w:pPr>
      <w:rPr>
        <w:rFonts w:hint="default"/>
      </w:rPr>
    </w:lvl>
    <w:lvl w:ilvl="1">
      <w:start w:val="1"/>
      <w:numFmt w:val="decimal"/>
      <w:pStyle w:val="Nadpis1"/>
      <w:lvlText w:val="%2"/>
      <w:lvlJc w:val="left"/>
      <w:pPr>
        <w:ind w:left="3836" w:hanging="576"/>
      </w:pPr>
      <w:rPr>
        <w:rFonts w:hint="default"/>
      </w:rPr>
    </w:lvl>
    <w:lvl w:ilvl="2">
      <w:start w:val="1"/>
      <w:numFmt w:val="decimal"/>
      <w:pStyle w:val="Nadpis2"/>
      <w:lvlText w:val="%2.%3"/>
      <w:lvlJc w:val="left"/>
      <w:pPr>
        <w:ind w:left="720" w:hanging="720"/>
      </w:pPr>
      <w:rPr>
        <w:rFonts w:hint="default"/>
      </w:rPr>
    </w:lvl>
    <w:lvl w:ilvl="3">
      <w:start w:val="1"/>
      <w:numFmt w:val="decimal"/>
      <w:pStyle w:val="Nadpis3"/>
      <w:lvlText w:val="%2.%3.%4"/>
      <w:lvlJc w:val="left"/>
      <w:pPr>
        <w:ind w:left="864" w:hanging="864"/>
      </w:pPr>
      <w:rPr>
        <w:rFonts w:hint="default"/>
      </w:rPr>
    </w:lvl>
    <w:lvl w:ilvl="4">
      <w:start w:val="1"/>
      <w:numFmt w:val="decimal"/>
      <w:pStyle w:val="Nadpis4"/>
      <w:lvlText w:val="%2.%3.%4.%5"/>
      <w:lvlJc w:val="left"/>
      <w:pPr>
        <w:ind w:left="1008" w:hanging="1008"/>
      </w:pPr>
      <w:rPr>
        <w:rFonts w:hint="default"/>
      </w:rPr>
    </w:lvl>
    <w:lvl w:ilvl="5">
      <w:start w:val="1"/>
      <w:numFmt w:val="decimal"/>
      <w:pStyle w:val="Nadpis5"/>
      <w:lvlText w:val="%2.%3.%4.%5.%6"/>
      <w:lvlJc w:val="left"/>
      <w:pPr>
        <w:ind w:left="1152" w:hanging="1152"/>
      </w:pPr>
      <w:rPr>
        <w:rFonts w:hint="default"/>
      </w:rPr>
    </w:lvl>
    <w:lvl w:ilvl="6">
      <w:start w:val="1"/>
      <w:numFmt w:val="decimal"/>
      <w:pStyle w:val="Nadpis6"/>
      <w:lvlText w:val="%2.%3.%4.%5.%6.%7"/>
      <w:lvlJc w:val="left"/>
      <w:pPr>
        <w:ind w:left="1296" w:hanging="1296"/>
      </w:pPr>
      <w:rPr>
        <w:rFonts w:hint="default"/>
      </w:rPr>
    </w:lvl>
    <w:lvl w:ilvl="7">
      <w:start w:val="1"/>
      <w:numFmt w:val="decimal"/>
      <w:pStyle w:val="Nadpis7"/>
      <w:lvlText w:val="%2.%3.%4.%5.%6.%7.%8"/>
      <w:lvlJc w:val="left"/>
      <w:pPr>
        <w:ind w:left="1440" w:hanging="1440"/>
      </w:pPr>
      <w:rPr>
        <w:rFonts w:hint="default"/>
      </w:rPr>
    </w:lvl>
    <w:lvl w:ilvl="8">
      <w:start w:val="1"/>
      <w:numFmt w:val="decimal"/>
      <w:pStyle w:val="Nadpis8"/>
      <w:lvlText w:val="%2.%3.%4.%5.%6.%7.%8.%9"/>
      <w:lvlJc w:val="left"/>
      <w:pPr>
        <w:ind w:left="1584" w:hanging="1584"/>
      </w:pPr>
      <w:rPr>
        <w:rFonts w:hint="default"/>
      </w:rPr>
    </w:lvl>
  </w:abstractNum>
  <w:abstractNum w:abstractNumId="20" w15:restartNumberingAfterBreak="0">
    <w:nsid w:val="6D397800"/>
    <w:multiLevelType w:val="hybridMultilevel"/>
    <w:tmpl w:val="C09238A2"/>
    <w:lvl w:ilvl="0" w:tplc="40EE3F32">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FAB1D72"/>
    <w:multiLevelType w:val="multilevel"/>
    <w:tmpl w:val="7FAB1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8"/>
  </w:num>
  <w:num w:numId="14">
    <w:abstractNumId w:val="21"/>
  </w:num>
  <w:num w:numId="15">
    <w:abstractNumId w:val="17"/>
  </w:num>
  <w:num w:numId="16">
    <w:abstractNumId w:val="19"/>
  </w:num>
  <w:num w:numId="17">
    <w:abstractNumId w:val="12"/>
  </w:num>
  <w:num w:numId="18">
    <w:abstractNumId w:val="13"/>
  </w:num>
  <w:num w:numId="19">
    <w:abstractNumId w:val="19"/>
  </w:num>
  <w:num w:numId="20">
    <w:abstractNumId w:val="19"/>
  </w:num>
  <w:num w:numId="21">
    <w:abstractNumId w:val="19"/>
  </w:num>
  <w:num w:numId="22">
    <w:abstractNumId w:val="19"/>
  </w:num>
  <w:num w:numId="23">
    <w:abstractNumId w:val="19"/>
  </w:num>
  <w:num w:numId="24">
    <w:abstractNumId w:val="19"/>
  </w:num>
  <w:num w:numId="25">
    <w:abstractNumId w:val="19"/>
  </w:num>
  <w:num w:numId="26">
    <w:abstractNumId w:val="11"/>
  </w:num>
  <w:num w:numId="27">
    <w:abstractNumId w:val="10"/>
  </w:num>
  <w:num w:numId="28">
    <w:abstractNumId w:val="15"/>
  </w:num>
  <w:num w:numId="29">
    <w:abstractNumId w:val="20"/>
  </w:num>
  <w:num w:numId="30">
    <w:abstractNumId w:val="19"/>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noPunctuationKerning/>
  <w:characterSpacingControl w:val="doNotCompress"/>
  <w:hdrShapeDefaults>
    <o:shapedefaults v:ext="edit" spidmax="2150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B40"/>
    <w:rsid w:val="00001356"/>
    <w:rsid w:val="00001D7D"/>
    <w:rsid w:val="0000238B"/>
    <w:rsid w:val="000036B2"/>
    <w:rsid w:val="00004579"/>
    <w:rsid w:val="00004E52"/>
    <w:rsid w:val="00006596"/>
    <w:rsid w:val="00006C00"/>
    <w:rsid w:val="00006EBC"/>
    <w:rsid w:val="00007F56"/>
    <w:rsid w:val="000105A1"/>
    <w:rsid w:val="000116EF"/>
    <w:rsid w:val="00013023"/>
    <w:rsid w:val="00013FB3"/>
    <w:rsid w:val="000140D1"/>
    <w:rsid w:val="0001410C"/>
    <w:rsid w:val="00014460"/>
    <w:rsid w:val="000146E1"/>
    <w:rsid w:val="00015171"/>
    <w:rsid w:val="000202EA"/>
    <w:rsid w:val="0002043F"/>
    <w:rsid w:val="000225B7"/>
    <w:rsid w:val="0002290D"/>
    <w:rsid w:val="00022F20"/>
    <w:rsid w:val="00023434"/>
    <w:rsid w:val="00023E52"/>
    <w:rsid w:val="00024E55"/>
    <w:rsid w:val="000253D0"/>
    <w:rsid w:val="00025670"/>
    <w:rsid w:val="000257A7"/>
    <w:rsid w:val="00025A98"/>
    <w:rsid w:val="000260A6"/>
    <w:rsid w:val="00026979"/>
    <w:rsid w:val="00026F64"/>
    <w:rsid w:val="00027926"/>
    <w:rsid w:val="00030205"/>
    <w:rsid w:val="00030664"/>
    <w:rsid w:val="00031F06"/>
    <w:rsid w:val="0003256B"/>
    <w:rsid w:val="000331DD"/>
    <w:rsid w:val="000339C5"/>
    <w:rsid w:val="00034A23"/>
    <w:rsid w:val="00035843"/>
    <w:rsid w:val="0003591C"/>
    <w:rsid w:val="00037072"/>
    <w:rsid w:val="0003777B"/>
    <w:rsid w:val="00037E25"/>
    <w:rsid w:val="0004021E"/>
    <w:rsid w:val="00042232"/>
    <w:rsid w:val="00042D3E"/>
    <w:rsid w:val="00044070"/>
    <w:rsid w:val="00051731"/>
    <w:rsid w:val="00051CEE"/>
    <w:rsid w:val="00054EEE"/>
    <w:rsid w:val="00055F44"/>
    <w:rsid w:val="00056B40"/>
    <w:rsid w:val="000572CA"/>
    <w:rsid w:val="00060299"/>
    <w:rsid w:val="00060488"/>
    <w:rsid w:val="00060550"/>
    <w:rsid w:val="000606C9"/>
    <w:rsid w:val="00060C91"/>
    <w:rsid w:val="00060DBE"/>
    <w:rsid w:val="0006107B"/>
    <w:rsid w:val="00061BF7"/>
    <w:rsid w:val="0006215B"/>
    <w:rsid w:val="00062604"/>
    <w:rsid w:val="000640E3"/>
    <w:rsid w:val="00064A86"/>
    <w:rsid w:val="00065BC5"/>
    <w:rsid w:val="00066174"/>
    <w:rsid w:val="000671AC"/>
    <w:rsid w:val="0007037D"/>
    <w:rsid w:val="00071119"/>
    <w:rsid w:val="000719E1"/>
    <w:rsid w:val="00072B81"/>
    <w:rsid w:val="0007351A"/>
    <w:rsid w:val="00073B62"/>
    <w:rsid w:val="00074E1E"/>
    <w:rsid w:val="000753B5"/>
    <w:rsid w:val="00075806"/>
    <w:rsid w:val="000766CC"/>
    <w:rsid w:val="000769F9"/>
    <w:rsid w:val="00077522"/>
    <w:rsid w:val="00080E81"/>
    <w:rsid w:val="00082182"/>
    <w:rsid w:val="0008254D"/>
    <w:rsid w:val="00082AA3"/>
    <w:rsid w:val="00082F7C"/>
    <w:rsid w:val="00083A35"/>
    <w:rsid w:val="000857F8"/>
    <w:rsid w:val="0008619F"/>
    <w:rsid w:val="00086313"/>
    <w:rsid w:val="00087360"/>
    <w:rsid w:val="000906A9"/>
    <w:rsid w:val="000915C8"/>
    <w:rsid w:val="00092952"/>
    <w:rsid w:val="00093B29"/>
    <w:rsid w:val="000950D9"/>
    <w:rsid w:val="000959C1"/>
    <w:rsid w:val="000959D6"/>
    <w:rsid w:val="00095A0D"/>
    <w:rsid w:val="0009627E"/>
    <w:rsid w:val="00096320"/>
    <w:rsid w:val="000970E8"/>
    <w:rsid w:val="00097A3A"/>
    <w:rsid w:val="000A006C"/>
    <w:rsid w:val="000A023E"/>
    <w:rsid w:val="000A16EB"/>
    <w:rsid w:val="000A2288"/>
    <w:rsid w:val="000A27A1"/>
    <w:rsid w:val="000A33F9"/>
    <w:rsid w:val="000A4651"/>
    <w:rsid w:val="000A5769"/>
    <w:rsid w:val="000A591C"/>
    <w:rsid w:val="000A65FC"/>
    <w:rsid w:val="000A67FF"/>
    <w:rsid w:val="000A77E7"/>
    <w:rsid w:val="000B1513"/>
    <w:rsid w:val="000B3110"/>
    <w:rsid w:val="000B34B3"/>
    <w:rsid w:val="000B4032"/>
    <w:rsid w:val="000B4550"/>
    <w:rsid w:val="000B48F7"/>
    <w:rsid w:val="000B4FAA"/>
    <w:rsid w:val="000B54A0"/>
    <w:rsid w:val="000B5893"/>
    <w:rsid w:val="000B5ADF"/>
    <w:rsid w:val="000B5C0F"/>
    <w:rsid w:val="000C08D8"/>
    <w:rsid w:val="000C1AD3"/>
    <w:rsid w:val="000C2444"/>
    <w:rsid w:val="000C249F"/>
    <w:rsid w:val="000C3335"/>
    <w:rsid w:val="000C33E9"/>
    <w:rsid w:val="000C4307"/>
    <w:rsid w:val="000C4D90"/>
    <w:rsid w:val="000C4F62"/>
    <w:rsid w:val="000C5649"/>
    <w:rsid w:val="000C6D2D"/>
    <w:rsid w:val="000C77D4"/>
    <w:rsid w:val="000D047B"/>
    <w:rsid w:val="000D0F27"/>
    <w:rsid w:val="000D113D"/>
    <w:rsid w:val="000D1441"/>
    <w:rsid w:val="000D2D83"/>
    <w:rsid w:val="000D3841"/>
    <w:rsid w:val="000D56BA"/>
    <w:rsid w:val="000D58E3"/>
    <w:rsid w:val="000D704E"/>
    <w:rsid w:val="000D71B5"/>
    <w:rsid w:val="000D73CB"/>
    <w:rsid w:val="000D743F"/>
    <w:rsid w:val="000E08DF"/>
    <w:rsid w:val="000E1EAA"/>
    <w:rsid w:val="000E2C06"/>
    <w:rsid w:val="000E2CDE"/>
    <w:rsid w:val="000E30D1"/>
    <w:rsid w:val="000E3456"/>
    <w:rsid w:val="000E36CA"/>
    <w:rsid w:val="000E6670"/>
    <w:rsid w:val="000F0742"/>
    <w:rsid w:val="000F2571"/>
    <w:rsid w:val="000F64F0"/>
    <w:rsid w:val="000F7317"/>
    <w:rsid w:val="000F7679"/>
    <w:rsid w:val="00100523"/>
    <w:rsid w:val="001012CC"/>
    <w:rsid w:val="00101CAA"/>
    <w:rsid w:val="001023EA"/>
    <w:rsid w:val="00102B23"/>
    <w:rsid w:val="00104802"/>
    <w:rsid w:val="0010507E"/>
    <w:rsid w:val="001053A2"/>
    <w:rsid w:val="00111427"/>
    <w:rsid w:val="00111988"/>
    <w:rsid w:val="001136A8"/>
    <w:rsid w:val="001136DB"/>
    <w:rsid w:val="00113A6B"/>
    <w:rsid w:val="00113D63"/>
    <w:rsid w:val="001145EE"/>
    <w:rsid w:val="001172CD"/>
    <w:rsid w:val="001215DD"/>
    <w:rsid w:val="00121D3F"/>
    <w:rsid w:val="00122EFF"/>
    <w:rsid w:val="001230E9"/>
    <w:rsid w:val="00123C64"/>
    <w:rsid w:val="00126E59"/>
    <w:rsid w:val="00127DC2"/>
    <w:rsid w:val="00130B30"/>
    <w:rsid w:val="00131833"/>
    <w:rsid w:val="00131981"/>
    <w:rsid w:val="00132A51"/>
    <w:rsid w:val="00133850"/>
    <w:rsid w:val="00133896"/>
    <w:rsid w:val="00133DB2"/>
    <w:rsid w:val="00134222"/>
    <w:rsid w:val="001348D5"/>
    <w:rsid w:val="00135B21"/>
    <w:rsid w:val="00137178"/>
    <w:rsid w:val="0014097B"/>
    <w:rsid w:val="00142313"/>
    <w:rsid w:val="00144510"/>
    <w:rsid w:val="00144E18"/>
    <w:rsid w:val="00144E97"/>
    <w:rsid w:val="001456D0"/>
    <w:rsid w:val="00145831"/>
    <w:rsid w:val="00146B21"/>
    <w:rsid w:val="00146D25"/>
    <w:rsid w:val="001474EA"/>
    <w:rsid w:val="0014793E"/>
    <w:rsid w:val="00147D79"/>
    <w:rsid w:val="0015042F"/>
    <w:rsid w:val="00151A3C"/>
    <w:rsid w:val="00152A79"/>
    <w:rsid w:val="00152D87"/>
    <w:rsid w:val="001531C6"/>
    <w:rsid w:val="001532BB"/>
    <w:rsid w:val="00153E57"/>
    <w:rsid w:val="0015488F"/>
    <w:rsid w:val="001555C2"/>
    <w:rsid w:val="00157970"/>
    <w:rsid w:val="00157ED9"/>
    <w:rsid w:val="00157EDA"/>
    <w:rsid w:val="0016261C"/>
    <w:rsid w:val="0016378E"/>
    <w:rsid w:val="00163AFF"/>
    <w:rsid w:val="00163FD7"/>
    <w:rsid w:val="00164858"/>
    <w:rsid w:val="001649DF"/>
    <w:rsid w:val="001659E4"/>
    <w:rsid w:val="00165E7A"/>
    <w:rsid w:val="00166179"/>
    <w:rsid w:val="00166F0F"/>
    <w:rsid w:val="00170B71"/>
    <w:rsid w:val="00170C46"/>
    <w:rsid w:val="00171293"/>
    <w:rsid w:val="0017481E"/>
    <w:rsid w:val="0017506D"/>
    <w:rsid w:val="00175990"/>
    <w:rsid w:val="00175F40"/>
    <w:rsid w:val="001761EF"/>
    <w:rsid w:val="00176B2B"/>
    <w:rsid w:val="00176F65"/>
    <w:rsid w:val="0018087C"/>
    <w:rsid w:val="00180C97"/>
    <w:rsid w:val="0018355B"/>
    <w:rsid w:val="00184208"/>
    <w:rsid w:val="001851DB"/>
    <w:rsid w:val="001859E9"/>
    <w:rsid w:val="00186E06"/>
    <w:rsid w:val="001870AA"/>
    <w:rsid w:val="001915BE"/>
    <w:rsid w:val="0019219A"/>
    <w:rsid w:val="001928D3"/>
    <w:rsid w:val="0019509B"/>
    <w:rsid w:val="001964A4"/>
    <w:rsid w:val="0019757E"/>
    <w:rsid w:val="001976CA"/>
    <w:rsid w:val="001A1463"/>
    <w:rsid w:val="001A1F86"/>
    <w:rsid w:val="001A47CE"/>
    <w:rsid w:val="001A57D6"/>
    <w:rsid w:val="001A5898"/>
    <w:rsid w:val="001A5A91"/>
    <w:rsid w:val="001A640D"/>
    <w:rsid w:val="001A6FA3"/>
    <w:rsid w:val="001A72C4"/>
    <w:rsid w:val="001A7D73"/>
    <w:rsid w:val="001B07BD"/>
    <w:rsid w:val="001B125E"/>
    <w:rsid w:val="001B2ACF"/>
    <w:rsid w:val="001B2FF2"/>
    <w:rsid w:val="001B44B1"/>
    <w:rsid w:val="001B459B"/>
    <w:rsid w:val="001B62B9"/>
    <w:rsid w:val="001B6A3F"/>
    <w:rsid w:val="001C01C3"/>
    <w:rsid w:val="001C09BA"/>
    <w:rsid w:val="001C163A"/>
    <w:rsid w:val="001C185F"/>
    <w:rsid w:val="001C28F8"/>
    <w:rsid w:val="001C2CB2"/>
    <w:rsid w:val="001C2E2D"/>
    <w:rsid w:val="001C3CA3"/>
    <w:rsid w:val="001C3F3A"/>
    <w:rsid w:val="001C46F2"/>
    <w:rsid w:val="001C4FFA"/>
    <w:rsid w:val="001C5604"/>
    <w:rsid w:val="001C6FF1"/>
    <w:rsid w:val="001C7B69"/>
    <w:rsid w:val="001C7E59"/>
    <w:rsid w:val="001D22D0"/>
    <w:rsid w:val="001D4082"/>
    <w:rsid w:val="001D438F"/>
    <w:rsid w:val="001D43A3"/>
    <w:rsid w:val="001D45E9"/>
    <w:rsid w:val="001D47FC"/>
    <w:rsid w:val="001D4D21"/>
    <w:rsid w:val="001D5873"/>
    <w:rsid w:val="001D6EA6"/>
    <w:rsid w:val="001D7AFC"/>
    <w:rsid w:val="001E0035"/>
    <w:rsid w:val="001E0457"/>
    <w:rsid w:val="001E054E"/>
    <w:rsid w:val="001E0B74"/>
    <w:rsid w:val="001E1BF3"/>
    <w:rsid w:val="001E1D25"/>
    <w:rsid w:val="001E2315"/>
    <w:rsid w:val="001E2321"/>
    <w:rsid w:val="001E4210"/>
    <w:rsid w:val="001E4C4F"/>
    <w:rsid w:val="001E691E"/>
    <w:rsid w:val="001E6D62"/>
    <w:rsid w:val="001E75E0"/>
    <w:rsid w:val="001F1114"/>
    <w:rsid w:val="001F192C"/>
    <w:rsid w:val="001F1CE2"/>
    <w:rsid w:val="001F3168"/>
    <w:rsid w:val="001F47DF"/>
    <w:rsid w:val="001F5479"/>
    <w:rsid w:val="001F731E"/>
    <w:rsid w:val="001F7582"/>
    <w:rsid w:val="001F777E"/>
    <w:rsid w:val="002013EC"/>
    <w:rsid w:val="0020316A"/>
    <w:rsid w:val="00204D94"/>
    <w:rsid w:val="00205574"/>
    <w:rsid w:val="00205B38"/>
    <w:rsid w:val="00206D06"/>
    <w:rsid w:val="002103D1"/>
    <w:rsid w:val="00210750"/>
    <w:rsid w:val="0021113C"/>
    <w:rsid w:val="002111FB"/>
    <w:rsid w:val="0021201D"/>
    <w:rsid w:val="00212091"/>
    <w:rsid w:val="002139A5"/>
    <w:rsid w:val="0021515F"/>
    <w:rsid w:val="00215E1C"/>
    <w:rsid w:val="002162AA"/>
    <w:rsid w:val="0021689F"/>
    <w:rsid w:val="00216CB3"/>
    <w:rsid w:val="00216FEA"/>
    <w:rsid w:val="0021725A"/>
    <w:rsid w:val="002202B7"/>
    <w:rsid w:val="002203B5"/>
    <w:rsid w:val="00222140"/>
    <w:rsid w:val="002223A5"/>
    <w:rsid w:val="0022311B"/>
    <w:rsid w:val="0022464D"/>
    <w:rsid w:val="00225BA3"/>
    <w:rsid w:val="002261B2"/>
    <w:rsid w:val="0022631D"/>
    <w:rsid w:val="00226816"/>
    <w:rsid w:val="0022722A"/>
    <w:rsid w:val="0022792B"/>
    <w:rsid w:val="00227B9B"/>
    <w:rsid w:val="00227CD9"/>
    <w:rsid w:val="00227DBD"/>
    <w:rsid w:val="00230222"/>
    <w:rsid w:val="00231AA2"/>
    <w:rsid w:val="0023254F"/>
    <w:rsid w:val="00233140"/>
    <w:rsid w:val="002340A7"/>
    <w:rsid w:val="0023436B"/>
    <w:rsid w:val="002354CA"/>
    <w:rsid w:val="00236D1D"/>
    <w:rsid w:val="002372F9"/>
    <w:rsid w:val="00240221"/>
    <w:rsid w:val="00240247"/>
    <w:rsid w:val="0024161E"/>
    <w:rsid w:val="00242A15"/>
    <w:rsid w:val="002440B0"/>
    <w:rsid w:val="002454A2"/>
    <w:rsid w:val="00245584"/>
    <w:rsid w:val="00245CDC"/>
    <w:rsid w:val="00246852"/>
    <w:rsid w:val="00250A53"/>
    <w:rsid w:val="00251286"/>
    <w:rsid w:val="002516F2"/>
    <w:rsid w:val="0025229E"/>
    <w:rsid w:val="002522FC"/>
    <w:rsid w:val="00252913"/>
    <w:rsid w:val="002539F4"/>
    <w:rsid w:val="00253A37"/>
    <w:rsid w:val="00254100"/>
    <w:rsid w:val="002546D6"/>
    <w:rsid w:val="002548C0"/>
    <w:rsid w:val="00254A9C"/>
    <w:rsid w:val="00254D7A"/>
    <w:rsid w:val="00255777"/>
    <w:rsid w:val="002600F5"/>
    <w:rsid w:val="00262364"/>
    <w:rsid w:val="002627D0"/>
    <w:rsid w:val="00262C22"/>
    <w:rsid w:val="002631CF"/>
    <w:rsid w:val="0026389C"/>
    <w:rsid w:val="002639CA"/>
    <w:rsid w:val="00263C87"/>
    <w:rsid w:val="00264552"/>
    <w:rsid w:val="00264859"/>
    <w:rsid w:val="00265DB8"/>
    <w:rsid w:val="0026607B"/>
    <w:rsid w:val="00266AD1"/>
    <w:rsid w:val="00266DA4"/>
    <w:rsid w:val="00266E99"/>
    <w:rsid w:val="00267B29"/>
    <w:rsid w:val="00267F4A"/>
    <w:rsid w:val="00270147"/>
    <w:rsid w:val="00270BE3"/>
    <w:rsid w:val="002713CD"/>
    <w:rsid w:val="00271A6A"/>
    <w:rsid w:val="002723BA"/>
    <w:rsid w:val="002734D8"/>
    <w:rsid w:val="00273EF4"/>
    <w:rsid w:val="00275043"/>
    <w:rsid w:val="002755E7"/>
    <w:rsid w:val="00275B5C"/>
    <w:rsid w:val="00276ADE"/>
    <w:rsid w:val="00277918"/>
    <w:rsid w:val="00280503"/>
    <w:rsid w:val="0028065B"/>
    <w:rsid w:val="00281810"/>
    <w:rsid w:val="00281FF7"/>
    <w:rsid w:val="00283F10"/>
    <w:rsid w:val="00284DF0"/>
    <w:rsid w:val="00285733"/>
    <w:rsid w:val="002900EB"/>
    <w:rsid w:val="00290158"/>
    <w:rsid w:val="002906CE"/>
    <w:rsid w:val="00291098"/>
    <w:rsid w:val="00291297"/>
    <w:rsid w:val="00291E8B"/>
    <w:rsid w:val="002935DC"/>
    <w:rsid w:val="00293AF9"/>
    <w:rsid w:val="00294621"/>
    <w:rsid w:val="002948D4"/>
    <w:rsid w:val="0029573C"/>
    <w:rsid w:val="00297432"/>
    <w:rsid w:val="002A0021"/>
    <w:rsid w:val="002A0164"/>
    <w:rsid w:val="002A02A1"/>
    <w:rsid w:val="002A12BB"/>
    <w:rsid w:val="002A2EC9"/>
    <w:rsid w:val="002A3E7A"/>
    <w:rsid w:val="002A411C"/>
    <w:rsid w:val="002A5094"/>
    <w:rsid w:val="002A5A71"/>
    <w:rsid w:val="002A5AF1"/>
    <w:rsid w:val="002A5E7E"/>
    <w:rsid w:val="002A6D22"/>
    <w:rsid w:val="002B0470"/>
    <w:rsid w:val="002B1177"/>
    <w:rsid w:val="002B4113"/>
    <w:rsid w:val="002B46FA"/>
    <w:rsid w:val="002B4C5E"/>
    <w:rsid w:val="002B57AE"/>
    <w:rsid w:val="002B7A7C"/>
    <w:rsid w:val="002C05DD"/>
    <w:rsid w:val="002C1090"/>
    <w:rsid w:val="002C247D"/>
    <w:rsid w:val="002C4EBF"/>
    <w:rsid w:val="002C648A"/>
    <w:rsid w:val="002C69E8"/>
    <w:rsid w:val="002D0DAC"/>
    <w:rsid w:val="002D1F91"/>
    <w:rsid w:val="002D2583"/>
    <w:rsid w:val="002D2663"/>
    <w:rsid w:val="002D30EE"/>
    <w:rsid w:val="002D3D79"/>
    <w:rsid w:val="002D3E63"/>
    <w:rsid w:val="002D493E"/>
    <w:rsid w:val="002D5044"/>
    <w:rsid w:val="002D53C6"/>
    <w:rsid w:val="002D5437"/>
    <w:rsid w:val="002D564B"/>
    <w:rsid w:val="002D76CE"/>
    <w:rsid w:val="002D799F"/>
    <w:rsid w:val="002D7CC6"/>
    <w:rsid w:val="002E0B2B"/>
    <w:rsid w:val="002E107E"/>
    <w:rsid w:val="002E185E"/>
    <w:rsid w:val="002E206E"/>
    <w:rsid w:val="002E28D0"/>
    <w:rsid w:val="002E2D79"/>
    <w:rsid w:val="002E3654"/>
    <w:rsid w:val="002E3A6C"/>
    <w:rsid w:val="002E3EF6"/>
    <w:rsid w:val="002E4720"/>
    <w:rsid w:val="002E4FAD"/>
    <w:rsid w:val="002E5B34"/>
    <w:rsid w:val="002E6539"/>
    <w:rsid w:val="002E66A4"/>
    <w:rsid w:val="002E6C61"/>
    <w:rsid w:val="002E7EB6"/>
    <w:rsid w:val="002F075C"/>
    <w:rsid w:val="002F195F"/>
    <w:rsid w:val="002F350D"/>
    <w:rsid w:val="002F3B6B"/>
    <w:rsid w:val="002F435D"/>
    <w:rsid w:val="002F4570"/>
    <w:rsid w:val="002F60A3"/>
    <w:rsid w:val="002F6A84"/>
    <w:rsid w:val="002F7E02"/>
    <w:rsid w:val="00300373"/>
    <w:rsid w:val="003005ED"/>
    <w:rsid w:val="00301BCB"/>
    <w:rsid w:val="00301D13"/>
    <w:rsid w:val="00302DAF"/>
    <w:rsid w:val="0030332F"/>
    <w:rsid w:val="00305A1A"/>
    <w:rsid w:val="003070D5"/>
    <w:rsid w:val="00310403"/>
    <w:rsid w:val="003107C1"/>
    <w:rsid w:val="003130F8"/>
    <w:rsid w:val="00313C08"/>
    <w:rsid w:val="00313E82"/>
    <w:rsid w:val="00314286"/>
    <w:rsid w:val="00314B68"/>
    <w:rsid w:val="00315C6B"/>
    <w:rsid w:val="00315FD7"/>
    <w:rsid w:val="003177D8"/>
    <w:rsid w:val="003178C9"/>
    <w:rsid w:val="0032215B"/>
    <w:rsid w:val="00323712"/>
    <w:rsid w:val="00323878"/>
    <w:rsid w:val="00326744"/>
    <w:rsid w:val="003275AA"/>
    <w:rsid w:val="003301E3"/>
    <w:rsid w:val="003303FE"/>
    <w:rsid w:val="00330789"/>
    <w:rsid w:val="00330835"/>
    <w:rsid w:val="00331022"/>
    <w:rsid w:val="003317DD"/>
    <w:rsid w:val="00332A32"/>
    <w:rsid w:val="00332D04"/>
    <w:rsid w:val="0033342B"/>
    <w:rsid w:val="00334082"/>
    <w:rsid w:val="003342A0"/>
    <w:rsid w:val="00334AB1"/>
    <w:rsid w:val="00334BBD"/>
    <w:rsid w:val="00336116"/>
    <w:rsid w:val="00337571"/>
    <w:rsid w:val="00337BEC"/>
    <w:rsid w:val="00337F39"/>
    <w:rsid w:val="00341661"/>
    <w:rsid w:val="00341C83"/>
    <w:rsid w:val="0034216F"/>
    <w:rsid w:val="00343B47"/>
    <w:rsid w:val="00343E7E"/>
    <w:rsid w:val="00343FF9"/>
    <w:rsid w:val="00346529"/>
    <w:rsid w:val="00347554"/>
    <w:rsid w:val="00347C74"/>
    <w:rsid w:val="00350610"/>
    <w:rsid w:val="00351F42"/>
    <w:rsid w:val="00352923"/>
    <w:rsid w:val="003529E1"/>
    <w:rsid w:val="00354BEB"/>
    <w:rsid w:val="00354E43"/>
    <w:rsid w:val="003556A9"/>
    <w:rsid w:val="00355E0D"/>
    <w:rsid w:val="0035625C"/>
    <w:rsid w:val="00357001"/>
    <w:rsid w:val="0035745F"/>
    <w:rsid w:val="00357531"/>
    <w:rsid w:val="00357A3D"/>
    <w:rsid w:val="003610A5"/>
    <w:rsid w:val="0036243F"/>
    <w:rsid w:val="00362DB3"/>
    <w:rsid w:val="00363F95"/>
    <w:rsid w:val="00366BC1"/>
    <w:rsid w:val="00371709"/>
    <w:rsid w:val="003749DF"/>
    <w:rsid w:val="00374BF7"/>
    <w:rsid w:val="00374FD5"/>
    <w:rsid w:val="00375B69"/>
    <w:rsid w:val="00375C9D"/>
    <w:rsid w:val="00377496"/>
    <w:rsid w:val="003774E9"/>
    <w:rsid w:val="00381795"/>
    <w:rsid w:val="00381806"/>
    <w:rsid w:val="003820FD"/>
    <w:rsid w:val="00383923"/>
    <w:rsid w:val="00384262"/>
    <w:rsid w:val="00384999"/>
    <w:rsid w:val="00385053"/>
    <w:rsid w:val="00385CF7"/>
    <w:rsid w:val="00385DE0"/>
    <w:rsid w:val="00387AFF"/>
    <w:rsid w:val="00387CD5"/>
    <w:rsid w:val="00390918"/>
    <w:rsid w:val="00391D48"/>
    <w:rsid w:val="003929AB"/>
    <w:rsid w:val="00392E93"/>
    <w:rsid w:val="00393023"/>
    <w:rsid w:val="00393815"/>
    <w:rsid w:val="003938A5"/>
    <w:rsid w:val="003939DA"/>
    <w:rsid w:val="00393A8A"/>
    <w:rsid w:val="003941EF"/>
    <w:rsid w:val="00394F9D"/>
    <w:rsid w:val="003959AB"/>
    <w:rsid w:val="00395C03"/>
    <w:rsid w:val="00396A6C"/>
    <w:rsid w:val="003977D3"/>
    <w:rsid w:val="00397A45"/>
    <w:rsid w:val="00397EAE"/>
    <w:rsid w:val="003A1E25"/>
    <w:rsid w:val="003A2238"/>
    <w:rsid w:val="003A3271"/>
    <w:rsid w:val="003A357F"/>
    <w:rsid w:val="003A3B8D"/>
    <w:rsid w:val="003A488B"/>
    <w:rsid w:val="003A56FC"/>
    <w:rsid w:val="003A5EB9"/>
    <w:rsid w:val="003A6C5F"/>
    <w:rsid w:val="003A78C4"/>
    <w:rsid w:val="003B14BC"/>
    <w:rsid w:val="003B151A"/>
    <w:rsid w:val="003B177F"/>
    <w:rsid w:val="003B3FA9"/>
    <w:rsid w:val="003B44AA"/>
    <w:rsid w:val="003B6042"/>
    <w:rsid w:val="003B64AD"/>
    <w:rsid w:val="003B7162"/>
    <w:rsid w:val="003B7173"/>
    <w:rsid w:val="003B71F5"/>
    <w:rsid w:val="003B7434"/>
    <w:rsid w:val="003B7566"/>
    <w:rsid w:val="003B781F"/>
    <w:rsid w:val="003B7A9C"/>
    <w:rsid w:val="003C09ED"/>
    <w:rsid w:val="003C20A8"/>
    <w:rsid w:val="003C2775"/>
    <w:rsid w:val="003C397A"/>
    <w:rsid w:val="003C56A2"/>
    <w:rsid w:val="003C6DB5"/>
    <w:rsid w:val="003D0100"/>
    <w:rsid w:val="003D01D1"/>
    <w:rsid w:val="003D09B4"/>
    <w:rsid w:val="003D182F"/>
    <w:rsid w:val="003D1B4E"/>
    <w:rsid w:val="003D1FDF"/>
    <w:rsid w:val="003D3618"/>
    <w:rsid w:val="003D3921"/>
    <w:rsid w:val="003D3FE3"/>
    <w:rsid w:val="003D525E"/>
    <w:rsid w:val="003D5677"/>
    <w:rsid w:val="003D5707"/>
    <w:rsid w:val="003D5744"/>
    <w:rsid w:val="003D588D"/>
    <w:rsid w:val="003D5C9B"/>
    <w:rsid w:val="003D639F"/>
    <w:rsid w:val="003D66A5"/>
    <w:rsid w:val="003E19BD"/>
    <w:rsid w:val="003E2ADC"/>
    <w:rsid w:val="003E3709"/>
    <w:rsid w:val="003E6BA2"/>
    <w:rsid w:val="003E7562"/>
    <w:rsid w:val="003E7B3F"/>
    <w:rsid w:val="003F028D"/>
    <w:rsid w:val="003F0D26"/>
    <w:rsid w:val="003F1B82"/>
    <w:rsid w:val="003F269B"/>
    <w:rsid w:val="003F36F7"/>
    <w:rsid w:val="003F412C"/>
    <w:rsid w:val="003F42A4"/>
    <w:rsid w:val="003F5507"/>
    <w:rsid w:val="003F6857"/>
    <w:rsid w:val="003F6E7F"/>
    <w:rsid w:val="003F7C66"/>
    <w:rsid w:val="004006AE"/>
    <w:rsid w:val="004011AF"/>
    <w:rsid w:val="004016A5"/>
    <w:rsid w:val="004027A6"/>
    <w:rsid w:val="004028C4"/>
    <w:rsid w:val="0040291D"/>
    <w:rsid w:val="00403AAE"/>
    <w:rsid w:val="00403B77"/>
    <w:rsid w:val="00404AA7"/>
    <w:rsid w:val="00404E24"/>
    <w:rsid w:val="00404E8C"/>
    <w:rsid w:val="004060F7"/>
    <w:rsid w:val="00406A7B"/>
    <w:rsid w:val="00407377"/>
    <w:rsid w:val="0040763B"/>
    <w:rsid w:val="00407F8F"/>
    <w:rsid w:val="004103B8"/>
    <w:rsid w:val="00410868"/>
    <w:rsid w:val="004112BC"/>
    <w:rsid w:val="00412FAB"/>
    <w:rsid w:val="00414810"/>
    <w:rsid w:val="00414C84"/>
    <w:rsid w:val="00415737"/>
    <w:rsid w:val="0041609A"/>
    <w:rsid w:val="004166F2"/>
    <w:rsid w:val="0041727A"/>
    <w:rsid w:val="00417A7F"/>
    <w:rsid w:val="00420E91"/>
    <w:rsid w:val="00420FA9"/>
    <w:rsid w:val="004221F1"/>
    <w:rsid w:val="00422623"/>
    <w:rsid w:val="00422C1F"/>
    <w:rsid w:val="00423337"/>
    <w:rsid w:val="00424202"/>
    <w:rsid w:val="0042521A"/>
    <w:rsid w:val="0042552F"/>
    <w:rsid w:val="00425B7A"/>
    <w:rsid w:val="00426DEA"/>
    <w:rsid w:val="00426E5F"/>
    <w:rsid w:val="00432B85"/>
    <w:rsid w:val="00433361"/>
    <w:rsid w:val="0043408B"/>
    <w:rsid w:val="00434B8E"/>
    <w:rsid w:val="00435674"/>
    <w:rsid w:val="004366E9"/>
    <w:rsid w:val="004377D6"/>
    <w:rsid w:val="00440F31"/>
    <w:rsid w:val="00441206"/>
    <w:rsid w:val="00441232"/>
    <w:rsid w:val="0044153A"/>
    <w:rsid w:val="00442257"/>
    <w:rsid w:val="004433B2"/>
    <w:rsid w:val="00443A69"/>
    <w:rsid w:val="00443E0B"/>
    <w:rsid w:val="00443FA5"/>
    <w:rsid w:val="00444574"/>
    <w:rsid w:val="0044549B"/>
    <w:rsid w:val="0044578A"/>
    <w:rsid w:val="0045072F"/>
    <w:rsid w:val="00450AFA"/>
    <w:rsid w:val="0045212C"/>
    <w:rsid w:val="004531BB"/>
    <w:rsid w:val="00453449"/>
    <w:rsid w:val="004543EA"/>
    <w:rsid w:val="00454B96"/>
    <w:rsid w:val="00456851"/>
    <w:rsid w:val="004569C4"/>
    <w:rsid w:val="0045721A"/>
    <w:rsid w:val="00457B10"/>
    <w:rsid w:val="0046133F"/>
    <w:rsid w:val="004627BA"/>
    <w:rsid w:val="00463333"/>
    <w:rsid w:val="004664EE"/>
    <w:rsid w:val="004669E2"/>
    <w:rsid w:val="00466FAA"/>
    <w:rsid w:val="00467EBD"/>
    <w:rsid w:val="00470346"/>
    <w:rsid w:val="004713ED"/>
    <w:rsid w:val="0047199D"/>
    <w:rsid w:val="00472B8E"/>
    <w:rsid w:val="00472CBD"/>
    <w:rsid w:val="004735B0"/>
    <w:rsid w:val="004745A2"/>
    <w:rsid w:val="00474793"/>
    <w:rsid w:val="00475510"/>
    <w:rsid w:val="00475A1C"/>
    <w:rsid w:val="00475C45"/>
    <w:rsid w:val="00475F59"/>
    <w:rsid w:val="0047601D"/>
    <w:rsid w:val="004805D6"/>
    <w:rsid w:val="004816E0"/>
    <w:rsid w:val="00482C18"/>
    <w:rsid w:val="00482CC6"/>
    <w:rsid w:val="004836E1"/>
    <w:rsid w:val="004840F9"/>
    <w:rsid w:val="00484DB9"/>
    <w:rsid w:val="00485797"/>
    <w:rsid w:val="00485E1C"/>
    <w:rsid w:val="00486FD0"/>
    <w:rsid w:val="0048704D"/>
    <w:rsid w:val="004870B9"/>
    <w:rsid w:val="00487393"/>
    <w:rsid w:val="00493D2F"/>
    <w:rsid w:val="00493E7B"/>
    <w:rsid w:val="00494E10"/>
    <w:rsid w:val="0049763E"/>
    <w:rsid w:val="00497A19"/>
    <w:rsid w:val="004A02DF"/>
    <w:rsid w:val="004A0FFC"/>
    <w:rsid w:val="004A1B4A"/>
    <w:rsid w:val="004A25E0"/>
    <w:rsid w:val="004A2D3A"/>
    <w:rsid w:val="004A316A"/>
    <w:rsid w:val="004A4E95"/>
    <w:rsid w:val="004A6394"/>
    <w:rsid w:val="004A6662"/>
    <w:rsid w:val="004A6911"/>
    <w:rsid w:val="004A698B"/>
    <w:rsid w:val="004A796E"/>
    <w:rsid w:val="004B14A3"/>
    <w:rsid w:val="004B1B2D"/>
    <w:rsid w:val="004B1C01"/>
    <w:rsid w:val="004B2A38"/>
    <w:rsid w:val="004B2FFC"/>
    <w:rsid w:val="004B3025"/>
    <w:rsid w:val="004B304E"/>
    <w:rsid w:val="004B3538"/>
    <w:rsid w:val="004B361D"/>
    <w:rsid w:val="004B3FAA"/>
    <w:rsid w:val="004B4E39"/>
    <w:rsid w:val="004B564C"/>
    <w:rsid w:val="004B5CDB"/>
    <w:rsid w:val="004B6052"/>
    <w:rsid w:val="004B706C"/>
    <w:rsid w:val="004B70A8"/>
    <w:rsid w:val="004B7D29"/>
    <w:rsid w:val="004C02A2"/>
    <w:rsid w:val="004C080E"/>
    <w:rsid w:val="004C0C8A"/>
    <w:rsid w:val="004C12D9"/>
    <w:rsid w:val="004C1477"/>
    <w:rsid w:val="004C1997"/>
    <w:rsid w:val="004C1A0E"/>
    <w:rsid w:val="004C3693"/>
    <w:rsid w:val="004C4840"/>
    <w:rsid w:val="004C6175"/>
    <w:rsid w:val="004C7586"/>
    <w:rsid w:val="004D1BB1"/>
    <w:rsid w:val="004D27A4"/>
    <w:rsid w:val="004D2CA5"/>
    <w:rsid w:val="004D31D6"/>
    <w:rsid w:val="004D37D2"/>
    <w:rsid w:val="004D39A2"/>
    <w:rsid w:val="004D41C6"/>
    <w:rsid w:val="004D43DD"/>
    <w:rsid w:val="004D540B"/>
    <w:rsid w:val="004D568C"/>
    <w:rsid w:val="004D58F7"/>
    <w:rsid w:val="004D7027"/>
    <w:rsid w:val="004D7242"/>
    <w:rsid w:val="004D78C1"/>
    <w:rsid w:val="004D7A99"/>
    <w:rsid w:val="004D7E08"/>
    <w:rsid w:val="004E0D54"/>
    <w:rsid w:val="004E165E"/>
    <w:rsid w:val="004E26A5"/>
    <w:rsid w:val="004E2962"/>
    <w:rsid w:val="004E3077"/>
    <w:rsid w:val="004E4B3D"/>
    <w:rsid w:val="004E5BAA"/>
    <w:rsid w:val="004E7E43"/>
    <w:rsid w:val="004F0395"/>
    <w:rsid w:val="004F05E6"/>
    <w:rsid w:val="004F17CD"/>
    <w:rsid w:val="004F24DC"/>
    <w:rsid w:val="004F2CAB"/>
    <w:rsid w:val="004F2D48"/>
    <w:rsid w:val="004F2F5E"/>
    <w:rsid w:val="004F31B9"/>
    <w:rsid w:val="004F439D"/>
    <w:rsid w:val="004F4B83"/>
    <w:rsid w:val="004F6A10"/>
    <w:rsid w:val="004F7B26"/>
    <w:rsid w:val="004F7B93"/>
    <w:rsid w:val="004F7CE2"/>
    <w:rsid w:val="004F7EA8"/>
    <w:rsid w:val="005005B7"/>
    <w:rsid w:val="00500846"/>
    <w:rsid w:val="00500B65"/>
    <w:rsid w:val="00500F7B"/>
    <w:rsid w:val="00501004"/>
    <w:rsid w:val="005023CA"/>
    <w:rsid w:val="00503940"/>
    <w:rsid w:val="00507DE1"/>
    <w:rsid w:val="005101C2"/>
    <w:rsid w:val="00510203"/>
    <w:rsid w:val="00510642"/>
    <w:rsid w:val="00510750"/>
    <w:rsid w:val="005108FF"/>
    <w:rsid w:val="00510A83"/>
    <w:rsid w:val="005131D1"/>
    <w:rsid w:val="0051331C"/>
    <w:rsid w:val="00513CB2"/>
    <w:rsid w:val="005147FE"/>
    <w:rsid w:val="00514A10"/>
    <w:rsid w:val="00515E98"/>
    <w:rsid w:val="005160B6"/>
    <w:rsid w:val="00516864"/>
    <w:rsid w:val="00517279"/>
    <w:rsid w:val="005177E7"/>
    <w:rsid w:val="00520177"/>
    <w:rsid w:val="00521349"/>
    <w:rsid w:val="0052154A"/>
    <w:rsid w:val="00522829"/>
    <w:rsid w:val="00522966"/>
    <w:rsid w:val="00522DD9"/>
    <w:rsid w:val="00523512"/>
    <w:rsid w:val="005243AF"/>
    <w:rsid w:val="00524812"/>
    <w:rsid w:val="0052584F"/>
    <w:rsid w:val="00526C4D"/>
    <w:rsid w:val="005274DA"/>
    <w:rsid w:val="00530ABD"/>
    <w:rsid w:val="00531A77"/>
    <w:rsid w:val="00531BAA"/>
    <w:rsid w:val="005322E7"/>
    <w:rsid w:val="00533847"/>
    <w:rsid w:val="00536B6B"/>
    <w:rsid w:val="00537E73"/>
    <w:rsid w:val="005404E4"/>
    <w:rsid w:val="00540ED4"/>
    <w:rsid w:val="0054229C"/>
    <w:rsid w:val="0054469B"/>
    <w:rsid w:val="00544820"/>
    <w:rsid w:val="00544AA9"/>
    <w:rsid w:val="00547783"/>
    <w:rsid w:val="00550026"/>
    <w:rsid w:val="00551714"/>
    <w:rsid w:val="0055231D"/>
    <w:rsid w:val="0055266B"/>
    <w:rsid w:val="005540BF"/>
    <w:rsid w:val="005545DD"/>
    <w:rsid w:val="00554DA3"/>
    <w:rsid w:val="00554F1C"/>
    <w:rsid w:val="00555E35"/>
    <w:rsid w:val="00561014"/>
    <w:rsid w:val="00561867"/>
    <w:rsid w:val="0056226B"/>
    <w:rsid w:val="005624AE"/>
    <w:rsid w:val="0056267B"/>
    <w:rsid w:val="00563A2E"/>
    <w:rsid w:val="00564037"/>
    <w:rsid w:val="00564789"/>
    <w:rsid w:val="0056648A"/>
    <w:rsid w:val="00566F9E"/>
    <w:rsid w:val="00567A37"/>
    <w:rsid w:val="005700AB"/>
    <w:rsid w:val="0057204C"/>
    <w:rsid w:val="00572376"/>
    <w:rsid w:val="005727BB"/>
    <w:rsid w:val="00572BCF"/>
    <w:rsid w:val="005736AD"/>
    <w:rsid w:val="00573AB0"/>
    <w:rsid w:val="00573CDC"/>
    <w:rsid w:val="005754AA"/>
    <w:rsid w:val="0057594D"/>
    <w:rsid w:val="00575B4F"/>
    <w:rsid w:val="00577A0C"/>
    <w:rsid w:val="00580D04"/>
    <w:rsid w:val="00580F70"/>
    <w:rsid w:val="00581007"/>
    <w:rsid w:val="005810D4"/>
    <w:rsid w:val="005816EE"/>
    <w:rsid w:val="00581AE6"/>
    <w:rsid w:val="00582DE3"/>
    <w:rsid w:val="005838CB"/>
    <w:rsid w:val="00583B6C"/>
    <w:rsid w:val="0058575F"/>
    <w:rsid w:val="005857D9"/>
    <w:rsid w:val="00585E90"/>
    <w:rsid w:val="00586566"/>
    <w:rsid w:val="00586D81"/>
    <w:rsid w:val="00587558"/>
    <w:rsid w:val="00587CC5"/>
    <w:rsid w:val="00590066"/>
    <w:rsid w:val="00590753"/>
    <w:rsid w:val="005908E8"/>
    <w:rsid w:val="00592260"/>
    <w:rsid w:val="00593487"/>
    <w:rsid w:val="005947B3"/>
    <w:rsid w:val="0059522F"/>
    <w:rsid w:val="00596C45"/>
    <w:rsid w:val="00596DAF"/>
    <w:rsid w:val="00597D3B"/>
    <w:rsid w:val="005A037F"/>
    <w:rsid w:val="005A0CE2"/>
    <w:rsid w:val="005A1104"/>
    <w:rsid w:val="005A215B"/>
    <w:rsid w:val="005A27AA"/>
    <w:rsid w:val="005A34DF"/>
    <w:rsid w:val="005A37FD"/>
    <w:rsid w:val="005A53C9"/>
    <w:rsid w:val="005A6399"/>
    <w:rsid w:val="005A6756"/>
    <w:rsid w:val="005A7A28"/>
    <w:rsid w:val="005B19CA"/>
    <w:rsid w:val="005B3AEF"/>
    <w:rsid w:val="005B4A41"/>
    <w:rsid w:val="005B5BB2"/>
    <w:rsid w:val="005B745B"/>
    <w:rsid w:val="005B78AF"/>
    <w:rsid w:val="005C02E8"/>
    <w:rsid w:val="005C0983"/>
    <w:rsid w:val="005C1D81"/>
    <w:rsid w:val="005C202B"/>
    <w:rsid w:val="005C249F"/>
    <w:rsid w:val="005C24BC"/>
    <w:rsid w:val="005C72B1"/>
    <w:rsid w:val="005D0064"/>
    <w:rsid w:val="005D0227"/>
    <w:rsid w:val="005D030B"/>
    <w:rsid w:val="005D0AE9"/>
    <w:rsid w:val="005D0C13"/>
    <w:rsid w:val="005D2320"/>
    <w:rsid w:val="005D3710"/>
    <w:rsid w:val="005D3A83"/>
    <w:rsid w:val="005D485E"/>
    <w:rsid w:val="005D550B"/>
    <w:rsid w:val="005D5938"/>
    <w:rsid w:val="005D7879"/>
    <w:rsid w:val="005E1AC2"/>
    <w:rsid w:val="005E1AE8"/>
    <w:rsid w:val="005E1B02"/>
    <w:rsid w:val="005E1BB3"/>
    <w:rsid w:val="005E1E94"/>
    <w:rsid w:val="005E2ADE"/>
    <w:rsid w:val="005E2E35"/>
    <w:rsid w:val="005E2E84"/>
    <w:rsid w:val="005E322D"/>
    <w:rsid w:val="005E32D7"/>
    <w:rsid w:val="005E381A"/>
    <w:rsid w:val="005E4035"/>
    <w:rsid w:val="005E4329"/>
    <w:rsid w:val="005E5434"/>
    <w:rsid w:val="005E5CCB"/>
    <w:rsid w:val="005E7067"/>
    <w:rsid w:val="005F186D"/>
    <w:rsid w:val="005F206D"/>
    <w:rsid w:val="005F352F"/>
    <w:rsid w:val="005F4D9D"/>
    <w:rsid w:val="005F5D08"/>
    <w:rsid w:val="005F678A"/>
    <w:rsid w:val="005F7D72"/>
    <w:rsid w:val="00601205"/>
    <w:rsid w:val="00601EDC"/>
    <w:rsid w:val="006022F8"/>
    <w:rsid w:val="00602BD7"/>
    <w:rsid w:val="0060367E"/>
    <w:rsid w:val="00603BA0"/>
    <w:rsid w:val="00603D19"/>
    <w:rsid w:val="00604261"/>
    <w:rsid w:val="00604C9E"/>
    <w:rsid w:val="00606215"/>
    <w:rsid w:val="0061109F"/>
    <w:rsid w:val="006116F5"/>
    <w:rsid w:val="0061198A"/>
    <w:rsid w:val="006119A4"/>
    <w:rsid w:val="006130C5"/>
    <w:rsid w:val="00614475"/>
    <w:rsid w:val="006153E0"/>
    <w:rsid w:val="006156E4"/>
    <w:rsid w:val="00615A16"/>
    <w:rsid w:val="00615B36"/>
    <w:rsid w:val="00615F72"/>
    <w:rsid w:val="00616270"/>
    <w:rsid w:val="00620B17"/>
    <w:rsid w:val="00621127"/>
    <w:rsid w:val="006211B5"/>
    <w:rsid w:val="0062201F"/>
    <w:rsid w:val="006222F4"/>
    <w:rsid w:val="0062419C"/>
    <w:rsid w:val="0062538B"/>
    <w:rsid w:val="00626193"/>
    <w:rsid w:val="006263E5"/>
    <w:rsid w:val="0062643D"/>
    <w:rsid w:val="00626586"/>
    <w:rsid w:val="00627AA1"/>
    <w:rsid w:val="00627F21"/>
    <w:rsid w:val="00630157"/>
    <w:rsid w:val="0063192F"/>
    <w:rsid w:val="00632584"/>
    <w:rsid w:val="006327BE"/>
    <w:rsid w:val="00635363"/>
    <w:rsid w:val="00637405"/>
    <w:rsid w:val="00637432"/>
    <w:rsid w:val="006410FE"/>
    <w:rsid w:val="006414E3"/>
    <w:rsid w:val="006415BD"/>
    <w:rsid w:val="00641D06"/>
    <w:rsid w:val="0064211F"/>
    <w:rsid w:val="00645F67"/>
    <w:rsid w:val="00645F9A"/>
    <w:rsid w:val="0064620D"/>
    <w:rsid w:val="006462D3"/>
    <w:rsid w:val="0064732B"/>
    <w:rsid w:val="006503FA"/>
    <w:rsid w:val="0065301F"/>
    <w:rsid w:val="006540B6"/>
    <w:rsid w:val="0065566D"/>
    <w:rsid w:val="006564E5"/>
    <w:rsid w:val="00656AD2"/>
    <w:rsid w:val="00661778"/>
    <w:rsid w:val="00662A09"/>
    <w:rsid w:val="00664739"/>
    <w:rsid w:val="00664A30"/>
    <w:rsid w:val="00665E45"/>
    <w:rsid w:val="00665EC9"/>
    <w:rsid w:val="00667DF9"/>
    <w:rsid w:val="006703D1"/>
    <w:rsid w:val="006714B9"/>
    <w:rsid w:val="006719E0"/>
    <w:rsid w:val="00672157"/>
    <w:rsid w:val="006723AD"/>
    <w:rsid w:val="006726C7"/>
    <w:rsid w:val="00672E11"/>
    <w:rsid w:val="00672E46"/>
    <w:rsid w:val="00674860"/>
    <w:rsid w:val="0067622D"/>
    <w:rsid w:val="00676F8F"/>
    <w:rsid w:val="00677135"/>
    <w:rsid w:val="0067743B"/>
    <w:rsid w:val="00680862"/>
    <w:rsid w:val="00680F24"/>
    <w:rsid w:val="00680F92"/>
    <w:rsid w:val="006818C0"/>
    <w:rsid w:val="00682349"/>
    <w:rsid w:val="00682C6A"/>
    <w:rsid w:val="00683C0D"/>
    <w:rsid w:val="0068417B"/>
    <w:rsid w:val="0068455B"/>
    <w:rsid w:val="006857EF"/>
    <w:rsid w:val="00686444"/>
    <w:rsid w:val="00686A05"/>
    <w:rsid w:val="00687B0A"/>
    <w:rsid w:val="0069020C"/>
    <w:rsid w:val="006903D7"/>
    <w:rsid w:val="00690746"/>
    <w:rsid w:val="00692309"/>
    <w:rsid w:val="0069389A"/>
    <w:rsid w:val="00693B4E"/>
    <w:rsid w:val="0069423E"/>
    <w:rsid w:val="00695316"/>
    <w:rsid w:val="00696191"/>
    <w:rsid w:val="006962F0"/>
    <w:rsid w:val="006A032E"/>
    <w:rsid w:val="006A07D4"/>
    <w:rsid w:val="006A09CB"/>
    <w:rsid w:val="006A0B9C"/>
    <w:rsid w:val="006A13CD"/>
    <w:rsid w:val="006A1F4F"/>
    <w:rsid w:val="006A3AFB"/>
    <w:rsid w:val="006A6C90"/>
    <w:rsid w:val="006A75F3"/>
    <w:rsid w:val="006A7A27"/>
    <w:rsid w:val="006B02E4"/>
    <w:rsid w:val="006B0C47"/>
    <w:rsid w:val="006B163F"/>
    <w:rsid w:val="006B1FBF"/>
    <w:rsid w:val="006B2258"/>
    <w:rsid w:val="006B3F6E"/>
    <w:rsid w:val="006B442C"/>
    <w:rsid w:val="006B66B6"/>
    <w:rsid w:val="006B69AD"/>
    <w:rsid w:val="006B7777"/>
    <w:rsid w:val="006B7D49"/>
    <w:rsid w:val="006C0C4B"/>
    <w:rsid w:val="006C26C7"/>
    <w:rsid w:val="006C2B74"/>
    <w:rsid w:val="006C3820"/>
    <w:rsid w:val="006C389F"/>
    <w:rsid w:val="006C40D4"/>
    <w:rsid w:val="006C4808"/>
    <w:rsid w:val="006C4FB7"/>
    <w:rsid w:val="006C5741"/>
    <w:rsid w:val="006D2736"/>
    <w:rsid w:val="006D2BBD"/>
    <w:rsid w:val="006D382D"/>
    <w:rsid w:val="006D389F"/>
    <w:rsid w:val="006D4068"/>
    <w:rsid w:val="006D6098"/>
    <w:rsid w:val="006D60CD"/>
    <w:rsid w:val="006D6A59"/>
    <w:rsid w:val="006D6DE7"/>
    <w:rsid w:val="006D6E28"/>
    <w:rsid w:val="006D75FA"/>
    <w:rsid w:val="006D7EB8"/>
    <w:rsid w:val="006E063A"/>
    <w:rsid w:val="006E0DA6"/>
    <w:rsid w:val="006E0F31"/>
    <w:rsid w:val="006E1334"/>
    <w:rsid w:val="006F044F"/>
    <w:rsid w:val="006F04F6"/>
    <w:rsid w:val="006F0A1C"/>
    <w:rsid w:val="006F155F"/>
    <w:rsid w:val="006F1598"/>
    <w:rsid w:val="006F2A9C"/>
    <w:rsid w:val="006F31B1"/>
    <w:rsid w:val="006F387A"/>
    <w:rsid w:val="006F3918"/>
    <w:rsid w:val="006F3B74"/>
    <w:rsid w:val="006F5E6A"/>
    <w:rsid w:val="006F7584"/>
    <w:rsid w:val="006F7CA1"/>
    <w:rsid w:val="00700A10"/>
    <w:rsid w:val="00700B9A"/>
    <w:rsid w:val="0070142B"/>
    <w:rsid w:val="00701DAA"/>
    <w:rsid w:val="00702034"/>
    <w:rsid w:val="00702467"/>
    <w:rsid w:val="00703905"/>
    <w:rsid w:val="00703B50"/>
    <w:rsid w:val="00703C2A"/>
    <w:rsid w:val="00703F77"/>
    <w:rsid w:val="00706555"/>
    <w:rsid w:val="00706644"/>
    <w:rsid w:val="0070681C"/>
    <w:rsid w:val="00706945"/>
    <w:rsid w:val="007076C1"/>
    <w:rsid w:val="00711568"/>
    <w:rsid w:val="007116BF"/>
    <w:rsid w:val="0071232C"/>
    <w:rsid w:val="00712E3C"/>
    <w:rsid w:val="007138F1"/>
    <w:rsid w:val="00713929"/>
    <w:rsid w:val="007143D0"/>
    <w:rsid w:val="00715351"/>
    <w:rsid w:val="00716C3C"/>
    <w:rsid w:val="00716C41"/>
    <w:rsid w:val="0071705D"/>
    <w:rsid w:val="00717631"/>
    <w:rsid w:val="007176E2"/>
    <w:rsid w:val="0071775D"/>
    <w:rsid w:val="00717A01"/>
    <w:rsid w:val="007201A6"/>
    <w:rsid w:val="007224A9"/>
    <w:rsid w:val="00722581"/>
    <w:rsid w:val="00726370"/>
    <w:rsid w:val="007264F5"/>
    <w:rsid w:val="0072673A"/>
    <w:rsid w:val="007303D2"/>
    <w:rsid w:val="00730C57"/>
    <w:rsid w:val="00730F91"/>
    <w:rsid w:val="00730F92"/>
    <w:rsid w:val="00730FA1"/>
    <w:rsid w:val="00734FC3"/>
    <w:rsid w:val="00735BBC"/>
    <w:rsid w:val="00736597"/>
    <w:rsid w:val="007373F1"/>
    <w:rsid w:val="00737C83"/>
    <w:rsid w:val="00737DD9"/>
    <w:rsid w:val="00740EEC"/>
    <w:rsid w:val="0074258C"/>
    <w:rsid w:val="00742BA8"/>
    <w:rsid w:val="00742F69"/>
    <w:rsid w:val="007440AE"/>
    <w:rsid w:val="00744D56"/>
    <w:rsid w:val="007450ED"/>
    <w:rsid w:val="007464F0"/>
    <w:rsid w:val="00747A25"/>
    <w:rsid w:val="007502DC"/>
    <w:rsid w:val="007507B0"/>
    <w:rsid w:val="00753387"/>
    <w:rsid w:val="00753E93"/>
    <w:rsid w:val="00754334"/>
    <w:rsid w:val="00754701"/>
    <w:rsid w:val="0075487A"/>
    <w:rsid w:val="00755197"/>
    <w:rsid w:val="0075556D"/>
    <w:rsid w:val="0076215F"/>
    <w:rsid w:val="0076312F"/>
    <w:rsid w:val="0076359D"/>
    <w:rsid w:val="00763820"/>
    <w:rsid w:val="00764024"/>
    <w:rsid w:val="00765766"/>
    <w:rsid w:val="0076589A"/>
    <w:rsid w:val="0076620C"/>
    <w:rsid w:val="00766A4A"/>
    <w:rsid w:val="007671C0"/>
    <w:rsid w:val="007677A3"/>
    <w:rsid w:val="00770225"/>
    <w:rsid w:val="00770F35"/>
    <w:rsid w:val="00771132"/>
    <w:rsid w:val="00771369"/>
    <w:rsid w:val="00774CD7"/>
    <w:rsid w:val="00774DD8"/>
    <w:rsid w:val="007755B1"/>
    <w:rsid w:val="00775B3C"/>
    <w:rsid w:val="007773DF"/>
    <w:rsid w:val="0077755A"/>
    <w:rsid w:val="00777590"/>
    <w:rsid w:val="00777A36"/>
    <w:rsid w:val="00780003"/>
    <w:rsid w:val="00781A00"/>
    <w:rsid w:val="00782698"/>
    <w:rsid w:val="00782F08"/>
    <w:rsid w:val="00783980"/>
    <w:rsid w:val="00784BC0"/>
    <w:rsid w:val="00784E24"/>
    <w:rsid w:val="00785D90"/>
    <w:rsid w:val="00786604"/>
    <w:rsid w:val="00787729"/>
    <w:rsid w:val="00790DFC"/>
    <w:rsid w:val="0079187E"/>
    <w:rsid w:val="00791943"/>
    <w:rsid w:val="00791C94"/>
    <w:rsid w:val="0079356B"/>
    <w:rsid w:val="00794065"/>
    <w:rsid w:val="0079551E"/>
    <w:rsid w:val="007957A1"/>
    <w:rsid w:val="00796730"/>
    <w:rsid w:val="00796ACB"/>
    <w:rsid w:val="00796FB9"/>
    <w:rsid w:val="0079780D"/>
    <w:rsid w:val="0079783E"/>
    <w:rsid w:val="007A01C6"/>
    <w:rsid w:val="007A0345"/>
    <w:rsid w:val="007A22BE"/>
    <w:rsid w:val="007A23EF"/>
    <w:rsid w:val="007A401A"/>
    <w:rsid w:val="007A41B3"/>
    <w:rsid w:val="007A6E82"/>
    <w:rsid w:val="007A72B4"/>
    <w:rsid w:val="007A7585"/>
    <w:rsid w:val="007A7C41"/>
    <w:rsid w:val="007A7C5F"/>
    <w:rsid w:val="007B0784"/>
    <w:rsid w:val="007B0FF3"/>
    <w:rsid w:val="007B1950"/>
    <w:rsid w:val="007B21EB"/>
    <w:rsid w:val="007B2579"/>
    <w:rsid w:val="007B2B8F"/>
    <w:rsid w:val="007B2B92"/>
    <w:rsid w:val="007B3025"/>
    <w:rsid w:val="007B4606"/>
    <w:rsid w:val="007B5E66"/>
    <w:rsid w:val="007B6557"/>
    <w:rsid w:val="007B726E"/>
    <w:rsid w:val="007B74BE"/>
    <w:rsid w:val="007C14A5"/>
    <w:rsid w:val="007C1F3A"/>
    <w:rsid w:val="007C2899"/>
    <w:rsid w:val="007C2DF5"/>
    <w:rsid w:val="007C3449"/>
    <w:rsid w:val="007C764D"/>
    <w:rsid w:val="007C7817"/>
    <w:rsid w:val="007D290C"/>
    <w:rsid w:val="007D4C6D"/>
    <w:rsid w:val="007D7228"/>
    <w:rsid w:val="007D7A7C"/>
    <w:rsid w:val="007E207D"/>
    <w:rsid w:val="007E27D9"/>
    <w:rsid w:val="007E3499"/>
    <w:rsid w:val="007E3FC9"/>
    <w:rsid w:val="007E40DE"/>
    <w:rsid w:val="007E5252"/>
    <w:rsid w:val="007E635D"/>
    <w:rsid w:val="007F06A1"/>
    <w:rsid w:val="007F0BEE"/>
    <w:rsid w:val="007F0C59"/>
    <w:rsid w:val="007F1D9C"/>
    <w:rsid w:val="007F3314"/>
    <w:rsid w:val="007F392B"/>
    <w:rsid w:val="007F3FC9"/>
    <w:rsid w:val="007F482D"/>
    <w:rsid w:val="007F54D9"/>
    <w:rsid w:val="007F5D4E"/>
    <w:rsid w:val="007F6576"/>
    <w:rsid w:val="007F668C"/>
    <w:rsid w:val="007F6C1F"/>
    <w:rsid w:val="00800EE1"/>
    <w:rsid w:val="0080209E"/>
    <w:rsid w:val="00802F69"/>
    <w:rsid w:val="00803463"/>
    <w:rsid w:val="00803762"/>
    <w:rsid w:val="008038C0"/>
    <w:rsid w:val="00804757"/>
    <w:rsid w:val="0080548F"/>
    <w:rsid w:val="008061A0"/>
    <w:rsid w:val="00806A29"/>
    <w:rsid w:val="00806E58"/>
    <w:rsid w:val="00807D1C"/>
    <w:rsid w:val="00807D56"/>
    <w:rsid w:val="00810D14"/>
    <w:rsid w:val="008115CE"/>
    <w:rsid w:val="00811D8B"/>
    <w:rsid w:val="00811E62"/>
    <w:rsid w:val="00811EB2"/>
    <w:rsid w:val="00811F9E"/>
    <w:rsid w:val="0081253B"/>
    <w:rsid w:val="00812A74"/>
    <w:rsid w:val="00812D56"/>
    <w:rsid w:val="00812F97"/>
    <w:rsid w:val="008141C1"/>
    <w:rsid w:val="00814266"/>
    <w:rsid w:val="00814CF2"/>
    <w:rsid w:val="00815594"/>
    <w:rsid w:val="008157AD"/>
    <w:rsid w:val="00815FD3"/>
    <w:rsid w:val="00820FAE"/>
    <w:rsid w:val="0082127D"/>
    <w:rsid w:val="00821AE3"/>
    <w:rsid w:val="0082228A"/>
    <w:rsid w:val="0082255A"/>
    <w:rsid w:val="0082285F"/>
    <w:rsid w:val="0082309E"/>
    <w:rsid w:val="008230E4"/>
    <w:rsid w:val="00826060"/>
    <w:rsid w:val="008307B7"/>
    <w:rsid w:val="008315D2"/>
    <w:rsid w:val="0083187C"/>
    <w:rsid w:val="00831AAA"/>
    <w:rsid w:val="00831ABF"/>
    <w:rsid w:val="00831D05"/>
    <w:rsid w:val="008329B4"/>
    <w:rsid w:val="0083312C"/>
    <w:rsid w:val="008337CB"/>
    <w:rsid w:val="00833B4D"/>
    <w:rsid w:val="00834C0B"/>
    <w:rsid w:val="008359D8"/>
    <w:rsid w:val="00835A74"/>
    <w:rsid w:val="008371D1"/>
    <w:rsid w:val="008420A6"/>
    <w:rsid w:val="008429D6"/>
    <w:rsid w:val="0084300F"/>
    <w:rsid w:val="00843B4D"/>
    <w:rsid w:val="00843E36"/>
    <w:rsid w:val="00844427"/>
    <w:rsid w:val="00844A02"/>
    <w:rsid w:val="00844DF9"/>
    <w:rsid w:val="00845962"/>
    <w:rsid w:val="0084629B"/>
    <w:rsid w:val="00846C20"/>
    <w:rsid w:val="0084728C"/>
    <w:rsid w:val="0084764C"/>
    <w:rsid w:val="00847996"/>
    <w:rsid w:val="00851864"/>
    <w:rsid w:val="00851BA4"/>
    <w:rsid w:val="00852828"/>
    <w:rsid w:val="00853120"/>
    <w:rsid w:val="00853651"/>
    <w:rsid w:val="00853DBF"/>
    <w:rsid w:val="00854FD5"/>
    <w:rsid w:val="00855184"/>
    <w:rsid w:val="008554A2"/>
    <w:rsid w:val="00855734"/>
    <w:rsid w:val="00855909"/>
    <w:rsid w:val="0085614D"/>
    <w:rsid w:val="00856EF4"/>
    <w:rsid w:val="00856F3F"/>
    <w:rsid w:val="008602F1"/>
    <w:rsid w:val="00860B6F"/>
    <w:rsid w:val="00861043"/>
    <w:rsid w:val="008614D2"/>
    <w:rsid w:val="0086390E"/>
    <w:rsid w:val="0086553F"/>
    <w:rsid w:val="00865A56"/>
    <w:rsid w:val="008661EA"/>
    <w:rsid w:val="00867B4F"/>
    <w:rsid w:val="00870F0B"/>
    <w:rsid w:val="008710B5"/>
    <w:rsid w:val="0087132C"/>
    <w:rsid w:val="008713DA"/>
    <w:rsid w:val="00871400"/>
    <w:rsid w:val="00871B11"/>
    <w:rsid w:val="00871CDB"/>
    <w:rsid w:val="00872A9D"/>
    <w:rsid w:val="008733BD"/>
    <w:rsid w:val="0087482F"/>
    <w:rsid w:val="00876548"/>
    <w:rsid w:val="008768F4"/>
    <w:rsid w:val="00877131"/>
    <w:rsid w:val="008775D5"/>
    <w:rsid w:val="00881771"/>
    <w:rsid w:val="00882A4F"/>
    <w:rsid w:val="00883208"/>
    <w:rsid w:val="00883514"/>
    <w:rsid w:val="00884765"/>
    <w:rsid w:val="00886158"/>
    <w:rsid w:val="00887D9F"/>
    <w:rsid w:val="008900AF"/>
    <w:rsid w:val="00890F46"/>
    <w:rsid w:val="0089187F"/>
    <w:rsid w:val="00891F06"/>
    <w:rsid w:val="008924D4"/>
    <w:rsid w:val="00892DB3"/>
    <w:rsid w:val="008945C1"/>
    <w:rsid w:val="0089468D"/>
    <w:rsid w:val="0089548F"/>
    <w:rsid w:val="008955BD"/>
    <w:rsid w:val="00896C2B"/>
    <w:rsid w:val="0089703B"/>
    <w:rsid w:val="008A010A"/>
    <w:rsid w:val="008A0FFA"/>
    <w:rsid w:val="008A27CC"/>
    <w:rsid w:val="008A49F6"/>
    <w:rsid w:val="008A4E42"/>
    <w:rsid w:val="008A65C9"/>
    <w:rsid w:val="008A6C48"/>
    <w:rsid w:val="008A7402"/>
    <w:rsid w:val="008B0F29"/>
    <w:rsid w:val="008B105C"/>
    <w:rsid w:val="008B12E8"/>
    <w:rsid w:val="008B162C"/>
    <w:rsid w:val="008B1CDE"/>
    <w:rsid w:val="008B24AA"/>
    <w:rsid w:val="008B3A01"/>
    <w:rsid w:val="008B43AE"/>
    <w:rsid w:val="008B4422"/>
    <w:rsid w:val="008B4516"/>
    <w:rsid w:val="008B45CD"/>
    <w:rsid w:val="008B50A7"/>
    <w:rsid w:val="008B5B38"/>
    <w:rsid w:val="008B617A"/>
    <w:rsid w:val="008B646B"/>
    <w:rsid w:val="008B68AD"/>
    <w:rsid w:val="008B6A0B"/>
    <w:rsid w:val="008C04F6"/>
    <w:rsid w:val="008C0E1D"/>
    <w:rsid w:val="008C109F"/>
    <w:rsid w:val="008C387E"/>
    <w:rsid w:val="008C3FFF"/>
    <w:rsid w:val="008C429B"/>
    <w:rsid w:val="008C52DB"/>
    <w:rsid w:val="008C537B"/>
    <w:rsid w:val="008C5B1D"/>
    <w:rsid w:val="008C6525"/>
    <w:rsid w:val="008D24AA"/>
    <w:rsid w:val="008D3C41"/>
    <w:rsid w:val="008D5691"/>
    <w:rsid w:val="008D59C4"/>
    <w:rsid w:val="008D6B68"/>
    <w:rsid w:val="008D6CD1"/>
    <w:rsid w:val="008D7075"/>
    <w:rsid w:val="008D712F"/>
    <w:rsid w:val="008E0BD3"/>
    <w:rsid w:val="008E0E27"/>
    <w:rsid w:val="008E10A0"/>
    <w:rsid w:val="008E1229"/>
    <w:rsid w:val="008E24AD"/>
    <w:rsid w:val="008E290C"/>
    <w:rsid w:val="008E2CF5"/>
    <w:rsid w:val="008E3804"/>
    <w:rsid w:val="008E49D8"/>
    <w:rsid w:val="008E4C47"/>
    <w:rsid w:val="008E55A5"/>
    <w:rsid w:val="008E57FA"/>
    <w:rsid w:val="008E58AF"/>
    <w:rsid w:val="008E6818"/>
    <w:rsid w:val="008E73DD"/>
    <w:rsid w:val="008E74EE"/>
    <w:rsid w:val="008E7517"/>
    <w:rsid w:val="008E75DB"/>
    <w:rsid w:val="008E7BEE"/>
    <w:rsid w:val="008F01D5"/>
    <w:rsid w:val="008F13D7"/>
    <w:rsid w:val="008F2216"/>
    <w:rsid w:val="008F2345"/>
    <w:rsid w:val="008F2B47"/>
    <w:rsid w:val="008F2BEE"/>
    <w:rsid w:val="008F2C94"/>
    <w:rsid w:val="008F2FCB"/>
    <w:rsid w:val="008F3FA6"/>
    <w:rsid w:val="008F46BD"/>
    <w:rsid w:val="008F5134"/>
    <w:rsid w:val="008F5A14"/>
    <w:rsid w:val="008F62AA"/>
    <w:rsid w:val="008F6483"/>
    <w:rsid w:val="008F7C92"/>
    <w:rsid w:val="009010C8"/>
    <w:rsid w:val="0090287D"/>
    <w:rsid w:val="009031CA"/>
    <w:rsid w:val="0090407A"/>
    <w:rsid w:val="009040BB"/>
    <w:rsid w:val="0090601B"/>
    <w:rsid w:val="009105B0"/>
    <w:rsid w:val="0091390E"/>
    <w:rsid w:val="009160DF"/>
    <w:rsid w:val="009166F9"/>
    <w:rsid w:val="00917017"/>
    <w:rsid w:val="00920B34"/>
    <w:rsid w:val="009214B3"/>
    <w:rsid w:val="00922296"/>
    <w:rsid w:val="009222DD"/>
    <w:rsid w:val="00922A42"/>
    <w:rsid w:val="00922D44"/>
    <w:rsid w:val="009230C3"/>
    <w:rsid w:val="009230C7"/>
    <w:rsid w:val="009234FE"/>
    <w:rsid w:val="00923737"/>
    <w:rsid w:val="009249FC"/>
    <w:rsid w:val="009250C2"/>
    <w:rsid w:val="00925B6F"/>
    <w:rsid w:val="00926D3E"/>
    <w:rsid w:val="009273E8"/>
    <w:rsid w:val="00927424"/>
    <w:rsid w:val="00927EBE"/>
    <w:rsid w:val="00930334"/>
    <w:rsid w:val="00932801"/>
    <w:rsid w:val="009330AC"/>
    <w:rsid w:val="00933A10"/>
    <w:rsid w:val="0093630E"/>
    <w:rsid w:val="0094048B"/>
    <w:rsid w:val="00941A62"/>
    <w:rsid w:val="0094245A"/>
    <w:rsid w:val="00942F94"/>
    <w:rsid w:val="00943378"/>
    <w:rsid w:val="009445A6"/>
    <w:rsid w:val="00944715"/>
    <w:rsid w:val="00944B6B"/>
    <w:rsid w:val="00944FF7"/>
    <w:rsid w:val="009450FF"/>
    <w:rsid w:val="00945502"/>
    <w:rsid w:val="00945A66"/>
    <w:rsid w:val="00945B5C"/>
    <w:rsid w:val="00945ECE"/>
    <w:rsid w:val="009510CF"/>
    <w:rsid w:val="00951AAA"/>
    <w:rsid w:val="00951D2C"/>
    <w:rsid w:val="00954292"/>
    <w:rsid w:val="009542D6"/>
    <w:rsid w:val="00955677"/>
    <w:rsid w:val="00955E3D"/>
    <w:rsid w:val="00955F7A"/>
    <w:rsid w:val="00956CB2"/>
    <w:rsid w:val="00960C9F"/>
    <w:rsid w:val="009616E2"/>
    <w:rsid w:val="00961739"/>
    <w:rsid w:val="00961F44"/>
    <w:rsid w:val="0096261F"/>
    <w:rsid w:val="00962CC3"/>
    <w:rsid w:val="00962E72"/>
    <w:rsid w:val="009651B9"/>
    <w:rsid w:val="00965EA6"/>
    <w:rsid w:val="0096649E"/>
    <w:rsid w:val="009669C9"/>
    <w:rsid w:val="00967322"/>
    <w:rsid w:val="0096769E"/>
    <w:rsid w:val="009678FF"/>
    <w:rsid w:val="00970B3A"/>
    <w:rsid w:val="00970B68"/>
    <w:rsid w:val="009724EF"/>
    <w:rsid w:val="00972722"/>
    <w:rsid w:val="00972E3B"/>
    <w:rsid w:val="00973D20"/>
    <w:rsid w:val="00975B01"/>
    <w:rsid w:val="00976282"/>
    <w:rsid w:val="00977C45"/>
    <w:rsid w:val="00980AB3"/>
    <w:rsid w:val="00982039"/>
    <w:rsid w:val="009838D8"/>
    <w:rsid w:val="00984A4C"/>
    <w:rsid w:val="00984DDC"/>
    <w:rsid w:val="0098558E"/>
    <w:rsid w:val="00986073"/>
    <w:rsid w:val="00990698"/>
    <w:rsid w:val="00991CD4"/>
    <w:rsid w:val="00993536"/>
    <w:rsid w:val="00993D4A"/>
    <w:rsid w:val="0099527D"/>
    <w:rsid w:val="00995BF0"/>
    <w:rsid w:val="00996091"/>
    <w:rsid w:val="00996A52"/>
    <w:rsid w:val="0099758C"/>
    <w:rsid w:val="009A044C"/>
    <w:rsid w:val="009A04F5"/>
    <w:rsid w:val="009A13FA"/>
    <w:rsid w:val="009A175B"/>
    <w:rsid w:val="009A1F6C"/>
    <w:rsid w:val="009A4BE9"/>
    <w:rsid w:val="009A50D9"/>
    <w:rsid w:val="009A52BD"/>
    <w:rsid w:val="009A58BF"/>
    <w:rsid w:val="009A6640"/>
    <w:rsid w:val="009A67A3"/>
    <w:rsid w:val="009A6854"/>
    <w:rsid w:val="009A70FB"/>
    <w:rsid w:val="009B0473"/>
    <w:rsid w:val="009B0B30"/>
    <w:rsid w:val="009B2C31"/>
    <w:rsid w:val="009B2EC5"/>
    <w:rsid w:val="009B32C3"/>
    <w:rsid w:val="009B3420"/>
    <w:rsid w:val="009B360D"/>
    <w:rsid w:val="009B507B"/>
    <w:rsid w:val="009B5928"/>
    <w:rsid w:val="009B5A36"/>
    <w:rsid w:val="009B74C4"/>
    <w:rsid w:val="009C0D48"/>
    <w:rsid w:val="009C1443"/>
    <w:rsid w:val="009C177A"/>
    <w:rsid w:val="009C1AD8"/>
    <w:rsid w:val="009C257E"/>
    <w:rsid w:val="009C2D6A"/>
    <w:rsid w:val="009C2E4D"/>
    <w:rsid w:val="009C33A5"/>
    <w:rsid w:val="009C33AD"/>
    <w:rsid w:val="009C3A77"/>
    <w:rsid w:val="009C5645"/>
    <w:rsid w:val="009C59E1"/>
    <w:rsid w:val="009C6832"/>
    <w:rsid w:val="009C6AE5"/>
    <w:rsid w:val="009C745E"/>
    <w:rsid w:val="009D04B1"/>
    <w:rsid w:val="009D213F"/>
    <w:rsid w:val="009D225F"/>
    <w:rsid w:val="009D472D"/>
    <w:rsid w:val="009D69C6"/>
    <w:rsid w:val="009E13E8"/>
    <w:rsid w:val="009E1645"/>
    <w:rsid w:val="009E3ED6"/>
    <w:rsid w:val="009E45CD"/>
    <w:rsid w:val="009E4684"/>
    <w:rsid w:val="009E48F0"/>
    <w:rsid w:val="009E52F9"/>
    <w:rsid w:val="009E5C16"/>
    <w:rsid w:val="009E68AA"/>
    <w:rsid w:val="009E7BF8"/>
    <w:rsid w:val="009F0A9C"/>
    <w:rsid w:val="009F203E"/>
    <w:rsid w:val="009F2FCA"/>
    <w:rsid w:val="009F5365"/>
    <w:rsid w:val="009F5746"/>
    <w:rsid w:val="009F67FE"/>
    <w:rsid w:val="009F69DB"/>
    <w:rsid w:val="009F6ED7"/>
    <w:rsid w:val="009F7411"/>
    <w:rsid w:val="009F746C"/>
    <w:rsid w:val="009F7768"/>
    <w:rsid w:val="009F7994"/>
    <w:rsid w:val="00A00CD1"/>
    <w:rsid w:val="00A023E2"/>
    <w:rsid w:val="00A03826"/>
    <w:rsid w:val="00A04BC0"/>
    <w:rsid w:val="00A0523B"/>
    <w:rsid w:val="00A06449"/>
    <w:rsid w:val="00A064F6"/>
    <w:rsid w:val="00A07A08"/>
    <w:rsid w:val="00A101EE"/>
    <w:rsid w:val="00A111B0"/>
    <w:rsid w:val="00A123AA"/>
    <w:rsid w:val="00A12400"/>
    <w:rsid w:val="00A12C9E"/>
    <w:rsid w:val="00A145E6"/>
    <w:rsid w:val="00A14EC5"/>
    <w:rsid w:val="00A15167"/>
    <w:rsid w:val="00A1724A"/>
    <w:rsid w:val="00A2089B"/>
    <w:rsid w:val="00A20BC2"/>
    <w:rsid w:val="00A30FD1"/>
    <w:rsid w:val="00A31B52"/>
    <w:rsid w:val="00A3364F"/>
    <w:rsid w:val="00A35679"/>
    <w:rsid w:val="00A3770C"/>
    <w:rsid w:val="00A37B38"/>
    <w:rsid w:val="00A41966"/>
    <w:rsid w:val="00A41B5E"/>
    <w:rsid w:val="00A420D8"/>
    <w:rsid w:val="00A421C5"/>
    <w:rsid w:val="00A425D5"/>
    <w:rsid w:val="00A4424C"/>
    <w:rsid w:val="00A44B70"/>
    <w:rsid w:val="00A450E9"/>
    <w:rsid w:val="00A45850"/>
    <w:rsid w:val="00A45E27"/>
    <w:rsid w:val="00A46F0E"/>
    <w:rsid w:val="00A47CDE"/>
    <w:rsid w:val="00A518BA"/>
    <w:rsid w:val="00A51BD5"/>
    <w:rsid w:val="00A5257D"/>
    <w:rsid w:val="00A52C9B"/>
    <w:rsid w:val="00A52ED5"/>
    <w:rsid w:val="00A52FC0"/>
    <w:rsid w:val="00A5329D"/>
    <w:rsid w:val="00A53D7A"/>
    <w:rsid w:val="00A54394"/>
    <w:rsid w:val="00A5500E"/>
    <w:rsid w:val="00A5509C"/>
    <w:rsid w:val="00A55847"/>
    <w:rsid w:val="00A56489"/>
    <w:rsid w:val="00A578CF"/>
    <w:rsid w:val="00A60F08"/>
    <w:rsid w:val="00A61355"/>
    <w:rsid w:val="00A617E8"/>
    <w:rsid w:val="00A61968"/>
    <w:rsid w:val="00A62402"/>
    <w:rsid w:val="00A627A0"/>
    <w:rsid w:val="00A62DDE"/>
    <w:rsid w:val="00A637C4"/>
    <w:rsid w:val="00A63C26"/>
    <w:rsid w:val="00A6410A"/>
    <w:rsid w:val="00A6469D"/>
    <w:rsid w:val="00A65660"/>
    <w:rsid w:val="00A65F80"/>
    <w:rsid w:val="00A6689E"/>
    <w:rsid w:val="00A670B1"/>
    <w:rsid w:val="00A6797D"/>
    <w:rsid w:val="00A67C3A"/>
    <w:rsid w:val="00A67C75"/>
    <w:rsid w:val="00A7107E"/>
    <w:rsid w:val="00A7179D"/>
    <w:rsid w:val="00A72931"/>
    <w:rsid w:val="00A73171"/>
    <w:rsid w:val="00A75E86"/>
    <w:rsid w:val="00A7618F"/>
    <w:rsid w:val="00A77ACD"/>
    <w:rsid w:val="00A800F8"/>
    <w:rsid w:val="00A804EA"/>
    <w:rsid w:val="00A80531"/>
    <w:rsid w:val="00A813EE"/>
    <w:rsid w:val="00A81519"/>
    <w:rsid w:val="00A81C2E"/>
    <w:rsid w:val="00A82A7A"/>
    <w:rsid w:val="00A837BD"/>
    <w:rsid w:val="00A83F30"/>
    <w:rsid w:val="00A8413F"/>
    <w:rsid w:val="00A842D7"/>
    <w:rsid w:val="00A849FE"/>
    <w:rsid w:val="00A85283"/>
    <w:rsid w:val="00A8666D"/>
    <w:rsid w:val="00A87B5A"/>
    <w:rsid w:val="00A90680"/>
    <w:rsid w:val="00A908B2"/>
    <w:rsid w:val="00A90EA8"/>
    <w:rsid w:val="00A91278"/>
    <w:rsid w:val="00A924B8"/>
    <w:rsid w:val="00A9326E"/>
    <w:rsid w:val="00A93601"/>
    <w:rsid w:val="00A94208"/>
    <w:rsid w:val="00A949B5"/>
    <w:rsid w:val="00A966D9"/>
    <w:rsid w:val="00A9680B"/>
    <w:rsid w:val="00A96A3D"/>
    <w:rsid w:val="00AA020C"/>
    <w:rsid w:val="00AA0714"/>
    <w:rsid w:val="00AA0738"/>
    <w:rsid w:val="00AA0A73"/>
    <w:rsid w:val="00AA10BD"/>
    <w:rsid w:val="00AA16D8"/>
    <w:rsid w:val="00AA21C4"/>
    <w:rsid w:val="00AA247B"/>
    <w:rsid w:val="00AA26B7"/>
    <w:rsid w:val="00AA2B1F"/>
    <w:rsid w:val="00AA2D58"/>
    <w:rsid w:val="00AA3218"/>
    <w:rsid w:val="00AA3565"/>
    <w:rsid w:val="00AA4848"/>
    <w:rsid w:val="00AA50A6"/>
    <w:rsid w:val="00AA5143"/>
    <w:rsid w:val="00AA6B1B"/>
    <w:rsid w:val="00AA6E87"/>
    <w:rsid w:val="00AA7222"/>
    <w:rsid w:val="00AB18C7"/>
    <w:rsid w:val="00AB2B98"/>
    <w:rsid w:val="00AB3529"/>
    <w:rsid w:val="00AB4C7C"/>
    <w:rsid w:val="00AB594C"/>
    <w:rsid w:val="00AB7461"/>
    <w:rsid w:val="00AB7877"/>
    <w:rsid w:val="00AC0835"/>
    <w:rsid w:val="00AC0946"/>
    <w:rsid w:val="00AC1A5C"/>
    <w:rsid w:val="00AC1E58"/>
    <w:rsid w:val="00AC2003"/>
    <w:rsid w:val="00AC24C2"/>
    <w:rsid w:val="00AC4848"/>
    <w:rsid w:val="00AC48D8"/>
    <w:rsid w:val="00AC55B5"/>
    <w:rsid w:val="00AC582C"/>
    <w:rsid w:val="00AC585D"/>
    <w:rsid w:val="00AC58B9"/>
    <w:rsid w:val="00AC5A7E"/>
    <w:rsid w:val="00AD1AED"/>
    <w:rsid w:val="00AD29F6"/>
    <w:rsid w:val="00AD357B"/>
    <w:rsid w:val="00AD57CB"/>
    <w:rsid w:val="00AD5FF2"/>
    <w:rsid w:val="00AD62EE"/>
    <w:rsid w:val="00AD6B71"/>
    <w:rsid w:val="00AD75CC"/>
    <w:rsid w:val="00AE0EBD"/>
    <w:rsid w:val="00AE2387"/>
    <w:rsid w:val="00AE2453"/>
    <w:rsid w:val="00AE2744"/>
    <w:rsid w:val="00AE44FD"/>
    <w:rsid w:val="00AE6C1A"/>
    <w:rsid w:val="00AE70A9"/>
    <w:rsid w:val="00AF154D"/>
    <w:rsid w:val="00AF1702"/>
    <w:rsid w:val="00AF193B"/>
    <w:rsid w:val="00AF4CD7"/>
    <w:rsid w:val="00AF7364"/>
    <w:rsid w:val="00AF73C1"/>
    <w:rsid w:val="00AF789F"/>
    <w:rsid w:val="00AF790C"/>
    <w:rsid w:val="00AF7D0C"/>
    <w:rsid w:val="00B00662"/>
    <w:rsid w:val="00B00C8D"/>
    <w:rsid w:val="00B04A99"/>
    <w:rsid w:val="00B06638"/>
    <w:rsid w:val="00B06B3F"/>
    <w:rsid w:val="00B06C2C"/>
    <w:rsid w:val="00B06D44"/>
    <w:rsid w:val="00B07BFE"/>
    <w:rsid w:val="00B105F6"/>
    <w:rsid w:val="00B10AC1"/>
    <w:rsid w:val="00B118F6"/>
    <w:rsid w:val="00B1273B"/>
    <w:rsid w:val="00B1301F"/>
    <w:rsid w:val="00B13B45"/>
    <w:rsid w:val="00B14810"/>
    <w:rsid w:val="00B15906"/>
    <w:rsid w:val="00B1754B"/>
    <w:rsid w:val="00B17AB5"/>
    <w:rsid w:val="00B20D23"/>
    <w:rsid w:val="00B21E9A"/>
    <w:rsid w:val="00B225E6"/>
    <w:rsid w:val="00B24037"/>
    <w:rsid w:val="00B244C4"/>
    <w:rsid w:val="00B24827"/>
    <w:rsid w:val="00B24909"/>
    <w:rsid w:val="00B24B4F"/>
    <w:rsid w:val="00B24BAA"/>
    <w:rsid w:val="00B250DB"/>
    <w:rsid w:val="00B253EF"/>
    <w:rsid w:val="00B25CD3"/>
    <w:rsid w:val="00B25D12"/>
    <w:rsid w:val="00B301E9"/>
    <w:rsid w:val="00B304AD"/>
    <w:rsid w:val="00B30C5E"/>
    <w:rsid w:val="00B32EEB"/>
    <w:rsid w:val="00B32F86"/>
    <w:rsid w:val="00B3548B"/>
    <w:rsid w:val="00B35D75"/>
    <w:rsid w:val="00B3697B"/>
    <w:rsid w:val="00B37C5A"/>
    <w:rsid w:val="00B4104A"/>
    <w:rsid w:val="00B4224B"/>
    <w:rsid w:val="00B43383"/>
    <w:rsid w:val="00B457D8"/>
    <w:rsid w:val="00B45B68"/>
    <w:rsid w:val="00B45CE9"/>
    <w:rsid w:val="00B46A05"/>
    <w:rsid w:val="00B46C0E"/>
    <w:rsid w:val="00B46D12"/>
    <w:rsid w:val="00B46FA3"/>
    <w:rsid w:val="00B4761F"/>
    <w:rsid w:val="00B478B7"/>
    <w:rsid w:val="00B51FE7"/>
    <w:rsid w:val="00B54289"/>
    <w:rsid w:val="00B55AD2"/>
    <w:rsid w:val="00B56DBE"/>
    <w:rsid w:val="00B60F7B"/>
    <w:rsid w:val="00B616A5"/>
    <w:rsid w:val="00B62785"/>
    <w:rsid w:val="00B62CF8"/>
    <w:rsid w:val="00B630D8"/>
    <w:rsid w:val="00B63289"/>
    <w:rsid w:val="00B637A0"/>
    <w:rsid w:val="00B64138"/>
    <w:rsid w:val="00B65988"/>
    <w:rsid w:val="00B6604A"/>
    <w:rsid w:val="00B6647D"/>
    <w:rsid w:val="00B70F29"/>
    <w:rsid w:val="00B7127D"/>
    <w:rsid w:val="00B7290A"/>
    <w:rsid w:val="00B733B0"/>
    <w:rsid w:val="00B737A4"/>
    <w:rsid w:val="00B741F0"/>
    <w:rsid w:val="00B747B1"/>
    <w:rsid w:val="00B75726"/>
    <w:rsid w:val="00B75C96"/>
    <w:rsid w:val="00B7781B"/>
    <w:rsid w:val="00B80CCE"/>
    <w:rsid w:val="00B811B7"/>
    <w:rsid w:val="00B812DB"/>
    <w:rsid w:val="00B814BE"/>
    <w:rsid w:val="00B845B2"/>
    <w:rsid w:val="00B84AFB"/>
    <w:rsid w:val="00B84C20"/>
    <w:rsid w:val="00B851F6"/>
    <w:rsid w:val="00B909A1"/>
    <w:rsid w:val="00B91E1C"/>
    <w:rsid w:val="00B921BC"/>
    <w:rsid w:val="00B923C0"/>
    <w:rsid w:val="00B93483"/>
    <w:rsid w:val="00B93513"/>
    <w:rsid w:val="00B94A59"/>
    <w:rsid w:val="00B95885"/>
    <w:rsid w:val="00B9591B"/>
    <w:rsid w:val="00B97611"/>
    <w:rsid w:val="00B97F4C"/>
    <w:rsid w:val="00BA1A57"/>
    <w:rsid w:val="00BA24D7"/>
    <w:rsid w:val="00BA31BD"/>
    <w:rsid w:val="00BA31E6"/>
    <w:rsid w:val="00BA3398"/>
    <w:rsid w:val="00BA380B"/>
    <w:rsid w:val="00BA3FF9"/>
    <w:rsid w:val="00BA4900"/>
    <w:rsid w:val="00BA4A76"/>
    <w:rsid w:val="00BA5CD7"/>
    <w:rsid w:val="00BA6B40"/>
    <w:rsid w:val="00BB00B3"/>
    <w:rsid w:val="00BB2399"/>
    <w:rsid w:val="00BB40A8"/>
    <w:rsid w:val="00BB5617"/>
    <w:rsid w:val="00BB5771"/>
    <w:rsid w:val="00BB64A9"/>
    <w:rsid w:val="00BB6E5F"/>
    <w:rsid w:val="00BB766A"/>
    <w:rsid w:val="00BB79A1"/>
    <w:rsid w:val="00BC1360"/>
    <w:rsid w:val="00BC14FF"/>
    <w:rsid w:val="00BC1DBA"/>
    <w:rsid w:val="00BC24A0"/>
    <w:rsid w:val="00BC2B78"/>
    <w:rsid w:val="00BC3003"/>
    <w:rsid w:val="00BC4109"/>
    <w:rsid w:val="00BC43FA"/>
    <w:rsid w:val="00BC462E"/>
    <w:rsid w:val="00BC522B"/>
    <w:rsid w:val="00BC5259"/>
    <w:rsid w:val="00BC53D9"/>
    <w:rsid w:val="00BC5A69"/>
    <w:rsid w:val="00BC5D40"/>
    <w:rsid w:val="00BC7019"/>
    <w:rsid w:val="00BC74C8"/>
    <w:rsid w:val="00BC7BBA"/>
    <w:rsid w:val="00BC7C1C"/>
    <w:rsid w:val="00BC7E5D"/>
    <w:rsid w:val="00BD0F05"/>
    <w:rsid w:val="00BD109C"/>
    <w:rsid w:val="00BD254A"/>
    <w:rsid w:val="00BD382B"/>
    <w:rsid w:val="00BD4234"/>
    <w:rsid w:val="00BD4703"/>
    <w:rsid w:val="00BD4BF1"/>
    <w:rsid w:val="00BD512E"/>
    <w:rsid w:val="00BD5AB6"/>
    <w:rsid w:val="00BE01F2"/>
    <w:rsid w:val="00BE0735"/>
    <w:rsid w:val="00BE0A87"/>
    <w:rsid w:val="00BE0FB6"/>
    <w:rsid w:val="00BE1782"/>
    <w:rsid w:val="00BE20AE"/>
    <w:rsid w:val="00BE266E"/>
    <w:rsid w:val="00BE3054"/>
    <w:rsid w:val="00BE31CA"/>
    <w:rsid w:val="00BE3270"/>
    <w:rsid w:val="00BE4121"/>
    <w:rsid w:val="00BE5114"/>
    <w:rsid w:val="00BE74A6"/>
    <w:rsid w:val="00BE76AE"/>
    <w:rsid w:val="00BF0735"/>
    <w:rsid w:val="00BF0AFD"/>
    <w:rsid w:val="00BF120D"/>
    <w:rsid w:val="00BF1B82"/>
    <w:rsid w:val="00BF2E1D"/>
    <w:rsid w:val="00BF2E72"/>
    <w:rsid w:val="00BF3E60"/>
    <w:rsid w:val="00BF4D55"/>
    <w:rsid w:val="00BF5D55"/>
    <w:rsid w:val="00BF61F1"/>
    <w:rsid w:val="00BF6C49"/>
    <w:rsid w:val="00BF6C95"/>
    <w:rsid w:val="00BF7DBC"/>
    <w:rsid w:val="00C007B6"/>
    <w:rsid w:val="00C03138"/>
    <w:rsid w:val="00C03712"/>
    <w:rsid w:val="00C04F2A"/>
    <w:rsid w:val="00C05674"/>
    <w:rsid w:val="00C05E6E"/>
    <w:rsid w:val="00C102DA"/>
    <w:rsid w:val="00C10764"/>
    <w:rsid w:val="00C10FD4"/>
    <w:rsid w:val="00C114A2"/>
    <w:rsid w:val="00C11BE3"/>
    <w:rsid w:val="00C11D2A"/>
    <w:rsid w:val="00C11F7B"/>
    <w:rsid w:val="00C127C2"/>
    <w:rsid w:val="00C127D5"/>
    <w:rsid w:val="00C12F68"/>
    <w:rsid w:val="00C1545D"/>
    <w:rsid w:val="00C1547F"/>
    <w:rsid w:val="00C17240"/>
    <w:rsid w:val="00C17297"/>
    <w:rsid w:val="00C17F52"/>
    <w:rsid w:val="00C20601"/>
    <w:rsid w:val="00C20AC5"/>
    <w:rsid w:val="00C20BC0"/>
    <w:rsid w:val="00C20CDD"/>
    <w:rsid w:val="00C218A0"/>
    <w:rsid w:val="00C21E39"/>
    <w:rsid w:val="00C21F53"/>
    <w:rsid w:val="00C232B5"/>
    <w:rsid w:val="00C2587C"/>
    <w:rsid w:val="00C30DB3"/>
    <w:rsid w:val="00C310C8"/>
    <w:rsid w:val="00C313B7"/>
    <w:rsid w:val="00C325B6"/>
    <w:rsid w:val="00C3368C"/>
    <w:rsid w:val="00C35AF0"/>
    <w:rsid w:val="00C371BE"/>
    <w:rsid w:val="00C37667"/>
    <w:rsid w:val="00C400B6"/>
    <w:rsid w:val="00C4057B"/>
    <w:rsid w:val="00C40998"/>
    <w:rsid w:val="00C40E88"/>
    <w:rsid w:val="00C4140F"/>
    <w:rsid w:val="00C41E08"/>
    <w:rsid w:val="00C43D35"/>
    <w:rsid w:val="00C44906"/>
    <w:rsid w:val="00C4521D"/>
    <w:rsid w:val="00C45227"/>
    <w:rsid w:val="00C4630A"/>
    <w:rsid w:val="00C47E13"/>
    <w:rsid w:val="00C5078A"/>
    <w:rsid w:val="00C50ADB"/>
    <w:rsid w:val="00C51D3D"/>
    <w:rsid w:val="00C5496E"/>
    <w:rsid w:val="00C55966"/>
    <w:rsid w:val="00C569D8"/>
    <w:rsid w:val="00C56BF4"/>
    <w:rsid w:val="00C570BE"/>
    <w:rsid w:val="00C57C48"/>
    <w:rsid w:val="00C60235"/>
    <w:rsid w:val="00C61013"/>
    <w:rsid w:val="00C614E6"/>
    <w:rsid w:val="00C62B87"/>
    <w:rsid w:val="00C644A1"/>
    <w:rsid w:val="00C648E9"/>
    <w:rsid w:val="00C64F4A"/>
    <w:rsid w:val="00C6528F"/>
    <w:rsid w:val="00C65781"/>
    <w:rsid w:val="00C65803"/>
    <w:rsid w:val="00C65C21"/>
    <w:rsid w:val="00C661E6"/>
    <w:rsid w:val="00C66945"/>
    <w:rsid w:val="00C70667"/>
    <w:rsid w:val="00C716C4"/>
    <w:rsid w:val="00C71D0A"/>
    <w:rsid w:val="00C73F72"/>
    <w:rsid w:val="00C73FC1"/>
    <w:rsid w:val="00C77259"/>
    <w:rsid w:val="00C77BFE"/>
    <w:rsid w:val="00C8038D"/>
    <w:rsid w:val="00C80DFF"/>
    <w:rsid w:val="00C81289"/>
    <w:rsid w:val="00C818C4"/>
    <w:rsid w:val="00C81B27"/>
    <w:rsid w:val="00C8244C"/>
    <w:rsid w:val="00C8335A"/>
    <w:rsid w:val="00C83560"/>
    <w:rsid w:val="00C84270"/>
    <w:rsid w:val="00C84EC4"/>
    <w:rsid w:val="00C8700F"/>
    <w:rsid w:val="00C8703B"/>
    <w:rsid w:val="00C87D10"/>
    <w:rsid w:val="00C91B3A"/>
    <w:rsid w:val="00C93795"/>
    <w:rsid w:val="00C949B2"/>
    <w:rsid w:val="00C95075"/>
    <w:rsid w:val="00C96124"/>
    <w:rsid w:val="00C96AF6"/>
    <w:rsid w:val="00CA29DC"/>
    <w:rsid w:val="00CA3452"/>
    <w:rsid w:val="00CA469D"/>
    <w:rsid w:val="00CA6D91"/>
    <w:rsid w:val="00CA7860"/>
    <w:rsid w:val="00CB1247"/>
    <w:rsid w:val="00CB1448"/>
    <w:rsid w:val="00CB1A36"/>
    <w:rsid w:val="00CB1D08"/>
    <w:rsid w:val="00CB41EC"/>
    <w:rsid w:val="00CB56E2"/>
    <w:rsid w:val="00CB6A7D"/>
    <w:rsid w:val="00CB7D51"/>
    <w:rsid w:val="00CC192F"/>
    <w:rsid w:val="00CC1F2D"/>
    <w:rsid w:val="00CC320B"/>
    <w:rsid w:val="00CC3545"/>
    <w:rsid w:val="00CC3566"/>
    <w:rsid w:val="00CC3820"/>
    <w:rsid w:val="00CC4302"/>
    <w:rsid w:val="00CC54AF"/>
    <w:rsid w:val="00CC6A1E"/>
    <w:rsid w:val="00CC7A31"/>
    <w:rsid w:val="00CC7C50"/>
    <w:rsid w:val="00CD0B11"/>
    <w:rsid w:val="00CD0BF1"/>
    <w:rsid w:val="00CD182E"/>
    <w:rsid w:val="00CD243D"/>
    <w:rsid w:val="00CD24E0"/>
    <w:rsid w:val="00CD2615"/>
    <w:rsid w:val="00CD2BE3"/>
    <w:rsid w:val="00CD3D7D"/>
    <w:rsid w:val="00CD4290"/>
    <w:rsid w:val="00CD5464"/>
    <w:rsid w:val="00CD5544"/>
    <w:rsid w:val="00CD677C"/>
    <w:rsid w:val="00CE04E7"/>
    <w:rsid w:val="00CE0EDE"/>
    <w:rsid w:val="00CE2C9F"/>
    <w:rsid w:val="00CE2EB2"/>
    <w:rsid w:val="00CE4AEF"/>
    <w:rsid w:val="00CE63A4"/>
    <w:rsid w:val="00CE699A"/>
    <w:rsid w:val="00CE6A2A"/>
    <w:rsid w:val="00CE728F"/>
    <w:rsid w:val="00CE77AA"/>
    <w:rsid w:val="00CF0059"/>
    <w:rsid w:val="00CF01C0"/>
    <w:rsid w:val="00CF103B"/>
    <w:rsid w:val="00CF1FC1"/>
    <w:rsid w:val="00CF33BE"/>
    <w:rsid w:val="00CF413D"/>
    <w:rsid w:val="00CF444E"/>
    <w:rsid w:val="00CF4AD3"/>
    <w:rsid w:val="00CF50EC"/>
    <w:rsid w:val="00CF7116"/>
    <w:rsid w:val="00CF7C04"/>
    <w:rsid w:val="00D020F3"/>
    <w:rsid w:val="00D02ABD"/>
    <w:rsid w:val="00D03872"/>
    <w:rsid w:val="00D04546"/>
    <w:rsid w:val="00D04CFC"/>
    <w:rsid w:val="00D0515E"/>
    <w:rsid w:val="00D05254"/>
    <w:rsid w:val="00D05917"/>
    <w:rsid w:val="00D05B3A"/>
    <w:rsid w:val="00D0670A"/>
    <w:rsid w:val="00D06749"/>
    <w:rsid w:val="00D06A35"/>
    <w:rsid w:val="00D06FA1"/>
    <w:rsid w:val="00D077C6"/>
    <w:rsid w:val="00D11560"/>
    <w:rsid w:val="00D118DE"/>
    <w:rsid w:val="00D12DE2"/>
    <w:rsid w:val="00D1333C"/>
    <w:rsid w:val="00D148DC"/>
    <w:rsid w:val="00D149BE"/>
    <w:rsid w:val="00D1596B"/>
    <w:rsid w:val="00D15A9D"/>
    <w:rsid w:val="00D15ECA"/>
    <w:rsid w:val="00D15FE2"/>
    <w:rsid w:val="00D168D5"/>
    <w:rsid w:val="00D16913"/>
    <w:rsid w:val="00D16F75"/>
    <w:rsid w:val="00D206EA"/>
    <w:rsid w:val="00D20C07"/>
    <w:rsid w:val="00D2101B"/>
    <w:rsid w:val="00D21FC4"/>
    <w:rsid w:val="00D24E45"/>
    <w:rsid w:val="00D277CB"/>
    <w:rsid w:val="00D27AE3"/>
    <w:rsid w:val="00D30347"/>
    <w:rsid w:val="00D307C0"/>
    <w:rsid w:val="00D3175B"/>
    <w:rsid w:val="00D32A88"/>
    <w:rsid w:val="00D335BB"/>
    <w:rsid w:val="00D34AD7"/>
    <w:rsid w:val="00D357A3"/>
    <w:rsid w:val="00D363EC"/>
    <w:rsid w:val="00D3678D"/>
    <w:rsid w:val="00D37302"/>
    <w:rsid w:val="00D37BE9"/>
    <w:rsid w:val="00D40180"/>
    <w:rsid w:val="00D41769"/>
    <w:rsid w:val="00D41A23"/>
    <w:rsid w:val="00D42483"/>
    <w:rsid w:val="00D42AFF"/>
    <w:rsid w:val="00D43A41"/>
    <w:rsid w:val="00D44AB1"/>
    <w:rsid w:val="00D450D6"/>
    <w:rsid w:val="00D45472"/>
    <w:rsid w:val="00D4564D"/>
    <w:rsid w:val="00D45662"/>
    <w:rsid w:val="00D45780"/>
    <w:rsid w:val="00D457D8"/>
    <w:rsid w:val="00D46025"/>
    <w:rsid w:val="00D47645"/>
    <w:rsid w:val="00D47CC7"/>
    <w:rsid w:val="00D5047D"/>
    <w:rsid w:val="00D5062A"/>
    <w:rsid w:val="00D5112B"/>
    <w:rsid w:val="00D53301"/>
    <w:rsid w:val="00D53AD4"/>
    <w:rsid w:val="00D54BBB"/>
    <w:rsid w:val="00D55FAF"/>
    <w:rsid w:val="00D56936"/>
    <w:rsid w:val="00D56B1A"/>
    <w:rsid w:val="00D56D68"/>
    <w:rsid w:val="00D60170"/>
    <w:rsid w:val="00D606AE"/>
    <w:rsid w:val="00D61A10"/>
    <w:rsid w:val="00D62214"/>
    <w:rsid w:val="00D62478"/>
    <w:rsid w:val="00D62B4C"/>
    <w:rsid w:val="00D630D4"/>
    <w:rsid w:val="00D63CDD"/>
    <w:rsid w:val="00D64171"/>
    <w:rsid w:val="00D6462F"/>
    <w:rsid w:val="00D64CA8"/>
    <w:rsid w:val="00D64E50"/>
    <w:rsid w:val="00D65769"/>
    <w:rsid w:val="00D66DD0"/>
    <w:rsid w:val="00D676A1"/>
    <w:rsid w:val="00D71340"/>
    <w:rsid w:val="00D71412"/>
    <w:rsid w:val="00D72486"/>
    <w:rsid w:val="00D72D17"/>
    <w:rsid w:val="00D72D94"/>
    <w:rsid w:val="00D73AE0"/>
    <w:rsid w:val="00D73C3B"/>
    <w:rsid w:val="00D74BF9"/>
    <w:rsid w:val="00D75779"/>
    <w:rsid w:val="00D75CA2"/>
    <w:rsid w:val="00D75EB3"/>
    <w:rsid w:val="00D764BC"/>
    <w:rsid w:val="00D77EDD"/>
    <w:rsid w:val="00D810CC"/>
    <w:rsid w:val="00D813C0"/>
    <w:rsid w:val="00D81FDA"/>
    <w:rsid w:val="00D82132"/>
    <w:rsid w:val="00D8366D"/>
    <w:rsid w:val="00D8383A"/>
    <w:rsid w:val="00D83BD4"/>
    <w:rsid w:val="00D849BE"/>
    <w:rsid w:val="00D84BDC"/>
    <w:rsid w:val="00D855DA"/>
    <w:rsid w:val="00D85CE5"/>
    <w:rsid w:val="00D85D65"/>
    <w:rsid w:val="00D85D8A"/>
    <w:rsid w:val="00D85F68"/>
    <w:rsid w:val="00D8642D"/>
    <w:rsid w:val="00D86677"/>
    <w:rsid w:val="00D86980"/>
    <w:rsid w:val="00D8712A"/>
    <w:rsid w:val="00D90143"/>
    <w:rsid w:val="00D92748"/>
    <w:rsid w:val="00D92F07"/>
    <w:rsid w:val="00D932BD"/>
    <w:rsid w:val="00D93F8B"/>
    <w:rsid w:val="00D94A71"/>
    <w:rsid w:val="00D95497"/>
    <w:rsid w:val="00D963CE"/>
    <w:rsid w:val="00D96911"/>
    <w:rsid w:val="00DA02A8"/>
    <w:rsid w:val="00DA0395"/>
    <w:rsid w:val="00DA0414"/>
    <w:rsid w:val="00DA0717"/>
    <w:rsid w:val="00DA0F82"/>
    <w:rsid w:val="00DA1EE5"/>
    <w:rsid w:val="00DA2595"/>
    <w:rsid w:val="00DA2D30"/>
    <w:rsid w:val="00DA34DE"/>
    <w:rsid w:val="00DA35DC"/>
    <w:rsid w:val="00DA4F0F"/>
    <w:rsid w:val="00DA6E36"/>
    <w:rsid w:val="00DA75F7"/>
    <w:rsid w:val="00DB230B"/>
    <w:rsid w:val="00DB234D"/>
    <w:rsid w:val="00DB26E3"/>
    <w:rsid w:val="00DB3069"/>
    <w:rsid w:val="00DB3995"/>
    <w:rsid w:val="00DB3A3A"/>
    <w:rsid w:val="00DB4F9F"/>
    <w:rsid w:val="00DB577E"/>
    <w:rsid w:val="00DB6AB8"/>
    <w:rsid w:val="00DB75E7"/>
    <w:rsid w:val="00DB7E30"/>
    <w:rsid w:val="00DC083C"/>
    <w:rsid w:val="00DC0A55"/>
    <w:rsid w:val="00DC1ECD"/>
    <w:rsid w:val="00DC21A0"/>
    <w:rsid w:val="00DC46C3"/>
    <w:rsid w:val="00DC4759"/>
    <w:rsid w:val="00DC5897"/>
    <w:rsid w:val="00DC65E0"/>
    <w:rsid w:val="00DC6755"/>
    <w:rsid w:val="00DC6AE8"/>
    <w:rsid w:val="00DC6D62"/>
    <w:rsid w:val="00DC74A1"/>
    <w:rsid w:val="00DD0580"/>
    <w:rsid w:val="00DD060C"/>
    <w:rsid w:val="00DD16BF"/>
    <w:rsid w:val="00DD1D87"/>
    <w:rsid w:val="00DD3FD5"/>
    <w:rsid w:val="00DD46E1"/>
    <w:rsid w:val="00DD48A0"/>
    <w:rsid w:val="00DD4A43"/>
    <w:rsid w:val="00DD4FB7"/>
    <w:rsid w:val="00DD5701"/>
    <w:rsid w:val="00DD5AE7"/>
    <w:rsid w:val="00DD6370"/>
    <w:rsid w:val="00DE104C"/>
    <w:rsid w:val="00DE135B"/>
    <w:rsid w:val="00DE17C4"/>
    <w:rsid w:val="00DE3320"/>
    <w:rsid w:val="00DE381A"/>
    <w:rsid w:val="00DE3CBA"/>
    <w:rsid w:val="00DE47D8"/>
    <w:rsid w:val="00DE4A08"/>
    <w:rsid w:val="00DE4AAC"/>
    <w:rsid w:val="00DE5C65"/>
    <w:rsid w:val="00DE625E"/>
    <w:rsid w:val="00DE682B"/>
    <w:rsid w:val="00DE69D3"/>
    <w:rsid w:val="00DE6B7E"/>
    <w:rsid w:val="00DF0037"/>
    <w:rsid w:val="00DF00EB"/>
    <w:rsid w:val="00DF0A70"/>
    <w:rsid w:val="00DF12E0"/>
    <w:rsid w:val="00DF2181"/>
    <w:rsid w:val="00DF27B5"/>
    <w:rsid w:val="00DF28E6"/>
    <w:rsid w:val="00DF2E25"/>
    <w:rsid w:val="00DF3919"/>
    <w:rsid w:val="00DF3A65"/>
    <w:rsid w:val="00DF4177"/>
    <w:rsid w:val="00DF59A5"/>
    <w:rsid w:val="00DF6499"/>
    <w:rsid w:val="00DF7BB2"/>
    <w:rsid w:val="00E0015B"/>
    <w:rsid w:val="00E0119D"/>
    <w:rsid w:val="00E01DD6"/>
    <w:rsid w:val="00E0213E"/>
    <w:rsid w:val="00E02649"/>
    <w:rsid w:val="00E0272B"/>
    <w:rsid w:val="00E03856"/>
    <w:rsid w:val="00E03AE1"/>
    <w:rsid w:val="00E03DD0"/>
    <w:rsid w:val="00E05082"/>
    <w:rsid w:val="00E05273"/>
    <w:rsid w:val="00E0569F"/>
    <w:rsid w:val="00E05F7A"/>
    <w:rsid w:val="00E063D5"/>
    <w:rsid w:val="00E07371"/>
    <w:rsid w:val="00E11F87"/>
    <w:rsid w:val="00E1200D"/>
    <w:rsid w:val="00E1330D"/>
    <w:rsid w:val="00E15EE4"/>
    <w:rsid w:val="00E21BBD"/>
    <w:rsid w:val="00E21D80"/>
    <w:rsid w:val="00E21FD6"/>
    <w:rsid w:val="00E22CCC"/>
    <w:rsid w:val="00E23378"/>
    <w:rsid w:val="00E234DD"/>
    <w:rsid w:val="00E238CA"/>
    <w:rsid w:val="00E24AF9"/>
    <w:rsid w:val="00E258BC"/>
    <w:rsid w:val="00E267CE"/>
    <w:rsid w:val="00E27316"/>
    <w:rsid w:val="00E30257"/>
    <w:rsid w:val="00E3181E"/>
    <w:rsid w:val="00E320D3"/>
    <w:rsid w:val="00E3267F"/>
    <w:rsid w:val="00E327B6"/>
    <w:rsid w:val="00E33CE3"/>
    <w:rsid w:val="00E33E39"/>
    <w:rsid w:val="00E3412C"/>
    <w:rsid w:val="00E341C0"/>
    <w:rsid w:val="00E3462B"/>
    <w:rsid w:val="00E348AA"/>
    <w:rsid w:val="00E366E8"/>
    <w:rsid w:val="00E36EB8"/>
    <w:rsid w:val="00E3788C"/>
    <w:rsid w:val="00E40000"/>
    <w:rsid w:val="00E40C4C"/>
    <w:rsid w:val="00E41910"/>
    <w:rsid w:val="00E42B30"/>
    <w:rsid w:val="00E437D2"/>
    <w:rsid w:val="00E45B47"/>
    <w:rsid w:val="00E46637"/>
    <w:rsid w:val="00E46C84"/>
    <w:rsid w:val="00E47A55"/>
    <w:rsid w:val="00E5085E"/>
    <w:rsid w:val="00E51C8D"/>
    <w:rsid w:val="00E5353E"/>
    <w:rsid w:val="00E53DD6"/>
    <w:rsid w:val="00E53EB4"/>
    <w:rsid w:val="00E5455C"/>
    <w:rsid w:val="00E5511F"/>
    <w:rsid w:val="00E55394"/>
    <w:rsid w:val="00E55A19"/>
    <w:rsid w:val="00E56CD0"/>
    <w:rsid w:val="00E57A3C"/>
    <w:rsid w:val="00E57ECD"/>
    <w:rsid w:val="00E613EE"/>
    <w:rsid w:val="00E61ABE"/>
    <w:rsid w:val="00E62F89"/>
    <w:rsid w:val="00E6646C"/>
    <w:rsid w:val="00E67A65"/>
    <w:rsid w:val="00E7024C"/>
    <w:rsid w:val="00E703FD"/>
    <w:rsid w:val="00E70CC1"/>
    <w:rsid w:val="00E71F9D"/>
    <w:rsid w:val="00E720ED"/>
    <w:rsid w:val="00E722C1"/>
    <w:rsid w:val="00E72819"/>
    <w:rsid w:val="00E728FB"/>
    <w:rsid w:val="00E72949"/>
    <w:rsid w:val="00E72A2C"/>
    <w:rsid w:val="00E72B82"/>
    <w:rsid w:val="00E745D5"/>
    <w:rsid w:val="00E75582"/>
    <w:rsid w:val="00E774DF"/>
    <w:rsid w:val="00E77AEA"/>
    <w:rsid w:val="00E804D1"/>
    <w:rsid w:val="00E80B45"/>
    <w:rsid w:val="00E814DE"/>
    <w:rsid w:val="00E8199C"/>
    <w:rsid w:val="00E81EC2"/>
    <w:rsid w:val="00E821BD"/>
    <w:rsid w:val="00E8313F"/>
    <w:rsid w:val="00E8372E"/>
    <w:rsid w:val="00E859D5"/>
    <w:rsid w:val="00E861BF"/>
    <w:rsid w:val="00E86407"/>
    <w:rsid w:val="00E86E54"/>
    <w:rsid w:val="00E9096D"/>
    <w:rsid w:val="00E94558"/>
    <w:rsid w:val="00E94DE9"/>
    <w:rsid w:val="00E95310"/>
    <w:rsid w:val="00E953C6"/>
    <w:rsid w:val="00E95D25"/>
    <w:rsid w:val="00E97053"/>
    <w:rsid w:val="00E975B4"/>
    <w:rsid w:val="00EA0E49"/>
    <w:rsid w:val="00EA49F6"/>
    <w:rsid w:val="00EA5DBD"/>
    <w:rsid w:val="00EA64DF"/>
    <w:rsid w:val="00EA68DF"/>
    <w:rsid w:val="00EB0605"/>
    <w:rsid w:val="00EB0AB3"/>
    <w:rsid w:val="00EB0BC5"/>
    <w:rsid w:val="00EB1D4B"/>
    <w:rsid w:val="00EB1E89"/>
    <w:rsid w:val="00EB1FB8"/>
    <w:rsid w:val="00EB23B5"/>
    <w:rsid w:val="00EB2C7A"/>
    <w:rsid w:val="00EB3089"/>
    <w:rsid w:val="00EB38C3"/>
    <w:rsid w:val="00EB3F87"/>
    <w:rsid w:val="00EB4C1B"/>
    <w:rsid w:val="00EB53E4"/>
    <w:rsid w:val="00EB53E9"/>
    <w:rsid w:val="00EB7FD4"/>
    <w:rsid w:val="00EC0B33"/>
    <w:rsid w:val="00EC0FEF"/>
    <w:rsid w:val="00EC2FC7"/>
    <w:rsid w:val="00EC358C"/>
    <w:rsid w:val="00EC408E"/>
    <w:rsid w:val="00EC4DA9"/>
    <w:rsid w:val="00EC567D"/>
    <w:rsid w:val="00EC5FB1"/>
    <w:rsid w:val="00EC6103"/>
    <w:rsid w:val="00EC690D"/>
    <w:rsid w:val="00ED0E53"/>
    <w:rsid w:val="00ED0E75"/>
    <w:rsid w:val="00ED0FB2"/>
    <w:rsid w:val="00ED1B4C"/>
    <w:rsid w:val="00ED2626"/>
    <w:rsid w:val="00ED2932"/>
    <w:rsid w:val="00ED3E49"/>
    <w:rsid w:val="00ED5AA1"/>
    <w:rsid w:val="00ED5C43"/>
    <w:rsid w:val="00ED63A9"/>
    <w:rsid w:val="00ED7024"/>
    <w:rsid w:val="00EE0484"/>
    <w:rsid w:val="00EE0715"/>
    <w:rsid w:val="00EE0806"/>
    <w:rsid w:val="00EE0E0A"/>
    <w:rsid w:val="00EE1174"/>
    <w:rsid w:val="00EE1698"/>
    <w:rsid w:val="00EE2885"/>
    <w:rsid w:val="00EE36A5"/>
    <w:rsid w:val="00EE5B33"/>
    <w:rsid w:val="00EE5C61"/>
    <w:rsid w:val="00EE6D8B"/>
    <w:rsid w:val="00EF0086"/>
    <w:rsid w:val="00EF0726"/>
    <w:rsid w:val="00EF23F9"/>
    <w:rsid w:val="00EF3C22"/>
    <w:rsid w:val="00EF4818"/>
    <w:rsid w:val="00EF49B0"/>
    <w:rsid w:val="00EF6F5B"/>
    <w:rsid w:val="00EF7516"/>
    <w:rsid w:val="00EF7547"/>
    <w:rsid w:val="00F00B15"/>
    <w:rsid w:val="00F01C7B"/>
    <w:rsid w:val="00F01D90"/>
    <w:rsid w:val="00F034E5"/>
    <w:rsid w:val="00F0534A"/>
    <w:rsid w:val="00F05B54"/>
    <w:rsid w:val="00F05C57"/>
    <w:rsid w:val="00F110C2"/>
    <w:rsid w:val="00F118B7"/>
    <w:rsid w:val="00F11A6E"/>
    <w:rsid w:val="00F1304C"/>
    <w:rsid w:val="00F13E4A"/>
    <w:rsid w:val="00F13F18"/>
    <w:rsid w:val="00F142D6"/>
    <w:rsid w:val="00F145AC"/>
    <w:rsid w:val="00F149BB"/>
    <w:rsid w:val="00F155C7"/>
    <w:rsid w:val="00F16D14"/>
    <w:rsid w:val="00F174FD"/>
    <w:rsid w:val="00F20CF5"/>
    <w:rsid w:val="00F214D3"/>
    <w:rsid w:val="00F21964"/>
    <w:rsid w:val="00F21A9C"/>
    <w:rsid w:val="00F245FE"/>
    <w:rsid w:val="00F24B54"/>
    <w:rsid w:val="00F2552D"/>
    <w:rsid w:val="00F2588D"/>
    <w:rsid w:val="00F2595A"/>
    <w:rsid w:val="00F26A0C"/>
    <w:rsid w:val="00F3019F"/>
    <w:rsid w:val="00F30A84"/>
    <w:rsid w:val="00F31364"/>
    <w:rsid w:val="00F3274F"/>
    <w:rsid w:val="00F32F09"/>
    <w:rsid w:val="00F332FB"/>
    <w:rsid w:val="00F340E7"/>
    <w:rsid w:val="00F348F0"/>
    <w:rsid w:val="00F34C14"/>
    <w:rsid w:val="00F34C5D"/>
    <w:rsid w:val="00F3553F"/>
    <w:rsid w:val="00F355A7"/>
    <w:rsid w:val="00F35996"/>
    <w:rsid w:val="00F359EC"/>
    <w:rsid w:val="00F35F28"/>
    <w:rsid w:val="00F369BE"/>
    <w:rsid w:val="00F3772C"/>
    <w:rsid w:val="00F37770"/>
    <w:rsid w:val="00F41B59"/>
    <w:rsid w:val="00F42723"/>
    <w:rsid w:val="00F4299A"/>
    <w:rsid w:val="00F42BF8"/>
    <w:rsid w:val="00F43EC8"/>
    <w:rsid w:val="00F444D6"/>
    <w:rsid w:val="00F45402"/>
    <w:rsid w:val="00F45856"/>
    <w:rsid w:val="00F5075B"/>
    <w:rsid w:val="00F508CC"/>
    <w:rsid w:val="00F52851"/>
    <w:rsid w:val="00F530E2"/>
    <w:rsid w:val="00F53CF6"/>
    <w:rsid w:val="00F556E6"/>
    <w:rsid w:val="00F5721F"/>
    <w:rsid w:val="00F60582"/>
    <w:rsid w:val="00F605C4"/>
    <w:rsid w:val="00F60D98"/>
    <w:rsid w:val="00F61209"/>
    <w:rsid w:val="00F6265E"/>
    <w:rsid w:val="00F62843"/>
    <w:rsid w:val="00F63BAB"/>
    <w:rsid w:val="00F64017"/>
    <w:rsid w:val="00F64B1F"/>
    <w:rsid w:val="00F652BE"/>
    <w:rsid w:val="00F671E2"/>
    <w:rsid w:val="00F67341"/>
    <w:rsid w:val="00F67C87"/>
    <w:rsid w:val="00F70D34"/>
    <w:rsid w:val="00F71162"/>
    <w:rsid w:val="00F71D34"/>
    <w:rsid w:val="00F744AF"/>
    <w:rsid w:val="00F74F31"/>
    <w:rsid w:val="00F754C8"/>
    <w:rsid w:val="00F77FA5"/>
    <w:rsid w:val="00F801B1"/>
    <w:rsid w:val="00F80219"/>
    <w:rsid w:val="00F8283F"/>
    <w:rsid w:val="00F830E8"/>
    <w:rsid w:val="00F832F9"/>
    <w:rsid w:val="00F83940"/>
    <w:rsid w:val="00F83A52"/>
    <w:rsid w:val="00F83F82"/>
    <w:rsid w:val="00F85085"/>
    <w:rsid w:val="00F85955"/>
    <w:rsid w:val="00F8696C"/>
    <w:rsid w:val="00F90104"/>
    <w:rsid w:val="00F902E5"/>
    <w:rsid w:val="00F90922"/>
    <w:rsid w:val="00F90A07"/>
    <w:rsid w:val="00F914DC"/>
    <w:rsid w:val="00F91C7C"/>
    <w:rsid w:val="00F91FEB"/>
    <w:rsid w:val="00F941CA"/>
    <w:rsid w:val="00F94F34"/>
    <w:rsid w:val="00F96147"/>
    <w:rsid w:val="00F96742"/>
    <w:rsid w:val="00F97BF8"/>
    <w:rsid w:val="00F97DE3"/>
    <w:rsid w:val="00FA23AA"/>
    <w:rsid w:val="00FA2910"/>
    <w:rsid w:val="00FA312A"/>
    <w:rsid w:val="00FA31FE"/>
    <w:rsid w:val="00FA321C"/>
    <w:rsid w:val="00FA3D9A"/>
    <w:rsid w:val="00FA4B48"/>
    <w:rsid w:val="00FA4ECB"/>
    <w:rsid w:val="00FA56F8"/>
    <w:rsid w:val="00FA5F44"/>
    <w:rsid w:val="00FA63D1"/>
    <w:rsid w:val="00FA6485"/>
    <w:rsid w:val="00FA65CA"/>
    <w:rsid w:val="00FA6984"/>
    <w:rsid w:val="00FA6FCC"/>
    <w:rsid w:val="00FA71DD"/>
    <w:rsid w:val="00FA79EF"/>
    <w:rsid w:val="00FB060B"/>
    <w:rsid w:val="00FB1BAF"/>
    <w:rsid w:val="00FB203E"/>
    <w:rsid w:val="00FB302F"/>
    <w:rsid w:val="00FB3325"/>
    <w:rsid w:val="00FB36C1"/>
    <w:rsid w:val="00FB57E7"/>
    <w:rsid w:val="00FB6581"/>
    <w:rsid w:val="00FB7D95"/>
    <w:rsid w:val="00FC09AD"/>
    <w:rsid w:val="00FC1375"/>
    <w:rsid w:val="00FC2507"/>
    <w:rsid w:val="00FC2CDB"/>
    <w:rsid w:val="00FC2FC9"/>
    <w:rsid w:val="00FC34E5"/>
    <w:rsid w:val="00FC3F20"/>
    <w:rsid w:val="00FC4EA6"/>
    <w:rsid w:val="00FC5078"/>
    <w:rsid w:val="00FC56E7"/>
    <w:rsid w:val="00FC5A78"/>
    <w:rsid w:val="00FD01BF"/>
    <w:rsid w:val="00FD05CF"/>
    <w:rsid w:val="00FD1686"/>
    <w:rsid w:val="00FD2279"/>
    <w:rsid w:val="00FD26ED"/>
    <w:rsid w:val="00FD3660"/>
    <w:rsid w:val="00FD4C5E"/>
    <w:rsid w:val="00FD5408"/>
    <w:rsid w:val="00FD646F"/>
    <w:rsid w:val="00FD695B"/>
    <w:rsid w:val="00FE0F0F"/>
    <w:rsid w:val="00FE1073"/>
    <w:rsid w:val="00FE11AB"/>
    <w:rsid w:val="00FE1365"/>
    <w:rsid w:val="00FE14F7"/>
    <w:rsid w:val="00FE2EAA"/>
    <w:rsid w:val="00FE336E"/>
    <w:rsid w:val="00FE34B9"/>
    <w:rsid w:val="00FE7601"/>
    <w:rsid w:val="00FE7608"/>
    <w:rsid w:val="00FF0AA8"/>
    <w:rsid w:val="00FF0D96"/>
    <w:rsid w:val="00FF1580"/>
    <w:rsid w:val="00FF2F05"/>
    <w:rsid w:val="00FF395A"/>
    <w:rsid w:val="00FF4068"/>
    <w:rsid w:val="00FF4C9D"/>
    <w:rsid w:val="00FF63CB"/>
    <w:rsid w:val="00FF63F8"/>
    <w:rsid w:val="00FF64B4"/>
    <w:rsid w:val="00FF656C"/>
    <w:rsid w:val="00FF7149"/>
    <w:rsid w:val="010055F0"/>
    <w:rsid w:val="011D0C82"/>
    <w:rsid w:val="01384C7D"/>
    <w:rsid w:val="0147134C"/>
    <w:rsid w:val="015E51FD"/>
    <w:rsid w:val="0175049B"/>
    <w:rsid w:val="0200056C"/>
    <w:rsid w:val="0200790D"/>
    <w:rsid w:val="020C70FB"/>
    <w:rsid w:val="02357C94"/>
    <w:rsid w:val="025415CF"/>
    <w:rsid w:val="026F7D3D"/>
    <w:rsid w:val="02933BB1"/>
    <w:rsid w:val="02D349BD"/>
    <w:rsid w:val="02E55751"/>
    <w:rsid w:val="03184142"/>
    <w:rsid w:val="033646BA"/>
    <w:rsid w:val="0349576F"/>
    <w:rsid w:val="0382663E"/>
    <w:rsid w:val="03884D8C"/>
    <w:rsid w:val="03EA1A06"/>
    <w:rsid w:val="041E76AC"/>
    <w:rsid w:val="04676F55"/>
    <w:rsid w:val="048333A4"/>
    <w:rsid w:val="04BA577C"/>
    <w:rsid w:val="04E25F2F"/>
    <w:rsid w:val="05093FE3"/>
    <w:rsid w:val="051A4BFE"/>
    <w:rsid w:val="051C0ADF"/>
    <w:rsid w:val="05487639"/>
    <w:rsid w:val="054F122A"/>
    <w:rsid w:val="056251A1"/>
    <w:rsid w:val="05BB02D8"/>
    <w:rsid w:val="05BB116E"/>
    <w:rsid w:val="05CF6138"/>
    <w:rsid w:val="05E25096"/>
    <w:rsid w:val="05E442E6"/>
    <w:rsid w:val="05FF6C2C"/>
    <w:rsid w:val="063F313F"/>
    <w:rsid w:val="069A2DDC"/>
    <w:rsid w:val="069E5FD2"/>
    <w:rsid w:val="06AB6488"/>
    <w:rsid w:val="06CC45C0"/>
    <w:rsid w:val="06FF5D69"/>
    <w:rsid w:val="070F6606"/>
    <w:rsid w:val="0717436F"/>
    <w:rsid w:val="07666185"/>
    <w:rsid w:val="07845F4B"/>
    <w:rsid w:val="07A973E3"/>
    <w:rsid w:val="080742FF"/>
    <w:rsid w:val="086107BF"/>
    <w:rsid w:val="08A43F76"/>
    <w:rsid w:val="08B42DD5"/>
    <w:rsid w:val="08B44F1C"/>
    <w:rsid w:val="08D46855"/>
    <w:rsid w:val="090A3BA2"/>
    <w:rsid w:val="092D457C"/>
    <w:rsid w:val="094062E8"/>
    <w:rsid w:val="096E0953"/>
    <w:rsid w:val="09A41A8B"/>
    <w:rsid w:val="09A75770"/>
    <w:rsid w:val="09E63EFB"/>
    <w:rsid w:val="0A18653E"/>
    <w:rsid w:val="0AA54F18"/>
    <w:rsid w:val="0AB76E6E"/>
    <w:rsid w:val="0AD52DBF"/>
    <w:rsid w:val="0B705584"/>
    <w:rsid w:val="0BE567CD"/>
    <w:rsid w:val="0C0E31DE"/>
    <w:rsid w:val="0C4317EA"/>
    <w:rsid w:val="0C53249E"/>
    <w:rsid w:val="0C7678A4"/>
    <w:rsid w:val="0C891818"/>
    <w:rsid w:val="0C9C7061"/>
    <w:rsid w:val="0CB27807"/>
    <w:rsid w:val="0CD157D3"/>
    <w:rsid w:val="0D143449"/>
    <w:rsid w:val="0D696457"/>
    <w:rsid w:val="0D8015B0"/>
    <w:rsid w:val="0D846E1D"/>
    <w:rsid w:val="0D94533D"/>
    <w:rsid w:val="0DAF35B2"/>
    <w:rsid w:val="0DC449FB"/>
    <w:rsid w:val="0E2118DE"/>
    <w:rsid w:val="0E8332E9"/>
    <w:rsid w:val="0ECB6654"/>
    <w:rsid w:val="0EE079AD"/>
    <w:rsid w:val="0F055C2F"/>
    <w:rsid w:val="0F110760"/>
    <w:rsid w:val="0F206CE8"/>
    <w:rsid w:val="0F3142CA"/>
    <w:rsid w:val="0F3705F5"/>
    <w:rsid w:val="0F4C119E"/>
    <w:rsid w:val="0F5632C9"/>
    <w:rsid w:val="0F5A4D0B"/>
    <w:rsid w:val="0F6175F0"/>
    <w:rsid w:val="0FB865E3"/>
    <w:rsid w:val="0FC666D4"/>
    <w:rsid w:val="0FFF57E6"/>
    <w:rsid w:val="102C4D85"/>
    <w:rsid w:val="10496E06"/>
    <w:rsid w:val="104F41C4"/>
    <w:rsid w:val="108B20BF"/>
    <w:rsid w:val="10C70C16"/>
    <w:rsid w:val="113A61E4"/>
    <w:rsid w:val="119C7487"/>
    <w:rsid w:val="119E37AC"/>
    <w:rsid w:val="11CF489D"/>
    <w:rsid w:val="11CF497A"/>
    <w:rsid w:val="12047413"/>
    <w:rsid w:val="12753464"/>
    <w:rsid w:val="129600BD"/>
    <w:rsid w:val="12A518A9"/>
    <w:rsid w:val="12EC7173"/>
    <w:rsid w:val="130C4A49"/>
    <w:rsid w:val="131D73B8"/>
    <w:rsid w:val="13242E63"/>
    <w:rsid w:val="13365257"/>
    <w:rsid w:val="133E6B01"/>
    <w:rsid w:val="13520797"/>
    <w:rsid w:val="13647625"/>
    <w:rsid w:val="1368788A"/>
    <w:rsid w:val="1394618F"/>
    <w:rsid w:val="13CD4686"/>
    <w:rsid w:val="13E67AB4"/>
    <w:rsid w:val="142F1693"/>
    <w:rsid w:val="14410099"/>
    <w:rsid w:val="145A2664"/>
    <w:rsid w:val="14CA06F3"/>
    <w:rsid w:val="150F5BD6"/>
    <w:rsid w:val="15115269"/>
    <w:rsid w:val="15EE58D3"/>
    <w:rsid w:val="163E4B9A"/>
    <w:rsid w:val="1655438D"/>
    <w:rsid w:val="166D08E1"/>
    <w:rsid w:val="16A45B13"/>
    <w:rsid w:val="16BE4BD7"/>
    <w:rsid w:val="16D64F56"/>
    <w:rsid w:val="16FF673F"/>
    <w:rsid w:val="17083A7B"/>
    <w:rsid w:val="177F2D7E"/>
    <w:rsid w:val="178E3DC3"/>
    <w:rsid w:val="17E97D1B"/>
    <w:rsid w:val="18512B4D"/>
    <w:rsid w:val="189B0534"/>
    <w:rsid w:val="18BC5C84"/>
    <w:rsid w:val="18C313FD"/>
    <w:rsid w:val="18D844A7"/>
    <w:rsid w:val="19033E6C"/>
    <w:rsid w:val="19103030"/>
    <w:rsid w:val="191B3E96"/>
    <w:rsid w:val="19234DAD"/>
    <w:rsid w:val="1928025E"/>
    <w:rsid w:val="194C159A"/>
    <w:rsid w:val="1977558E"/>
    <w:rsid w:val="198378FD"/>
    <w:rsid w:val="19A76D48"/>
    <w:rsid w:val="19D43206"/>
    <w:rsid w:val="19D9524D"/>
    <w:rsid w:val="1AAC51A0"/>
    <w:rsid w:val="1ADA3BC6"/>
    <w:rsid w:val="1AE0477D"/>
    <w:rsid w:val="1AF61EFD"/>
    <w:rsid w:val="1B0F21E0"/>
    <w:rsid w:val="1B8D0BED"/>
    <w:rsid w:val="1BA06EF4"/>
    <w:rsid w:val="1BB74A7F"/>
    <w:rsid w:val="1BF54F70"/>
    <w:rsid w:val="1C3C4A98"/>
    <w:rsid w:val="1C890229"/>
    <w:rsid w:val="1CA8694C"/>
    <w:rsid w:val="1CBF37FC"/>
    <w:rsid w:val="1CCA7FC0"/>
    <w:rsid w:val="1CCE285E"/>
    <w:rsid w:val="1D157362"/>
    <w:rsid w:val="1D575C0B"/>
    <w:rsid w:val="1DB2101C"/>
    <w:rsid w:val="1DC84551"/>
    <w:rsid w:val="1E0858BF"/>
    <w:rsid w:val="1E2F6C9A"/>
    <w:rsid w:val="1EA143A6"/>
    <w:rsid w:val="1EEE08C9"/>
    <w:rsid w:val="1EF82E64"/>
    <w:rsid w:val="1F27465C"/>
    <w:rsid w:val="1F2C7721"/>
    <w:rsid w:val="1F54402B"/>
    <w:rsid w:val="1FC10EAC"/>
    <w:rsid w:val="1FD415EE"/>
    <w:rsid w:val="1FDB5F18"/>
    <w:rsid w:val="20001845"/>
    <w:rsid w:val="200D2D05"/>
    <w:rsid w:val="2015193F"/>
    <w:rsid w:val="20287B9E"/>
    <w:rsid w:val="20772BC1"/>
    <w:rsid w:val="20A24EB3"/>
    <w:rsid w:val="20EB124D"/>
    <w:rsid w:val="210D3873"/>
    <w:rsid w:val="21111EAC"/>
    <w:rsid w:val="21217014"/>
    <w:rsid w:val="21247F4A"/>
    <w:rsid w:val="2142795C"/>
    <w:rsid w:val="215D3990"/>
    <w:rsid w:val="217C215F"/>
    <w:rsid w:val="21CF28EF"/>
    <w:rsid w:val="21F14422"/>
    <w:rsid w:val="220B4D30"/>
    <w:rsid w:val="22872071"/>
    <w:rsid w:val="22954BCE"/>
    <w:rsid w:val="22A6069C"/>
    <w:rsid w:val="22AF1619"/>
    <w:rsid w:val="22F107E1"/>
    <w:rsid w:val="233B59CA"/>
    <w:rsid w:val="23706CC9"/>
    <w:rsid w:val="239671F2"/>
    <w:rsid w:val="23B03FE2"/>
    <w:rsid w:val="23DE580C"/>
    <w:rsid w:val="23E81808"/>
    <w:rsid w:val="24733BBC"/>
    <w:rsid w:val="247B19DC"/>
    <w:rsid w:val="24834295"/>
    <w:rsid w:val="24910420"/>
    <w:rsid w:val="24E93A01"/>
    <w:rsid w:val="24FA4792"/>
    <w:rsid w:val="252376BE"/>
    <w:rsid w:val="253251D7"/>
    <w:rsid w:val="25AA5B3F"/>
    <w:rsid w:val="25AA7645"/>
    <w:rsid w:val="25D9443D"/>
    <w:rsid w:val="25EA2226"/>
    <w:rsid w:val="260107D5"/>
    <w:rsid w:val="26A30BB8"/>
    <w:rsid w:val="26A74B74"/>
    <w:rsid w:val="26CF172F"/>
    <w:rsid w:val="26D02C07"/>
    <w:rsid w:val="27406A50"/>
    <w:rsid w:val="277946BD"/>
    <w:rsid w:val="27AD0D3B"/>
    <w:rsid w:val="27E0792F"/>
    <w:rsid w:val="28081616"/>
    <w:rsid w:val="282A67B2"/>
    <w:rsid w:val="28784A9E"/>
    <w:rsid w:val="28993F0C"/>
    <w:rsid w:val="28D22DC7"/>
    <w:rsid w:val="29030644"/>
    <w:rsid w:val="29062AFE"/>
    <w:rsid w:val="292E0B36"/>
    <w:rsid w:val="29336704"/>
    <w:rsid w:val="293C44B0"/>
    <w:rsid w:val="293F23AB"/>
    <w:rsid w:val="2941374F"/>
    <w:rsid w:val="296A67D9"/>
    <w:rsid w:val="298947E2"/>
    <w:rsid w:val="29901731"/>
    <w:rsid w:val="29947F35"/>
    <w:rsid w:val="29A232C8"/>
    <w:rsid w:val="29AF72F9"/>
    <w:rsid w:val="29BF0736"/>
    <w:rsid w:val="29EB7DEF"/>
    <w:rsid w:val="2A32444C"/>
    <w:rsid w:val="2A611392"/>
    <w:rsid w:val="2A677033"/>
    <w:rsid w:val="2B347A3F"/>
    <w:rsid w:val="2B6F3AF1"/>
    <w:rsid w:val="2B91414F"/>
    <w:rsid w:val="2BE8554F"/>
    <w:rsid w:val="2BFB59A0"/>
    <w:rsid w:val="2C5E4399"/>
    <w:rsid w:val="2C937AF8"/>
    <w:rsid w:val="2CF04EE0"/>
    <w:rsid w:val="2CF80B73"/>
    <w:rsid w:val="2D0377D3"/>
    <w:rsid w:val="2D48640E"/>
    <w:rsid w:val="2D7C51B7"/>
    <w:rsid w:val="2D853A56"/>
    <w:rsid w:val="2E115425"/>
    <w:rsid w:val="2E1817AA"/>
    <w:rsid w:val="2ED64755"/>
    <w:rsid w:val="2EDA4343"/>
    <w:rsid w:val="2F2C640B"/>
    <w:rsid w:val="2F593376"/>
    <w:rsid w:val="2F5947B2"/>
    <w:rsid w:val="2F8F440F"/>
    <w:rsid w:val="2FE37983"/>
    <w:rsid w:val="30037870"/>
    <w:rsid w:val="30112D74"/>
    <w:rsid w:val="306307EB"/>
    <w:rsid w:val="3071714C"/>
    <w:rsid w:val="30FD44E7"/>
    <w:rsid w:val="311B7B43"/>
    <w:rsid w:val="31684877"/>
    <w:rsid w:val="31742939"/>
    <w:rsid w:val="31D824C4"/>
    <w:rsid w:val="31F06351"/>
    <w:rsid w:val="32141C4A"/>
    <w:rsid w:val="325358DF"/>
    <w:rsid w:val="3260324D"/>
    <w:rsid w:val="32967902"/>
    <w:rsid w:val="32D95465"/>
    <w:rsid w:val="32DB28E4"/>
    <w:rsid w:val="33475128"/>
    <w:rsid w:val="33615ACB"/>
    <w:rsid w:val="337D66EC"/>
    <w:rsid w:val="342A6AF2"/>
    <w:rsid w:val="346C5F2E"/>
    <w:rsid w:val="3475089E"/>
    <w:rsid w:val="347A7A62"/>
    <w:rsid w:val="34997D50"/>
    <w:rsid w:val="34AF4C4B"/>
    <w:rsid w:val="34CE29E6"/>
    <w:rsid w:val="34DB1D53"/>
    <w:rsid w:val="354469FC"/>
    <w:rsid w:val="35600550"/>
    <w:rsid w:val="359E1281"/>
    <w:rsid w:val="35BF249A"/>
    <w:rsid w:val="35D32E4D"/>
    <w:rsid w:val="360177DA"/>
    <w:rsid w:val="36181E03"/>
    <w:rsid w:val="363459CF"/>
    <w:rsid w:val="364E2250"/>
    <w:rsid w:val="36706776"/>
    <w:rsid w:val="367275A4"/>
    <w:rsid w:val="36A550A7"/>
    <w:rsid w:val="37187562"/>
    <w:rsid w:val="37342786"/>
    <w:rsid w:val="373A64D1"/>
    <w:rsid w:val="37B3147F"/>
    <w:rsid w:val="37B61D76"/>
    <w:rsid w:val="381E264C"/>
    <w:rsid w:val="384C1DEA"/>
    <w:rsid w:val="38576C89"/>
    <w:rsid w:val="385B29A0"/>
    <w:rsid w:val="387D1B1E"/>
    <w:rsid w:val="389A72BA"/>
    <w:rsid w:val="38C947DA"/>
    <w:rsid w:val="38D04487"/>
    <w:rsid w:val="38EB0AC1"/>
    <w:rsid w:val="38F57093"/>
    <w:rsid w:val="392A22EB"/>
    <w:rsid w:val="39763E7C"/>
    <w:rsid w:val="397E5472"/>
    <w:rsid w:val="39AC017B"/>
    <w:rsid w:val="39CF49BB"/>
    <w:rsid w:val="39FF18FD"/>
    <w:rsid w:val="3A1121B2"/>
    <w:rsid w:val="3A120940"/>
    <w:rsid w:val="3A2638B0"/>
    <w:rsid w:val="3A297967"/>
    <w:rsid w:val="3A7704B5"/>
    <w:rsid w:val="3A784A4A"/>
    <w:rsid w:val="3A7D494C"/>
    <w:rsid w:val="3AB56F8B"/>
    <w:rsid w:val="3AF563D0"/>
    <w:rsid w:val="3B1652C6"/>
    <w:rsid w:val="3B51493A"/>
    <w:rsid w:val="3B8A39B9"/>
    <w:rsid w:val="3BA5208F"/>
    <w:rsid w:val="3BBC7985"/>
    <w:rsid w:val="3BDF6E66"/>
    <w:rsid w:val="3BF475DD"/>
    <w:rsid w:val="3C45358E"/>
    <w:rsid w:val="3C5675C1"/>
    <w:rsid w:val="3CA83009"/>
    <w:rsid w:val="3CFE0847"/>
    <w:rsid w:val="3D020ED7"/>
    <w:rsid w:val="3D326C8C"/>
    <w:rsid w:val="3D593E98"/>
    <w:rsid w:val="3D5C22F7"/>
    <w:rsid w:val="3E0E0D68"/>
    <w:rsid w:val="3E307193"/>
    <w:rsid w:val="3E494C0A"/>
    <w:rsid w:val="3E5067FC"/>
    <w:rsid w:val="3E5B3603"/>
    <w:rsid w:val="3E6602FC"/>
    <w:rsid w:val="3E6C2F48"/>
    <w:rsid w:val="3E86619D"/>
    <w:rsid w:val="3E9B3ED9"/>
    <w:rsid w:val="3ED56D4B"/>
    <w:rsid w:val="3EE014EE"/>
    <w:rsid w:val="3EFB112E"/>
    <w:rsid w:val="3EFC7426"/>
    <w:rsid w:val="3F055EE4"/>
    <w:rsid w:val="3F4B4152"/>
    <w:rsid w:val="3F754809"/>
    <w:rsid w:val="3FEE324B"/>
    <w:rsid w:val="3FFA78BB"/>
    <w:rsid w:val="404C157D"/>
    <w:rsid w:val="406A54F1"/>
    <w:rsid w:val="406B42BE"/>
    <w:rsid w:val="409E6E03"/>
    <w:rsid w:val="40A0422B"/>
    <w:rsid w:val="40AF0D6F"/>
    <w:rsid w:val="40C87442"/>
    <w:rsid w:val="40CB2681"/>
    <w:rsid w:val="40ED3796"/>
    <w:rsid w:val="410A0A88"/>
    <w:rsid w:val="411E2E6B"/>
    <w:rsid w:val="41894D2E"/>
    <w:rsid w:val="419612ED"/>
    <w:rsid w:val="41A066C9"/>
    <w:rsid w:val="41A810CA"/>
    <w:rsid w:val="41BD55F9"/>
    <w:rsid w:val="42FF3365"/>
    <w:rsid w:val="435C1A29"/>
    <w:rsid w:val="436E43EF"/>
    <w:rsid w:val="43755A40"/>
    <w:rsid w:val="43887758"/>
    <w:rsid w:val="43894066"/>
    <w:rsid w:val="43C172A6"/>
    <w:rsid w:val="440E6AB4"/>
    <w:rsid w:val="44287C86"/>
    <w:rsid w:val="44487B23"/>
    <w:rsid w:val="445454AA"/>
    <w:rsid w:val="44976086"/>
    <w:rsid w:val="44BE4B40"/>
    <w:rsid w:val="45002C98"/>
    <w:rsid w:val="45147E60"/>
    <w:rsid w:val="45231881"/>
    <w:rsid w:val="452A6D58"/>
    <w:rsid w:val="455F0BF3"/>
    <w:rsid w:val="459D487F"/>
    <w:rsid w:val="46056B7C"/>
    <w:rsid w:val="462D09A6"/>
    <w:rsid w:val="464807A0"/>
    <w:rsid w:val="46486A97"/>
    <w:rsid w:val="464F2BA2"/>
    <w:rsid w:val="46BC2762"/>
    <w:rsid w:val="46D065FA"/>
    <w:rsid w:val="470F3B43"/>
    <w:rsid w:val="47231CFA"/>
    <w:rsid w:val="472725A4"/>
    <w:rsid w:val="47352598"/>
    <w:rsid w:val="47517857"/>
    <w:rsid w:val="476B2C93"/>
    <w:rsid w:val="47A20DE5"/>
    <w:rsid w:val="47B72685"/>
    <w:rsid w:val="47CC28D3"/>
    <w:rsid w:val="4800566A"/>
    <w:rsid w:val="48363A72"/>
    <w:rsid w:val="483C4385"/>
    <w:rsid w:val="483E640F"/>
    <w:rsid w:val="485735E3"/>
    <w:rsid w:val="4881023A"/>
    <w:rsid w:val="4886010E"/>
    <w:rsid w:val="48D43480"/>
    <w:rsid w:val="49410445"/>
    <w:rsid w:val="494A7CB9"/>
    <w:rsid w:val="494D1EDF"/>
    <w:rsid w:val="495E60C2"/>
    <w:rsid w:val="49635C34"/>
    <w:rsid w:val="49B64E33"/>
    <w:rsid w:val="49CF169A"/>
    <w:rsid w:val="4A2014B2"/>
    <w:rsid w:val="4A290884"/>
    <w:rsid w:val="4A711C16"/>
    <w:rsid w:val="4A73065D"/>
    <w:rsid w:val="4AAA393A"/>
    <w:rsid w:val="4AB56675"/>
    <w:rsid w:val="4AB8797D"/>
    <w:rsid w:val="4AC053A1"/>
    <w:rsid w:val="4AF56E2F"/>
    <w:rsid w:val="4AFC3FDB"/>
    <w:rsid w:val="4B0245D3"/>
    <w:rsid w:val="4B1B6282"/>
    <w:rsid w:val="4B27790F"/>
    <w:rsid w:val="4B6713C6"/>
    <w:rsid w:val="4B730243"/>
    <w:rsid w:val="4BAC0F6C"/>
    <w:rsid w:val="4BB00779"/>
    <w:rsid w:val="4BFD0756"/>
    <w:rsid w:val="4C46321C"/>
    <w:rsid w:val="4CC85A97"/>
    <w:rsid w:val="4CE0028A"/>
    <w:rsid w:val="4D1E2C03"/>
    <w:rsid w:val="4D3537E5"/>
    <w:rsid w:val="4D4A7F65"/>
    <w:rsid w:val="4D4E71DA"/>
    <w:rsid w:val="4DA12A1C"/>
    <w:rsid w:val="4DC17C79"/>
    <w:rsid w:val="4DCE7B1D"/>
    <w:rsid w:val="4DDD2147"/>
    <w:rsid w:val="4DE311DD"/>
    <w:rsid w:val="4DE9317D"/>
    <w:rsid w:val="4E0E1D98"/>
    <w:rsid w:val="4E236925"/>
    <w:rsid w:val="4E361225"/>
    <w:rsid w:val="4E4C3BD4"/>
    <w:rsid w:val="4E601787"/>
    <w:rsid w:val="4E6B6381"/>
    <w:rsid w:val="4E95584F"/>
    <w:rsid w:val="4EF52B9F"/>
    <w:rsid w:val="4F313549"/>
    <w:rsid w:val="4F32167C"/>
    <w:rsid w:val="4F6D3F9D"/>
    <w:rsid w:val="4FA80040"/>
    <w:rsid w:val="50556C11"/>
    <w:rsid w:val="505C6508"/>
    <w:rsid w:val="50D873BA"/>
    <w:rsid w:val="50DE4BC8"/>
    <w:rsid w:val="514A1513"/>
    <w:rsid w:val="516C5F8F"/>
    <w:rsid w:val="5212245C"/>
    <w:rsid w:val="52251872"/>
    <w:rsid w:val="525F6B40"/>
    <w:rsid w:val="5277168E"/>
    <w:rsid w:val="52797969"/>
    <w:rsid w:val="529B1442"/>
    <w:rsid w:val="52D726BA"/>
    <w:rsid w:val="52ED7E63"/>
    <w:rsid w:val="5306076E"/>
    <w:rsid w:val="537A6C8E"/>
    <w:rsid w:val="53E52D36"/>
    <w:rsid w:val="54092450"/>
    <w:rsid w:val="54182581"/>
    <w:rsid w:val="543E65AF"/>
    <w:rsid w:val="54E10FFC"/>
    <w:rsid w:val="54FE7B72"/>
    <w:rsid w:val="55011C11"/>
    <w:rsid w:val="554A6D3C"/>
    <w:rsid w:val="55512455"/>
    <w:rsid w:val="5571244A"/>
    <w:rsid w:val="55A93E1F"/>
    <w:rsid w:val="55D6698B"/>
    <w:rsid w:val="55FD7BCD"/>
    <w:rsid w:val="560F6D26"/>
    <w:rsid w:val="56183ECB"/>
    <w:rsid w:val="566F2B94"/>
    <w:rsid w:val="56BA4E55"/>
    <w:rsid w:val="56BC4409"/>
    <w:rsid w:val="56DE6AE8"/>
    <w:rsid w:val="57040101"/>
    <w:rsid w:val="570F2D75"/>
    <w:rsid w:val="574F32EA"/>
    <w:rsid w:val="574F3C85"/>
    <w:rsid w:val="57511400"/>
    <w:rsid w:val="57571743"/>
    <w:rsid w:val="58021653"/>
    <w:rsid w:val="584E7D7C"/>
    <w:rsid w:val="58894FA7"/>
    <w:rsid w:val="58965C8B"/>
    <w:rsid w:val="58A179B0"/>
    <w:rsid w:val="58B85ADC"/>
    <w:rsid w:val="58F0266C"/>
    <w:rsid w:val="59112B2A"/>
    <w:rsid w:val="591219F4"/>
    <w:rsid w:val="591612E3"/>
    <w:rsid w:val="59200C8F"/>
    <w:rsid w:val="59316881"/>
    <w:rsid w:val="59A2185C"/>
    <w:rsid w:val="59D1566F"/>
    <w:rsid w:val="59E777BD"/>
    <w:rsid w:val="5A0465A6"/>
    <w:rsid w:val="5A18624D"/>
    <w:rsid w:val="5A411DCA"/>
    <w:rsid w:val="5AC54B25"/>
    <w:rsid w:val="5ACA2D18"/>
    <w:rsid w:val="5B0670FD"/>
    <w:rsid w:val="5B365F8E"/>
    <w:rsid w:val="5B700085"/>
    <w:rsid w:val="5B9903B5"/>
    <w:rsid w:val="5BF20B10"/>
    <w:rsid w:val="5C3E1CEE"/>
    <w:rsid w:val="5C675C38"/>
    <w:rsid w:val="5C762B9B"/>
    <w:rsid w:val="5CD61E05"/>
    <w:rsid w:val="5D12233A"/>
    <w:rsid w:val="5D6F353D"/>
    <w:rsid w:val="5D800AF5"/>
    <w:rsid w:val="5DCB1FEA"/>
    <w:rsid w:val="5DD867F5"/>
    <w:rsid w:val="5DDA099D"/>
    <w:rsid w:val="5E0645B9"/>
    <w:rsid w:val="5E0C35E2"/>
    <w:rsid w:val="5E217D2E"/>
    <w:rsid w:val="5E5A152F"/>
    <w:rsid w:val="5E626E49"/>
    <w:rsid w:val="5E6F158C"/>
    <w:rsid w:val="5E747C3C"/>
    <w:rsid w:val="5E7F285B"/>
    <w:rsid w:val="5E992BF5"/>
    <w:rsid w:val="5EAC0DF1"/>
    <w:rsid w:val="5EB141ED"/>
    <w:rsid w:val="5ED6308D"/>
    <w:rsid w:val="5EE90456"/>
    <w:rsid w:val="5F652CBA"/>
    <w:rsid w:val="5F691604"/>
    <w:rsid w:val="5FDD17A8"/>
    <w:rsid w:val="60742E25"/>
    <w:rsid w:val="60911FF5"/>
    <w:rsid w:val="60921315"/>
    <w:rsid w:val="60F16808"/>
    <w:rsid w:val="61044AC9"/>
    <w:rsid w:val="61192CB6"/>
    <w:rsid w:val="614667FC"/>
    <w:rsid w:val="616624C0"/>
    <w:rsid w:val="61974AE7"/>
    <w:rsid w:val="61C06237"/>
    <w:rsid w:val="61C9536D"/>
    <w:rsid w:val="61EF5889"/>
    <w:rsid w:val="622E61D2"/>
    <w:rsid w:val="62452FF7"/>
    <w:rsid w:val="626107A5"/>
    <w:rsid w:val="628E23EA"/>
    <w:rsid w:val="629B7C76"/>
    <w:rsid w:val="62AD3A48"/>
    <w:rsid w:val="62BD7622"/>
    <w:rsid w:val="62D42B04"/>
    <w:rsid w:val="62FF51E1"/>
    <w:rsid w:val="62FF7D77"/>
    <w:rsid w:val="63063FA1"/>
    <w:rsid w:val="63230C23"/>
    <w:rsid w:val="63516CC4"/>
    <w:rsid w:val="636F284B"/>
    <w:rsid w:val="63A73AC4"/>
    <w:rsid w:val="64084B0C"/>
    <w:rsid w:val="642A06E7"/>
    <w:rsid w:val="645542EC"/>
    <w:rsid w:val="64C14545"/>
    <w:rsid w:val="64DF6BFC"/>
    <w:rsid w:val="652F7EFC"/>
    <w:rsid w:val="65C5074E"/>
    <w:rsid w:val="65E523FB"/>
    <w:rsid w:val="65E91908"/>
    <w:rsid w:val="65FE4C17"/>
    <w:rsid w:val="6605384E"/>
    <w:rsid w:val="66114E11"/>
    <w:rsid w:val="661C3083"/>
    <w:rsid w:val="66250C00"/>
    <w:rsid w:val="663B33CE"/>
    <w:rsid w:val="66F25197"/>
    <w:rsid w:val="671C7897"/>
    <w:rsid w:val="672A150D"/>
    <w:rsid w:val="673B4D3B"/>
    <w:rsid w:val="675247B8"/>
    <w:rsid w:val="675838C4"/>
    <w:rsid w:val="675A63E7"/>
    <w:rsid w:val="675D117E"/>
    <w:rsid w:val="67C10205"/>
    <w:rsid w:val="67E47134"/>
    <w:rsid w:val="680943DA"/>
    <w:rsid w:val="681C7298"/>
    <w:rsid w:val="682F1191"/>
    <w:rsid w:val="68395869"/>
    <w:rsid w:val="686449DA"/>
    <w:rsid w:val="686F4D4A"/>
    <w:rsid w:val="688E6D60"/>
    <w:rsid w:val="68CC7F05"/>
    <w:rsid w:val="69482D99"/>
    <w:rsid w:val="69693D69"/>
    <w:rsid w:val="696F18CC"/>
    <w:rsid w:val="699F2B7F"/>
    <w:rsid w:val="6A156AE6"/>
    <w:rsid w:val="6A2A6DB3"/>
    <w:rsid w:val="6A455420"/>
    <w:rsid w:val="6A793DAD"/>
    <w:rsid w:val="6A9F23C7"/>
    <w:rsid w:val="6AD6393D"/>
    <w:rsid w:val="6ADD4AFD"/>
    <w:rsid w:val="6B115E1D"/>
    <w:rsid w:val="6B652946"/>
    <w:rsid w:val="6B885A42"/>
    <w:rsid w:val="6B9C670E"/>
    <w:rsid w:val="6BBC1FAB"/>
    <w:rsid w:val="6C5F2BB4"/>
    <w:rsid w:val="6C920A5C"/>
    <w:rsid w:val="6CC50B00"/>
    <w:rsid w:val="6CD35B9A"/>
    <w:rsid w:val="6CEC65DD"/>
    <w:rsid w:val="6D1A16C3"/>
    <w:rsid w:val="6D693965"/>
    <w:rsid w:val="6DAA045E"/>
    <w:rsid w:val="6DD30F57"/>
    <w:rsid w:val="6DF05852"/>
    <w:rsid w:val="6E0B166B"/>
    <w:rsid w:val="6E18404B"/>
    <w:rsid w:val="6E811068"/>
    <w:rsid w:val="6EEE4FE9"/>
    <w:rsid w:val="6F0851A4"/>
    <w:rsid w:val="6F151E24"/>
    <w:rsid w:val="6F6958D6"/>
    <w:rsid w:val="6F700A7A"/>
    <w:rsid w:val="6FAB237B"/>
    <w:rsid w:val="6FAE169D"/>
    <w:rsid w:val="6FC92D9E"/>
    <w:rsid w:val="704B3A79"/>
    <w:rsid w:val="70721CD3"/>
    <w:rsid w:val="709E497C"/>
    <w:rsid w:val="70E54D4A"/>
    <w:rsid w:val="70FE42F3"/>
    <w:rsid w:val="710B03ED"/>
    <w:rsid w:val="71241423"/>
    <w:rsid w:val="71373177"/>
    <w:rsid w:val="71616E0B"/>
    <w:rsid w:val="716A4904"/>
    <w:rsid w:val="71A36F9C"/>
    <w:rsid w:val="71B817E2"/>
    <w:rsid w:val="72036843"/>
    <w:rsid w:val="72595A44"/>
    <w:rsid w:val="726E5AF1"/>
    <w:rsid w:val="727313F8"/>
    <w:rsid w:val="72C66A9B"/>
    <w:rsid w:val="72D63A75"/>
    <w:rsid w:val="72F9224C"/>
    <w:rsid w:val="732F2F3C"/>
    <w:rsid w:val="73340923"/>
    <w:rsid w:val="73632B1B"/>
    <w:rsid w:val="73A62FCD"/>
    <w:rsid w:val="73D13CFC"/>
    <w:rsid w:val="73F5420A"/>
    <w:rsid w:val="74393837"/>
    <w:rsid w:val="74396D5F"/>
    <w:rsid w:val="74802CB3"/>
    <w:rsid w:val="74847491"/>
    <w:rsid w:val="748D09A2"/>
    <w:rsid w:val="74911DB2"/>
    <w:rsid w:val="75D65487"/>
    <w:rsid w:val="76190067"/>
    <w:rsid w:val="765879D2"/>
    <w:rsid w:val="76622459"/>
    <w:rsid w:val="766676E5"/>
    <w:rsid w:val="76736AF8"/>
    <w:rsid w:val="76BA5247"/>
    <w:rsid w:val="76C445E5"/>
    <w:rsid w:val="77082C27"/>
    <w:rsid w:val="7713790A"/>
    <w:rsid w:val="776C6C22"/>
    <w:rsid w:val="77754C9C"/>
    <w:rsid w:val="77BF7F8A"/>
    <w:rsid w:val="77F163D5"/>
    <w:rsid w:val="782A5BEE"/>
    <w:rsid w:val="78786D1E"/>
    <w:rsid w:val="795E6B77"/>
    <w:rsid w:val="79C12F94"/>
    <w:rsid w:val="7A4E21BE"/>
    <w:rsid w:val="7A576F08"/>
    <w:rsid w:val="7A8969A8"/>
    <w:rsid w:val="7A934228"/>
    <w:rsid w:val="7A9C511E"/>
    <w:rsid w:val="7AF04E47"/>
    <w:rsid w:val="7B1072E3"/>
    <w:rsid w:val="7B1720E1"/>
    <w:rsid w:val="7B6D535E"/>
    <w:rsid w:val="7B894B45"/>
    <w:rsid w:val="7BAF3EBD"/>
    <w:rsid w:val="7C034BDE"/>
    <w:rsid w:val="7CC81C6A"/>
    <w:rsid w:val="7D0F4C92"/>
    <w:rsid w:val="7D285860"/>
    <w:rsid w:val="7D2B0218"/>
    <w:rsid w:val="7D445710"/>
    <w:rsid w:val="7D5A6651"/>
    <w:rsid w:val="7D6225F3"/>
    <w:rsid w:val="7D713140"/>
    <w:rsid w:val="7D850EDB"/>
    <w:rsid w:val="7DDB2EB4"/>
    <w:rsid w:val="7E003E93"/>
    <w:rsid w:val="7E0437D4"/>
    <w:rsid w:val="7E650ED9"/>
    <w:rsid w:val="7EAA0CAB"/>
    <w:rsid w:val="7EBC435A"/>
    <w:rsid w:val="7EF240B1"/>
    <w:rsid w:val="7F5A3A8F"/>
    <w:rsid w:val="7F641003"/>
    <w:rsid w:val="7FB569A8"/>
  </w:rsids>
  <m:mathPr>
    <m:mathFont m:val="Cambria Math"/>
    <m:brkBin m:val="before"/>
    <m:brkBinSub m:val="--"/>
    <m:smallFrac m:val="0"/>
    <m:dispDef/>
    <m:lMargin m:val="0"/>
    <m:rMargin m:val="0"/>
    <m:defJc m:val="centerGroup"/>
    <m:wrapIndent m:val="1440"/>
    <m:intLim m:val="subSup"/>
    <m:naryLim m:val="undOvr"/>
  </m:mathPr>
  <w:themeFontLang w:val="cs-CZ" w:eastAsia="zh-CN"/>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4:docId w14:val="27419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spacing w:before="120" w:after="120"/>
      <w:jc w:val="both"/>
    </w:pPr>
    <w:rPr>
      <w:rFonts w:eastAsia="Times New Roman"/>
      <w:sz w:val="24"/>
      <w:szCs w:val="22"/>
      <w:lang w:eastAsia="en-US"/>
    </w:rPr>
  </w:style>
  <w:style w:type="paragraph" w:styleId="Nadpis1">
    <w:name w:val="heading 1"/>
    <w:basedOn w:val="Normln"/>
    <w:next w:val="Normln"/>
    <w:link w:val="Nadpis1Char"/>
    <w:uiPriority w:val="9"/>
    <w:qFormat/>
    <w:pPr>
      <w:keepNext/>
      <w:numPr>
        <w:ilvl w:val="1"/>
        <w:numId w:val="1"/>
      </w:numPr>
      <w:pBdr>
        <w:bottom w:val="single" w:sz="12" w:space="1" w:color="140E96"/>
      </w:pBdr>
      <w:spacing w:before="360" w:after="240"/>
      <w:ind w:left="576"/>
      <w:outlineLvl w:val="0"/>
    </w:pPr>
    <w:rPr>
      <w:b/>
      <w:bCs/>
      <w:color w:val="140E96"/>
      <w:sz w:val="28"/>
      <w:szCs w:val="24"/>
    </w:rPr>
  </w:style>
  <w:style w:type="paragraph" w:styleId="Nadpis2">
    <w:name w:val="heading 2"/>
    <w:basedOn w:val="Normln"/>
    <w:next w:val="Normln"/>
    <w:link w:val="Nadpis2Char"/>
    <w:uiPriority w:val="9"/>
    <w:qFormat/>
    <w:pPr>
      <w:keepNext/>
      <w:numPr>
        <w:ilvl w:val="2"/>
        <w:numId w:val="1"/>
      </w:numPr>
      <w:pBdr>
        <w:bottom w:val="single" w:sz="8" w:space="1" w:color="4F81BD"/>
      </w:pBdr>
      <w:tabs>
        <w:tab w:val="left" w:pos="720"/>
      </w:tabs>
      <w:spacing w:before="240"/>
      <w:outlineLvl w:val="1"/>
    </w:pPr>
    <w:rPr>
      <w:b/>
      <w:color w:val="140E96"/>
      <w:sz w:val="26"/>
      <w:szCs w:val="24"/>
    </w:rPr>
  </w:style>
  <w:style w:type="paragraph" w:styleId="Nadpis3">
    <w:name w:val="heading 3"/>
    <w:basedOn w:val="Normln"/>
    <w:next w:val="Normln"/>
    <w:link w:val="Nadpis3Char"/>
    <w:uiPriority w:val="9"/>
    <w:qFormat/>
    <w:pPr>
      <w:keepNext/>
      <w:numPr>
        <w:ilvl w:val="3"/>
        <w:numId w:val="1"/>
      </w:numPr>
      <w:tabs>
        <w:tab w:val="left" w:pos="862"/>
      </w:tabs>
      <w:spacing w:before="240"/>
      <w:outlineLvl w:val="2"/>
    </w:pPr>
    <w:rPr>
      <w:b/>
      <w:color w:val="140E96"/>
      <w:sz w:val="26"/>
      <w:szCs w:val="24"/>
    </w:rPr>
  </w:style>
  <w:style w:type="paragraph" w:styleId="Nadpis4">
    <w:name w:val="heading 4"/>
    <w:basedOn w:val="Normln"/>
    <w:next w:val="Normln"/>
    <w:link w:val="Nadpis4Char"/>
    <w:uiPriority w:val="9"/>
    <w:qFormat/>
    <w:pPr>
      <w:keepNext/>
      <w:numPr>
        <w:ilvl w:val="4"/>
        <w:numId w:val="1"/>
      </w:numPr>
      <w:outlineLvl w:val="3"/>
    </w:pPr>
    <w:rPr>
      <w:b/>
      <w:iCs/>
      <w:color w:val="4F81BD"/>
      <w:szCs w:val="24"/>
    </w:rPr>
  </w:style>
  <w:style w:type="paragraph" w:styleId="Nadpis5">
    <w:name w:val="heading 5"/>
    <w:basedOn w:val="Normln"/>
    <w:next w:val="Normln"/>
    <w:link w:val="Nadpis5Char"/>
    <w:uiPriority w:val="9"/>
    <w:qFormat/>
    <w:pPr>
      <w:keepNext/>
      <w:numPr>
        <w:ilvl w:val="5"/>
        <w:numId w:val="1"/>
      </w:numPr>
      <w:outlineLvl w:val="4"/>
    </w:pPr>
    <w:rPr>
      <w:color w:val="140E96"/>
    </w:rPr>
  </w:style>
  <w:style w:type="paragraph" w:styleId="Nadpis6">
    <w:name w:val="heading 6"/>
    <w:basedOn w:val="Normln"/>
    <w:next w:val="Normln"/>
    <w:link w:val="Nadpis6Char"/>
    <w:uiPriority w:val="9"/>
    <w:qFormat/>
    <w:pPr>
      <w:keepNext/>
      <w:numPr>
        <w:ilvl w:val="6"/>
        <w:numId w:val="1"/>
      </w:numPr>
      <w:outlineLvl w:val="5"/>
    </w:pPr>
    <w:rPr>
      <w:iCs/>
      <w:color w:val="140E96"/>
    </w:rPr>
  </w:style>
  <w:style w:type="paragraph" w:styleId="Nadpis7">
    <w:name w:val="heading 7"/>
    <w:basedOn w:val="Normln"/>
    <w:next w:val="Normln"/>
    <w:link w:val="Nadpis7Char"/>
    <w:uiPriority w:val="9"/>
    <w:qFormat/>
    <w:pPr>
      <w:numPr>
        <w:ilvl w:val="7"/>
        <w:numId w:val="1"/>
      </w:numPr>
      <w:spacing w:before="320" w:after="100"/>
      <w:outlineLvl w:val="6"/>
    </w:pPr>
    <w:rPr>
      <w:rFonts w:ascii="Cambria" w:hAnsi="Cambria"/>
      <w:b/>
      <w:bCs/>
      <w:color w:val="9BBB59"/>
      <w:sz w:val="20"/>
      <w:szCs w:val="20"/>
    </w:rPr>
  </w:style>
  <w:style w:type="paragraph" w:styleId="Nadpis8">
    <w:name w:val="heading 8"/>
    <w:basedOn w:val="Normln"/>
    <w:next w:val="Normln"/>
    <w:link w:val="Nadpis8Char"/>
    <w:uiPriority w:val="9"/>
    <w:pPr>
      <w:numPr>
        <w:ilvl w:val="8"/>
        <w:numId w:val="1"/>
      </w:numPr>
      <w:spacing w:before="320" w:after="100"/>
      <w:outlineLvl w:val="7"/>
    </w:pPr>
    <w:rPr>
      <w:rFonts w:ascii="Cambria" w:hAnsi="Cambria"/>
      <w:b/>
      <w:bCs/>
      <w:i/>
      <w:iCs/>
      <w:color w:val="9BBB59"/>
      <w:sz w:val="20"/>
      <w:szCs w:val="20"/>
    </w:rPr>
  </w:style>
  <w:style w:type="paragraph" w:styleId="Nadpis9">
    <w:name w:val="heading 9"/>
    <w:basedOn w:val="Normln"/>
    <w:next w:val="Normln"/>
    <w:link w:val="Nadpis9Char"/>
    <w:uiPriority w:val="9"/>
    <w:semiHidden/>
    <w:unhideWhenUse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qFormat/>
    <w:pPr>
      <w:spacing w:before="0" w:after="0"/>
    </w:pPr>
    <w:rPr>
      <w:rFonts w:ascii="Tahoma" w:hAnsi="Tahoma" w:cs="Tahoma"/>
      <w:sz w:val="16"/>
      <w:szCs w:val="16"/>
    </w:rPr>
  </w:style>
  <w:style w:type="paragraph" w:styleId="Textvbloku">
    <w:name w:val="Block Text"/>
    <w:basedOn w:val="Normln"/>
    <w:uiPriority w:val="99"/>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Zkladntext">
    <w:name w:val="Body Text"/>
    <w:basedOn w:val="Normln"/>
    <w:link w:val="ZkladntextChar"/>
    <w:uiPriority w:val="99"/>
    <w:semiHidden/>
    <w:unhideWhenUsed/>
  </w:style>
  <w:style w:type="paragraph" w:styleId="Zkladntext2">
    <w:name w:val="Body Text 2"/>
    <w:basedOn w:val="Normln"/>
    <w:link w:val="Zkladntext2Char"/>
    <w:uiPriority w:val="99"/>
    <w:semiHidden/>
    <w:unhideWhenUsed/>
    <w:pPr>
      <w:spacing w:line="480" w:lineRule="auto"/>
    </w:pPr>
  </w:style>
  <w:style w:type="paragraph" w:styleId="Zkladntext3">
    <w:name w:val="Body Text 3"/>
    <w:basedOn w:val="Normln"/>
    <w:link w:val="Zkladntext3Char"/>
    <w:uiPriority w:val="99"/>
    <w:semiHidden/>
    <w:unhideWhenUsed/>
    <w:rPr>
      <w:sz w:val="16"/>
      <w:szCs w:val="16"/>
    </w:rPr>
  </w:style>
  <w:style w:type="paragraph" w:styleId="Zkladntext-prvnodsazen">
    <w:name w:val="Body Text First Indent"/>
    <w:basedOn w:val="Zkladntext"/>
    <w:link w:val="Zkladntext-prvnodsazenChar"/>
    <w:uiPriority w:val="99"/>
    <w:semiHidden/>
    <w:unhideWhenUsed/>
    <w:pPr>
      <w:ind w:firstLine="360"/>
    </w:pPr>
  </w:style>
  <w:style w:type="paragraph" w:styleId="Zkladntextodsazen">
    <w:name w:val="Body Text Indent"/>
    <w:basedOn w:val="Normln"/>
    <w:link w:val="ZkladntextodsazenChar"/>
    <w:uiPriority w:val="99"/>
    <w:semiHidden/>
    <w:unhideWhenUsed/>
    <w:pPr>
      <w:ind w:left="283"/>
    </w:pPr>
  </w:style>
  <w:style w:type="paragraph" w:styleId="Zkladntext-prvnodsazen2">
    <w:name w:val="Body Text First Indent 2"/>
    <w:basedOn w:val="Zkladntextodsazen"/>
    <w:link w:val="Zkladntext-prvnodsazen2Char"/>
    <w:uiPriority w:val="99"/>
    <w:semiHidden/>
    <w:unhideWhenUsed/>
    <w:pPr>
      <w:ind w:left="360" w:firstLine="360"/>
    </w:pPr>
  </w:style>
  <w:style w:type="paragraph" w:styleId="Zkladntextodsazen2">
    <w:name w:val="Body Text Indent 2"/>
    <w:basedOn w:val="Normln"/>
    <w:link w:val="Zkladntextodsazen2Char"/>
    <w:uiPriority w:val="99"/>
    <w:semiHidden/>
    <w:unhideWhenUsed/>
    <w:pPr>
      <w:spacing w:line="480" w:lineRule="auto"/>
      <w:ind w:left="283"/>
    </w:pPr>
  </w:style>
  <w:style w:type="paragraph" w:styleId="Zkladntextodsazen3">
    <w:name w:val="Body Text Indent 3"/>
    <w:basedOn w:val="Normln"/>
    <w:link w:val="Zkladntextodsazen3Char"/>
    <w:uiPriority w:val="99"/>
    <w:semiHidden/>
    <w:unhideWhenUsed/>
    <w:pPr>
      <w:ind w:left="283"/>
    </w:pPr>
    <w:rPr>
      <w:sz w:val="16"/>
      <w:szCs w:val="16"/>
    </w:rPr>
  </w:style>
  <w:style w:type="paragraph" w:styleId="Titulek">
    <w:name w:val="caption"/>
    <w:basedOn w:val="Normln"/>
    <w:next w:val="Normln"/>
    <w:uiPriority w:val="35"/>
    <w:unhideWhenUsed/>
    <w:qFormat/>
    <w:pPr>
      <w:spacing w:before="0" w:after="200"/>
    </w:pPr>
    <w:rPr>
      <w:rFonts w:eastAsia="Calibri"/>
      <w:b/>
      <w:bCs/>
      <w:color w:val="4F81BD"/>
      <w:sz w:val="18"/>
      <w:szCs w:val="18"/>
    </w:rPr>
  </w:style>
  <w:style w:type="paragraph" w:styleId="Zvr">
    <w:name w:val="Closing"/>
    <w:basedOn w:val="Normln"/>
    <w:link w:val="ZvrChar"/>
    <w:uiPriority w:val="99"/>
    <w:semiHidden/>
    <w:unhideWhenUsed/>
    <w:pPr>
      <w:spacing w:before="0" w:after="0" w:line="240" w:lineRule="auto"/>
      <w:ind w:left="4252"/>
    </w:pPr>
  </w:style>
  <w:style w:type="paragraph" w:styleId="Textkomente">
    <w:name w:val="annotation text"/>
    <w:basedOn w:val="Normln"/>
    <w:link w:val="TextkomenteChar"/>
    <w:uiPriority w:val="99"/>
    <w:semiHidden/>
    <w:unhideWhenUsed/>
    <w:qFormat/>
    <w:pPr>
      <w:spacing w:before="0"/>
    </w:pPr>
    <w:rPr>
      <w:rFonts w:eastAsia="Calibri"/>
      <w:sz w:val="20"/>
      <w:szCs w:val="20"/>
    </w:rPr>
  </w:style>
  <w:style w:type="paragraph" w:styleId="Pedmtkomente">
    <w:name w:val="annotation subject"/>
    <w:basedOn w:val="Textkomente"/>
    <w:next w:val="Textkomente"/>
    <w:link w:val="PedmtkomenteChar"/>
    <w:uiPriority w:val="99"/>
    <w:semiHidden/>
    <w:unhideWhenUsed/>
    <w:qFormat/>
    <w:pPr>
      <w:spacing w:before="120"/>
    </w:pPr>
    <w:rPr>
      <w:rFonts w:eastAsia="Times New Roman"/>
      <w:b/>
      <w:bCs/>
    </w:rPr>
  </w:style>
  <w:style w:type="paragraph" w:styleId="Datum">
    <w:name w:val="Date"/>
    <w:basedOn w:val="Normln"/>
    <w:next w:val="Normln"/>
    <w:link w:val="DatumChar"/>
    <w:uiPriority w:val="99"/>
    <w:semiHidden/>
    <w:unhideWhenUsed/>
  </w:style>
  <w:style w:type="paragraph" w:styleId="Rozloendokumentu">
    <w:name w:val="Document Map"/>
    <w:basedOn w:val="Normln"/>
    <w:link w:val="RozloendokumentuChar"/>
    <w:uiPriority w:val="99"/>
    <w:semiHidden/>
    <w:unhideWhenUsed/>
    <w:pPr>
      <w:spacing w:before="0" w:after="0" w:line="240" w:lineRule="auto"/>
    </w:pPr>
    <w:rPr>
      <w:rFonts w:ascii="Tahoma" w:hAnsi="Tahoma" w:cs="Tahoma"/>
      <w:sz w:val="16"/>
      <w:szCs w:val="16"/>
    </w:rPr>
  </w:style>
  <w:style w:type="paragraph" w:styleId="Podpise-mailu">
    <w:name w:val="E-mail Signature"/>
    <w:basedOn w:val="Normln"/>
    <w:link w:val="Podpise-mailuChar"/>
    <w:uiPriority w:val="99"/>
    <w:semiHidden/>
    <w:unhideWhenUsed/>
    <w:pPr>
      <w:spacing w:before="0" w:after="0" w:line="240" w:lineRule="auto"/>
    </w:pPr>
  </w:style>
  <w:style w:type="paragraph" w:styleId="Textvysvtlivek">
    <w:name w:val="endnote text"/>
    <w:basedOn w:val="Normln"/>
    <w:link w:val="TextvysvtlivekChar"/>
    <w:uiPriority w:val="99"/>
    <w:semiHidden/>
    <w:unhideWhenUsed/>
    <w:qFormat/>
    <w:rPr>
      <w:sz w:val="20"/>
      <w:szCs w:val="20"/>
    </w:rPr>
  </w:style>
  <w:style w:type="paragraph" w:styleId="Adresanaoblku">
    <w:name w:val="envelope address"/>
    <w:basedOn w:val="Normln"/>
    <w:uiPriority w:val="99"/>
    <w:semiHidden/>
    <w:unhideWhenUsed/>
    <w:pPr>
      <w:framePr w:w="7920" w:h="1980" w:hRule="exact" w:hSpace="141" w:wrap="around" w:hAnchor="page" w:xAlign="center" w:yAlign="bottom"/>
      <w:spacing w:before="0" w:after="0" w:line="240" w:lineRule="auto"/>
      <w:ind w:left="2880"/>
    </w:pPr>
    <w:rPr>
      <w:rFonts w:asciiTheme="majorHAnsi" w:eastAsiaTheme="majorEastAsia" w:hAnsiTheme="majorHAnsi" w:cstheme="majorBidi"/>
      <w:szCs w:val="24"/>
    </w:rPr>
  </w:style>
  <w:style w:type="paragraph" w:styleId="Zptenadresanaoblku">
    <w:name w:val="envelope return"/>
    <w:basedOn w:val="Normln"/>
    <w:uiPriority w:val="99"/>
    <w:semiHidden/>
    <w:unhideWhenUsed/>
    <w:pPr>
      <w:spacing w:before="0" w:after="0" w:line="240" w:lineRule="auto"/>
    </w:pPr>
    <w:rPr>
      <w:rFonts w:asciiTheme="majorHAnsi" w:eastAsiaTheme="majorEastAsia" w:hAnsiTheme="majorHAnsi" w:cstheme="majorBidi"/>
      <w:sz w:val="20"/>
      <w:szCs w:val="20"/>
    </w:rPr>
  </w:style>
  <w:style w:type="paragraph" w:styleId="Zpat">
    <w:name w:val="footer"/>
    <w:basedOn w:val="Normln"/>
    <w:link w:val="ZpatChar"/>
    <w:uiPriority w:val="99"/>
    <w:unhideWhenUsed/>
    <w:qFormat/>
    <w:pPr>
      <w:tabs>
        <w:tab w:val="center" w:pos="4536"/>
        <w:tab w:val="right" w:pos="9072"/>
      </w:tabs>
      <w:spacing w:before="0" w:after="0"/>
    </w:pPr>
  </w:style>
  <w:style w:type="paragraph" w:styleId="Textpoznpodarou">
    <w:name w:val="footnote text"/>
    <w:basedOn w:val="Normln"/>
    <w:link w:val="TextpoznpodarouChar"/>
    <w:uiPriority w:val="99"/>
    <w:unhideWhenUsed/>
    <w:qFormat/>
    <w:pPr>
      <w:spacing w:before="0" w:after="0"/>
    </w:pPr>
    <w:rPr>
      <w:rFonts w:eastAsia="Calibri"/>
      <w:sz w:val="20"/>
      <w:szCs w:val="20"/>
    </w:rPr>
  </w:style>
  <w:style w:type="paragraph" w:styleId="Zhlav">
    <w:name w:val="header"/>
    <w:basedOn w:val="Normln"/>
    <w:link w:val="ZhlavChar"/>
    <w:uiPriority w:val="99"/>
    <w:unhideWhenUsed/>
    <w:qFormat/>
    <w:pPr>
      <w:tabs>
        <w:tab w:val="center" w:pos="4536"/>
        <w:tab w:val="right" w:pos="9072"/>
      </w:tabs>
      <w:spacing w:before="0" w:after="0"/>
    </w:pPr>
  </w:style>
  <w:style w:type="paragraph" w:styleId="AdresaHTML">
    <w:name w:val="HTML Address"/>
    <w:basedOn w:val="Normln"/>
    <w:link w:val="AdresaHTMLChar"/>
    <w:uiPriority w:val="99"/>
    <w:semiHidden/>
    <w:unhideWhenUsed/>
    <w:pPr>
      <w:spacing w:before="0" w:after="0" w:line="240" w:lineRule="auto"/>
    </w:pPr>
    <w:rPr>
      <w:i/>
      <w:iCs/>
    </w:rPr>
  </w:style>
  <w:style w:type="paragraph" w:styleId="FormtovanvHTML">
    <w:name w:val="HTML Preformatted"/>
    <w:basedOn w:val="Normln"/>
    <w:link w:val="FormtovanvHTMLChar"/>
    <w:uiPriority w:val="99"/>
    <w:semiHidden/>
    <w:unhideWhenUsed/>
    <w:pPr>
      <w:spacing w:before="0" w:after="0" w:line="240" w:lineRule="auto"/>
    </w:pPr>
    <w:rPr>
      <w:rFonts w:ascii="Consolas" w:hAnsi="Consolas" w:cs="Consolas"/>
      <w:sz w:val="20"/>
      <w:szCs w:val="20"/>
    </w:rPr>
  </w:style>
  <w:style w:type="paragraph" w:styleId="Rejstk1">
    <w:name w:val="index 1"/>
    <w:basedOn w:val="Normln"/>
    <w:next w:val="Normln"/>
    <w:uiPriority w:val="99"/>
    <w:semiHidden/>
    <w:unhideWhenUsed/>
    <w:pPr>
      <w:spacing w:before="0" w:after="0" w:line="240" w:lineRule="auto"/>
      <w:ind w:left="240" w:hanging="240"/>
    </w:pPr>
  </w:style>
  <w:style w:type="paragraph" w:styleId="Rejstk2">
    <w:name w:val="index 2"/>
    <w:basedOn w:val="Normln"/>
    <w:next w:val="Normln"/>
    <w:uiPriority w:val="99"/>
    <w:semiHidden/>
    <w:unhideWhenUsed/>
    <w:pPr>
      <w:spacing w:before="0" w:after="0" w:line="240" w:lineRule="auto"/>
      <w:ind w:left="480" w:hanging="240"/>
    </w:pPr>
  </w:style>
  <w:style w:type="paragraph" w:styleId="Rejstk3">
    <w:name w:val="index 3"/>
    <w:basedOn w:val="Normln"/>
    <w:next w:val="Normln"/>
    <w:uiPriority w:val="99"/>
    <w:semiHidden/>
    <w:unhideWhenUsed/>
    <w:pPr>
      <w:spacing w:before="0" w:after="0" w:line="240" w:lineRule="auto"/>
      <w:ind w:left="720" w:hanging="240"/>
    </w:pPr>
  </w:style>
  <w:style w:type="paragraph" w:styleId="Rejstk4">
    <w:name w:val="index 4"/>
    <w:basedOn w:val="Normln"/>
    <w:next w:val="Normln"/>
    <w:uiPriority w:val="99"/>
    <w:semiHidden/>
    <w:unhideWhenUsed/>
    <w:pPr>
      <w:spacing w:before="0" w:after="0" w:line="240" w:lineRule="auto"/>
      <w:ind w:left="960" w:hanging="240"/>
    </w:pPr>
  </w:style>
  <w:style w:type="paragraph" w:styleId="Rejstk5">
    <w:name w:val="index 5"/>
    <w:basedOn w:val="Normln"/>
    <w:next w:val="Normln"/>
    <w:uiPriority w:val="99"/>
    <w:semiHidden/>
    <w:unhideWhenUsed/>
    <w:pPr>
      <w:spacing w:before="0" w:after="0" w:line="240" w:lineRule="auto"/>
      <w:ind w:left="1200" w:hanging="240"/>
    </w:pPr>
  </w:style>
  <w:style w:type="paragraph" w:styleId="Rejstk6">
    <w:name w:val="index 6"/>
    <w:basedOn w:val="Normln"/>
    <w:next w:val="Normln"/>
    <w:uiPriority w:val="99"/>
    <w:semiHidden/>
    <w:unhideWhenUsed/>
    <w:pPr>
      <w:spacing w:before="0" w:after="0" w:line="240" w:lineRule="auto"/>
      <w:ind w:left="1440" w:hanging="240"/>
    </w:pPr>
  </w:style>
  <w:style w:type="paragraph" w:styleId="Rejstk7">
    <w:name w:val="index 7"/>
    <w:basedOn w:val="Normln"/>
    <w:next w:val="Normln"/>
    <w:uiPriority w:val="99"/>
    <w:semiHidden/>
    <w:unhideWhenUsed/>
    <w:pPr>
      <w:spacing w:before="0" w:after="0" w:line="240" w:lineRule="auto"/>
      <w:ind w:left="1680" w:hanging="240"/>
    </w:pPr>
  </w:style>
  <w:style w:type="paragraph" w:styleId="Rejstk8">
    <w:name w:val="index 8"/>
    <w:basedOn w:val="Normln"/>
    <w:next w:val="Normln"/>
    <w:uiPriority w:val="99"/>
    <w:semiHidden/>
    <w:unhideWhenUsed/>
    <w:pPr>
      <w:spacing w:before="0" w:after="0" w:line="240" w:lineRule="auto"/>
      <w:ind w:left="1920" w:hanging="240"/>
    </w:pPr>
  </w:style>
  <w:style w:type="paragraph" w:styleId="Rejstk9">
    <w:name w:val="index 9"/>
    <w:basedOn w:val="Normln"/>
    <w:next w:val="Normln"/>
    <w:uiPriority w:val="99"/>
    <w:semiHidden/>
    <w:unhideWhenUsed/>
    <w:pPr>
      <w:spacing w:before="0" w:after="0" w:line="240" w:lineRule="auto"/>
      <w:ind w:left="2160" w:hanging="240"/>
    </w:pPr>
  </w:style>
  <w:style w:type="paragraph" w:styleId="Hlavikarejstku">
    <w:name w:val="index heading"/>
    <w:basedOn w:val="Normln"/>
    <w:next w:val="Rejstk1"/>
    <w:uiPriority w:val="99"/>
    <w:semiHidden/>
    <w:unhideWhenUsed/>
    <w:rPr>
      <w:rFonts w:asciiTheme="majorHAnsi" w:eastAsiaTheme="majorEastAsia" w:hAnsiTheme="majorHAnsi" w:cstheme="majorBidi"/>
      <w:b/>
      <w:bCs/>
    </w:rPr>
  </w:style>
  <w:style w:type="paragraph" w:styleId="Seznam">
    <w:name w:val="List"/>
    <w:basedOn w:val="Normln"/>
    <w:uiPriority w:val="99"/>
    <w:semiHidden/>
    <w:unhideWhenUsed/>
    <w:pPr>
      <w:ind w:left="283" w:hanging="283"/>
      <w:contextualSpacing/>
    </w:pPr>
  </w:style>
  <w:style w:type="paragraph" w:styleId="Seznam2">
    <w:name w:val="List 2"/>
    <w:basedOn w:val="Normln"/>
    <w:uiPriority w:val="99"/>
    <w:semiHidden/>
    <w:unhideWhenUsed/>
    <w:pPr>
      <w:ind w:left="566" w:hanging="283"/>
      <w:contextualSpacing/>
    </w:pPr>
  </w:style>
  <w:style w:type="paragraph" w:styleId="Seznam3">
    <w:name w:val="List 3"/>
    <w:basedOn w:val="Normln"/>
    <w:uiPriority w:val="99"/>
    <w:semiHidden/>
    <w:unhideWhenUsed/>
    <w:pPr>
      <w:ind w:left="849" w:hanging="283"/>
      <w:contextualSpacing/>
    </w:pPr>
  </w:style>
  <w:style w:type="paragraph" w:styleId="Seznam4">
    <w:name w:val="List 4"/>
    <w:basedOn w:val="Normln"/>
    <w:uiPriority w:val="99"/>
    <w:semiHidden/>
    <w:unhideWhenUsed/>
    <w:pPr>
      <w:ind w:left="1132" w:hanging="283"/>
      <w:contextualSpacing/>
    </w:pPr>
  </w:style>
  <w:style w:type="paragraph" w:styleId="Seznam5">
    <w:name w:val="List 5"/>
    <w:basedOn w:val="Normln"/>
    <w:uiPriority w:val="99"/>
    <w:semiHidden/>
    <w:unhideWhenUsed/>
    <w:pPr>
      <w:ind w:left="1415" w:hanging="283"/>
      <w:contextualSpacing/>
    </w:pPr>
  </w:style>
  <w:style w:type="paragraph" w:styleId="Seznamsodrkami">
    <w:name w:val="List Bullet"/>
    <w:basedOn w:val="Normln"/>
    <w:uiPriority w:val="99"/>
    <w:semiHidden/>
    <w:unhideWhenUsed/>
    <w:pPr>
      <w:numPr>
        <w:numId w:val="2"/>
      </w:numPr>
      <w:contextualSpacing/>
    </w:pPr>
  </w:style>
  <w:style w:type="paragraph" w:styleId="Seznamsodrkami2">
    <w:name w:val="List Bullet 2"/>
    <w:basedOn w:val="Normln"/>
    <w:uiPriority w:val="99"/>
    <w:semiHidden/>
    <w:unhideWhenUsed/>
    <w:pPr>
      <w:numPr>
        <w:numId w:val="3"/>
      </w:numPr>
      <w:contextualSpacing/>
    </w:pPr>
  </w:style>
  <w:style w:type="paragraph" w:styleId="Seznamsodrkami3">
    <w:name w:val="List Bullet 3"/>
    <w:basedOn w:val="Normln"/>
    <w:uiPriority w:val="99"/>
    <w:semiHidden/>
    <w:unhideWhenUsed/>
    <w:pPr>
      <w:numPr>
        <w:numId w:val="4"/>
      </w:numPr>
      <w:contextualSpacing/>
    </w:pPr>
  </w:style>
  <w:style w:type="paragraph" w:styleId="Seznamsodrkami4">
    <w:name w:val="List Bullet 4"/>
    <w:basedOn w:val="Normln"/>
    <w:uiPriority w:val="99"/>
    <w:semiHidden/>
    <w:unhideWhenUsed/>
    <w:pPr>
      <w:numPr>
        <w:numId w:val="5"/>
      </w:numPr>
      <w:contextualSpacing/>
    </w:pPr>
  </w:style>
  <w:style w:type="paragraph" w:styleId="Seznamsodrkami5">
    <w:name w:val="List Bullet 5"/>
    <w:basedOn w:val="Normln"/>
    <w:uiPriority w:val="99"/>
    <w:semiHidden/>
    <w:unhideWhenUsed/>
    <w:pPr>
      <w:numPr>
        <w:numId w:val="6"/>
      </w:numPr>
      <w:contextualSpacing/>
    </w:pPr>
  </w:style>
  <w:style w:type="paragraph" w:styleId="Pokraovnseznamu">
    <w:name w:val="List Continue"/>
    <w:basedOn w:val="Normln"/>
    <w:uiPriority w:val="99"/>
    <w:semiHidden/>
    <w:unhideWhenUsed/>
    <w:pPr>
      <w:ind w:left="283"/>
      <w:contextualSpacing/>
    </w:pPr>
  </w:style>
  <w:style w:type="paragraph" w:styleId="Pokraovnseznamu2">
    <w:name w:val="List Continue 2"/>
    <w:basedOn w:val="Normln"/>
    <w:uiPriority w:val="99"/>
    <w:semiHidden/>
    <w:unhideWhenUsed/>
    <w:pPr>
      <w:ind w:left="566"/>
      <w:contextualSpacing/>
    </w:pPr>
  </w:style>
  <w:style w:type="paragraph" w:styleId="Pokraovnseznamu3">
    <w:name w:val="List Continue 3"/>
    <w:basedOn w:val="Normln"/>
    <w:uiPriority w:val="99"/>
    <w:semiHidden/>
    <w:unhideWhenUsed/>
    <w:pPr>
      <w:ind w:left="849"/>
      <w:contextualSpacing/>
    </w:pPr>
  </w:style>
  <w:style w:type="paragraph" w:styleId="Pokraovnseznamu4">
    <w:name w:val="List Continue 4"/>
    <w:basedOn w:val="Normln"/>
    <w:uiPriority w:val="99"/>
    <w:semiHidden/>
    <w:unhideWhenUsed/>
    <w:pPr>
      <w:ind w:left="1132"/>
      <w:contextualSpacing/>
    </w:pPr>
  </w:style>
  <w:style w:type="paragraph" w:styleId="Pokraovnseznamu5">
    <w:name w:val="List Continue 5"/>
    <w:basedOn w:val="Normln"/>
    <w:uiPriority w:val="99"/>
    <w:semiHidden/>
    <w:unhideWhenUsed/>
    <w:pPr>
      <w:ind w:left="1415"/>
      <w:contextualSpacing/>
    </w:pPr>
  </w:style>
  <w:style w:type="paragraph" w:styleId="slovanseznam">
    <w:name w:val="List Number"/>
    <w:basedOn w:val="Normln"/>
    <w:uiPriority w:val="99"/>
    <w:semiHidden/>
    <w:unhideWhenUsed/>
    <w:pPr>
      <w:numPr>
        <w:numId w:val="7"/>
      </w:numPr>
      <w:contextualSpacing/>
    </w:pPr>
  </w:style>
  <w:style w:type="paragraph" w:styleId="slovanseznam2">
    <w:name w:val="List Number 2"/>
    <w:basedOn w:val="Normln"/>
    <w:uiPriority w:val="99"/>
    <w:semiHidden/>
    <w:unhideWhenUsed/>
    <w:pPr>
      <w:numPr>
        <w:numId w:val="8"/>
      </w:numPr>
      <w:contextualSpacing/>
    </w:pPr>
  </w:style>
  <w:style w:type="paragraph" w:styleId="slovanseznam3">
    <w:name w:val="List Number 3"/>
    <w:basedOn w:val="Normln"/>
    <w:uiPriority w:val="99"/>
    <w:semiHidden/>
    <w:unhideWhenUsed/>
    <w:pPr>
      <w:numPr>
        <w:numId w:val="9"/>
      </w:numPr>
      <w:contextualSpacing/>
    </w:pPr>
  </w:style>
  <w:style w:type="paragraph" w:styleId="slovanseznam4">
    <w:name w:val="List Number 4"/>
    <w:basedOn w:val="Normln"/>
    <w:uiPriority w:val="99"/>
    <w:semiHidden/>
    <w:unhideWhenUsed/>
    <w:pPr>
      <w:numPr>
        <w:numId w:val="10"/>
      </w:numPr>
      <w:contextualSpacing/>
    </w:pPr>
  </w:style>
  <w:style w:type="paragraph" w:styleId="slovanseznam5">
    <w:name w:val="List Number 5"/>
    <w:basedOn w:val="Normln"/>
    <w:uiPriority w:val="99"/>
    <w:semiHidden/>
    <w:unhideWhenUsed/>
    <w:pPr>
      <w:numPr>
        <w:numId w:val="11"/>
      </w:numPr>
      <w:contextualSpacing/>
    </w:pPr>
  </w:style>
  <w:style w:type="paragraph" w:styleId="Textmakra">
    <w:name w:val="macro"/>
    <w:link w:val="Textmakra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before="120" w:after="0"/>
      <w:jc w:val="both"/>
    </w:pPr>
    <w:rPr>
      <w:rFonts w:ascii="Consolas" w:eastAsia="Times New Roman" w:hAnsi="Consolas" w:cs="Consolas"/>
      <w:lang w:eastAsia="en-US"/>
    </w:rPr>
  </w:style>
  <w:style w:type="paragraph" w:styleId="Zhlavzprvy">
    <w:name w:val="Message Header"/>
    <w:basedOn w:val="Normln"/>
    <w:link w:val="Zhlavzprvy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134" w:hanging="1134"/>
    </w:pPr>
    <w:rPr>
      <w:rFonts w:asciiTheme="majorHAnsi" w:eastAsiaTheme="majorEastAsia" w:hAnsiTheme="majorHAnsi" w:cstheme="majorBidi"/>
      <w:szCs w:val="24"/>
    </w:rPr>
  </w:style>
  <w:style w:type="paragraph" w:styleId="Normlnweb">
    <w:name w:val="Normal (Web)"/>
    <w:basedOn w:val="Normln"/>
    <w:uiPriority w:val="99"/>
    <w:semiHidden/>
    <w:unhideWhenUsed/>
    <w:rPr>
      <w:szCs w:val="24"/>
    </w:rPr>
  </w:style>
  <w:style w:type="paragraph" w:styleId="Normlnodsazen">
    <w:name w:val="Normal Indent"/>
    <w:basedOn w:val="Normln"/>
    <w:uiPriority w:val="99"/>
    <w:semiHidden/>
    <w:unhideWhenUsed/>
    <w:pPr>
      <w:ind w:left="708"/>
    </w:pPr>
  </w:style>
  <w:style w:type="paragraph" w:styleId="Nadpispoznmky">
    <w:name w:val="Note Heading"/>
    <w:basedOn w:val="Normln"/>
    <w:next w:val="Normln"/>
    <w:link w:val="NadpispoznmkyChar"/>
    <w:uiPriority w:val="99"/>
    <w:semiHidden/>
    <w:unhideWhenUsed/>
    <w:pPr>
      <w:spacing w:before="0" w:after="0" w:line="240" w:lineRule="auto"/>
    </w:pPr>
  </w:style>
  <w:style w:type="paragraph" w:styleId="Prosttext">
    <w:name w:val="Plain Text"/>
    <w:basedOn w:val="Normln"/>
    <w:link w:val="ProsttextChar"/>
    <w:uiPriority w:val="99"/>
    <w:semiHidden/>
    <w:unhideWhenUsed/>
    <w:pPr>
      <w:spacing w:before="0" w:after="0" w:line="240" w:lineRule="auto"/>
    </w:pPr>
    <w:rPr>
      <w:rFonts w:ascii="Consolas" w:hAnsi="Consolas" w:cs="Consolas"/>
      <w:sz w:val="21"/>
      <w:szCs w:val="21"/>
    </w:rPr>
  </w:style>
  <w:style w:type="paragraph" w:styleId="Osloven">
    <w:name w:val="Salutation"/>
    <w:basedOn w:val="Normln"/>
    <w:next w:val="Normln"/>
    <w:link w:val="OslovenChar"/>
    <w:uiPriority w:val="99"/>
    <w:semiHidden/>
    <w:unhideWhenUsed/>
  </w:style>
  <w:style w:type="paragraph" w:styleId="Podpis">
    <w:name w:val="Signature"/>
    <w:basedOn w:val="Normln"/>
    <w:link w:val="PodpisChar"/>
    <w:uiPriority w:val="99"/>
    <w:semiHidden/>
    <w:unhideWhenUsed/>
    <w:pPr>
      <w:spacing w:before="0" w:after="0" w:line="240" w:lineRule="auto"/>
      <w:ind w:left="4252"/>
    </w:pPr>
  </w:style>
  <w:style w:type="paragraph" w:styleId="Podnadpis">
    <w:name w:val="Subtitle"/>
    <w:basedOn w:val="Normln"/>
    <w:next w:val="Normln"/>
    <w:link w:val="PodnadpisChar"/>
    <w:uiPriority w:val="11"/>
    <w:rPr>
      <w:rFonts w:asciiTheme="majorHAnsi" w:eastAsiaTheme="majorEastAsia" w:hAnsiTheme="majorHAnsi" w:cstheme="majorBidi"/>
      <w:i/>
      <w:iCs/>
      <w:color w:val="4F81BD" w:themeColor="accent1"/>
      <w:spacing w:val="15"/>
      <w:szCs w:val="24"/>
    </w:rPr>
  </w:style>
  <w:style w:type="paragraph" w:styleId="Seznamcitac">
    <w:name w:val="table of authorities"/>
    <w:basedOn w:val="Normln"/>
    <w:next w:val="Normln"/>
    <w:uiPriority w:val="99"/>
    <w:semiHidden/>
    <w:unhideWhenUsed/>
    <w:pPr>
      <w:spacing w:after="0"/>
      <w:ind w:left="240" w:hanging="240"/>
    </w:pPr>
  </w:style>
  <w:style w:type="paragraph" w:styleId="Seznamobrzk">
    <w:name w:val="table of figures"/>
    <w:basedOn w:val="Normln"/>
    <w:next w:val="Normln"/>
    <w:uiPriority w:val="99"/>
    <w:semiHidden/>
    <w:unhideWhenUsed/>
    <w:pPr>
      <w:spacing w:after="0"/>
    </w:pPr>
  </w:style>
  <w:style w:type="paragraph" w:styleId="Nzev">
    <w:name w:val="Title"/>
    <w:basedOn w:val="Normln"/>
    <w:next w:val="Normln"/>
    <w:link w:val="NzevChar"/>
    <w:uiPriority w:val="2"/>
    <w:qFormat/>
    <w:pPr>
      <w:keepNext/>
      <w:jc w:val="center"/>
    </w:pPr>
    <w:rPr>
      <w:iCs/>
      <w:color w:val="140E96"/>
      <w:sz w:val="36"/>
      <w:szCs w:val="60"/>
    </w:rPr>
  </w:style>
  <w:style w:type="paragraph" w:styleId="Hlavikaobsahu">
    <w:name w:val="toa heading"/>
    <w:basedOn w:val="Normln"/>
    <w:next w:val="Normln"/>
    <w:uiPriority w:val="99"/>
    <w:semiHidden/>
    <w:unhideWhenUsed/>
    <w:rPr>
      <w:rFonts w:asciiTheme="majorHAnsi" w:eastAsiaTheme="majorEastAsia" w:hAnsiTheme="majorHAnsi" w:cstheme="majorBidi"/>
      <w:b/>
      <w:bCs/>
      <w:szCs w:val="24"/>
    </w:rPr>
  </w:style>
  <w:style w:type="paragraph" w:styleId="Obsah1">
    <w:name w:val="toc 1"/>
    <w:basedOn w:val="Normln"/>
    <w:next w:val="Normln"/>
    <w:uiPriority w:val="39"/>
    <w:unhideWhenUsed/>
    <w:qFormat/>
    <w:pPr>
      <w:tabs>
        <w:tab w:val="left" w:pos="480"/>
        <w:tab w:val="right" w:leader="dot" w:pos="9072"/>
      </w:tabs>
      <w:spacing w:after="100"/>
    </w:pPr>
  </w:style>
  <w:style w:type="paragraph" w:styleId="Obsah2">
    <w:name w:val="toc 2"/>
    <w:basedOn w:val="Normln"/>
    <w:next w:val="Normln"/>
    <w:uiPriority w:val="39"/>
    <w:unhideWhenUsed/>
    <w:qFormat/>
    <w:pPr>
      <w:tabs>
        <w:tab w:val="left" w:pos="880"/>
        <w:tab w:val="right" w:leader="dot" w:pos="9062"/>
      </w:tabs>
      <w:spacing w:after="100"/>
      <w:ind w:left="238"/>
      <w:contextualSpacing/>
    </w:pPr>
  </w:style>
  <w:style w:type="paragraph" w:styleId="Obsah3">
    <w:name w:val="toc 3"/>
    <w:basedOn w:val="Normln"/>
    <w:next w:val="Normln"/>
    <w:uiPriority w:val="39"/>
    <w:unhideWhenUsed/>
    <w:qFormat/>
    <w:pPr>
      <w:spacing w:after="100"/>
      <w:ind w:left="482"/>
      <w:contextualSpacing/>
    </w:pPr>
  </w:style>
  <w:style w:type="paragraph" w:styleId="Obsah4">
    <w:name w:val="toc 4"/>
    <w:basedOn w:val="Normln"/>
    <w:next w:val="Normln"/>
    <w:uiPriority w:val="39"/>
    <w:unhideWhenUsed/>
    <w:pPr>
      <w:spacing w:after="100"/>
      <w:ind w:left="720"/>
    </w:pPr>
  </w:style>
  <w:style w:type="paragraph" w:styleId="Obsah5">
    <w:name w:val="toc 5"/>
    <w:basedOn w:val="Normln"/>
    <w:next w:val="Normln"/>
    <w:uiPriority w:val="39"/>
    <w:unhideWhenUsed/>
    <w:pPr>
      <w:spacing w:after="100"/>
      <w:ind w:left="960"/>
    </w:pPr>
  </w:style>
  <w:style w:type="paragraph" w:styleId="Obsah6">
    <w:name w:val="toc 6"/>
    <w:basedOn w:val="Normln"/>
    <w:next w:val="Normln"/>
    <w:uiPriority w:val="39"/>
    <w:unhideWhenUsed/>
    <w:pPr>
      <w:spacing w:after="100"/>
      <w:ind w:left="1200"/>
    </w:pPr>
  </w:style>
  <w:style w:type="paragraph" w:styleId="Obsah7">
    <w:name w:val="toc 7"/>
    <w:basedOn w:val="Normln"/>
    <w:next w:val="Normln"/>
    <w:uiPriority w:val="39"/>
    <w:unhideWhenUsed/>
    <w:pPr>
      <w:spacing w:after="100"/>
      <w:ind w:left="1440"/>
    </w:pPr>
  </w:style>
  <w:style w:type="paragraph" w:styleId="Obsah8">
    <w:name w:val="toc 8"/>
    <w:basedOn w:val="Normln"/>
    <w:next w:val="Normln"/>
    <w:uiPriority w:val="39"/>
    <w:unhideWhenUsed/>
    <w:pPr>
      <w:spacing w:after="100"/>
      <w:ind w:left="1680"/>
    </w:pPr>
  </w:style>
  <w:style w:type="paragraph" w:styleId="Obsah9">
    <w:name w:val="toc 9"/>
    <w:basedOn w:val="Normln"/>
    <w:next w:val="Normln"/>
    <w:uiPriority w:val="39"/>
    <w:unhideWhenUsed/>
    <w:pPr>
      <w:spacing w:after="100"/>
      <w:ind w:left="1920"/>
    </w:pPr>
  </w:style>
  <w:style w:type="character" w:styleId="Odkaznakoment">
    <w:name w:val="annotation reference"/>
    <w:uiPriority w:val="99"/>
    <w:semiHidden/>
    <w:unhideWhenUsed/>
    <w:qFormat/>
    <w:rPr>
      <w:sz w:val="16"/>
      <w:szCs w:val="16"/>
    </w:rPr>
  </w:style>
  <w:style w:type="character" w:styleId="Odkaznavysvtlivky">
    <w:name w:val="endnote reference"/>
    <w:uiPriority w:val="99"/>
    <w:semiHidden/>
    <w:unhideWhenUsed/>
    <w:qFormat/>
    <w:rPr>
      <w:vertAlign w:val="superscript"/>
    </w:rPr>
  </w:style>
  <w:style w:type="character" w:styleId="Sledovanodkaz">
    <w:name w:val="FollowedHyperlink"/>
    <w:basedOn w:val="Standardnpsmoodstavce"/>
    <w:uiPriority w:val="99"/>
    <w:semiHidden/>
    <w:unhideWhenUsed/>
    <w:rPr>
      <w:color w:val="800080"/>
      <w:u w:val="single"/>
    </w:rPr>
  </w:style>
  <w:style w:type="character" w:styleId="Znakapoznpodarou">
    <w:name w:val="footnote reference"/>
    <w:aliases w:val="BVI fnr,Footnote symbol,Footnote Refernece,callout,Footnotes refss,Footnote Reference Superscript,Footnote Reference Number,Footnote Refernece + (Latein) Arial,10 pt,Blau,Fußnotenzeichen_Raxen,Footnote Refe,FR,..."/>
    <w:uiPriority w:val="99"/>
    <w:semiHidden/>
    <w:unhideWhenUsed/>
    <w:qFormat/>
    <w:rPr>
      <w:vertAlign w:val="superscript"/>
    </w:rPr>
  </w:style>
  <w:style w:type="character" w:styleId="Hypertextovodkaz">
    <w:name w:val="Hyperlink"/>
    <w:uiPriority w:val="99"/>
    <w:unhideWhenUsed/>
    <w:qFormat/>
    <w:rPr>
      <w:color w:val="0000FF"/>
      <w:u w:val="single"/>
    </w:rPr>
  </w:style>
  <w:style w:type="table" w:styleId="Mkatabulky">
    <w:name w:val="Table Grid"/>
    <w:basedOn w:val="Normlntabulka"/>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stnovnzvraznn2">
    <w:name w:val="Light Shading Accent 2"/>
    <w:basedOn w:val="Normlntabulka"/>
    <w:uiPriority w:val="60"/>
    <w:qFormat/>
    <w:pPr>
      <w:ind w:firstLine="357"/>
    </w:pPr>
    <w:rPr>
      <w:rFonts w:eastAsia="Times New Roman"/>
      <w:color w:val="94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tlstnovnzvraznn4">
    <w:name w:val="Light Shading Accent 4"/>
    <w:basedOn w:val="Normlntabulka"/>
    <w:uiPriority w:val="60"/>
    <w:qFormat/>
    <w:pPr>
      <w:ind w:firstLine="357"/>
    </w:pPr>
    <w:rPr>
      <w:rFonts w:eastAsia="Times New Roman"/>
      <w:color w:val="5F497A"/>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tednseznam2zvraznn1">
    <w:name w:val="Medium List 2 Accent 1"/>
    <w:basedOn w:val="Normlntabulka"/>
    <w:uiPriority w:val="66"/>
    <w:qFormat/>
    <w:rPr>
      <w:rFonts w:ascii="Cambria" w:eastAsia="Times New Roman" w:hAnsi="Cambria"/>
      <w:color w:val="000000"/>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character" w:customStyle="1" w:styleId="Nadpis1Char">
    <w:name w:val="Nadpis 1 Char"/>
    <w:link w:val="Nadpis1"/>
    <w:uiPriority w:val="9"/>
    <w:qFormat/>
    <w:rPr>
      <w:rFonts w:ascii="Times New Roman" w:eastAsia="Times New Roman" w:hAnsi="Times New Roman" w:cs="Times New Roman"/>
      <w:b/>
      <w:bCs/>
      <w:color w:val="140E96"/>
      <w:sz w:val="28"/>
      <w:szCs w:val="24"/>
    </w:rPr>
  </w:style>
  <w:style w:type="character" w:customStyle="1" w:styleId="Nadpis2Char">
    <w:name w:val="Nadpis 2 Char"/>
    <w:link w:val="Nadpis2"/>
    <w:uiPriority w:val="9"/>
    <w:qFormat/>
    <w:rPr>
      <w:rFonts w:ascii="Times New Roman" w:eastAsia="Times New Roman" w:hAnsi="Times New Roman"/>
      <w:b/>
      <w:color w:val="140E96"/>
      <w:sz w:val="26"/>
      <w:szCs w:val="24"/>
      <w:lang w:eastAsia="en-US"/>
    </w:rPr>
  </w:style>
  <w:style w:type="character" w:customStyle="1" w:styleId="Nadpis3Char">
    <w:name w:val="Nadpis 3 Char"/>
    <w:link w:val="Nadpis3"/>
    <w:uiPriority w:val="9"/>
    <w:qFormat/>
    <w:rPr>
      <w:rFonts w:eastAsia="Times New Roman"/>
      <w:b/>
      <w:color w:val="140E96"/>
      <w:sz w:val="26"/>
      <w:szCs w:val="24"/>
      <w:lang w:eastAsia="en-US"/>
    </w:rPr>
  </w:style>
  <w:style w:type="character" w:customStyle="1" w:styleId="Nadpis4Char">
    <w:name w:val="Nadpis 4 Char"/>
    <w:link w:val="Nadpis4"/>
    <w:uiPriority w:val="9"/>
    <w:qFormat/>
    <w:rPr>
      <w:rFonts w:ascii="Times New Roman" w:eastAsia="Times New Roman" w:hAnsi="Times New Roman" w:cs="Times New Roman"/>
      <w:b/>
      <w:iCs/>
      <w:color w:val="4F81BD"/>
      <w:sz w:val="24"/>
      <w:szCs w:val="24"/>
    </w:rPr>
  </w:style>
  <w:style w:type="character" w:customStyle="1" w:styleId="Nadpis5Char">
    <w:name w:val="Nadpis 5 Char"/>
    <w:link w:val="Nadpis5"/>
    <w:uiPriority w:val="9"/>
    <w:rPr>
      <w:rFonts w:ascii="Times New Roman" w:eastAsia="Times New Roman" w:hAnsi="Times New Roman" w:cs="Times New Roman"/>
      <w:color w:val="140E96"/>
      <w:sz w:val="24"/>
    </w:rPr>
  </w:style>
  <w:style w:type="character" w:customStyle="1" w:styleId="Nadpis6Char">
    <w:name w:val="Nadpis 6 Char"/>
    <w:link w:val="Nadpis6"/>
    <w:uiPriority w:val="9"/>
    <w:rPr>
      <w:rFonts w:ascii="Times New Roman" w:eastAsia="Times New Roman" w:hAnsi="Times New Roman" w:cs="Times New Roman"/>
      <w:iCs/>
      <w:color w:val="140E96"/>
      <w:sz w:val="24"/>
    </w:rPr>
  </w:style>
  <w:style w:type="character" w:customStyle="1" w:styleId="Nadpis7Char">
    <w:name w:val="Nadpis 7 Char"/>
    <w:link w:val="Nadpis7"/>
    <w:uiPriority w:val="9"/>
    <w:rPr>
      <w:rFonts w:ascii="Cambria" w:eastAsia="Times New Roman" w:hAnsi="Cambria" w:cs="Times New Roman"/>
      <w:b/>
      <w:bCs/>
      <w:color w:val="9BBB59"/>
      <w:sz w:val="20"/>
      <w:szCs w:val="20"/>
    </w:rPr>
  </w:style>
  <w:style w:type="character" w:customStyle="1" w:styleId="Nadpis8Char">
    <w:name w:val="Nadpis 8 Char"/>
    <w:link w:val="Nadpis8"/>
    <w:uiPriority w:val="9"/>
    <w:rPr>
      <w:rFonts w:ascii="Cambria" w:eastAsia="Times New Roman" w:hAnsi="Cambria" w:cs="Times New Roman"/>
      <w:b/>
      <w:bCs/>
      <w:i/>
      <w:iCs/>
      <w:color w:val="9BBB59"/>
      <w:sz w:val="20"/>
      <w:szCs w:val="20"/>
    </w:rPr>
  </w:style>
  <w:style w:type="paragraph" w:customStyle="1" w:styleId="Nadpisyvtextu">
    <w:name w:val="Nadpisy v textu"/>
    <w:basedOn w:val="Normln"/>
    <w:next w:val="Normln"/>
    <w:uiPriority w:val="1"/>
    <w:qFormat/>
    <w:pPr>
      <w:keepNext/>
      <w:spacing w:before="240"/>
    </w:pPr>
    <w:rPr>
      <w:u w:val="single"/>
    </w:rPr>
  </w:style>
  <w:style w:type="paragraph" w:customStyle="1" w:styleId="Odrky">
    <w:name w:val="Odrážky"/>
    <w:basedOn w:val="Normln"/>
    <w:next w:val="Normln"/>
    <w:uiPriority w:val="99"/>
    <w:qFormat/>
    <w:pPr>
      <w:numPr>
        <w:numId w:val="12"/>
      </w:numPr>
      <w:spacing w:before="0" w:after="0"/>
    </w:pPr>
    <w:rPr>
      <w:rFonts w:eastAsia="Calibri"/>
    </w:rPr>
  </w:style>
  <w:style w:type="paragraph" w:customStyle="1" w:styleId="st">
    <w:name w:val="Část"/>
    <w:basedOn w:val="Nadpis1"/>
    <w:next w:val="Nadpis1"/>
    <w:link w:val="stChar"/>
    <w:uiPriority w:val="3"/>
    <w:qFormat/>
    <w:rsid w:val="00D21FC4"/>
    <w:pPr>
      <w:pageBreakBefore/>
      <w:numPr>
        <w:ilvl w:val="0"/>
      </w:numPr>
      <w:pBdr>
        <w:bottom w:val="single" w:sz="12" w:space="2" w:color="140E96"/>
      </w:pBdr>
      <w:spacing w:after="480"/>
      <w:jc w:val="center"/>
    </w:pPr>
    <w:rPr>
      <w:caps/>
    </w:rPr>
  </w:style>
  <w:style w:type="character" w:customStyle="1" w:styleId="TextpoznpodarouChar">
    <w:name w:val="Text pozn. pod čarou Char"/>
    <w:link w:val="Textpoznpodarou"/>
    <w:uiPriority w:val="99"/>
    <w:qFormat/>
    <w:rPr>
      <w:rFonts w:ascii="Times New Roman" w:hAnsi="Times New Roman"/>
      <w:sz w:val="20"/>
      <w:szCs w:val="20"/>
    </w:rPr>
  </w:style>
  <w:style w:type="paragraph" w:styleId="Odstavecseseznamem">
    <w:name w:val="List Paragraph"/>
    <w:basedOn w:val="Normln"/>
    <w:link w:val="OdstavecseseznamemChar"/>
    <w:uiPriority w:val="34"/>
    <w:qFormat/>
    <w:pPr>
      <w:spacing w:before="0"/>
      <w:ind w:left="720"/>
      <w:contextualSpacing/>
    </w:pPr>
    <w:rPr>
      <w:rFonts w:eastAsia="Calibri"/>
    </w:rPr>
  </w:style>
  <w:style w:type="character" w:customStyle="1" w:styleId="OdstavecseseznamemChar">
    <w:name w:val="Odstavec se seznamem Char"/>
    <w:link w:val="Odstavecseseznamem"/>
    <w:uiPriority w:val="34"/>
    <w:locked/>
    <w:rPr>
      <w:rFonts w:ascii="Times New Roman" w:hAnsi="Times New Roman"/>
      <w:sz w:val="24"/>
    </w:rPr>
  </w:style>
  <w:style w:type="character" w:customStyle="1" w:styleId="TextkomenteChar">
    <w:name w:val="Text komentáře Char"/>
    <w:link w:val="Textkomente"/>
    <w:uiPriority w:val="99"/>
    <w:semiHidden/>
    <w:rPr>
      <w:rFonts w:ascii="Times New Roman" w:hAnsi="Times New Roman"/>
      <w:sz w:val="20"/>
      <w:szCs w:val="20"/>
    </w:rPr>
  </w:style>
  <w:style w:type="character" w:customStyle="1" w:styleId="TextbublinyChar">
    <w:name w:val="Text bubliny Char"/>
    <w:link w:val="Textbubliny"/>
    <w:uiPriority w:val="99"/>
    <w:semiHidden/>
    <w:rPr>
      <w:rFonts w:ascii="Tahoma" w:eastAsia="Times New Roman" w:hAnsi="Tahoma" w:cs="Tahoma"/>
      <w:sz w:val="16"/>
      <w:szCs w:val="16"/>
    </w:rPr>
  </w:style>
  <w:style w:type="character" w:customStyle="1" w:styleId="PedmtkomenteChar">
    <w:name w:val="Předmět komentáře Char"/>
    <w:link w:val="Pedmtkomente"/>
    <w:uiPriority w:val="99"/>
    <w:semiHidden/>
    <w:rPr>
      <w:rFonts w:ascii="Times New Roman" w:eastAsia="Times New Roman" w:hAnsi="Times New Roman"/>
      <w:b/>
      <w:bCs/>
      <w:sz w:val="20"/>
      <w:szCs w:val="20"/>
    </w:rPr>
  </w:style>
  <w:style w:type="paragraph" w:styleId="Bezmezer">
    <w:name w:val="No Spacing"/>
    <w:link w:val="BezmezerChar"/>
    <w:uiPriority w:val="1"/>
    <w:qFormat/>
    <w:pPr>
      <w:keepNext/>
      <w:jc w:val="both"/>
    </w:pPr>
    <w:rPr>
      <w:rFonts w:eastAsia="Times New Roman"/>
      <w:sz w:val="28"/>
      <w:szCs w:val="28"/>
    </w:rPr>
  </w:style>
  <w:style w:type="character" w:customStyle="1" w:styleId="Styl11bTunVechnavelk">
    <w:name w:val="Styl 11 b. Tučné Všechna velká"/>
    <w:rPr>
      <w:b/>
      <w:bCs/>
      <w:caps/>
      <w:sz w:val="24"/>
    </w:rPr>
  </w:style>
  <w:style w:type="paragraph" w:customStyle="1" w:styleId="Tabulka">
    <w:name w:val="Tabulka"/>
    <w:basedOn w:val="Normln"/>
    <w:uiPriority w:val="1"/>
    <w:qFormat/>
    <w:pPr>
      <w:keepNext/>
      <w:spacing w:before="0" w:after="0"/>
      <w:jc w:val="center"/>
    </w:pPr>
    <w:rPr>
      <w:bCs/>
      <w:color w:val="5F497A"/>
      <w:sz w:val="20"/>
      <w:lang w:eastAsia="cs-CZ"/>
    </w:rPr>
  </w:style>
  <w:style w:type="paragraph" w:customStyle="1" w:styleId="Textpsmene">
    <w:name w:val="Text písmene"/>
    <w:basedOn w:val="Normln"/>
    <w:pPr>
      <w:tabs>
        <w:tab w:val="left" w:pos="425"/>
      </w:tabs>
      <w:spacing w:before="0" w:after="0"/>
      <w:ind w:left="425" w:hanging="425"/>
      <w:outlineLvl w:val="7"/>
    </w:pPr>
    <w:rPr>
      <w:szCs w:val="20"/>
      <w:lang w:eastAsia="cs-CZ"/>
    </w:rPr>
  </w:style>
  <w:style w:type="paragraph" w:customStyle="1" w:styleId="Dvodovzprva">
    <w:name w:val="Důvodová zpráva"/>
    <w:basedOn w:val="Normln"/>
    <w:link w:val="DvodovzprvaChar"/>
    <w:uiPriority w:val="99"/>
    <w:qFormat/>
    <w:pPr>
      <w:spacing w:after="0"/>
    </w:pPr>
    <w:rPr>
      <w:rFonts w:ascii="Arial" w:hAnsi="Arial"/>
      <w:color w:val="0000FF"/>
      <w:sz w:val="18"/>
      <w:szCs w:val="20"/>
      <w:lang w:eastAsia="cs-CZ"/>
    </w:rPr>
  </w:style>
  <w:style w:type="character" w:customStyle="1" w:styleId="DvodovzprvaChar">
    <w:name w:val="Důvodová zpráva Char"/>
    <w:link w:val="Dvodovzprva"/>
    <w:uiPriority w:val="99"/>
    <w:locked/>
    <w:rPr>
      <w:rFonts w:ascii="Arial" w:eastAsia="Times New Roman" w:hAnsi="Arial"/>
      <w:color w:val="0000FF"/>
      <w:sz w:val="18"/>
    </w:rPr>
  </w:style>
  <w:style w:type="paragraph" w:customStyle="1" w:styleId="Nadpisobsahu1">
    <w:name w:val="Nadpis obsahu1"/>
    <w:basedOn w:val="Nadpis1"/>
    <w:next w:val="Normln"/>
    <w:uiPriority w:val="39"/>
    <w:unhideWhenUsed/>
    <w:qFormat/>
    <w:pPr>
      <w:keepLines/>
      <w:numPr>
        <w:ilvl w:val="0"/>
        <w:numId w:val="0"/>
      </w:numPr>
      <w:pBdr>
        <w:bottom w:val="none" w:sz="0" w:space="0" w:color="auto"/>
      </w:pBdr>
      <w:spacing w:before="480" w:after="0"/>
      <w:jc w:val="left"/>
      <w:outlineLvl w:val="9"/>
    </w:pPr>
    <w:rPr>
      <w:rFonts w:ascii="Cambria" w:hAnsi="Cambria"/>
      <w:color w:val="365F91"/>
      <w:szCs w:val="28"/>
      <w:lang w:eastAsia="cs-CZ"/>
    </w:rPr>
  </w:style>
  <w:style w:type="character" w:customStyle="1" w:styleId="stChar">
    <w:name w:val="Část Char"/>
    <w:link w:val="st"/>
    <w:uiPriority w:val="3"/>
    <w:rsid w:val="00D21FC4"/>
    <w:rPr>
      <w:rFonts w:eastAsia="Times New Roman"/>
      <w:b/>
      <w:bCs/>
      <w:caps/>
      <w:color w:val="140E96"/>
      <w:sz w:val="28"/>
      <w:szCs w:val="24"/>
      <w:lang w:eastAsia="en-US"/>
    </w:rPr>
  </w:style>
  <w:style w:type="paragraph" w:customStyle="1" w:styleId="Popisky">
    <w:name w:val="Popisky"/>
    <w:link w:val="PopiskyChar"/>
    <w:rPr>
      <w:rFonts w:ascii="Arial" w:eastAsia="Times New Roman" w:hAnsi="Arial"/>
    </w:rPr>
  </w:style>
  <w:style w:type="character" w:customStyle="1" w:styleId="PopiskyChar">
    <w:name w:val="Popisky Char"/>
    <w:link w:val="Popisky"/>
    <w:rPr>
      <w:rFonts w:ascii="Arial" w:eastAsia="Times New Roman" w:hAnsi="Arial" w:cs="Times New Roman"/>
      <w:sz w:val="20"/>
      <w:szCs w:val="20"/>
      <w:lang w:eastAsia="cs-CZ"/>
    </w:rPr>
  </w:style>
  <w:style w:type="paragraph" w:customStyle="1" w:styleId="Revize1">
    <w:name w:val="Revize1"/>
    <w:hidden/>
    <w:uiPriority w:val="99"/>
    <w:semiHidden/>
    <w:rPr>
      <w:rFonts w:eastAsia="Times New Roman"/>
      <w:sz w:val="24"/>
      <w:szCs w:val="22"/>
      <w:lang w:eastAsia="en-US"/>
    </w:rPr>
  </w:style>
  <w:style w:type="character" w:customStyle="1" w:styleId="ZhlavChar">
    <w:name w:val="Záhlaví Char"/>
    <w:link w:val="Zhlav"/>
    <w:uiPriority w:val="99"/>
    <w:rPr>
      <w:rFonts w:ascii="Times New Roman" w:eastAsia="Times New Roman" w:hAnsi="Times New Roman"/>
      <w:sz w:val="24"/>
    </w:rPr>
  </w:style>
  <w:style w:type="character" w:customStyle="1" w:styleId="ZpatChar">
    <w:name w:val="Zápatí Char"/>
    <w:link w:val="Zpat"/>
    <w:uiPriority w:val="99"/>
    <w:rPr>
      <w:rFonts w:ascii="Times New Roman" w:eastAsia="Times New Roman" w:hAnsi="Times New Roman"/>
      <w:sz w:val="24"/>
    </w:rPr>
  </w:style>
  <w:style w:type="character" w:customStyle="1" w:styleId="NzevChar">
    <w:name w:val="Název Char"/>
    <w:link w:val="Nzev"/>
    <w:uiPriority w:val="2"/>
    <w:rPr>
      <w:rFonts w:ascii="Times New Roman" w:eastAsia="Times New Roman" w:hAnsi="Times New Roman" w:cs="Times New Roman"/>
      <w:iCs/>
      <w:color w:val="140E96"/>
      <w:sz w:val="36"/>
      <w:szCs w:val="60"/>
    </w:rPr>
  </w:style>
  <w:style w:type="character" w:customStyle="1" w:styleId="BezmezerChar">
    <w:name w:val="Bez mezer Char"/>
    <w:link w:val="Bezmezer"/>
    <w:uiPriority w:val="1"/>
    <w:qFormat/>
    <w:rPr>
      <w:rFonts w:ascii="Times New Roman" w:eastAsia="Times New Roman" w:hAnsi="Times New Roman"/>
      <w:sz w:val="28"/>
      <w:szCs w:val="28"/>
    </w:rPr>
  </w:style>
  <w:style w:type="character" w:customStyle="1" w:styleId="TextvysvtlivekChar">
    <w:name w:val="Text vysvětlivek Char"/>
    <w:link w:val="Textvysvtlivek"/>
    <w:uiPriority w:val="99"/>
    <w:semiHidden/>
    <w:rPr>
      <w:rFonts w:ascii="Times New Roman" w:eastAsia="Times New Roman" w:hAnsi="Times New Roman"/>
      <w:lang w:eastAsia="en-US"/>
    </w:rPr>
  </w:style>
  <w:style w:type="paragraph" w:customStyle="1" w:styleId="odsazentext1">
    <w:name w:val="odsazený text 1"/>
    <w:basedOn w:val="Normln"/>
    <w:qFormat/>
    <w:pPr>
      <w:ind w:left="360"/>
    </w:pPr>
    <w:rPr>
      <w:szCs w:val="24"/>
    </w:rPr>
  </w:style>
  <w:style w:type="character" w:customStyle="1" w:styleId="AdresaHTMLChar">
    <w:name w:val="Adresa HTML Char"/>
    <w:basedOn w:val="Standardnpsmoodstavce"/>
    <w:link w:val="AdresaHTML"/>
    <w:uiPriority w:val="99"/>
    <w:semiHidden/>
    <w:rPr>
      <w:rFonts w:eastAsia="Times New Roman"/>
      <w:i/>
      <w:iCs/>
      <w:sz w:val="24"/>
      <w:szCs w:val="22"/>
      <w:lang w:eastAsia="en-US"/>
    </w:rPr>
  </w:style>
  <w:style w:type="paragraph" w:customStyle="1" w:styleId="Bibliografie1">
    <w:name w:val="Bibliografie1"/>
    <w:basedOn w:val="Normln"/>
    <w:next w:val="Normln"/>
    <w:uiPriority w:val="37"/>
    <w:semiHidden/>
    <w:unhideWhenUsed/>
  </w:style>
  <w:style w:type="paragraph" w:styleId="Citt">
    <w:name w:val="Quote"/>
    <w:basedOn w:val="Normln"/>
    <w:next w:val="Normln"/>
    <w:link w:val="CittChar"/>
    <w:uiPriority w:val="99"/>
    <w:semiHidden/>
    <w:unhideWhenUsed/>
    <w:rPr>
      <w:i/>
      <w:iCs/>
      <w:color w:val="000000" w:themeColor="text1"/>
    </w:rPr>
  </w:style>
  <w:style w:type="character" w:customStyle="1" w:styleId="CittChar">
    <w:name w:val="Citát Char"/>
    <w:basedOn w:val="Standardnpsmoodstavce"/>
    <w:link w:val="Citt"/>
    <w:uiPriority w:val="99"/>
    <w:semiHidden/>
    <w:rPr>
      <w:rFonts w:eastAsia="Times New Roman"/>
      <w:i/>
      <w:iCs/>
      <w:color w:val="000000" w:themeColor="text1"/>
      <w:sz w:val="24"/>
      <w:szCs w:val="22"/>
      <w:lang w:eastAsia="en-US"/>
    </w:rPr>
  </w:style>
  <w:style w:type="character" w:customStyle="1" w:styleId="DatumChar">
    <w:name w:val="Datum Char"/>
    <w:basedOn w:val="Standardnpsmoodstavce"/>
    <w:link w:val="Datum"/>
    <w:uiPriority w:val="99"/>
    <w:semiHidden/>
    <w:rPr>
      <w:rFonts w:eastAsia="Times New Roman"/>
      <w:sz w:val="24"/>
      <w:szCs w:val="22"/>
      <w:lang w:eastAsia="en-US"/>
    </w:rPr>
  </w:style>
  <w:style w:type="character" w:customStyle="1" w:styleId="FormtovanvHTMLChar">
    <w:name w:val="Formátovaný v HTML Char"/>
    <w:basedOn w:val="Standardnpsmoodstavce"/>
    <w:link w:val="FormtovanvHTML"/>
    <w:uiPriority w:val="99"/>
    <w:semiHidden/>
    <w:rPr>
      <w:rFonts w:ascii="Consolas" w:eastAsia="Times New Roman" w:hAnsi="Consolas" w:cs="Consolas"/>
      <w:lang w:eastAsia="en-US"/>
    </w:rPr>
  </w:style>
  <w:style w:type="character" w:customStyle="1" w:styleId="Nadpis9Char">
    <w:name w:val="Nadpis 9 Char"/>
    <w:basedOn w:val="Standardnpsmoodstavce"/>
    <w:link w:val="Nadpis9"/>
    <w:uiPriority w:val="9"/>
    <w:semiHidden/>
    <w:rPr>
      <w:rFonts w:asciiTheme="majorHAnsi" w:eastAsiaTheme="majorEastAsia" w:hAnsiTheme="majorHAnsi" w:cstheme="majorBidi"/>
      <w:i/>
      <w:iCs/>
      <w:color w:val="404040" w:themeColor="text1" w:themeTint="BF"/>
      <w:lang w:eastAsia="en-US"/>
    </w:rPr>
  </w:style>
  <w:style w:type="paragraph" w:customStyle="1" w:styleId="Nadpisobsahu2">
    <w:name w:val="Nadpis obsahu2"/>
    <w:basedOn w:val="Nadpis1"/>
    <w:next w:val="Normln"/>
    <w:uiPriority w:val="39"/>
    <w:semiHidden/>
    <w:unhideWhenUsed/>
    <w:qFormat/>
    <w:pPr>
      <w:keepLines/>
      <w:numPr>
        <w:ilvl w:val="0"/>
        <w:numId w:val="0"/>
      </w:numPr>
      <w:pBdr>
        <w:bottom w:val="none" w:sz="0" w:space="0" w:color="auto"/>
      </w:pBdr>
      <w:spacing w:before="480" w:after="0"/>
      <w:outlineLvl w:val="9"/>
    </w:pPr>
    <w:rPr>
      <w:rFonts w:asciiTheme="majorHAnsi" w:eastAsiaTheme="majorEastAsia" w:hAnsiTheme="majorHAnsi" w:cstheme="majorBidi"/>
      <w:color w:val="365F91" w:themeColor="accent1" w:themeShade="BF"/>
      <w:szCs w:val="28"/>
    </w:rPr>
  </w:style>
  <w:style w:type="character" w:customStyle="1" w:styleId="NadpispoznmkyChar">
    <w:name w:val="Nadpis poznámky Char"/>
    <w:basedOn w:val="Standardnpsmoodstavce"/>
    <w:link w:val="Nadpispoznmky"/>
    <w:uiPriority w:val="99"/>
    <w:semiHidden/>
    <w:rPr>
      <w:rFonts w:eastAsia="Times New Roman"/>
      <w:sz w:val="24"/>
      <w:szCs w:val="22"/>
      <w:lang w:eastAsia="en-US"/>
    </w:rPr>
  </w:style>
  <w:style w:type="character" w:customStyle="1" w:styleId="OslovenChar">
    <w:name w:val="Oslovení Char"/>
    <w:basedOn w:val="Standardnpsmoodstavce"/>
    <w:link w:val="Osloven"/>
    <w:uiPriority w:val="99"/>
    <w:semiHidden/>
    <w:rPr>
      <w:rFonts w:eastAsia="Times New Roman"/>
      <w:sz w:val="24"/>
      <w:szCs w:val="22"/>
      <w:lang w:eastAsia="en-US"/>
    </w:rPr>
  </w:style>
  <w:style w:type="character" w:customStyle="1" w:styleId="PodpisChar">
    <w:name w:val="Podpis Char"/>
    <w:basedOn w:val="Standardnpsmoodstavce"/>
    <w:link w:val="Podpis"/>
    <w:uiPriority w:val="99"/>
    <w:semiHidden/>
    <w:rPr>
      <w:rFonts w:eastAsia="Times New Roman"/>
      <w:sz w:val="24"/>
      <w:szCs w:val="22"/>
      <w:lang w:eastAsia="en-US"/>
    </w:rPr>
  </w:style>
  <w:style w:type="character" w:customStyle="1" w:styleId="Podpise-mailuChar">
    <w:name w:val="Podpis e-mailu Char"/>
    <w:basedOn w:val="Standardnpsmoodstavce"/>
    <w:link w:val="Podpise-mailu"/>
    <w:uiPriority w:val="99"/>
    <w:semiHidden/>
    <w:rPr>
      <w:rFonts w:eastAsia="Times New Roman"/>
      <w:sz w:val="24"/>
      <w:szCs w:val="22"/>
      <w:lang w:eastAsia="en-US"/>
    </w:rPr>
  </w:style>
  <w:style w:type="character" w:customStyle="1" w:styleId="PodnadpisChar">
    <w:name w:val="Podnadpis Char"/>
    <w:basedOn w:val="Standardnpsmoodstavce"/>
    <w:link w:val="Podnadpis"/>
    <w:uiPriority w:val="11"/>
    <w:rPr>
      <w:rFonts w:asciiTheme="majorHAnsi" w:eastAsiaTheme="majorEastAsia" w:hAnsiTheme="majorHAnsi" w:cstheme="majorBidi"/>
      <w:i/>
      <w:iCs/>
      <w:color w:val="4F81BD" w:themeColor="accent1"/>
      <w:spacing w:val="15"/>
      <w:sz w:val="24"/>
      <w:szCs w:val="24"/>
      <w:lang w:eastAsia="en-US"/>
    </w:rPr>
  </w:style>
  <w:style w:type="character" w:customStyle="1" w:styleId="ProsttextChar">
    <w:name w:val="Prostý text Char"/>
    <w:basedOn w:val="Standardnpsmoodstavce"/>
    <w:link w:val="Prosttext"/>
    <w:uiPriority w:val="99"/>
    <w:semiHidden/>
    <w:rPr>
      <w:rFonts w:ascii="Consolas" w:eastAsia="Times New Roman" w:hAnsi="Consolas" w:cs="Consolas"/>
      <w:sz w:val="21"/>
      <w:szCs w:val="21"/>
      <w:lang w:eastAsia="en-US"/>
    </w:rPr>
  </w:style>
  <w:style w:type="character" w:customStyle="1" w:styleId="RozloendokumentuChar">
    <w:name w:val="Rozložení dokumentu Char"/>
    <w:basedOn w:val="Standardnpsmoodstavce"/>
    <w:link w:val="Rozloendokumentu"/>
    <w:uiPriority w:val="99"/>
    <w:semiHidden/>
    <w:rPr>
      <w:rFonts w:ascii="Tahoma" w:eastAsia="Times New Roman" w:hAnsi="Tahoma" w:cs="Tahoma"/>
      <w:sz w:val="16"/>
      <w:szCs w:val="16"/>
      <w:lang w:eastAsia="en-US"/>
    </w:rPr>
  </w:style>
  <w:style w:type="character" w:customStyle="1" w:styleId="TextmakraChar">
    <w:name w:val="Text makra Char"/>
    <w:basedOn w:val="Standardnpsmoodstavce"/>
    <w:link w:val="Textmakra"/>
    <w:uiPriority w:val="99"/>
    <w:semiHidden/>
    <w:rPr>
      <w:rFonts w:ascii="Consolas" w:eastAsia="Times New Roman" w:hAnsi="Consolas" w:cs="Consolas"/>
      <w:lang w:eastAsia="en-US"/>
    </w:rPr>
  </w:style>
  <w:style w:type="paragraph" w:styleId="Vrazncitt">
    <w:name w:val="Intense Quote"/>
    <w:basedOn w:val="Normln"/>
    <w:next w:val="Normln"/>
    <w:link w:val="VrazncittChar"/>
    <w:uiPriority w:val="99"/>
    <w:semiHidden/>
    <w:unhideWhenUsed/>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99"/>
    <w:semiHidden/>
    <w:rPr>
      <w:rFonts w:eastAsia="Times New Roman"/>
      <w:b/>
      <w:bCs/>
      <w:i/>
      <w:iCs/>
      <w:color w:val="4F81BD" w:themeColor="accent1"/>
      <w:sz w:val="24"/>
      <w:szCs w:val="22"/>
      <w:lang w:eastAsia="en-US"/>
    </w:rPr>
  </w:style>
  <w:style w:type="character" w:customStyle="1" w:styleId="ZhlavzprvyChar">
    <w:name w:val="Záhlaví zprávy Char"/>
    <w:basedOn w:val="Standardnpsmoodstavce"/>
    <w:link w:val="Zhlavzprvy"/>
    <w:uiPriority w:val="99"/>
    <w:semiHidden/>
    <w:rPr>
      <w:rFonts w:asciiTheme="majorHAnsi" w:eastAsiaTheme="majorEastAsia" w:hAnsiTheme="majorHAnsi" w:cstheme="majorBidi"/>
      <w:sz w:val="24"/>
      <w:szCs w:val="24"/>
      <w:shd w:val="pct20" w:color="auto" w:fill="auto"/>
      <w:lang w:eastAsia="en-US"/>
    </w:rPr>
  </w:style>
  <w:style w:type="character" w:customStyle="1" w:styleId="ZkladntextChar">
    <w:name w:val="Základní text Char"/>
    <w:basedOn w:val="Standardnpsmoodstavce"/>
    <w:link w:val="Zkladntext"/>
    <w:uiPriority w:val="99"/>
    <w:semiHidden/>
    <w:rPr>
      <w:rFonts w:eastAsia="Times New Roman"/>
      <w:sz w:val="24"/>
      <w:szCs w:val="22"/>
      <w:lang w:eastAsia="en-US"/>
    </w:rPr>
  </w:style>
  <w:style w:type="character" w:customStyle="1" w:styleId="Zkladntext-prvnodsazenChar">
    <w:name w:val="Základní text - první odsazený Char"/>
    <w:basedOn w:val="ZkladntextChar"/>
    <w:link w:val="Zkladntext-prvnodsazen"/>
    <w:uiPriority w:val="99"/>
    <w:semiHidden/>
    <w:rPr>
      <w:rFonts w:eastAsia="Times New Roman"/>
      <w:sz w:val="24"/>
      <w:szCs w:val="22"/>
      <w:lang w:eastAsia="en-US"/>
    </w:rPr>
  </w:style>
  <w:style w:type="character" w:customStyle="1" w:styleId="ZkladntextodsazenChar">
    <w:name w:val="Základní text odsazený Char"/>
    <w:basedOn w:val="Standardnpsmoodstavce"/>
    <w:link w:val="Zkladntextodsazen"/>
    <w:uiPriority w:val="99"/>
    <w:semiHidden/>
    <w:rPr>
      <w:rFonts w:eastAsia="Times New Roman"/>
      <w:sz w:val="24"/>
      <w:szCs w:val="22"/>
      <w:lang w:eastAsia="en-US"/>
    </w:rPr>
  </w:style>
  <w:style w:type="character" w:customStyle="1" w:styleId="Zkladntext-prvnodsazen2Char">
    <w:name w:val="Základní text - první odsazený 2 Char"/>
    <w:basedOn w:val="ZkladntextodsazenChar"/>
    <w:link w:val="Zkladntext-prvnodsazen2"/>
    <w:uiPriority w:val="99"/>
    <w:semiHidden/>
    <w:rPr>
      <w:rFonts w:eastAsia="Times New Roman"/>
      <w:sz w:val="24"/>
      <w:szCs w:val="22"/>
      <w:lang w:eastAsia="en-US"/>
    </w:rPr>
  </w:style>
  <w:style w:type="character" w:customStyle="1" w:styleId="Zkladntext2Char">
    <w:name w:val="Základní text 2 Char"/>
    <w:basedOn w:val="Standardnpsmoodstavce"/>
    <w:link w:val="Zkladntext2"/>
    <w:uiPriority w:val="99"/>
    <w:semiHidden/>
    <w:rPr>
      <w:rFonts w:eastAsia="Times New Roman"/>
      <w:sz w:val="24"/>
      <w:szCs w:val="22"/>
      <w:lang w:eastAsia="en-US"/>
    </w:rPr>
  </w:style>
  <w:style w:type="character" w:customStyle="1" w:styleId="Zkladntext3Char">
    <w:name w:val="Základní text 3 Char"/>
    <w:basedOn w:val="Standardnpsmoodstavce"/>
    <w:link w:val="Zkladntext3"/>
    <w:uiPriority w:val="99"/>
    <w:semiHidden/>
    <w:rPr>
      <w:rFonts w:eastAsia="Times New Roman"/>
      <w:sz w:val="16"/>
      <w:szCs w:val="16"/>
      <w:lang w:eastAsia="en-US"/>
    </w:rPr>
  </w:style>
  <w:style w:type="character" w:customStyle="1" w:styleId="Zkladntextodsazen2Char">
    <w:name w:val="Základní text odsazený 2 Char"/>
    <w:basedOn w:val="Standardnpsmoodstavce"/>
    <w:link w:val="Zkladntextodsazen2"/>
    <w:uiPriority w:val="99"/>
    <w:semiHidden/>
    <w:rPr>
      <w:rFonts w:eastAsia="Times New Roman"/>
      <w:sz w:val="24"/>
      <w:szCs w:val="22"/>
      <w:lang w:eastAsia="en-US"/>
    </w:rPr>
  </w:style>
  <w:style w:type="character" w:customStyle="1" w:styleId="Zkladntextodsazen3Char">
    <w:name w:val="Základní text odsazený 3 Char"/>
    <w:basedOn w:val="Standardnpsmoodstavce"/>
    <w:link w:val="Zkladntextodsazen3"/>
    <w:uiPriority w:val="99"/>
    <w:semiHidden/>
    <w:rPr>
      <w:rFonts w:eastAsia="Times New Roman"/>
      <w:sz w:val="16"/>
      <w:szCs w:val="16"/>
      <w:lang w:eastAsia="en-US"/>
    </w:rPr>
  </w:style>
  <w:style w:type="character" w:customStyle="1" w:styleId="ZvrChar">
    <w:name w:val="Závěr Char"/>
    <w:basedOn w:val="Standardnpsmoodstavce"/>
    <w:link w:val="Zvr"/>
    <w:uiPriority w:val="99"/>
    <w:semiHidden/>
    <w:rPr>
      <w:rFonts w:eastAsia="Times New Roman"/>
      <w:sz w:val="24"/>
      <w:szCs w:val="22"/>
      <w:lang w:eastAsia="en-US"/>
    </w:rPr>
  </w:style>
  <w:style w:type="character" w:customStyle="1" w:styleId="Znakypropoznmkupodarou">
    <w:name w:val="Znaky pro poznámku pod čarou"/>
    <w:qFormat/>
    <w:rsid w:val="00993D4A"/>
    <w:rPr>
      <w:rFonts w:asciiTheme="minorHAnsi" w:hAnsiTheme="minorHAnsi"/>
      <w:sz w:val="20"/>
    </w:rPr>
  </w:style>
  <w:style w:type="paragraph" w:styleId="Nadpisobsahu">
    <w:name w:val="TOC Heading"/>
    <w:basedOn w:val="Nadpis1"/>
    <w:next w:val="Normln"/>
    <w:uiPriority w:val="39"/>
    <w:unhideWhenUsed/>
    <w:qFormat/>
    <w:rsid w:val="00E46637"/>
    <w:pPr>
      <w:keepLines/>
      <w:numPr>
        <w:ilvl w:val="0"/>
        <w:numId w:val="0"/>
      </w:numPr>
      <w:pBdr>
        <w:bottom w:val="none" w:sz="0" w:space="0" w:color="auto"/>
      </w:pBdr>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cs-CZ"/>
    </w:rPr>
  </w:style>
  <w:style w:type="paragraph" w:customStyle="1" w:styleId="Default">
    <w:name w:val="Default"/>
    <w:rsid w:val="0096649E"/>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25451">
      <w:bodyDiv w:val="1"/>
      <w:marLeft w:val="0"/>
      <w:marRight w:val="0"/>
      <w:marTop w:val="0"/>
      <w:marBottom w:val="0"/>
      <w:divBdr>
        <w:top w:val="none" w:sz="0" w:space="0" w:color="auto"/>
        <w:left w:val="none" w:sz="0" w:space="0" w:color="auto"/>
        <w:bottom w:val="none" w:sz="0" w:space="0" w:color="auto"/>
        <w:right w:val="none" w:sz="0" w:space="0" w:color="auto"/>
      </w:divBdr>
    </w:div>
    <w:div w:id="314992544">
      <w:bodyDiv w:val="1"/>
      <w:marLeft w:val="0"/>
      <w:marRight w:val="0"/>
      <w:marTop w:val="0"/>
      <w:marBottom w:val="0"/>
      <w:divBdr>
        <w:top w:val="none" w:sz="0" w:space="0" w:color="auto"/>
        <w:left w:val="none" w:sz="0" w:space="0" w:color="auto"/>
        <w:bottom w:val="none" w:sz="0" w:space="0" w:color="auto"/>
        <w:right w:val="none" w:sz="0" w:space="0" w:color="auto"/>
      </w:divBdr>
    </w:div>
    <w:div w:id="398290268">
      <w:bodyDiv w:val="1"/>
      <w:marLeft w:val="0"/>
      <w:marRight w:val="0"/>
      <w:marTop w:val="0"/>
      <w:marBottom w:val="0"/>
      <w:divBdr>
        <w:top w:val="none" w:sz="0" w:space="0" w:color="auto"/>
        <w:left w:val="none" w:sz="0" w:space="0" w:color="auto"/>
        <w:bottom w:val="none" w:sz="0" w:space="0" w:color="auto"/>
        <w:right w:val="none" w:sz="0" w:space="0" w:color="auto"/>
      </w:divBdr>
    </w:div>
    <w:div w:id="962082676">
      <w:bodyDiv w:val="1"/>
      <w:marLeft w:val="0"/>
      <w:marRight w:val="0"/>
      <w:marTop w:val="0"/>
      <w:marBottom w:val="0"/>
      <w:divBdr>
        <w:top w:val="none" w:sz="0" w:space="0" w:color="auto"/>
        <w:left w:val="none" w:sz="0" w:space="0" w:color="auto"/>
        <w:bottom w:val="none" w:sz="0" w:space="0" w:color="auto"/>
        <w:right w:val="none" w:sz="0" w:space="0" w:color="auto"/>
      </w:divBdr>
    </w:div>
    <w:div w:id="1181434702">
      <w:bodyDiv w:val="1"/>
      <w:marLeft w:val="0"/>
      <w:marRight w:val="0"/>
      <w:marTop w:val="0"/>
      <w:marBottom w:val="0"/>
      <w:divBdr>
        <w:top w:val="none" w:sz="0" w:space="0" w:color="auto"/>
        <w:left w:val="none" w:sz="0" w:space="0" w:color="auto"/>
        <w:bottom w:val="none" w:sz="0" w:space="0" w:color="auto"/>
        <w:right w:val="none" w:sz="0" w:space="0" w:color="auto"/>
      </w:divBdr>
    </w:div>
    <w:div w:id="1544094058">
      <w:bodyDiv w:val="1"/>
      <w:marLeft w:val="0"/>
      <w:marRight w:val="0"/>
      <w:marTop w:val="0"/>
      <w:marBottom w:val="0"/>
      <w:divBdr>
        <w:top w:val="none" w:sz="0" w:space="0" w:color="auto"/>
        <w:left w:val="none" w:sz="0" w:space="0" w:color="auto"/>
        <w:bottom w:val="none" w:sz="0" w:space="0" w:color="auto"/>
        <w:right w:val="none" w:sz="0" w:space="0" w:color="auto"/>
      </w:divBdr>
    </w:div>
    <w:div w:id="1856772928">
      <w:bodyDiv w:val="1"/>
      <w:marLeft w:val="0"/>
      <w:marRight w:val="0"/>
      <w:marTop w:val="0"/>
      <w:marBottom w:val="0"/>
      <w:divBdr>
        <w:top w:val="none" w:sz="0" w:space="0" w:color="auto"/>
        <w:left w:val="none" w:sz="0" w:space="0" w:color="auto"/>
        <w:bottom w:val="none" w:sz="0" w:space="0" w:color="auto"/>
        <w:right w:val="none" w:sz="0" w:space="0" w:color="auto"/>
      </w:divBdr>
    </w:div>
    <w:div w:id="2078168728">
      <w:bodyDiv w:val="1"/>
      <w:marLeft w:val="0"/>
      <w:marRight w:val="0"/>
      <w:marTop w:val="0"/>
      <w:marBottom w:val="0"/>
      <w:divBdr>
        <w:top w:val="none" w:sz="0" w:space="0" w:color="auto"/>
        <w:left w:val="none" w:sz="0" w:space="0" w:color="auto"/>
        <w:bottom w:val="none" w:sz="0" w:space="0" w:color="auto"/>
        <w:right w:val="none" w:sz="0" w:space="0" w:color="auto"/>
      </w:divBdr>
      <w:divsChild>
        <w:div w:id="1306859574">
          <w:marLeft w:val="0"/>
          <w:marRight w:val="0"/>
          <w:marTop w:val="0"/>
          <w:marBottom w:val="0"/>
          <w:divBdr>
            <w:top w:val="none" w:sz="0" w:space="0" w:color="auto"/>
            <w:left w:val="none" w:sz="0" w:space="0" w:color="auto"/>
            <w:bottom w:val="none" w:sz="0" w:space="0" w:color="auto"/>
            <w:right w:val="none" w:sz="0" w:space="0" w:color="auto"/>
          </w:divBdr>
        </w:div>
        <w:div w:id="1313800592">
          <w:marLeft w:val="0"/>
          <w:marRight w:val="0"/>
          <w:marTop w:val="0"/>
          <w:marBottom w:val="0"/>
          <w:divBdr>
            <w:top w:val="none" w:sz="0" w:space="0" w:color="auto"/>
            <w:left w:val="none" w:sz="0" w:space="0" w:color="auto"/>
            <w:bottom w:val="none" w:sz="0" w:space="0" w:color="auto"/>
            <w:right w:val="none" w:sz="0" w:space="0" w:color="auto"/>
          </w:divBdr>
        </w:div>
        <w:div w:id="2119640929">
          <w:marLeft w:val="0"/>
          <w:marRight w:val="0"/>
          <w:marTop w:val="0"/>
          <w:marBottom w:val="0"/>
          <w:divBdr>
            <w:top w:val="none" w:sz="0" w:space="0" w:color="auto"/>
            <w:left w:val="none" w:sz="0" w:space="0" w:color="auto"/>
            <w:bottom w:val="none" w:sz="0" w:space="0" w:color="auto"/>
            <w:right w:val="none" w:sz="0" w:space="0" w:color="auto"/>
          </w:divBdr>
        </w:div>
      </w:divsChild>
    </w:div>
    <w:div w:id="2105688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fatf-gafi.org/en/publications/High-risk-and-other-monitored-jurisdictions/Increased-monitoring-june-2023.html" TargetMode="External"/><Relationship Id="rId18" Type="http://schemas.openxmlformats.org/officeDocument/2006/relationships/hyperlink" Target="https://www.un.org/securitycouncil/sanctions/1267/aq_sanctions_lis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fatf-gafi.org/en/publications/Fatfrecommendations/Fatf-recommendations.html" TargetMode="External"/><Relationship Id="rId17" Type="http://schemas.openxmlformats.org/officeDocument/2006/relationships/hyperlink" Target="https://www.celnisprava.cz/cz/statistiky/cash_controls/Stranky/default.aspx"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celnisprava.cz/cz/statistiky/cash_controls/Stranky/default.asp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celnisprava.cz/cz/statistiky/vozidla/Stranky/default.aspx"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un.org/securitycouncil/content/un-sc-consolidated-lis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elnisprava.cz/cz/dalsi-kompetence/cash_controls/Stranky/Formul%C3%A1%C5%99-pro-ohl%C3%A1%C5%A1en%C3%AD-hotovosti.aspx"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74E98F9F91128479FBC166D9118EEC5" ma:contentTypeVersion="5" ma:contentTypeDescription="Vytvoří nový dokument" ma:contentTypeScope="" ma:versionID="47b66ec22410dd18c4de12907d727477">
  <xsd:schema xmlns:xsd="http://www.w3.org/2001/XMLSchema" xmlns:xs="http://www.w3.org/2001/XMLSchema" xmlns:p="http://schemas.microsoft.com/office/2006/metadata/properties" xmlns:ns2="3a26805a-6b16-41b4-a7a7-c077abbec8bc" xmlns:ns3="e70d7055-bc08-4199-81af-b79e7f55e92f" targetNamespace="http://schemas.microsoft.com/office/2006/metadata/properties" ma:root="true" ma:fieldsID="e4ac714bae73552d247dc6346274f37d" ns2:_="" ns3:_="">
    <xsd:import namespace="3a26805a-6b16-41b4-a7a7-c077abbec8bc"/>
    <xsd:import namespace="e70d7055-bc08-4199-81af-b79e7f55e92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26805a-6b16-41b4-a7a7-c077abbec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d7055-bc08-4199-81af-b79e7f55e92f"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0D4BB6-4ED9-4962-AC30-D995CF546D13}">
  <ds:schemaRefs>
    <ds:schemaRef ds:uri="http://schemas.microsoft.com/office/2006/documentManagement/types"/>
    <ds:schemaRef ds:uri="3a26805a-6b16-41b4-a7a7-c077abbec8bc"/>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e70d7055-bc08-4199-81af-b79e7f55e92f"/>
    <ds:schemaRef ds:uri="http://www.w3.org/XML/1998/namespace"/>
    <ds:schemaRef ds:uri="http://purl.org/dc/dcmitype/"/>
  </ds:schemaRefs>
</ds:datastoreItem>
</file>

<file path=customXml/itemProps3.xml><?xml version="1.0" encoding="utf-8"?>
<ds:datastoreItem xmlns:ds="http://schemas.openxmlformats.org/officeDocument/2006/customXml" ds:itemID="{772B2480-28A0-4AA7-A4EA-2DF79F8E8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26805a-6b16-41b4-a7a7-c077abbec8bc"/>
    <ds:schemaRef ds:uri="e70d7055-bc08-4199-81af-b79e7f55e9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119911-1864-43CE-88C0-6C1928DED7E4}">
  <ds:schemaRefs>
    <ds:schemaRef ds:uri="http://schemas.microsoft.com/sharepoint/v3/contenttype/forms"/>
  </ds:schemaRefs>
</ds:datastoreItem>
</file>

<file path=customXml/itemProps5.xml><?xml version="1.0" encoding="utf-8"?>
<ds:datastoreItem xmlns:ds="http://schemas.openxmlformats.org/officeDocument/2006/customXml" ds:itemID="{8D46A06E-9E11-4AEA-A547-215FA86D0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11440</Words>
  <Characters>67497</Characters>
  <Application>Microsoft Office Word</Application>
  <DocSecurity>0</DocSecurity>
  <Lines>562</Lines>
  <Paragraphs>157</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78780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2023-09-21T09:13:00Z</dcterms:created>
  <dcterms:modified xsi:type="dcterms:W3CDTF">2023-10-09T12:22:00Z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0x010100074E98F9F91128479FBC166D9118EEC5</vt:lpwstr>
  </property>
</Properties>
</file>