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052F7" w14:textId="77777777" w:rsidR="0003045D" w:rsidRPr="00691B9B" w:rsidRDefault="0003045D" w:rsidP="008F2906">
      <w:pPr>
        <w:pStyle w:val="Nzev"/>
        <w:pageBreakBefore/>
        <w:widowControl w:val="0"/>
        <w:pBdr>
          <w:bottom w:val="none" w:sz="0" w:space="0" w:color="auto"/>
        </w:pBdr>
        <w:spacing w:before="240" w:after="120"/>
        <w:contextualSpacing w:val="0"/>
        <w:jc w:val="center"/>
        <w:outlineLvl w:val="0"/>
        <w:rPr>
          <w:rFonts w:ascii="Times New Roman" w:eastAsia="Times New Roman" w:hAnsi="Times New Roman" w:cs="Times New Roman"/>
          <w:b/>
          <w:bCs/>
          <w:color w:val="auto"/>
          <w:spacing w:val="0"/>
          <w:kern w:val="32"/>
          <w:sz w:val="40"/>
          <w:szCs w:val="32"/>
        </w:rPr>
      </w:pPr>
      <w:r w:rsidRPr="00691B9B">
        <w:rPr>
          <w:rFonts w:ascii="Times New Roman" w:eastAsia="Times New Roman" w:hAnsi="Times New Roman" w:cs="Times New Roman"/>
          <w:b/>
          <w:bCs/>
          <w:color w:val="auto"/>
          <w:spacing w:val="0"/>
          <w:kern w:val="32"/>
          <w:sz w:val="40"/>
          <w:szCs w:val="32"/>
        </w:rPr>
        <w:t>Důvodová zpráva</w:t>
      </w:r>
    </w:p>
    <w:p w14:paraId="045BA699" w14:textId="4E155CD1" w:rsidR="0003045D" w:rsidRDefault="0003045D" w:rsidP="00346165">
      <w:pPr>
        <w:pStyle w:val="Nadpis1"/>
        <w:keepNext w:val="0"/>
        <w:widowControl w:val="0"/>
        <w:numPr>
          <w:ilvl w:val="0"/>
          <w:numId w:val="28"/>
        </w:numPr>
        <w:rPr>
          <w:rFonts w:cs="Times New Roman"/>
        </w:rPr>
      </w:pPr>
      <w:r w:rsidRPr="00691B9B">
        <w:rPr>
          <w:rFonts w:cs="Times New Roman"/>
        </w:rPr>
        <w:t>Obecná část</w:t>
      </w:r>
    </w:p>
    <w:p w14:paraId="41FE91C0" w14:textId="04984E7A" w:rsidR="00CD3E44" w:rsidRPr="007E29B6" w:rsidRDefault="00CD3E44" w:rsidP="007E29B6">
      <w:pPr>
        <w:pStyle w:val="DTlotextu1"/>
      </w:pPr>
      <w:r w:rsidRPr="00CD3E44">
        <w:t>Návrh zákona, kterým se mění zákon č. 253/2008 Sb., o některých opatřeních proti legalizaci výnosů z trestné činnosti a financování terorismu, ve znění pozdějších př</w:t>
      </w:r>
      <w:r w:rsidR="00465B29">
        <w:t xml:space="preserve">edpisů (dále jen „AML zákon), </w:t>
      </w:r>
      <w:r w:rsidRPr="00CD3E44">
        <w:t>zákon č. 69/2006 Sb., o provádění mezinárodních sankcí, ve znění pozdějších předpisů (dále jen „zákon o pro</w:t>
      </w:r>
      <w:r w:rsidR="00465B29">
        <w:t xml:space="preserve">vádění mezinárodních sankcí“), a zákon č. 164/2013 Sb., </w:t>
      </w:r>
      <w:r w:rsidR="00465B29" w:rsidRPr="00866236">
        <w:t>o mezinárodní spolupráci při správě daní a o změně dalších souvisejících zákonů</w:t>
      </w:r>
      <w:r w:rsidR="00465B29">
        <w:t>, ve znění pozdějších předpisů</w:t>
      </w:r>
      <w:r w:rsidR="00465B29" w:rsidRPr="00CD3E44">
        <w:t xml:space="preserve"> </w:t>
      </w:r>
      <w:r w:rsidR="00465B29">
        <w:t xml:space="preserve">(dále jen „ZMSSD“) </w:t>
      </w:r>
      <w:r w:rsidRPr="00CD3E44">
        <w:t xml:space="preserve">má primárně za cíl adaptaci a implementaci evropského práva a dále také </w:t>
      </w:r>
      <w:r>
        <w:t>implementaci d</w:t>
      </w:r>
      <w:r w:rsidRPr="00CD3E44">
        <w:t>oporučení Finančního akčního výboru (dále jen „FATF“), která představují mezinárodní standardy v oblasti boje proti legalizaci výnosů z trestné činnosti, financování terorismu a financování šíření zbraní hromadného niče</w:t>
      </w:r>
      <w:r w:rsidR="00517480">
        <w:t>ní</w:t>
      </w:r>
      <w:r w:rsidRPr="00CD3E44">
        <w:t xml:space="preserve"> tj. financování proliferace. Touto implementací bude dosaženo odstranění vybraných zásadních nedostatků identifikovaných v rámci hodnocení České republiky Výborem expertů pro hodnocení opatření proti praní špinavých peněz a financování terorismu Rady Evropy (dále jen „výbor MONEYVAL“), který je přidruženým členským uskupením FATF a Česká republika je jeho členem. Finálně návrh zákona také pomůže odstranit nedostatky AML zákona, které se projevily při jeho aplikaci v praxi.</w:t>
      </w:r>
    </w:p>
    <w:p w14:paraId="5F47A941" w14:textId="264B46AE" w:rsidR="007E4935" w:rsidRPr="007E29B6" w:rsidRDefault="007E4935" w:rsidP="007E29B6">
      <w:pPr>
        <w:pStyle w:val="DTlotextu1"/>
      </w:pPr>
      <w:r w:rsidRPr="007E29B6">
        <w:t>Návrh zákona je primárně zákonem implementačním, který je legislativní reakcí na nařízení Evropského parlamentu a Rady (EU) 2023/1113 ze dne 31. května 2023, o informacích doprovázejících převody peněžních prostředků a některých kryptoaktiv a o změně směrnice (EU) 2015/849 (dále jen „dále jen „nařízení TFR“)</w:t>
      </w:r>
      <w:r w:rsidR="004315FE" w:rsidRPr="007E29B6">
        <w:t>.</w:t>
      </w:r>
    </w:p>
    <w:p w14:paraId="08583E76" w14:textId="00133499" w:rsidR="00CD3E44" w:rsidRPr="00CD3E44" w:rsidRDefault="00CD3E44" w:rsidP="00CD3E44">
      <w:pPr>
        <w:pStyle w:val="DTlotextu1"/>
      </w:pPr>
      <w:r w:rsidRPr="00CD3E44">
        <w:t xml:space="preserve">Kromě adaptačních a implementačních ustanovení vycházejících z  nařízení TFR, dochází rovněž k zapracování vybraných doporučení FATF, u nichž byly detekovány závažné implementační nedostatky ve vztahu k české právní úpravě v rámci hodnocení České republiky výborem MONEYVAL. Konkrétně se pak jedná o doporučení FATF č. 6 - Cílené finanční sankce týkající se terorismus a jeho financování, č. 7 – Cílené finanční sankce týkající se proliferace, č. 29 – Finanční zpravodajské jednotky, č. 32 – Převozy hotovosti a částečně č. 33 - Statistika. </w:t>
      </w:r>
    </w:p>
    <w:p w14:paraId="5837143F" w14:textId="40E17CB6" w:rsidR="00CD3E44" w:rsidRPr="00CD3E44" w:rsidRDefault="00CD3E44" w:rsidP="00CD3E44">
      <w:pPr>
        <w:pStyle w:val="DTlotextu1"/>
      </w:pPr>
      <w:r w:rsidRPr="00CD3E44">
        <w:t>V rámci doporučení FATF č. 32, které se týká převozů hotovosti, je České republice výborem MONEYVAL vytýkáno, že nemá zavedena opatření k odhalování fyzického přeshraničního převozu peněžní hotovosti na vnitřních hranicích EU, a to včetně systému deklarace nebo ohlášení takového převozu peněžní hotovosti.  Součástí negativního hodnocení ČR je i výtka, že příslušné orgány nedisponují zákonnou pravomocí zastavit nebo zadržet peněžní hotovost v rámci přeshraničního pohybu na vnitřním trhu, existuje-li podezření na spojení s financováním terorismu, praním peněz nebo predikativními trestnými činy, či pokud by nedošlo k řádnému oznámení či přiznání takové peněžní hotovosti.</w:t>
      </w:r>
    </w:p>
    <w:p w14:paraId="55145EF0" w14:textId="0F43EE84" w:rsidR="00CD3E44" w:rsidRPr="00F81BCC" w:rsidRDefault="00CD3E44" w:rsidP="007E29B6">
      <w:pPr>
        <w:pStyle w:val="DTlotextu1"/>
      </w:pPr>
      <w:r w:rsidRPr="003359D5">
        <w:t xml:space="preserve">V rámci doporučení </w:t>
      </w:r>
      <w:r>
        <w:t xml:space="preserve">FATF </w:t>
      </w:r>
      <w:r w:rsidRPr="003359D5">
        <w:t>č. 6 a 7</w:t>
      </w:r>
      <w:r>
        <w:t>, která se týkají cílených finančních sankcí v oblasti terorismu a šíření zbraní hromadného ničení,</w:t>
      </w:r>
      <w:r w:rsidRPr="003359D5">
        <w:t xml:space="preserve"> je České republice vytýkáno, že </w:t>
      </w:r>
      <w:r>
        <w:t>rezoluce</w:t>
      </w:r>
      <w:r w:rsidRPr="003359D5">
        <w:t xml:space="preserve"> Rady bezpečnosti O</w:t>
      </w:r>
      <w:r>
        <w:t>rganizace spojených národů (dále jen „Rada bezpečnosti“)</w:t>
      </w:r>
      <w:r w:rsidRPr="003359D5">
        <w:t xml:space="preserve"> </w:t>
      </w:r>
      <w:r>
        <w:t xml:space="preserve">týkající se předcházení, potlačování terorismu a proliferace a jejich financování </w:t>
      </w:r>
      <w:r w:rsidRPr="00940C08">
        <w:t xml:space="preserve">nejsou </w:t>
      </w:r>
      <w:r>
        <w:t xml:space="preserve">dodržovány </w:t>
      </w:r>
      <w:r w:rsidRPr="00940C08">
        <w:t>bez prodlení.</w:t>
      </w:r>
      <w:r>
        <w:t xml:space="preserve"> Chybí zde okamžitý aktivní režim k zavedení cílených finančních sankcí za účelem dodržení příslušných rezolucí Rady bezpečnosti. V případě doporučení č. 29, které se týká zřízení a fungování finančních zpravodajských jednotek, pak jde o nejasnosti v oblasti kompetencí Finančního analytického úřadu (dále jen „FAÚ“), který je finanční zpravodajskou jednotkou České republiky.</w:t>
      </w:r>
    </w:p>
    <w:p w14:paraId="2FC17682" w14:textId="05D08EE0" w:rsidR="00CD3E44" w:rsidRPr="00CD3E44" w:rsidRDefault="00CD3E44" w:rsidP="00CD3E44">
      <w:pPr>
        <w:pStyle w:val="DTlotextu1"/>
      </w:pPr>
      <w:r w:rsidRPr="00CD3E44">
        <w:lastRenderedPageBreak/>
        <w:t xml:space="preserve">V případě, že nedojde k nápravě nedostatků zjištěných výborem MONEYVAL a v implementaci doporučení FATF do českého právního řádu budou i nadále přetrvávat zásadní mezery (jako např. stávající hodnocení doporučení č. 6, které se řadí mezi šest klíčových doporučení z celkových čtyřiceti doporučení FATF a je hodnoceno jako „částečně </w:t>
      </w:r>
      <w:r w:rsidR="009E4CB7" w:rsidRPr="00CD3E44">
        <w:t>plněno“), hrozí</w:t>
      </w:r>
      <w:r w:rsidRPr="00CD3E44">
        <w:t xml:space="preserve"> dle procesních pravidel výboru MONEYVAL zařazení České republiky do tzv. zpřísněného režimu monitorování (Compliance Enhancing Procedures), který již vyžaduje interakci příslušných ministrů s generálním tajemníkem Rady Evropy a zástupci z řad výboru MONEYVAL.  Absence nápravných opatření v klíčových oblastech může vést až k zařazení České republiky na tzv. šedý seznam FATF (Jurisdictions under Increased Monitoring - tj. mezi země se strategickými nedostatky v jejich systémech boje proti praní špinavých peněz, financování terorismu a financování proliferace), což je závažné reputační riziko.</w:t>
      </w:r>
    </w:p>
    <w:p w14:paraId="1F039326" w14:textId="648198B0" w:rsidR="00D44702" w:rsidRPr="003359D5" w:rsidRDefault="00D44702" w:rsidP="007E29B6">
      <w:pPr>
        <w:pStyle w:val="DTlotextu1"/>
      </w:pPr>
      <w:r w:rsidRPr="003359D5">
        <w:t>Zákon též obsahuje úpravu směřující k odstranění nedostatků AML zákona, které se projevily při jeho aplikaci v praxi.</w:t>
      </w:r>
    </w:p>
    <w:p w14:paraId="4BA8239E" w14:textId="32A80C60" w:rsidR="008B57E4" w:rsidRPr="003359D5" w:rsidRDefault="008B57E4" w:rsidP="007E29B6">
      <w:pPr>
        <w:pStyle w:val="DTlotextu1"/>
      </w:pPr>
      <w:r w:rsidRPr="003359D5">
        <w:t xml:space="preserve">V AML zákoně </w:t>
      </w:r>
      <w:r w:rsidR="0098362D">
        <w:t xml:space="preserve">v souvislosti s výše uvedeným </w:t>
      </w:r>
      <w:r w:rsidR="00327AB3" w:rsidRPr="003359D5">
        <w:t>dochází k úpravě v následujících oblastech</w:t>
      </w:r>
    </w:p>
    <w:p w14:paraId="46EBBF1E" w14:textId="3F1BB5DC" w:rsidR="00AA0298" w:rsidRDefault="00752497" w:rsidP="00346165">
      <w:pPr>
        <w:pStyle w:val="DTlotextu1"/>
        <w:widowControl w:val="0"/>
        <w:numPr>
          <w:ilvl w:val="0"/>
          <w:numId w:val="30"/>
        </w:numPr>
      </w:pPr>
      <w:r>
        <w:t>mění se</w:t>
      </w:r>
      <w:r w:rsidR="00386865">
        <w:t xml:space="preserve"> </w:t>
      </w:r>
      <w:r>
        <w:t xml:space="preserve">rozsah a zařazení poskytovatele služeb </w:t>
      </w:r>
      <w:r w:rsidR="002229EF">
        <w:t xml:space="preserve">spojených </w:t>
      </w:r>
      <w:r>
        <w:t>s virtuálním</w:t>
      </w:r>
      <w:r w:rsidR="002229EF">
        <w:t>i</w:t>
      </w:r>
      <w:r>
        <w:t xml:space="preserve"> </w:t>
      </w:r>
      <w:r w:rsidR="002229EF">
        <w:t>aktivy</w:t>
      </w:r>
      <w:r w:rsidR="00690BF3">
        <w:t>,</w:t>
      </w:r>
    </w:p>
    <w:p w14:paraId="7149A402" w14:textId="4F91467A" w:rsidR="00951E64" w:rsidRDefault="00752497" w:rsidP="00346165">
      <w:pPr>
        <w:pStyle w:val="DTlotextu1"/>
        <w:widowControl w:val="0"/>
        <w:numPr>
          <w:ilvl w:val="0"/>
          <w:numId w:val="30"/>
        </w:numPr>
      </w:pPr>
      <w:r>
        <w:t>upřesňují se</w:t>
      </w:r>
      <w:r w:rsidR="00690BF3">
        <w:t xml:space="preserve"> požadavk</w:t>
      </w:r>
      <w:r>
        <w:t>y</w:t>
      </w:r>
      <w:r w:rsidR="00690BF3">
        <w:t xml:space="preserve"> na kontaktní osobu,</w:t>
      </w:r>
    </w:p>
    <w:p w14:paraId="786B30A9" w14:textId="3750149B" w:rsidR="00690BF3" w:rsidRDefault="00690BF3" w:rsidP="00346165">
      <w:pPr>
        <w:pStyle w:val="DTlotextu1"/>
        <w:widowControl w:val="0"/>
        <w:numPr>
          <w:ilvl w:val="0"/>
          <w:numId w:val="30"/>
        </w:numPr>
      </w:pPr>
      <w:r>
        <w:t>zpřesňuje se rozsah informační povinnost</w:t>
      </w:r>
      <w:r w:rsidR="0A8AFC76">
        <w:t>i</w:t>
      </w:r>
      <w:r>
        <w:t xml:space="preserve"> povinné osoby vůči FAÚ</w:t>
      </w:r>
      <w:r w:rsidR="00A15109">
        <w:t>,</w:t>
      </w:r>
      <w:r>
        <w:t xml:space="preserve"> </w:t>
      </w:r>
    </w:p>
    <w:p w14:paraId="06B2C80D" w14:textId="0A1D9032" w:rsidR="00690BF3" w:rsidRDefault="00752497" w:rsidP="00346165">
      <w:pPr>
        <w:pStyle w:val="DTlotextu1"/>
        <w:widowControl w:val="0"/>
        <w:numPr>
          <w:ilvl w:val="0"/>
          <w:numId w:val="30"/>
        </w:numPr>
      </w:pPr>
      <w:r>
        <w:t xml:space="preserve">dochází k rozšíření </w:t>
      </w:r>
      <w:r w:rsidR="008F3BC4">
        <w:t>povinnost</w:t>
      </w:r>
      <w:r>
        <w:t>í</w:t>
      </w:r>
      <w:r w:rsidR="008F3BC4">
        <w:t xml:space="preserve"> </w:t>
      </w:r>
      <w:r w:rsidR="008F3BC4" w:rsidRPr="008F3BC4">
        <w:t>poskytovatel</w:t>
      </w:r>
      <w:r>
        <w:t>ů</w:t>
      </w:r>
      <w:r w:rsidR="008F3BC4" w:rsidRPr="008F3BC4">
        <w:t xml:space="preserve"> služeb spojených s virtuálními aktivy</w:t>
      </w:r>
      <w:r w:rsidR="008F3BC4">
        <w:t>,</w:t>
      </w:r>
    </w:p>
    <w:p w14:paraId="773F1FA8" w14:textId="651BE87F" w:rsidR="009E0CA5" w:rsidRDefault="00BB6292" w:rsidP="00346165">
      <w:pPr>
        <w:pStyle w:val="DTlotextu1"/>
        <w:widowControl w:val="0"/>
        <w:numPr>
          <w:ilvl w:val="0"/>
          <w:numId w:val="30"/>
        </w:numPr>
      </w:pPr>
      <w:r>
        <w:t>vymezení</w:t>
      </w:r>
      <w:r w:rsidR="002229EF">
        <w:t xml:space="preserve"> a </w:t>
      </w:r>
      <w:r w:rsidR="006656DD">
        <w:t>zpřesnění</w:t>
      </w:r>
      <w:r>
        <w:t xml:space="preserve"> činností vykonávaných FAÚ,</w:t>
      </w:r>
    </w:p>
    <w:p w14:paraId="19F03839" w14:textId="076DF1B7" w:rsidR="00BB6292" w:rsidRDefault="00BB6292" w:rsidP="00346165">
      <w:pPr>
        <w:pStyle w:val="DTlotextu1"/>
        <w:widowControl w:val="0"/>
        <w:numPr>
          <w:ilvl w:val="0"/>
          <w:numId w:val="30"/>
        </w:numPr>
      </w:pPr>
      <w:r>
        <w:t xml:space="preserve">rozšíření okruhu osob povinných poskytovat údaje pro </w:t>
      </w:r>
      <w:r w:rsidRPr="00BB6292">
        <w:t>Hodnocení rizik na úrovni České republiky</w:t>
      </w:r>
      <w:r>
        <w:t>,</w:t>
      </w:r>
    </w:p>
    <w:p w14:paraId="1FDEBA5F" w14:textId="4BF88CF5" w:rsidR="00BB6292" w:rsidRDefault="00822155" w:rsidP="00346165">
      <w:pPr>
        <w:pStyle w:val="DTlotextu1"/>
        <w:widowControl w:val="0"/>
        <w:numPr>
          <w:ilvl w:val="0"/>
          <w:numId w:val="30"/>
        </w:numPr>
      </w:pPr>
      <w:r>
        <w:t>úprav</w:t>
      </w:r>
      <w:r w:rsidR="002229EF">
        <w:t>y</w:t>
      </w:r>
      <w:r>
        <w:t xml:space="preserve"> </w:t>
      </w:r>
      <w:r w:rsidR="002229EF">
        <w:t xml:space="preserve">související s </w:t>
      </w:r>
      <w:r>
        <w:t>poskytování</w:t>
      </w:r>
      <w:r w:rsidR="002229EF">
        <w:t>m</w:t>
      </w:r>
      <w:r>
        <w:t xml:space="preserve"> informací FAÚ při </w:t>
      </w:r>
      <w:r w:rsidRPr="00822155">
        <w:t xml:space="preserve">správním dozoru </w:t>
      </w:r>
      <w:r w:rsidR="00787494">
        <w:t xml:space="preserve">příslušnou profesní komorou </w:t>
      </w:r>
      <w:r w:rsidRPr="00822155">
        <w:t>u advokáta, notáře, auditora, soudního exekutora nebo daňového poradce</w:t>
      </w:r>
      <w:r>
        <w:t>,</w:t>
      </w:r>
    </w:p>
    <w:p w14:paraId="0301AE0C" w14:textId="4822F4E4" w:rsidR="00822155" w:rsidRDefault="006F7A3F" w:rsidP="00346165">
      <w:pPr>
        <w:pStyle w:val="DTlotextu1"/>
        <w:widowControl w:val="0"/>
        <w:numPr>
          <w:ilvl w:val="0"/>
          <w:numId w:val="30"/>
        </w:numPr>
      </w:pPr>
      <w:r w:rsidRPr="006F7A3F">
        <w:t>úprav</w:t>
      </w:r>
      <w:r>
        <w:t>a</w:t>
      </w:r>
      <w:r w:rsidRPr="006F7A3F">
        <w:t xml:space="preserve"> nových povinností při přepravě peněžní</w:t>
      </w:r>
      <w:r w:rsidR="0098362D">
        <w:t xml:space="preserve"> hotovosti</w:t>
      </w:r>
      <w:r w:rsidR="00306F1F">
        <w:t xml:space="preserve"> </w:t>
      </w:r>
      <w:r w:rsidRPr="006F7A3F">
        <w:t>v hodnotě vyšší než 15 000 EUR v České republice</w:t>
      </w:r>
      <w:r>
        <w:t xml:space="preserve"> a zjednodušení postupu pro zadržení peněžní hotovosti,</w:t>
      </w:r>
    </w:p>
    <w:p w14:paraId="59AE54BE" w14:textId="19447BAE" w:rsidR="006F7A3F" w:rsidRDefault="00121A39" w:rsidP="00346165">
      <w:pPr>
        <w:pStyle w:val="DTlotextu1"/>
        <w:widowControl w:val="0"/>
        <w:numPr>
          <w:ilvl w:val="0"/>
          <w:numId w:val="30"/>
        </w:numPr>
      </w:pPr>
      <w:r>
        <w:t>úpravy v oblasti</w:t>
      </w:r>
      <w:r w:rsidR="00FB7F8E">
        <w:t xml:space="preserve"> přestupků,</w:t>
      </w:r>
    </w:p>
    <w:p w14:paraId="0018A03D" w14:textId="130E5AAA" w:rsidR="00FB7F8E" w:rsidRDefault="00B97BC8" w:rsidP="00346165">
      <w:pPr>
        <w:pStyle w:val="DTlotextu1"/>
        <w:widowControl w:val="0"/>
        <w:numPr>
          <w:ilvl w:val="0"/>
          <w:numId w:val="30"/>
        </w:numPr>
      </w:pPr>
      <w:r>
        <w:t>další technické úpravy</w:t>
      </w:r>
      <w:r w:rsidR="008B57E4">
        <w:t>.</w:t>
      </w:r>
    </w:p>
    <w:p w14:paraId="78C8716F" w14:textId="77777777" w:rsidR="0098362D" w:rsidRPr="0098362D" w:rsidRDefault="0098362D" w:rsidP="0098362D">
      <w:pPr>
        <w:pStyle w:val="DTlotextu1"/>
      </w:pPr>
      <w:r w:rsidRPr="0098362D">
        <w:t>V zákoně o provádění mezinárodních sankcích dochází k úpravě postupu pro možné provádění cílených finančních sankcí za účelem dodržení příslušných rezolucí Rady bezpečnosti</w:t>
      </w:r>
      <w:r w:rsidRPr="0098362D" w:rsidDel="00B91790">
        <w:t xml:space="preserve"> </w:t>
      </w:r>
      <w:r w:rsidRPr="0098362D">
        <w:t>a k úpravě v oblasti mezinárodní spolupráce.</w:t>
      </w:r>
    </w:p>
    <w:p w14:paraId="5467B67C" w14:textId="3FA7A5A7" w:rsidR="00C822E8" w:rsidRPr="00F81BCC" w:rsidRDefault="000255E8" w:rsidP="007E29B6">
      <w:pPr>
        <w:pStyle w:val="DTlotextu1"/>
      </w:pPr>
      <w:r>
        <w:t xml:space="preserve">Finálně návrh zákona zapracovává výtky Evropské komise k transpozici směrnice </w:t>
      </w:r>
      <w:r w:rsidR="00BD37EF" w:rsidRPr="00BD37EF">
        <w:t>Rady (EU) 2021/514 ze dne 22. března 2021, kterou se mění směrnice 2011/16/EU o správní spolupráci v oblasti daní</w:t>
      </w:r>
      <w:r w:rsidR="00C822E8">
        <w:t xml:space="preserve"> (dále jen „směrnice DAC 7“)</w:t>
      </w:r>
      <w:r w:rsidR="000B34E0">
        <w:t>, aby se předešlo zahájení řízení o porušení unijního práva (infringement).</w:t>
      </w:r>
    </w:p>
    <w:p w14:paraId="09EECA5D" w14:textId="7EEAD30B" w:rsidR="00951E64" w:rsidRPr="003359D5" w:rsidRDefault="00951E64" w:rsidP="007E29B6">
      <w:pPr>
        <w:pStyle w:val="DTlotextu1"/>
      </w:pPr>
      <w:r w:rsidRPr="00F81BCC">
        <w:t>Návrh</w:t>
      </w:r>
      <w:r w:rsidR="00386865" w:rsidRPr="00F81BCC">
        <w:t xml:space="preserve"> zákona</w:t>
      </w:r>
      <w:r w:rsidRPr="00F81BCC">
        <w:t xml:space="preserve"> respektuje jak právo Evropské unie, tak doporučení</w:t>
      </w:r>
      <w:r w:rsidR="0098362D">
        <w:t xml:space="preserve"> FATF</w:t>
      </w:r>
      <w:r w:rsidRPr="00F81BCC">
        <w:t>.</w:t>
      </w:r>
    </w:p>
    <w:p w14:paraId="4B12FF64" w14:textId="4BE5B3AB" w:rsidR="0003045D" w:rsidRPr="007E29B6" w:rsidRDefault="0003045D" w:rsidP="00346165">
      <w:pPr>
        <w:pStyle w:val="Nadpis3"/>
        <w:numPr>
          <w:ilvl w:val="1"/>
          <w:numId w:val="28"/>
        </w:numPr>
        <w:jc w:val="both"/>
        <w:rPr>
          <w:sz w:val="32"/>
        </w:rPr>
      </w:pPr>
      <w:r w:rsidRPr="007E29B6">
        <w:rPr>
          <w:sz w:val="32"/>
        </w:rPr>
        <w:t>Zhodnocení platného právního stavu</w:t>
      </w:r>
    </w:p>
    <w:p w14:paraId="4BFF2F40" w14:textId="69C0DAFA" w:rsidR="00DE6290" w:rsidRPr="00F81BCC" w:rsidRDefault="00AD2BB1" w:rsidP="007E29B6">
      <w:pPr>
        <w:pStyle w:val="DTlotextu1"/>
      </w:pPr>
      <w:r w:rsidRPr="00F81BCC">
        <w:t xml:space="preserve">Tato část je strukturována dle jednotlivých stěžejních témat. </w:t>
      </w:r>
    </w:p>
    <w:p w14:paraId="462A79D8" w14:textId="691EF7F9" w:rsidR="00AD2BB1" w:rsidRPr="00F81BCC" w:rsidRDefault="00AD2BB1" w:rsidP="007E29B6">
      <w:pPr>
        <w:pStyle w:val="DTlotextu1"/>
      </w:pPr>
      <w:r w:rsidRPr="00F81BCC">
        <w:t>Současná právní úprava nemá dopad ve vztahu k zákazu diskriminace ani ve vztahu k rovnosti mužů a žen.</w:t>
      </w:r>
    </w:p>
    <w:p w14:paraId="704F71A8" w14:textId="233680F1" w:rsidR="00D76E2B" w:rsidRPr="007E29B6" w:rsidRDefault="00A15109" w:rsidP="00B603BD">
      <w:pPr>
        <w:pStyle w:val="Nadpis4"/>
      </w:pPr>
      <w:r w:rsidRPr="007E29B6">
        <w:lastRenderedPageBreak/>
        <w:t>AML zákon</w:t>
      </w:r>
    </w:p>
    <w:p w14:paraId="32C83FC8" w14:textId="6A2A1C10" w:rsidR="00D76E2B" w:rsidRDefault="00FB4584" w:rsidP="00B603BD">
      <w:pPr>
        <w:pStyle w:val="Nadpis5"/>
      </w:pPr>
      <w:r w:rsidRPr="00FB4584">
        <w:tab/>
      </w:r>
      <w:r w:rsidR="00B5275A" w:rsidRPr="00B603BD">
        <w:t>R</w:t>
      </w:r>
      <w:r w:rsidRPr="00B603BD">
        <w:t>ozsah</w:t>
      </w:r>
      <w:r w:rsidRPr="00FB4584">
        <w:t xml:space="preserve"> </w:t>
      </w:r>
      <w:r w:rsidR="003A1CDA">
        <w:t xml:space="preserve">okruhu </w:t>
      </w:r>
      <w:r w:rsidRPr="00FB4584">
        <w:t xml:space="preserve">povinných osob </w:t>
      </w:r>
    </w:p>
    <w:p w14:paraId="236A0DE1" w14:textId="22E45945" w:rsidR="00E5242F" w:rsidRDefault="00FC7329" w:rsidP="007E29B6">
      <w:pPr>
        <w:pStyle w:val="DTlotextu1"/>
      </w:pPr>
      <w:r>
        <w:t>Právní vymezení povinných osob je v rámci AML zákona upraveno v § 2, kde jsou tyto povinné osoby taxativně vymezeny, byť pro konkrétní určení povinné osoby je nezbytné využití definic jak v AML zákoně (např. § 4 nebo § 54 AML zákona), tak i v zákonech odlišných, na které je výslovně odkazováno. O</w:t>
      </w:r>
      <w:r w:rsidRPr="00FC7329">
        <w:t xml:space="preserve">soby poskytující služby spojené s virtuálním aktivem </w:t>
      </w:r>
      <w:r>
        <w:t>jsou v současnosti povinnými osobami</w:t>
      </w:r>
      <w:r w:rsidR="00E5242F">
        <w:t xml:space="preserve"> podle § 2 odst. 1 písm. l)</w:t>
      </w:r>
      <w:r w:rsidR="00A204EA">
        <w:t>,</w:t>
      </w:r>
      <w:r w:rsidR="00386865">
        <w:t xml:space="preserve"> </w:t>
      </w:r>
      <w:r w:rsidR="00E5242F">
        <w:t>při poskytování služeb v případě, kdy j</w:t>
      </w:r>
      <w:r w:rsidR="00E5242F" w:rsidRPr="00E5242F">
        <w:t>ako předmět své podnikatelské činnosti</w:t>
      </w:r>
    </w:p>
    <w:p w14:paraId="2E3630AA" w14:textId="3AA3E8F9" w:rsidR="00E5242F" w:rsidRDefault="00E5242F" w:rsidP="00346165">
      <w:pPr>
        <w:pStyle w:val="DTlotextu2"/>
        <w:numPr>
          <w:ilvl w:val="0"/>
          <w:numId w:val="31"/>
        </w:numPr>
      </w:pPr>
      <w:r w:rsidRPr="00E5242F">
        <w:t>kupuje, prodává</w:t>
      </w:r>
      <w:r>
        <w:t xml:space="preserve"> nebo </w:t>
      </w:r>
      <w:r w:rsidRPr="00E5242F">
        <w:t>uchovává</w:t>
      </w:r>
      <w:r>
        <w:t xml:space="preserve"> virtuální aktiva</w:t>
      </w:r>
      <w:r w:rsidRPr="00E5242F">
        <w:t>,</w:t>
      </w:r>
    </w:p>
    <w:p w14:paraId="51E790FC" w14:textId="3D2D7D89" w:rsidR="00E5242F" w:rsidRDefault="00E5242F" w:rsidP="00346165">
      <w:pPr>
        <w:pStyle w:val="DTlotextu2"/>
        <w:numPr>
          <w:ilvl w:val="0"/>
          <w:numId w:val="31"/>
        </w:numPr>
      </w:pPr>
      <w:r w:rsidRPr="00E5242F">
        <w:t>pro jiného spravuje, převádí nebo zprostředkovává nákup nebo prodej virtuálního aktiva,</w:t>
      </w:r>
    </w:p>
    <w:p w14:paraId="6379A6FB" w14:textId="1535CBE3" w:rsidR="00E5242F" w:rsidRDefault="00E5242F" w:rsidP="00346165">
      <w:pPr>
        <w:pStyle w:val="DTlotextu2"/>
        <w:numPr>
          <w:ilvl w:val="0"/>
          <w:numId w:val="31"/>
        </w:numPr>
      </w:pPr>
      <w:r w:rsidRPr="00E5242F">
        <w:t>poskytuje finanční služby týkající se nabídky n</w:t>
      </w:r>
      <w:r>
        <w:t>ebo prodeje virtuálního aktiva,</w:t>
      </w:r>
    </w:p>
    <w:p w14:paraId="22A98E26" w14:textId="4BDB7225" w:rsidR="00C42CAE" w:rsidRDefault="00E5242F" w:rsidP="00346165">
      <w:pPr>
        <w:pStyle w:val="DTlotextu2"/>
        <w:numPr>
          <w:ilvl w:val="0"/>
          <w:numId w:val="31"/>
        </w:numPr>
      </w:pPr>
      <w:r w:rsidRPr="00E5242F">
        <w:t>poskytuje jiné obdobné služby spojené s virtuálním aktivem</w:t>
      </w:r>
      <w:r>
        <w:t>.</w:t>
      </w:r>
    </w:p>
    <w:p w14:paraId="0D80D7D5" w14:textId="6A4463B9" w:rsidR="00C42CAE" w:rsidRDefault="00C42CAE" w:rsidP="007E29B6">
      <w:pPr>
        <w:pStyle w:val="DTlotextu1"/>
      </w:pPr>
      <w:r>
        <w:t>Virtuálním aktivem je pak podle definice v § 4 odst. 9 elektronicky uchovatelná nebo převoditelná jednotka, která je</w:t>
      </w:r>
    </w:p>
    <w:p w14:paraId="3BCEF753" w14:textId="48AE8998" w:rsidR="00C42CAE" w:rsidRDefault="00C42CAE" w:rsidP="00346165">
      <w:pPr>
        <w:pStyle w:val="DTlotextu2"/>
        <w:numPr>
          <w:ilvl w:val="0"/>
          <w:numId w:val="32"/>
        </w:numPr>
      </w:pPr>
      <w:r>
        <w:t>způsobilá plnit platební, směnnou nebo investiční funkci, bez ohledu na to, zda má nebo nemá emitenta, pokud se nejedná o</w:t>
      </w:r>
    </w:p>
    <w:p w14:paraId="0DF30E10" w14:textId="1BE44FD0" w:rsidR="00C42CAE" w:rsidRDefault="00C42CAE" w:rsidP="00346165">
      <w:pPr>
        <w:pStyle w:val="DTlotextu2"/>
        <w:numPr>
          <w:ilvl w:val="0"/>
          <w:numId w:val="33"/>
        </w:numPr>
      </w:pPr>
      <w:r>
        <w:t>cenný papír, investiční nástroj, nebo peněžní prostředek podle zákona o platebním styku,</w:t>
      </w:r>
    </w:p>
    <w:p w14:paraId="031D0B14" w14:textId="20D690C4" w:rsidR="00C42CAE" w:rsidRDefault="00C42CAE" w:rsidP="00346165">
      <w:pPr>
        <w:pStyle w:val="DTlotextu2"/>
        <w:numPr>
          <w:ilvl w:val="0"/>
          <w:numId w:val="33"/>
        </w:numPr>
      </w:pPr>
      <w:r>
        <w:t>jednotku podle § 3 odst. 3 písm. c) bodů 4 až 7 zákona o platebním styku, nebo</w:t>
      </w:r>
    </w:p>
    <w:p w14:paraId="5B835FB7" w14:textId="627C7D80" w:rsidR="00C42CAE" w:rsidRDefault="00C42CAE" w:rsidP="00346165">
      <w:pPr>
        <w:pStyle w:val="DTlotextu2"/>
        <w:numPr>
          <w:ilvl w:val="0"/>
          <w:numId w:val="33"/>
        </w:numPr>
      </w:pPr>
      <w:r>
        <w:t>jednotku, kterou je prováděna platba podle § 3 odst. 3 písm. e) zákona o platebním styku, nebo</w:t>
      </w:r>
    </w:p>
    <w:p w14:paraId="4F8473AC" w14:textId="6E673F18" w:rsidR="00C42CAE" w:rsidRDefault="00C42CAE" w:rsidP="00346165">
      <w:pPr>
        <w:pStyle w:val="DTlotextu2"/>
        <w:numPr>
          <w:ilvl w:val="0"/>
          <w:numId w:val="32"/>
        </w:numPr>
      </w:pPr>
      <w:r>
        <w:t>jednotkou podle písmene a) bodu 2 a kterou lze v konečném důsledku zaplatit pouze za úzce vymezený okruh zboží nebo služeb, který zahrnuje elektronicky uchovatelnou nebo převoditelnou jednotku podle písmene a).</w:t>
      </w:r>
    </w:p>
    <w:p w14:paraId="735ED7AA" w14:textId="520B7B92" w:rsidR="00D76E2B" w:rsidRDefault="00C42CAE" w:rsidP="007E29B6">
      <w:pPr>
        <w:pStyle w:val="DTlotextu1"/>
      </w:pPr>
      <w:r>
        <w:t>Jedná se o právní úpravu, která není plně kompatibilní s Nařízením Evropského parlamentu a Rady (EU) 2023/1114 ze dne 31. května 2023 o trzích kryptoaktiv a o změně nařízení (EU) č. 1093/2010 a (EU) č. 1095/2010 a směrnic 2013/36/EU a (EU) 2019/1937 (dále jen „MiCA“)</w:t>
      </w:r>
      <w:r w:rsidR="005B68BE">
        <w:t>.</w:t>
      </w:r>
    </w:p>
    <w:p w14:paraId="18848F32" w14:textId="52DAFD69" w:rsidR="00D76E2B" w:rsidRDefault="00B5275A" w:rsidP="00B603BD">
      <w:pPr>
        <w:pStyle w:val="Nadpis5"/>
      </w:pPr>
      <w:r>
        <w:t>P</w:t>
      </w:r>
      <w:r w:rsidR="003A1CDA" w:rsidRPr="003A1CDA">
        <w:t>ožadavk</w:t>
      </w:r>
      <w:r w:rsidR="003A1CDA">
        <w:t>y</w:t>
      </w:r>
      <w:r w:rsidR="003A1CDA" w:rsidRPr="003A1CDA">
        <w:t xml:space="preserve"> na kontaktní osobu</w:t>
      </w:r>
    </w:p>
    <w:p w14:paraId="2960D9B0" w14:textId="03AA562F" w:rsidR="00AE1CFC" w:rsidRDefault="0098362D" w:rsidP="007E29B6">
      <w:pPr>
        <w:pStyle w:val="DTlotextu1"/>
      </w:pPr>
      <w:r w:rsidRPr="0098362D">
        <w:t xml:space="preserve">Stávající právní úprava obsahuje požadavky na zřízení kontaktní osoby, která je určena pro styk s FAÚ, v § 22 AML zákona. Týká se všech povinných osob, ale zároveň pouze vybrané povinné osoby, kterými jsou úvěrové a finanční instituce, provozovatelé hazardních her, realitní zprostředkovatelé, poskytovatelé služeb společnostem a poskytovatelé služeb s virtuálními aktivy, mají povinnost ve stanovené lhůtě hlásit FAÚ jméno a příjmení určené kontaktní osoby, její pracovní zařazení, včetně kontaktních </w:t>
      </w:r>
      <w:r>
        <w:t>údajů</w:t>
      </w:r>
      <w:r w:rsidRPr="0098362D">
        <w:t xml:space="preserve">. Z těchto informací není zřejmé, jaká je běžná pracovní doba této osoby, v jaké době povinná osoba realizuje obchody ve smyslu AML zákona, a pokud má povinná osoba hlášeno více kontaktních osob, na kterou z nich se má FAÚ v konkrétní dobu obracet. V případě, kdy FAÚ provádí šetření podezřelého obchodu a potřebuje získat od povinné osoby relevantní informace, nebo vydává pokyn dle § 20 tak nahlášené kontaktní osoby nemusí být pro FAÚ dosažitelné (např. ve večerních hodinách nebo o víkendech). V současnosti panuje v tomto ohledu velice různorodá praxe napříč povinnými osobami. Stávající právní úprava také zakotvuje lhůtu pro vybrané povinné osoby k nahlášení určené kontaktní osoby FAÚ do 60 dnů od okamžiku, kdy se stala povinnou osobou, nebo o změnách spojených s již nahlášenou kontaktní osobou, a to do 30 dnů od vzniku těchto změn. </w:t>
      </w:r>
      <w:r w:rsidRPr="0098362D">
        <w:lastRenderedPageBreak/>
        <w:t xml:space="preserve">Tyto lhůty způsobují praktické problémy, kdy po relativně dlouhou dobu není určena konkrétní osoba k zajišťování styku s FAÚ, který je důležitý pro plnění úkolů finanční zpravodajské jednotky. Stávající lhůty také nereflektují změny ve způsobu doručování, které zajišťuje významné urychlení, a tím je zřízení datových schránek. </w:t>
      </w:r>
      <w:r w:rsidR="00012E1A">
        <w:t xml:space="preserve"> </w:t>
      </w:r>
    </w:p>
    <w:p w14:paraId="6C2A60BB" w14:textId="56BA59B0" w:rsidR="003A1CDA" w:rsidRPr="003359D5" w:rsidRDefault="00B5275A" w:rsidP="00B603BD">
      <w:pPr>
        <w:pStyle w:val="Nadpis5"/>
      </w:pPr>
      <w:r w:rsidRPr="00B603BD">
        <w:t>R</w:t>
      </w:r>
      <w:r w:rsidR="003A1CDA" w:rsidRPr="00B603BD">
        <w:t>ozsah</w:t>
      </w:r>
      <w:r w:rsidR="003A1CDA" w:rsidRPr="003359D5">
        <w:t xml:space="preserve"> informační povinnost</w:t>
      </w:r>
      <w:r w:rsidR="341AB0D6" w:rsidRPr="003359D5">
        <w:t>i</w:t>
      </w:r>
      <w:r w:rsidR="003A1CDA" w:rsidRPr="003359D5">
        <w:t xml:space="preserve"> povinné osoby </w:t>
      </w:r>
    </w:p>
    <w:p w14:paraId="61BB8B36" w14:textId="4AEEE732" w:rsidR="003C3CE8" w:rsidRPr="003C3CE8" w:rsidRDefault="003C3CE8" w:rsidP="003C3CE8">
      <w:pPr>
        <w:pStyle w:val="DTlotextu1"/>
      </w:pPr>
      <w:r w:rsidRPr="003C3CE8">
        <w:t>FAÚ v současnosti může na základě § 24 AML zákona požadovat od povinných osob informace potřebné k provádění operativní finanční analýzy tj. informace pro účely šetření podezřelého obchodu. FAÚ má zároveň, jako dozorový orgán v oblasti AML, ve smyslu § 35 odst. 7 realizovat rizikově orientovaný přístup při výkonu správního dozoru. V současné době však nedisponuje nástroji (jako má např. ČNB), které by mu umožnily sběr dat od povinných osob pro účely analýzy rizik včetně analýzy daného sektoru z hlediska rizikovosti AML/CFT, např. prostřednictvím dotazníkových šetření či jiným způsobem získávání informací, což možnosti rizikově orientovaného přístupu významně omezuje. Orgány dohledu v oblasti AML (dohled nad všemi povinnými osobami v ČR vykonává jen FAÚ), jsou hodnoceny nejen ze strany výboru MONEYVAL, ale v případě úvěrových a některých finanční institucí také Evropským orgánem pro bankovnictví (European Banking Authority). V rámci hodnocení je třeba prokázat schopnost realizovat rizikově orientovaný přístup správního dozoru. Přestože FAÚ jako finanční zpravodajská jednotka musí provádět vedle operativní finanční analýzy také strategickou finanční analýzu, což vyplývá i z</w:t>
      </w:r>
      <w:r>
        <w:t>e</w:t>
      </w:r>
      <w:r w:rsidRPr="003C3CE8">
        <w:t> směrnice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 (dále jen „AML směrnice“),</w:t>
      </w:r>
      <w:r>
        <w:t xml:space="preserve"> a</w:t>
      </w:r>
      <w:r w:rsidRPr="003C3CE8">
        <w:t xml:space="preserve"> nemá pro účely provádění tohoto typu analýzy ve stávající právní úpravě zakotveno zmocnění žádat informace od povinných osob. </w:t>
      </w:r>
    </w:p>
    <w:p w14:paraId="2F13206B" w14:textId="6F771B70" w:rsidR="003A1CDA" w:rsidRDefault="00B5275A" w:rsidP="00B603BD">
      <w:pPr>
        <w:pStyle w:val="Nadpis5"/>
      </w:pPr>
      <w:r w:rsidRPr="00C04A52">
        <w:t>P</w:t>
      </w:r>
      <w:r w:rsidR="003A1CDA" w:rsidRPr="00B5275A">
        <w:t xml:space="preserve">ovinnosti poskytovatelů služeb spojených s virtuálními aktivy </w:t>
      </w:r>
    </w:p>
    <w:p w14:paraId="42371B3C" w14:textId="127B7895" w:rsidR="00B5275A" w:rsidRPr="00B5275A" w:rsidRDefault="003C3CE8" w:rsidP="007E29B6">
      <w:pPr>
        <w:pStyle w:val="DTlotextu1"/>
      </w:pPr>
      <w:r w:rsidRPr="003C3CE8">
        <w:t xml:space="preserve">V současnosti nad rámec standardních povinností povinné osoby podle AML zákona má poskytovatel služeb spojených s virtuálními aktivy povinnost písemně vypracovat systém vnitřních zásad a hodnocení rizik a zřídit oznámit FAÚ ve stanovené lhůtě určenou kontaktní osobu. Na tento typ povinné osoby nejsou na ni kladeny stejné nároky jako na finanční či úvěrové instituce, byť jsou vyšší nežli u většiny ostatních povinných osob. </w:t>
      </w:r>
      <w:r w:rsidR="00ED333E">
        <w:t xml:space="preserve"> </w:t>
      </w:r>
    </w:p>
    <w:p w14:paraId="23729CCB" w14:textId="77777777" w:rsidR="00787494" w:rsidRDefault="00B5275A" w:rsidP="00B603BD">
      <w:pPr>
        <w:pStyle w:val="Nadpis5"/>
      </w:pPr>
      <w:r w:rsidRPr="00B603BD">
        <w:t>Z</w:t>
      </w:r>
      <w:r w:rsidR="003A1CDA" w:rsidRPr="00B603BD">
        <w:t>přesnění</w:t>
      </w:r>
      <w:r w:rsidR="003A1CDA" w:rsidRPr="00B5275A">
        <w:t xml:space="preserve"> činností vykonávaných FAÚ</w:t>
      </w:r>
    </w:p>
    <w:p w14:paraId="302866F8" w14:textId="0F25C5F0" w:rsidR="003C3CE8" w:rsidRPr="003C3CE8" w:rsidRDefault="003C3CE8" w:rsidP="003C3CE8">
      <w:pPr>
        <w:pStyle w:val="DTlotextu1"/>
      </w:pPr>
      <w:r w:rsidRPr="003C3CE8">
        <w:t xml:space="preserve">Kompetence FAÚ jsou obecně zakotveny v § 29c, přičemž toto ustanovení upravuje zejména rozhodování o zahájení a způsobu ukončení šetření, o získávání, zpracování a sdílení informací a o provádění kontrol, což nemusí být dostačující v kontextu komplexní analytické role finanční zpravodajské jednotky, která je upravena v čl. 32 odst. 8 </w:t>
      </w:r>
      <w:r>
        <w:t>AML směrnice.</w:t>
      </w:r>
      <w:r w:rsidR="008A4BD6">
        <w:t xml:space="preserve"> </w:t>
      </w:r>
      <w:r w:rsidRPr="003C3CE8">
        <w:t xml:space="preserve">To ostatně vyplývá i z hodnocení implementace doporučení FATF č. 29 výborem MONEYVAL, které se týká finančních zpravodajských jednotek, kde je České republice vytýkáno, že FAÚ nemá výslovně zakotveno, že do jeho činnosti spadá provádění strategické finanční analýzy. Obdobně bylo v rámci tohoto doporučení shledáno jako nedostačující, že AML zákon absentuje </w:t>
      </w:r>
      <w:r>
        <w:t xml:space="preserve">výslovným </w:t>
      </w:r>
      <w:r w:rsidRPr="003C3CE8">
        <w:t>zakotvením činnosti FAÚ vyřizovat žádosti orgánů činných v trestním řízení a zpravodajských služeb.</w:t>
      </w:r>
    </w:p>
    <w:p w14:paraId="071AAD26" w14:textId="08B6C7B2" w:rsidR="00B5275A" w:rsidRDefault="00B5275A" w:rsidP="00B603BD">
      <w:pPr>
        <w:pStyle w:val="Nadpis5"/>
      </w:pPr>
      <w:r>
        <w:t>R</w:t>
      </w:r>
      <w:r w:rsidR="003A1CDA" w:rsidRPr="00B5275A">
        <w:t>ozšíření okruhu osob povinných poskytovat údaje</w:t>
      </w:r>
    </w:p>
    <w:p w14:paraId="2970623B" w14:textId="67D8D4A6" w:rsidR="00B5275A" w:rsidRPr="00B5275A" w:rsidRDefault="003C3CE8" w:rsidP="007E29B6">
      <w:pPr>
        <w:pStyle w:val="DTlotextu1"/>
      </w:pPr>
      <w:r w:rsidRPr="003C3CE8">
        <w:t xml:space="preserve">Ustanovení AML zákona upravující národní hodnocení rizik pro oblast legalizace výnosů trestné činnosti, financování terorismu a financování proliferace nepočítá s tím, že informacemi nezbytnými ke zpracování národního hodnocení rizik, by mohla disponovat též právnická nebo podnikající fyzická osoba, která však není podle AML zákona povinnou osobou, ani není </w:t>
      </w:r>
      <w:r w:rsidRPr="003C3CE8">
        <w:lastRenderedPageBreak/>
        <w:t xml:space="preserve">orgánem veřejné moci. Taková osoba nemá v současné době povinnost poskytovat informace (podílet se) za účelem zpracování národního hodnocení rizik. </w:t>
      </w:r>
      <w:r w:rsidR="00FA627E">
        <w:t xml:space="preserve"> </w:t>
      </w:r>
    </w:p>
    <w:p w14:paraId="4CCE0246" w14:textId="2D658D01" w:rsidR="003A1CDA" w:rsidRPr="00B97BC8" w:rsidRDefault="0061459A" w:rsidP="00B603BD">
      <w:pPr>
        <w:pStyle w:val="Nadpis5"/>
      </w:pPr>
      <w:r w:rsidRPr="00B603BD">
        <w:t>Úpravy</w:t>
      </w:r>
      <w:r w:rsidRPr="004E6782">
        <w:t xml:space="preserve"> související s poskytováním informací FAÚ při správním dozoru příslušnou profesní komorou u advokáta, notáře, auditora, soudního exekutora nebo daňového poradce,</w:t>
      </w:r>
    </w:p>
    <w:p w14:paraId="0A9A002D" w14:textId="77777777" w:rsidR="001707C9" w:rsidRPr="001707C9" w:rsidRDefault="001707C9" w:rsidP="001707C9">
      <w:pPr>
        <w:pStyle w:val="DTlotextu1"/>
      </w:pPr>
      <w:r w:rsidRPr="001707C9">
        <w:t>Profesní komory nemají podle stávající právní úpravy stanovenou lhůtu pro plnění povinnosti informovat o zahájení a o výsledku kontroly na základě podnětu FAÚ. Stejně tak schází i povinnost informovat o ukončení takové kontroly. Tím je do značené míry omezena možnost FAÚ využívat ostatní dozorové nástroje ve vztahu k dotčeným povinným osobám. Jde o to, že v souladu s § 37 odst. 2 AML zákona může FAÚ zahájit kontrolu u advokáta, notáře, auditora, soudního exekutora nebo daňového poradce jenom za podmínky, že příslušná profesní komora sama nezahájila kontrolu do 60 dní od okamžiku, kdy jí byl doručen podnět FAÚ. Pokud se FAÚ nedozví, že příslušná profesní komora kontrolu nezahájila, nemůže zahájit kontrolu vlastní. Stále tak trvá neuspokojivá situace, kdy se profesní komory mohou bez hrozby jakékoli sankce vyhnout plnění své zákonné povinnost vykonávat dohled nad svými příslušníky.</w:t>
      </w:r>
    </w:p>
    <w:p w14:paraId="7445BF5C" w14:textId="2446D1E5" w:rsidR="001707C9" w:rsidRPr="00B5275A" w:rsidRDefault="001707C9" w:rsidP="001707C9">
      <w:pPr>
        <w:pStyle w:val="DTlotextu1"/>
      </w:pPr>
      <w:r w:rsidRPr="001707C9">
        <w:t xml:space="preserve">Dále v souvislosti s elektronickou evidencí zahájených a ukončených řízení o přestupcích (dále jen „EŘOP“), kterou vede FAÚ pro účely výkonu veškerého správního dozoru v oblasti AML (§ 52a), není obdobně ke splnění zákonné povinnosti profesních komor při zahájení a ukončení řízení sdělit FAÚ stanovené údaje za účelem zápisu do EŘOP, stanovena žádná lhůta. Zároveň u některých povinností absentuje jakýkoliv sankční prostředek při neplnění těchto povinností, což samo o sobě představuje potenciální rozpor s čl. 58 odst. 2 AML směrnice. Jedná se například o povinnosti, které má profesní komora (viz § 37 AML zákona). Praxe ukazuje, že povinnosti nejsou bezezbytku naplňovány, tudíž je vytvářena netransparentnost nejen správního dozoru, ale i dalších činností svěřených profesním komorám. Neplnění povinnosti zasílání a současně i zveřejňování výroční zprávy v oblasti AML, což vyžaduje nejen AML zákon (viz § 37 odst. 6 AML zákona), ale i čl. 34 odst. 3 AML směrnice, způsobuje netransparentnost činnosti komor. </w:t>
      </w:r>
      <w:r w:rsidRPr="001707C9">
        <w:rPr>
          <w:iCs/>
        </w:rPr>
        <w:t>Jedno z negativních hodnocení ČR výborem MONEYVAL se týká sektoru poskytování právních služeb, kde na jedné straně je zdůrazňována vysoká expozice k ML/FT riziku a zároveň skutečnost, že není vyvíjeno dostatečné úsilí ke zmírňování těchto rizik v rámci dohledové činnosti příslušných komor. Existuje riziko, že nadcházející hodnocení efektivity fungování správního dozoru, který vykonávají profesní komory, výbor MONEYVAL ČR uloží doporučení týkající se změny nastavení kontrolních mechanismů.</w:t>
      </w:r>
    </w:p>
    <w:p w14:paraId="7908E694" w14:textId="7C718944" w:rsidR="00B5275A" w:rsidRPr="003359D5" w:rsidRDefault="00B5275A" w:rsidP="00B603BD">
      <w:pPr>
        <w:pStyle w:val="Nadpis5"/>
      </w:pPr>
      <w:r w:rsidRPr="003359D5">
        <w:t>Přeprav</w:t>
      </w:r>
      <w:r w:rsidR="5D8679FD" w:rsidRPr="003359D5">
        <w:t>a</w:t>
      </w:r>
      <w:r w:rsidRPr="003359D5">
        <w:t xml:space="preserve"> peněžních prostředků v hodnotě vyšší než 15 000 EUR v České republice</w:t>
      </w:r>
    </w:p>
    <w:p w14:paraId="704F84BB" w14:textId="7F0CA58D" w:rsidR="001707C9" w:rsidRPr="001707C9" w:rsidRDefault="001707C9" w:rsidP="001707C9">
      <w:pPr>
        <w:pStyle w:val="DTlotextu1"/>
      </w:pPr>
      <w:r w:rsidRPr="001707C9">
        <w:t>Česká republika nemá v současné době zavedena žádná opatření k odhalování fyzického přeshraničního převozu peněžní hotovosti na vnitřních hranicích EU, a to včetně systému deklarace nebo ohlášení takového převozu peněžní hotovosti. Příslušné orgány nedisponují pravomocí zkontrolovat a případně zadržet peněžní hotovost v rámci přeshraničního pohybu na vnitřním trhu EU, existuje-li podezření na spojení s financováním terorismu, praním peněz nebo predikativními trestnými činy, či pokud by nedošlo k řádnému oznámení či přiznání takové peněžní hotovosti. Tento stav je České republice vytýkán v rámci implementace doporučení FATF č. 32 výborem MONEYVAL. Dle současné právní úpravy mají oprávnění kontrolovat převoz peněžní hotovosti a případně zadržet orgány Celní správy České republiky (dále jen „orgány celní správy“) pouze ve vztahu k peněžní hotovosti vstupující na území EU nebo z tohoto území vystupující.  Případy, kdy celní správa při výkonu své činnosti odhalila převoz podezřelé peněžní hotovosti na území ČR ve velkém objemu, potvrzuje praxe.</w:t>
      </w:r>
    </w:p>
    <w:p w14:paraId="32B6363F" w14:textId="38BAE3DB" w:rsidR="003A1CDA" w:rsidRDefault="00B5275A" w:rsidP="00B603BD">
      <w:pPr>
        <w:pStyle w:val="Nadpis5"/>
      </w:pPr>
      <w:r w:rsidRPr="00B603BD">
        <w:lastRenderedPageBreak/>
        <w:t>Přestupky</w:t>
      </w:r>
    </w:p>
    <w:p w14:paraId="268FC5E8" w14:textId="2A5BF5F6" w:rsidR="00B5275A" w:rsidRPr="00B5275A" w:rsidRDefault="005037D7" w:rsidP="007E29B6">
      <w:pPr>
        <w:pStyle w:val="DTlotextu1"/>
      </w:pPr>
      <w:r w:rsidRPr="00410127">
        <w:t>Stávající AML zákon upravuje některé povinnosti, za jejichž nesplnění však nezakládá odpovědnost za přestupek. Vymáhat plnění takových povinností může být problematické.</w:t>
      </w:r>
      <w:r w:rsidR="00EB0470">
        <w:t xml:space="preserve"> </w:t>
      </w:r>
      <w:r w:rsidR="00CD724F">
        <w:t>Jedná se například o</w:t>
      </w:r>
      <w:r w:rsidR="00410127" w:rsidRPr="00410127">
        <w:t xml:space="preserve"> povinnost povinné osoby podílet se na národním hodnocení rizik (viz § 30a</w:t>
      </w:r>
      <w:r w:rsidR="00ED70BA">
        <w:t xml:space="preserve"> </w:t>
      </w:r>
      <w:r w:rsidR="00CD724F">
        <w:t>AML zákona</w:t>
      </w:r>
      <w:r w:rsidR="00410127" w:rsidRPr="00410127">
        <w:t>)</w:t>
      </w:r>
      <w:r w:rsidR="00B5275A" w:rsidRPr="00410127">
        <w:t>.</w:t>
      </w:r>
      <w:r w:rsidR="00DD103D">
        <w:t xml:space="preserve"> </w:t>
      </w:r>
      <w:r w:rsidR="00DD103D" w:rsidRPr="004E6782">
        <w:t>Současně je nutno konstatovat, že není sjednocena promlčecí doba u přestupku, k</w:t>
      </w:r>
      <w:r w:rsidR="004766FD">
        <w:t xml:space="preserve"> jehož </w:t>
      </w:r>
      <w:r w:rsidR="00DD103D" w:rsidRPr="004E6782">
        <w:t xml:space="preserve">projednání je příslušná </w:t>
      </w:r>
      <w:r w:rsidR="00AF345C" w:rsidRPr="004E6782">
        <w:t xml:space="preserve">jak </w:t>
      </w:r>
      <w:r w:rsidR="00DD103D" w:rsidRPr="004E6782">
        <w:t>Česká národní banka</w:t>
      </w:r>
      <w:r w:rsidR="00AF345C" w:rsidRPr="004E6782">
        <w:t xml:space="preserve">, tak </w:t>
      </w:r>
      <w:r w:rsidR="00CD724F" w:rsidRPr="004E6782">
        <w:t>FAÚ</w:t>
      </w:r>
      <w:r w:rsidR="00DD103D" w:rsidRPr="004E6782">
        <w:t>.</w:t>
      </w:r>
      <w:r w:rsidR="00D005E8" w:rsidRPr="004E6782">
        <w:t xml:space="preserve"> Podle § 46e odst. 3) zákona č. 61/1993 Sb., o české národní bance, ve znění pozdějších předpisů, je u přestupku, k jehož projednání je příslušná Česká národní banka podle tohoto anebo jiného zákona nebo podle přímo použitelného předpisu Evropské unie a za který zákon stanoví sazbu pokuty, jejíž horní hranice je alespoň 1 000 000 Kč, činí promlčecí doba 5 let. Byla-li promlčecí doba u tohoto přestupku přerušena, odpovědnost za přestupek zaniká nejpozději 10 let od jeho spáchání. Tento stav prakticky znamená, že jsou stanoveny dvě různé úpravy pro běh promlčecí doby, a to z titulu orgánu věcně příslušného k projednání přestupku. </w:t>
      </w:r>
      <w:r w:rsidR="00D005E8">
        <w:t xml:space="preserve"> </w:t>
      </w:r>
    </w:p>
    <w:p w14:paraId="4CA9F613" w14:textId="733AFB47" w:rsidR="00F52992" w:rsidRDefault="00C04A52" w:rsidP="00F617AE">
      <w:pPr>
        <w:pStyle w:val="Nadpis4"/>
      </w:pPr>
      <w:r w:rsidRPr="007E29B6">
        <w:t>Z</w:t>
      </w:r>
      <w:r w:rsidR="00F13AB1" w:rsidRPr="007E29B6">
        <w:t>ákon</w:t>
      </w:r>
      <w:r w:rsidRPr="007E29B6">
        <w:t xml:space="preserve"> o </w:t>
      </w:r>
      <w:r w:rsidR="000D140D" w:rsidRPr="007E29B6">
        <w:t xml:space="preserve">provádění </w:t>
      </w:r>
      <w:r w:rsidR="00C822E8">
        <w:t>mezinárodních sankcí</w:t>
      </w:r>
      <w:r w:rsidR="00DD5D88">
        <w:t xml:space="preserve"> (p</w:t>
      </w:r>
      <w:r w:rsidR="004766FD">
        <w:t>rovádění sankcí Rady bezpečnosti</w:t>
      </w:r>
      <w:r w:rsidR="00DD5D88">
        <w:t>)</w:t>
      </w:r>
    </w:p>
    <w:p w14:paraId="73D3522A" w14:textId="77777777" w:rsidR="006E124D" w:rsidRDefault="006E124D" w:rsidP="006E124D">
      <w:pPr>
        <w:pStyle w:val="DTlotextu1"/>
      </w:pPr>
      <w:r w:rsidRPr="006E124D">
        <w:t xml:space="preserve">Rezoluce Rady bezpečnosti týkající se předcházení, potlačování terorismu a proliferace a jejich financování nejsou dodržovány na národní úrovni bez prodlení. Chybí zde okamžitý aktivní režim k zavedení cílených finančních sankcí za účelem dodržení příslušných rezolucí Rady bezpečnosti. Současný postup upravený v zákoně o provádění mezinárodních sankcích, kdy na základě rozhodnutí Rady bezpečnosti Organizace spojených národů, přijatých podle článku 41 Charty Organizace spojených národů, může být subjekt nebo osoba zapsána na vnitrostátní sankční seznam až na základě nařízení vlády, v praxi znamená prodlevu minimálně v řádech jednotek dnů. Tento stav je v rozporu s doporučením FATF č. 6 a 7 Výboru MONEYVAL. </w:t>
      </w:r>
    </w:p>
    <w:p w14:paraId="16ADD7DD" w14:textId="1F860750" w:rsidR="006E124D" w:rsidRPr="006E124D" w:rsidRDefault="006E124D" w:rsidP="006E124D">
      <w:pPr>
        <w:pStyle w:val="DTlotextu1"/>
      </w:pPr>
      <w:r w:rsidRPr="006E124D">
        <w:t>Doporučení č. 6, které se řadí mezi šest klíčových doporučení FATF z celkových čtyřiceti doporučení FATF, má Česká republika hodnoceno jako „částečně plněno“, což je předstupeň „neplněno“. Proto pokud nebude stávající hodnocení u tohoto doporučení FATF vylepšeno dle procesních pravidel výboru MONEYVAL hrozí České republice zařazení do tzv. zpřísněného režimu monitorování (Compliance Enhancing Procedures), na který již byla formálním dopisem v roce 2022 upozorněna. Zařazení do tohoto režimu již vyžaduje interakci příslušných ministrů s generálním tajemníkem Rady Evropy a zástupci z řad výboru MONEYVAL. Absence nápravných opatření v klíčových oblastech doporučení FATF může vést až k zařazení České republiky na tzv. šedý seznam FATF (Jurisdictions under Increased Monitoring - tj. mezi země se strategickými nedostatky v jejich systémech boje proti praní špinavých peněz, financování terorismu a financování proliferace), což je závažné reputační riziko.</w:t>
      </w:r>
    </w:p>
    <w:p w14:paraId="534A1CB2" w14:textId="7615752A" w:rsidR="00C822E8" w:rsidRDefault="0099689D" w:rsidP="00B603BD">
      <w:pPr>
        <w:pStyle w:val="Nadpis4"/>
      </w:pPr>
      <w:r>
        <w:t>Zákon o mezinárodní spolupráci při správě daní</w:t>
      </w:r>
      <w:r w:rsidR="00DD5D88">
        <w:t xml:space="preserve"> (zpřesnění transpozice směrnice DAC 7)</w:t>
      </w:r>
    </w:p>
    <w:p w14:paraId="2AA31846" w14:textId="77777777" w:rsidR="0099689D" w:rsidRPr="00151204" w:rsidRDefault="0099689D" w:rsidP="0099689D">
      <w:pPr>
        <w:pStyle w:val="DTlotextu1"/>
      </w:pPr>
      <w:r w:rsidRPr="00151204">
        <w:t>Mezinárodní správní spolupráce je dnes nedílnou součástí správy daní. Samotný pojem mezinárodní spolupráce při správě daní zahrnuje spolupráci ve formě výměny informací, pomoci při doručování, účasti na úkonech, dílčích řízeních nebo jiných postupech správce daně a provádění souběžných daňových kontrol. Výměna informací pak může probíhat na žádost, spontánně či automaticky. Právní úprava mezinárodní správní spolupráce v České republice zohledňuje příslušné právní předpisy Evropské unie, mezinárodní standardy a instrumenty mezinárodního práva veřejného na výměnu informací a poskytování vzájemné pomoci a správní spolupráce.</w:t>
      </w:r>
    </w:p>
    <w:p w14:paraId="4DE70441" w14:textId="77777777" w:rsidR="0099689D" w:rsidRPr="00151204" w:rsidRDefault="0099689D" w:rsidP="0099689D">
      <w:pPr>
        <w:pStyle w:val="DTlotextu1"/>
      </w:pPr>
      <w:r w:rsidRPr="00151204">
        <w:t>Základním předpisem evropského práva (s výjimkou nepřímých daní) je pro oblast mezinárodní spolupráce při správě daní směrnice Rady 2011/16/EU, o správní spolupráci v oblasti daní a o zrušení směrnice 77/799/EHS, označovaná zkratkou DAC (</w:t>
      </w:r>
      <w:r w:rsidRPr="00151204">
        <w:rPr>
          <w:i/>
          <w:iCs/>
        </w:rPr>
        <w:t xml:space="preserve">directive on administrative </w:t>
      </w:r>
      <w:r w:rsidRPr="00151204">
        <w:rPr>
          <w:i/>
          <w:iCs/>
        </w:rPr>
        <w:lastRenderedPageBreak/>
        <w:t>cooperation</w:t>
      </w:r>
      <w:r w:rsidRPr="00151204">
        <w:t>). Tato směrnice byla již šestkrát znovelizována prostřednictvím následujících směrnic, zpravidla za účelem doplnění nového okruhu automaticky vyměňovaných informací:</w:t>
      </w:r>
    </w:p>
    <w:p w14:paraId="329B0EC0" w14:textId="77777777" w:rsidR="0099689D" w:rsidRPr="00151204" w:rsidRDefault="0099689D" w:rsidP="00346165">
      <w:pPr>
        <w:pStyle w:val="DTlotextu2"/>
        <w:numPr>
          <w:ilvl w:val="0"/>
          <w:numId w:val="34"/>
        </w:numPr>
      </w:pPr>
      <w:r w:rsidRPr="00151204">
        <w:t>směrnice Rady 2014/107/EU, zavádějící automatickou výměnu informací oznamovaných finančními institucemi (směrnice DAC 2), která je transponována zákonem č. 106/2016 Sb.,</w:t>
      </w:r>
    </w:p>
    <w:p w14:paraId="0191AD20" w14:textId="77777777" w:rsidR="0099689D" w:rsidRPr="00151204" w:rsidRDefault="0099689D" w:rsidP="00346165">
      <w:pPr>
        <w:pStyle w:val="DTlotextu2"/>
        <w:numPr>
          <w:ilvl w:val="0"/>
          <w:numId w:val="34"/>
        </w:numPr>
      </w:pPr>
      <w:r w:rsidRPr="00151204">
        <w:t>směrnice Rady (EU) 2015/2376, zavádějící automatickou výměnu informací o daňových stanoviscích s přeshraničním prvkem (směrnice DAC 3), která je transponována zákonem č. 92/2017 Sb.,</w:t>
      </w:r>
    </w:p>
    <w:p w14:paraId="4CAB6224" w14:textId="77777777" w:rsidR="0099689D" w:rsidRPr="00151204" w:rsidRDefault="0099689D" w:rsidP="00346165">
      <w:pPr>
        <w:pStyle w:val="DTlotextu2"/>
        <w:numPr>
          <w:ilvl w:val="0"/>
          <w:numId w:val="34"/>
        </w:numPr>
      </w:pPr>
      <w:r w:rsidRPr="00151204">
        <w:t>směrnice Rady (EU) 2016/881, zavádějící automatickou výměnu informací oznamovaných nadnárodními skupinami podniků (směrnice DAC 4), která je transponována zákonem č. 305/2017 Sb.,</w:t>
      </w:r>
    </w:p>
    <w:p w14:paraId="65E0DDC9" w14:textId="77777777" w:rsidR="0099689D" w:rsidRPr="00151204" w:rsidRDefault="0099689D" w:rsidP="00346165">
      <w:pPr>
        <w:pStyle w:val="DTlotextu2"/>
        <w:numPr>
          <w:ilvl w:val="0"/>
          <w:numId w:val="34"/>
        </w:numPr>
      </w:pPr>
      <w:r w:rsidRPr="00151204">
        <w:t>směrnice Rady (EU) 2016/2258, upravující přístup daňových orgánů k informacím pro boj proti praní peněz (směrnice DAC 5), která je transponována zákonem č. 94/2018 Sb.,</w:t>
      </w:r>
    </w:p>
    <w:p w14:paraId="7EA96419" w14:textId="77777777" w:rsidR="0099689D" w:rsidRPr="00151204" w:rsidRDefault="0099689D" w:rsidP="00346165">
      <w:pPr>
        <w:pStyle w:val="DTlotextu2"/>
        <w:numPr>
          <w:ilvl w:val="0"/>
          <w:numId w:val="34"/>
        </w:numPr>
      </w:pPr>
      <w:r w:rsidRPr="00151204">
        <w:t>směrnice Rady (EU) 2018/822, zavádějící povinnou automatickou výměnu informací o přeshraničních uspořádáních, která se mají oznamovat (směrnice DAC 6), která je transponována zákonem č. 343/2020 Sb.</w:t>
      </w:r>
    </w:p>
    <w:p w14:paraId="43720B7E" w14:textId="41D5765D" w:rsidR="0099689D" w:rsidRDefault="0099689D" w:rsidP="00306F1F">
      <w:pPr>
        <w:pStyle w:val="DTlotextu2"/>
        <w:numPr>
          <w:ilvl w:val="0"/>
          <w:numId w:val="34"/>
        </w:numPr>
      </w:pPr>
      <w:r w:rsidRPr="00151204">
        <w:t xml:space="preserve">směrnice Rady (EU) 2021/514, kterou se mění směrnice 2011/16/EU o správní spolupráci v oblasti daní, a kterou se mimo jiné zavádí povinná automatická výměna informací oznamovaných provozovateli platforem (směrnice DAC 7), </w:t>
      </w:r>
      <w:r w:rsidR="00306F1F" w:rsidRPr="00306F1F">
        <w:t xml:space="preserve">jejíž transpozice se navrhuje upřesnit </w:t>
      </w:r>
      <w:r w:rsidRPr="00151204">
        <w:t>předloženým návrhem zákona.</w:t>
      </w:r>
    </w:p>
    <w:p w14:paraId="2BF58CEE" w14:textId="118F4EBD" w:rsidR="00306F1F" w:rsidRPr="00151204" w:rsidRDefault="00306F1F" w:rsidP="00306F1F">
      <w:pPr>
        <w:pStyle w:val="DTlotextu1"/>
      </w:pPr>
      <w:r w:rsidRPr="00306F1F">
        <w:t>Uvedený soubor směrnic Rady EU je transponován primárně prostřednictvím zákona č. 164/2013 Sb., o mezinárodní spolupráci při správě daní a o změně dalších souvisejících zákonů, ve znění pozdějších předpisů („zákona o mezinárodní spolupráci při správě daní“).</w:t>
      </w:r>
    </w:p>
    <w:p w14:paraId="0B181F13" w14:textId="7D6B9841" w:rsidR="0003045D" w:rsidRPr="007E29B6" w:rsidRDefault="0003045D" w:rsidP="00B603BD">
      <w:pPr>
        <w:pStyle w:val="Nadpis3"/>
      </w:pPr>
      <w:r w:rsidRPr="007E29B6">
        <w:t xml:space="preserve">Vysvětlení nezbytnosti navrhované právní úpravy a odůvodnění jejích </w:t>
      </w:r>
      <w:r w:rsidRPr="00B603BD">
        <w:t>hlavních</w:t>
      </w:r>
      <w:r w:rsidRPr="007E29B6">
        <w:t xml:space="preserve"> principů</w:t>
      </w:r>
    </w:p>
    <w:p w14:paraId="758A3A23" w14:textId="675C7611" w:rsidR="00F84032" w:rsidRDefault="00F84032" w:rsidP="007E29B6">
      <w:pPr>
        <w:pStyle w:val="DTlotextu1"/>
      </w:pPr>
      <w:r w:rsidRPr="00F84032">
        <w:t>Tato část se kumulativně věnuje jak otázce odůvodnění hlavních principů navrhované právní úpravy, tak vysvětlení nezbytnosti navrhované právní úpravy, přičemž je rozdělena podle jednotlivých tematických celků. Výsledkem by mělo být ucelené obecné pojednání o klíčových tém</w:t>
      </w:r>
      <w:r w:rsidR="008816E3">
        <w:t>atech navrhované právní úpravy.</w:t>
      </w:r>
    </w:p>
    <w:p w14:paraId="23BCE316" w14:textId="39FFDEAD" w:rsidR="00F84032" w:rsidRDefault="00F84032" w:rsidP="007E29B6">
      <w:pPr>
        <w:pStyle w:val="DTlotextu1"/>
      </w:pPr>
      <w:r w:rsidRPr="00F84032">
        <w:t>Navrhovaná právní úprava nemá dopad ve vztahu k záka</w:t>
      </w:r>
      <w:r>
        <w:t>zu diskriminace ani ve vztahu k </w:t>
      </w:r>
      <w:r w:rsidRPr="00F84032">
        <w:t>rovnosti mužů a žen.</w:t>
      </w:r>
    </w:p>
    <w:p w14:paraId="0BA2EF5C" w14:textId="77777777" w:rsidR="000C5367" w:rsidRPr="00DC3121" w:rsidRDefault="000C5367" w:rsidP="00B603BD">
      <w:pPr>
        <w:pStyle w:val="Nadpis4"/>
      </w:pPr>
      <w:r>
        <w:t>AML zákon</w:t>
      </w:r>
    </w:p>
    <w:p w14:paraId="04C557C5" w14:textId="4BC02700" w:rsidR="000C5367" w:rsidRDefault="000C5367" w:rsidP="00144FA3">
      <w:pPr>
        <w:pStyle w:val="Nadpis5"/>
      </w:pPr>
      <w:r>
        <w:t>R</w:t>
      </w:r>
      <w:r w:rsidRPr="00FB4584">
        <w:t xml:space="preserve">ozsah </w:t>
      </w:r>
      <w:r>
        <w:t xml:space="preserve">okruhu </w:t>
      </w:r>
      <w:r w:rsidRPr="00FB4584">
        <w:t xml:space="preserve">povinných osob </w:t>
      </w:r>
    </w:p>
    <w:p w14:paraId="3EA6F824" w14:textId="1292820A" w:rsidR="006E124D" w:rsidRDefault="006E124D" w:rsidP="006E124D">
      <w:pPr>
        <w:pStyle w:val="DTlotextu1"/>
      </w:pPr>
      <w:r>
        <w:t xml:space="preserve">Rozsah okruhu povinných osob zůstává materiálně nezměněn, dochází však k jinému způsobu vyjádření definice povinných osob z řad osob poskytujících služby spojené s virtuálním aktivem. Definice je v souladu se změnou AML směrnice (vyvolanou nařízením TFR) navázána na definici poskytovatele služeb s kryptoaktivem podle nařízení MiCA. Z důvodu požadavků návrhu novely směrnice Rady 2011/16/EU ze dne 15. února 2011 o správní spolupráci v oblasti daní a o zrušení směrnice 77/799/EHS (dále jen DAC 8) a požadavků plynoucích z Doporučení FATF jsou do této definice navíc zahrnuti i poskytovatelé služeb s tzv. non-fungible tokens (kteří jsou povinnou osobou i podle stávajícího znění AML zákona). </w:t>
      </w:r>
    </w:p>
    <w:p w14:paraId="62C47AD6" w14:textId="4FA3D9A1" w:rsidR="000C5367" w:rsidRDefault="006E124D" w:rsidP="006E124D">
      <w:pPr>
        <w:pStyle w:val="DTlotextu1"/>
      </w:pPr>
      <w:r>
        <w:lastRenderedPageBreak/>
        <w:t>V souladu se změnou AML směrnice, vyvolanou nařízením TFR, se tento typ povinných osob dále přesouvá do kategorie finančních institucí. To je opodstatněno mimo jiné nařízením MiCA, které zavádí robustní licenční systém pro tyto osoby, který bude zajišťovat Česká národní banka.</w:t>
      </w:r>
    </w:p>
    <w:p w14:paraId="26A95735" w14:textId="77777777" w:rsidR="000C5367" w:rsidRDefault="000C5367" w:rsidP="00144FA3">
      <w:pPr>
        <w:pStyle w:val="Nadpis5"/>
      </w:pPr>
      <w:r>
        <w:t>P</w:t>
      </w:r>
      <w:r w:rsidRPr="003A1CDA">
        <w:t>ožadavk</w:t>
      </w:r>
      <w:r>
        <w:t>y</w:t>
      </w:r>
      <w:r w:rsidRPr="003A1CDA">
        <w:t xml:space="preserve"> na kontaktní osobu</w:t>
      </w:r>
    </w:p>
    <w:p w14:paraId="2627184B" w14:textId="33476440" w:rsidR="006E124D" w:rsidRDefault="006E124D" w:rsidP="006E124D">
      <w:pPr>
        <w:pStyle w:val="DTlotextu1"/>
      </w:pPr>
      <w:r>
        <w:t xml:space="preserve">V každodenní praxi FAÚ se jako závažný problém ukazuje, že kontaktní osoby ve smyslu § 22 AML zákona (jejichž úkolem je zajištění průběžné komunikace s FAÚ) nejsou v případě šetření podezřelého obchodu responzivní. To hatí efektivní šetření podezřelého obchodu, a zejména jeho stěžejní část v podobě zajištění výnosů z trestné činnosti. </w:t>
      </w:r>
    </w:p>
    <w:p w14:paraId="44DBADD1" w14:textId="77777777" w:rsidR="006E124D" w:rsidRDefault="006E124D" w:rsidP="006E124D">
      <w:pPr>
        <w:pStyle w:val="DTlotextu1"/>
      </w:pPr>
      <w:r>
        <w:t>Tento nedostatek je tak s to zmařit úsilí vložené do celého řetězce na sebe navazujících AML opatření, sahajícího od počáteční identifikace a kontroly klienta přes sledování transakcí, detekci a oznámení podezřelého obchodu až po jeho šetření FAÚ.</w:t>
      </w:r>
    </w:p>
    <w:p w14:paraId="49836292" w14:textId="3AA80A16" w:rsidR="000C5367" w:rsidRDefault="006E124D" w:rsidP="006E124D">
      <w:pPr>
        <w:pStyle w:val="DTlotextu1"/>
      </w:pPr>
      <w:r>
        <w:t>Z tohoto důvodu je nezbytné jednoznačně stanovit povinnost povinné osoby určit kontaktní osobu k zajišťování průběžného styku s FAÚ v provozní době povinné osoby a v době, kdy povinná osoba uskutečňuje obchody. Dále je nutné stanovit korespondující přestupek postihující porušení těchto povinností, aby bylo zajištěno jejich plnění.</w:t>
      </w:r>
    </w:p>
    <w:p w14:paraId="50695E78" w14:textId="77777777" w:rsidR="000C5367" w:rsidRDefault="000C5367" w:rsidP="00144FA3">
      <w:pPr>
        <w:pStyle w:val="Nadpis5"/>
      </w:pPr>
      <w:r>
        <w:t>R</w:t>
      </w:r>
      <w:r w:rsidRPr="003A1CDA">
        <w:t xml:space="preserve">ozsah informační povinnost povinné osoby </w:t>
      </w:r>
    </w:p>
    <w:p w14:paraId="7559FCDA" w14:textId="176E46F6" w:rsidR="000C5367" w:rsidRPr="00B5275A" w:rsidRDefault="006E124D" w:rsidP="00144FA3">
      <w:pPr>
        <w:pStyle w:val="DTlotextu1"/>
      </w:pPr>
      <w:r w:rsidRPr="006E124D">
        <w:t>V rámci snahy o zpřesnění kompetencí FAÚ je třeba explicitně stanovit povinnost povinných osob dodávat FAÚ informace, které potřebuje pro efektivní dozor, byť nemusí nutně souviset s konkrétními úkony prováděnými vůči dané povinné osobě. Toto oprávnění tak umožní FAÚ sběr dat a analýzu daného sektoru z hlediska rizikovosti a naplňování povinností AML (vizte § 29c odst. 2 písm. e)). K tomu by měla sloužit zejména dotazníková šetření, případně lze využít i jiné způsoby získávání informací. Jde o úpravu analogickou § 44 odst. 2 písm. d) zákona č. 6/1993 Sb., o České národní bance</w:t>
      </w:r>
      <w:r>
        <w:t>.</w:t>
      </w:r>
    </w:p>
    <w:p w14:paraId="1846408B" w14:textId="77777777" w:rsidR="000C5367" w:rsidRDefault="000C5367" w:rsidP="00144FA3">
      <w:pPr>
        <w:pStyle w:val="Nadpis5"/>
      </w:pPr>
      <w:r w:rsidRPr="00C04A52">
        <w:t>P</w:t>
      </w:r>
      <w:r w:rsidRPr="00B5275A">
        <w:t xml:space="preserve">ovinnosti poskytovatelů služeb spojených s virtuálními aktivy </w:t>
      </w:r>
    </w:p>
    <w:p w14:paraId="2B009450" w14:textId="24D57F62" w:rsidR="006E124D" w:rsidRDefault="006E124D" w:rsidP="006E124D">
      <w:pPr>
        <w:pStyle w:val="DTlotextu1"/>
      </w:pPr>
      <w:r>
        <w:t xml:space="preserve">V souladu s požadavky plynoucími z AML směrnice, které do ní byly vloženy nařízením TFR, se stanoví poskytovatelům služeb spojených s virtuálním aktivem povinnost </w:t>
      </w:r>
    </w:p>
    <w:p w14:paraId="50469B6D" w14:textId="289D17D4" w:rsidR="006E124D" w:rsidRDefault="006E124D" w:rsidP="006E124D">
      <w:pPr>
        <w:pStyle w:val="DTlotextu2"/>
        <w:numPr>
          <w:ilvl w:val="0"/>
          <w:numId w:val="34"/>
        </w:numPr>
      </w:pPr>
      <w:r>
        <w:t>při provádění hodnocení ML/TF rizik zohlednit rizika plynoucí z transakcí s virtuálními aktivy provedených na nehostovanou adresu nebo z nehostované adresy,</w:t>
      </w:r>
    </w:p>
    <w:p w14:paraId="3FC580AF" w14:textId="28C45884" w:rsidR="006E124D" w:rsidRDefault="006E124D" w:rsidP="006E124D">
      <w:pPr>
        <w:pStyle w:val="DTlotextu2"/>
        <w:numPr>
          <w:ilvl w:val="0"/>
          <w:numId w:val="34"/>
        </w:numPr>
      </w:pPr>
      <w:r>
        <w:t>při provádění zesílené identifikace a kontroly klienta získat další dokumenty nebo informace o totožnosti původce nebo příjemce převodu virtuálního aktiva provedeného na nehostovanou adresu nebo z nehostované adresy, nebo skutečného majitele původce nebo příjemce virtuálního aktiva.</w:t>
      </w:r>
    </w:p>
    <w:p w14:paraId="5A26C606" w14:textId="16E69C7B" w:rsidR="000C5367" w:rsidRPr="00B5275A" w:rsidRDefault="006E124D" w:rsidP="006E124D">
      <w:pPr>
        <w:pStyle w:val="DTlotextu1"/>
      </w:pPr>
      <w:r>
        <w:t>Dalším okruhem povinností, jež plynou z AML směrnice, jsou povinnosti související s navazováním korespondenčního vztahu s osobou poskytující služby spojené s virtuálním aktivem pocházející z třetí země. Tyto povinnosti jsou analogické povinnostem vztahujícím se k navazování korespondenčního vztahu mezi jinými finančními a úvěrovými institucemi.</w:t>
      </w:r>
    </w:p>
    <w:p w14:paraId="1C87B07E" w14:textId="77777777" w:rsidR="000C5367" w:rsidRDefault="000C5367" w:rsidP="00144FA3">
      <w:pPr>
        <w:pStyle w:val="Nadpis5"/>
      </w:pPr>
      <w:r>
        <w:t>Z</w:t>
      </w:r>
      <w:r w:rsidRPr="00B5275A">
        <w:t>přesnění činností vykonávaných FAÚ</w:t>
      </w:r>
    </w:p>
    <w:p w14:paraId="295087AD" w14:textId="0F811864" w:rsidR="006E124D" w:rsidRDefault="006E124D" w:rsidP="006E124D">
      <w:pPr>
        <w:pStyle w:val="DTlotextu1"/>
      </w:pPr>
      <w:r>
        <w:t xml:space="preserve">V rámci hodnocení České republiky výborem Moneyval bylo České republice vytčeno, že v AML zákoně není explicitně legislativně uchopena možnost FAÚ provádět strategickou analýzu s výjimkou národního hodnocení rizik. </w:t>
      </w:r>
    </w:p>
    <w:p w14:paraId="1C8AA339" w14:textId="1171CDF2" w:rsidR="000C5367" w:rsidRDefault="006E124D" w:rsidP="006E124D">
      <w:pPr>
        <w:pStyle w:val="DTlotextu1"/>
        <w:rPr>
          <w:i/>
        </w:rPr>
      </w:pPr>
      <w:r>
        <w:t xml:space="preserve">V reakci na to se navrhuje v § 29c zpřehlednit kompetenční ustanovení týkající se FAÚ, a to včetně zvýraznění jeho analytické role jako primárního poslání FAÚ. Ve finále se pak jedná o </w:t>
      </w:r>
      <w:r>
        <w:lastRenderedPageBreak/>
        <w:t>zpřesnění transpozice čl. 32 AML směrnice. Dále bylo České republice vytýkáno, že v rozporu s doporučením FATF č. 29 existují legislativní překážky týkající se poskytování informací orgánům činným v trestním řízení a zpravodajským službám na jejich žádost. I když toto oprávnění plyne z trestního řádu, resp. ze zákona o zpravodajských službách, navrhuje se explicitně toto uvést v rámci kompetenčního ustanovení FAÚ.</w:t>
      </w:r>
    </w:p>
    <w:p w14:paraId="0DA48632" w14:textId="77777777" w:rsidR="000C5367" w:rsidRDefault="000C5367" w:rsidP="00144FA3">
      <w:pPr>
        <w:pStyle w:val="Nadpis5"/>
      </w:pPr>
      <w:r>
        <w:t>R</w:t>
      </w:r>
      <w:r w:rsidRPr="00B5275A">
        <w:t>ozšíření okruhu osob povinných poskytovat údaje</w:t>
      </w:r>
    </w:p>
    <w:p w14:paraId="7BBCE063" w14:textId="0C08D688" w:rsidR="000C5367" w:rsidRPr="00B5275A" w:rsidRDefault="006E124D" w:rsidP="00144FA3">
      <w:pPr>
        <w:pStyle w:val="DTlotextu1"/>
      </w:pPr>
      <w:r w:rsidRPr="006E124D">
        <w:t>Stanoví se explicitní povinnost poskytovat FAÚ informace pro účely zpracovávání národního hodnocení rizik. Tato povinnost zahrnuje nejen orgány veřejné moci a povinné osoby, ale i podnikající fyzické osoby a právnické osoby, které mohou mít informace spojené s riziky legalizace výnosů z trestné činnosti a financování terorismu (například zbrojaři).</w:t>
      </w:r>
    </w:p>
    <w:p w14:paraId="17F926F6" w14:textId="77777777" w:rsidR="000C5367" w:rsidRPr="0050326D" w:rsidRDefault="000C5367" w:rsidP="00144FA3">
      <w:pPr>
        <w:pStyle w:val="Nadpis5"/>
      </w:pPr>
      <w:r w:rsidRPr="0050326D">
        <w:t>Úpravy související s poskytováním informací FAÚ při správním dozoru příslušnou profesní komorou u advokáta, notáře, auditora, soudního exekutora nebo daňového poradce,</w:t>
      </w:r>
    </w:p>
    <w:p w14:paraId="4C585B8C" w14:textId="71D142E3" w:rsidR="000C5367" w:rsidRPr="00B5275A" w:rsidRDefault="009B22A7" w:rsidP="00144FA3">
      <w:pPr>
        <w:pStyle w:val="DTlotextu1"/>
      </w:pPr>
      <w:r w:rsidRPr="009B22A7">
        <w:t>Profesní komory nemají podle stávající právní úpravy stanovenou lhůtu pro plnění povinnosti informovat o zahájení a o výsledku kontroly na základě podnětu FAÚ. Stejně tak schází i povinnost informovat o ukončení takové kontroly. Tím je do značené míry omezena možnost FAÚ využívat alternativní dozorové nástroje ve vztahu k povinným osobám z řad příslušníků profesních komor, které nastupují ve chvíli, kdy profesní komora odmítne kontrolu zahájit. Jde o to, že v souladu s § 37 odst. 2 AML zákona může FAÚ zahájit kontrolu u advokáta, notáře, auditora, soudního exekutora nebo daňového poradce jenom za podmínky, že příslušná profesní komora sama nezahájila kontrolu do 60 dní od okamžiku, kdy jí byl doručen podnět FAÚ. Pokud se FAÚ nedozví, že příslušná profesní komora kontrolu nezahájila, nemůže zahájit kontrolu vlastní. Stále tak trvá neuspokojivá situace, kdy se profesní komory mohou bez hrozby jakékoli sankce vyhnout plnění své zákonné povinnost vykonávat dohled nad svými příslušníky. Zároveň u některých povinností absentuje jakýkoliv sankční prostředek při neplnění těchto povinností, což samo o sobě představuje potenciální rozpor s čl. 58 odst. 2 směrnice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 (dále jen „AML směrnice“), podle kterého členské státy zajistí, aby povinné osoby nesly odpovědnost za porušení vnitrostátních předpisů přijatých k provedení AML směrnice.</w:t>
      </w:r>
    </w:p>
    <w:p w14:paraId="74BCDBD4" w14:textId="77777777" w:rsidR="000C5367" w:rsidRDefault="000C5367" w:rsidP="00144FA3">
      <w:pPr>
        <w:pStyle w:val="Nadpis5"/>
      </w:pPr>
      <w:r>
        <w:t>P</w:t>
      </w:r>
      <w:r w:rsidRPr="00B5275A">
        <w:t>řepravě peněžních prostředků v hodnotě vyšší než 15 000 EUR v České republice</w:t>
      </w:r>
    </w:p>
    <w:p w14:paraId="0C4A4948" w14:textId="61FF834F" w:rsidR="000C5367" w:rsidRPr="00B5275A" w:rsidRDefault="009B22A7" w:rsidP="00144FA3">
      <w:pPr>
        <w:pStyle w:val="DTlotextu1"/>
      </w:pPr>
      <w:r w:rsidRPr="009B22A7">
        <w:t xml:space="preserve">V současné době podle nařízení Evropského parlamentu a Rady (EU) 2018/1672 ze dne 23. října 2018 o kontrolách peněžní hotovosti vstupující do Unie nebo ji opouštějící a o zrušení nařízení (ES) č. 1889/2005 platí povinnost oznamovat Celní správě převozy hotovosti přes hranice Evropské unie, ať doprovázené, či obsažené v zásilce, pokud jejich hodnota přesáhne ekvivalent 10 000 EUR. V České republice k tomu s ohledem na její geografickou polohu dochází jen na mezinárodních letištích. Doporučení FATF č. 32 však požaduje, aby byly kontroly převozů nadlimitních objemů hotovosti prováděny i na hranicích jednotlivých států, čili v kontextu České republiky i v případě intrakomunitárních převozů. Dosavadní absence tohoto opatření pak představuje nejen zranitelnost českého finančního systému z pohledu potírání legalizace výnosů z trestné činnosti. Přináší i riziko nepříznivého výsledku 6. kola hodnocení souladu České republiky s Doporučeními FATF, které na podzim 2025 vyvrcholí návštěvou hodnotitelské mise expertů MONEYVALu. To by vyústilo v její zařazení na tzv. </w:t>
      </w:r>
      <w:r w:rsidRPr="009B22A7">
        <w:lastRenderedPageBreak/>
        <w:t>šedý seznam FATF</w:t>
      </w:r>
      <w:r w:rsidR="00E75201">
        <w:rPr>
          <w:rStyle w:val="Znakapoznpodarou"/>
        </w:rPr>
        <w:footnoteReference w:id="2"/>
      </w:r>
      <w:r w:rsidRPr="009B22A7">
        <w:t>. S tím by se pojily důsledky pro české subjekty, které by byly zahraničními finančními a úvěrovými institucemi (ale vedle toho i AML/CFT povinnými osobami z nefinančního sektoru) obligatorně vnímány jako vysoce rizikové z pohledu legalizace výnosů z trestné činnosti, a proto by vůči nim byla uplatňována opatření zesílené kontroly klienta, což by navyšovalo jejich transakční náklady a v konečném důsledku tak české podnikatele vystavilo konkurenční nevýhodě v porovnání s jejich zahraničními protějšky. Zařazení na šedý seznam FATF by mělo i nepřímé důsledky v podobě reputační škody a faktoru přispívajícího k horšímu hodnocení ze stran agentur zpracovávajících úvěrové ratingy.</w:t>
      </w:r>
    </w:p>
    <w:p w14:paraId="18EA0CFA" w14:textId="77777777" w:rsidR="000C5367" w:rsidRDefault="000C5367" w:rsidP="00144FA3">
      <w:pPr>
        <w:pStyle w:val="Nadpis5"/>
      </w:pPr>
      <w:r>
        <w:t>P</w:t>
      </w:r>
      <w:r w:rsidRPr="00B5275A">
        <w:t>řestupky</w:t>
      </w:r>
    </w:p>
    <w:p w14:paraId="2D13B4CA" w14:textId="77777777" w:rsidR="009B22A7" w:rsidRDefault="009B22A7" w:rsidP="009B22A7">
      <w:pPr>
        <w:pStyle w:val="DTlotextu1"/>
      </w:pPr>
      <w:r>
        <w:t xml:space="preserve">Upravují se nové přestupky postihující porušení </w:t>
      </w:r>
    </w:p>
    <w:p w14:paraId="680B6759" w14:textId="5AD8D09C" w:rsidR="009B22A7" w:rsidRDefault="009B22A7" w:rsidP="009B22A7">
      <w:pPr>
        <w:pStyle w:val="DTlotextu2"/>
        <w:numPr>
          <w:ilvl w:val="0"/>
          <w:numId w:val="34"/>
        </w:numPr>
      </w:pPr>
      <w:r>
        <w:t>povinnosti poskytnout informaci potřebnou k výkonu správního dozoru nebo ke zpracování národního hodnocení rizik,</w:t>
      </w:r>
    </w:p>
    <w:p w14:paraId="1888A37E" w14:textId="661CF9F3" w:rsidR="009B22A7" w:rsidRDefault="009B22A7" w:rsidP="009B22A7">
      <w:pPr>
        <w:pStyle w:val="DTlotextu2"/>
        <w:numPr>
          <w:ilvl w:val="0"/>
          <w:numId w:val="34"/>
        </w:numPr>
      </w:pPr>
      <w:r>
        <w:t>povinnosti zajistit pomocí kontaktní osoby podle § 22 AML zákona průběžný styk s FAÚ,</w:t>
      </w:r>
    </w:p>
    <w:p w14:paraId="4CF4CA4D" w14:textId="784ED66F" w:rsidR="009B22A7" w:rsidRDefault="009B22A7" w:rsidP="009B22A7">
      <w:pPr>
        <w:pStyle w:val="DTlotextu2"/>
        <w:numPr>
          <w:ilvl w:val="0"/>
          <w:numId w:val="34"/>
        </w:numPr>
      </w:pPr>
      <w:r>
        <w:t>vybraných povinností podle nařízení TFR, jež vyžaduje toto nařízení,</w:t>
      </w:r>
    </w:p>
    <w:p w14:paraId="6601C848" w14:textId="0AAC0FE6" w:rsidR="009B22A7" w:rsidRDefault="009B22A7" w:rsidP="009B22A7">
      <w:pPr>
        <w:pStyle w:val="DTlotextu2"/>
        <w:numPr>
          <w:ilvl w:val="0"/>
          <w:numId w:val="34"/>
        </w:numPr>
      </w:pPr>
      <w:r>
        <w:t>povinností při navazování korespondenčního vztahu poskytovatelem služeb s virtuálním aktivem</w:t>
      </w:r>
    </w:p>
    <w:p w14:paraId="6D6D69F7" w14:textId="74E538FE" w:rsidR="009B22A7" w:rsidRDefault="009B22A7" w:rsidP="009B22A7">
      <w:pPr>
        <w:pStyle w:val="DTlotextu2"/>
        <w:numPr>
          <w:ilvl w:val="0"/>
          <w:numId w:val="34"/>
        </w:numPr>
      </w:pPr>
      <w:r>
        <w:t>povinnosti zahraničního poskytovatele služeb spojených s virtuálním aktivem mít v České republice ústřední kontaktní místo</w:t>
      </w:r>
    </w:p>
    <w:p w14:paraId="19871395" w14:textId="1BFAD5BC" w:rsidR="009B22A7" w:rsidRDefault="009B22A7" w:rsidP="009B22A7">
      <w:pPr>
        <w:pStyle w:val="DTlotextu2"/>
        <w:numPr>
          <w:ilvl w:val="0"/>
          <w:numId w:val="34"/>
        </w:numPr>
      </w:pPr>
      <w:r>
        <w:t>neplnění oznamovací povinnosti při vnitrounijních převozech nadlimitní hotovosti,</w:t>
      </w:r>
    </w:p>
    <w:p w14:paraId="6E06EF80" w14:textId="5C80E541" w:rsidR="009B22A7" w:rsidRDefault="009B22A7" w:rsidP="009B22A7">
      <w:pPr>
        <w:pStyle w:val="DTlotextu2"/>
        <w:numPr>
          <w:ilvl w:val="0"/>
          <w:numId w:val="34"/>
        </w:numPr>
      </w:pPr>
      <w:r>
        <w:t>neplnění povinností profesních komor,</w:t>
      </w:r>
    </w:p>
    <w:p w14:paraId="660080AD" w14:textId="7AE1354F" w:rsidR="000C5367" w:rsidRPr="00B5275A" w:rsidRDefault="009B22A7" w:rsidP="009B22A7">
      <w:pPr>
        <w:pStyle w:val="DTlotextu1"/>
      </w:pPr>
      <w:r>
        <w:t>Uvedené přestupky vyplývají buď z nařízení TFR, nebo představují sankci za porušení nově zavedených povinností, jež by jinak byly ponechány v rovině lex imperfecta.</w:t>
      </w:r>
    </w:p>
    <w:p w14:paraId="35D4FC69" w14:textId="51D7DB23" w:rsidR="000C5367" w:rsidRDefault="000C5367" w:rsidP="00F617AE">
      <w:pPr>
        <w:pStyle w:val="Nadpis4"/>
      </w:pPr>
      <w:r>
        <w:t>Z</w:t>
      </w:r>
      <w:r w:rsidRPr="00F13AB1">
        <w:t>ákon</w:t>
      </w:r>
      <w:r>
        <w:t xml:space="preserve"> o </w:t>
      </w:r>
      <w:r w:rsidR="00144FA3">
        <w:t>provádění mezinárodních sankcí</w:t>
      </w:r>
      <w:r w:rsidR="00DD5D88">
        <w:t xml:space="preserve"> (provádění sankcí Rady bezpečnosti)</w:t>
      </w:r>
    </w:p>
    <w:p w14:paraId="77C1B5F3" w14:textId="77777777" w:rsidR="009B22A7" w:rsidRDefault="009B22A7" w:rsidP="009B22A7">
      <w:pPr>
        <w:pStyle w:val="DTlotextu1"/>
      </w:pPr>
      <w:r>
        <w:t>Zavádí se mechanismus zajišťující, aby se mezinárodní sankce vyplývající z rozhodnutí Rady bezpečnosti OSN proti terorismu, financování terorismu, šíření zbraní hromadného ničení a financování šíření zbraní hromadného ničení a spočívající v příkazu zmrazit majetek sankcionovaných osob uplatňovaly bez zbytečného odkladu poté, co jsou tyto osoby ze strany sankčních výborů OSN zřízených podle předmětných rozhodnutí Rady bezpečnosti nalistovány na sankční seznamy OSN. Cílem je, aby tyto osoby neměly šanci svůj majetek skrýt před zmrazením. Tento mechanismus je založen na přímé právní závaznosti předmětných sankčních seznamů OSN, jež je zajištěna pomocí zmocnění pro FAÚ v zákoně o provádění mezinárodních sankcí k vydání opatření obecné povahy, kde budou tyto sankční seznamy a jim odpovídající mezinárodní sankce vymezeny.</w:t>
      </w:r>
    </w:p>
    <w:p w14:paraId="15FCE16C" w14:textId="5D6E31EC" w:rsidR="000236AC" w:rsidRDefault="009B22A7" w:rsidP="009B22A7">
      <w:pPr>
        <w:pStyle w:val="DTlotextu1"/>
      </w:pPr>
      <w:r>
        <w:t>Zavedení tohoto mechanismu je důležité nejen pro naplnění Doporučení FATF č. 6 a 7, ale i pro zajištění souladu s čl. 1 odst. 2 Ústavy, podle něhož Česká republika dodržuje závazky, které pro ni vyplývají z mezinárodního práva. Předmětné rezoluce Rady Bezpečnosti OSN jsou totiž pro Českou republiku na základě čl. 41 Charty OSN závazné.</w:t>
      </w:r>
    </w:p>
    <w:p w14:paraId="4AAC45C0" w14:textId="2E69377D" w:rsidR="0099689D" w:rsidRDefault="0099689D" w:rsidP="00144FA3">
      <w:pPr>
        <w:pStyle w:val="Nadpis4"/>
      </w:pPr>
      <w:r>
        <w:lastRenderedPageBreak/>
        <w:t>Zákon o mezinárodní spolupráci při správě daní</w:t>
      </w:r>
      <w:r w:rsidR="00DD5D88">
        <w:t xml:space="preserve"> (zpřesnění transpozice směrnice DAC 7)</w:t>
      </w:r>
    </w:p>
    <w:p w14:paraId="5906FE28" w14:textId="743D6DAB" w:rsidR="0099689D" w:rsidRDefault="0099689D" w:rsidP="00144FA3">
      <w:pPr>
        <w:pStyle w:val="DTlotextu1"/>
      </w:pPr>
      <w:r>
        <w:t>Návrh zákona se dotýká transpozice vybraných institutů směrnice DAC 7 a v návaznosti na informace od Evropské komise obsahuje zpřesnění jejich transpozice. Jde o:</w:t>
      </w:r>
    </w:p>
    <w:p w14:paraId="3CF995ED" w14:textId="4E51ED91" w:rsidR="0099689D" w:rsidRDefault="0099689D" w:rsidP="00346165">
      <w:pPr>
        <w:pStyle w:val="DTlotextu2"/>
        <w:numPr>
          <w:ilvl w:val="0"/>
          <w:numId w:val="35"/>
        </w:numPr>
      </w:pPr>
      <w:r>
        <w:t>institut vyloučeného provozovatele platformy a význam pojmu „prokázat předem a každoročně“,</w:t>
      </w:r>
    </w:p>
    <w:p w14:paraId="4DF96A1B" w14:textId="705124BF" w:rsidR="0099689D" w:rsidRDefault="0099689D" w:rsidP="00346165">
      <w:pPr>
        <w:pStyle w:val="DTlotextu2"/>
        <w:numPr>
          <w:ilvl w:val="0"/>
          <w:numId w:val="35"/>
        </w:numPr>
      </w:pPr>
      <w:r>
        <w:t>podmínky pro mechanismus switch-off, tj. upuštění od některých povinností neusazených provozovatelů platforem,</w:t>
      </w:r>
    </w:p>
    <w:p w14:paraId="746872CF" w14:textId="68EA1CA3" w:rsidR="0099689D" w:rsidRDefault="0099689D" w:rsidP="00346165">
      <w:pPr>
        <w:pStyle w:val="DTlotextu2"/>
        <w:numPr>
          <w:ilvl w:val="0"/>
          <w:numId w:val="35"/>
        </w:numPr>
      </w:pPr>
      <w:r>
        <w:t xml:space="preserve">volbu členského státu registrace a </w:t>
      </w:r>
    </w:p>
    <w:p w14:paraId="73A53DE4" w14:textId="1A732494" w:rsidR="0099689D" w:rsidRPr="0099689D" w:rsidRDefault="0099689D" w:rsidP="00346165">
      <w:pPr>
        <w:pStyle w:val="DTlotextu2"/>
        <w:numPr>
          <w:ilvl w:val="0"/>
          <w:numId w:val="35"/>
        </w:numPr>
      </w:pPr>
      <w:r>
        <w:t>povinnost českých orgánů informovat Evropskou komisi o neregistrovaném provozovateli platformy působícím v Evropské unii.</w:t>
      </w:r>
    </w:p>
    <w:p w14:paraId="67EC03E3" w14:textId="77777777" w:rsidR="0003045D" w:rsidRPr="007E29B6" w:rsidRDefault="0003045D" w:rsidP="00144FA3">
      <w:pPr>
        <w:pStyle w:val="Nadpis3"/>
      </w:pPr>
      <w:r w:rsidRPr="007E29B6">
        <w:t>Zhodnocení souladu navrhované právní úpravy s ústavním pořádkem</w:t>
      </w:r>
    </w:p>
    <w:p w14:paraId="688E4F05" w14:textId="77777777" w:rsidR="00073389" w:rsidRDefault="00073389" w:rsidP="00CA15E0">
      <w:pPr>
        <w:pStyle w:val="DTlotextu1"/>
      </w:pPr>
      <w:r>
        <w:t xml:space="preserve">Základní meze pro uplatňování právních předpisů stanoví Ústava a Listina základních práv a svobod (dále jen „Listina“). </w:t>
      </w:r>
    </w:p>
    <w:p w14:paraId="367A648F" w14:textId="77777777" w:rsidR="00073389" w:rsidRPr="00A30051" w:rsidRDefault="00073389" w:rsidP="00CA15E0">
      <w:pPr>
        <w:pStyle w:val="DTlotextu1"/>
      </w:pPr>
      <w:r w:rsidRPr="00A30051">
        <w:t>Legitimita cíle, kterým je již od přijetí stávajícího zákona v roce 2008 boj proti legalizaci výnosů z trestné činnosti a proti financování terorismu, je všeobecně považována za nezpochybnitelnou. Ochrana před trestnou činností a jejími následky je ve svobodné demokratické společnosti nezbytná. Odčerpávání výnosů z trestné činnosti, ať již vznikají při organizované, závažné či méně závažné trestné činnosti, se ukázalo jako jeden z nejúčinnějších nástrojů boje proti kriminalitě. Navrhovaná zákonná úprava sleduje dosažení tohoto cíle takovým způsobem, jejž si lze představit jako přiměřený prostředek k jeho dosažení. Tento návrh zákona navíc nijak zásadně nemění způsob boje proti praní peněz a financování terorismu, stanovený AML zákonem v době jeho přijetí, pouze ho s ohledem na nové právní předpisy EU pro oblast kryptoaktiv (nařízení TFR) a nové trendy v oblasti této problematiky komplexně doplňuje tak, aby efektivněji dosahoval svého cíle. Smyslem a účelem nově zaváděných opatření nadále zůstává zabránění zneužívání finančního systému k legalizaci příjmů z trestné činnosti a financování terorismu a uchování stop po přesunech majetku, včetně záznamu o tom od koho, prostřednictvím koho a ke komu se tyto prostředky přemisťovaly.</w:t>
      </w:r>
    </w:p>
    <w:p w14:paraId="10709174" w14:textId="29DE107D" w:rsidR="00073389" w:rsidRPr="00CA15E0" w:rsidRDefault="00AA4363" w:rsidP="00144FA3">
      <w:pPr>
        <w:pStyle w:val="Nadpis4"/>
      </w:pPr>
      <w:r>
        <w:t xml:space="preserve">Uplatňování státní moci </w:t>
      </w:r>
      <w:r w:rsidRPr="00CA15E0">
        <w:t xml:space="preserve">jen v případech, v mezích a způsoby, které stanoví zákon </w:t>
      </w:r>
      <w:r>
        <w:t>(</w:t>
      </w:r>
      <w:r w:rsidR="00073389" w:rsidRPr="00CA15E0">
        <w:t>čl. 2 odst. 3 Ústavy a čl. 2 odst. 2 Listiny)</w:t>
      </w:r>
    </w:p>
    <w:p w14:paraId="4988B7E7" w14:textId="77777777" w:rsidR="00073389" w:rsidRDefault="00073389" w:rsidP="00CA15E0">
      <w:pPr>
        <w:pStyle w:val="DTlotextu1"/>
      </w:pPr>
      <w:r w:rsidRPr="00A30051">
        <w:t xml:space="preserve">Předkládaný návrh zákona vychází ze zásady zákonnosti vyjádřené v čl. 2 čl. odst. 3 Ústavy, že státní moc slouží všem občanům a lze ji uplatňovat jen v případech, v mezích a způsoby, které stanoví zákon, a v čl. 2 odst. 2 Listiny, že státní moc lze uplatňovat jen v případech a v mezích stanovených zákonem, a to způsobem, který zákon stanoví. Tyto ústavní meze jsou v předkládaném návrhu respektovány, </w:t>
      </w:r>
      <w:r>
        <w:t xml:space="preserve"> </w:t>
      </w:r>
    </w:p>
    <w:p w14:paraId="3A70DA90" w14:textId="737718AB" w:rsidR="00073389" w:rsidRPr="00CA15E0" w:rsidRDefault="008772C9" w:rsidP="00144FA3">
      <w:pPr>
        <w:pStyle w:val="Nadpis4"/>
      </w:pPr>
      <w:r>
        <w:t>P</w:t>
      </w:r>
      <w:r w:rsidRPr="00CA15E0">
        <w:t xml:space="preserve">rávo na samosprávu </w:t>
      </w:r>
      <w:r>
        <w:t xml:space="preserve">územních </w:t>
      </w:r>
      <w:r w:rsidRPr="00CA15E0">
        <w:t xml:space="preserve">samosprávných celků </w:t>
      </w:r>
      <w:r>
        <w:t>(</w:t>
      </w:r>
      <w:r w:rsidR="00073389" w:rsidRPr="00CA15E0">
        <w:t>čl. 8 a 100 odst. 1 Ústavy)</w:t>
      </w:r>
    </w:p>
    <w:p w14:paraId="167DABB1" w14:textId="77777777" w:rsidR="00073389" w:rsidRDefault="00073389" w:rsidP="00CA15E0">
      <w:pPr>
        <w:pStyle w:val="DTlotextu1"/>
      </w:pPr>
      <w:r>
        <w:t xml:space="preserve">Návrh nezakládá žádné povinnosti vůči samosprávným celkům, ani jiným způsobem nezasahuje a neomezuje právo na jejich samosprávu. Nemá tedy žádný dopad do práva na samosprávu samosprávných celků. </w:t>
      </w:r>
    </w:p>
    <w:p w14:paraId="5428C9A8" w14:textId="2DF2EC1D" w:rsidR="00073389" w:rsidRPr="00CA15E0" w:rsidRDefault="008772C9" w:rsidP="00144FA3">
      <w:pPr>
        <w:pStyle w:val="Nadpis4"/>
      </w:pPr>
      <w:r>
        <w:t>Zákaz diskriminace (</w:t>
      </w:r>
      <w:r w:rsidR="00073389" w:rsidRPr="00CA15E0">
        <w:t xml:space="preserve">čl. 3 odst. 1 a čl. 24 Listiny). </w:t>
      </w:r>
    </w:p>
    <w:p w14:paraId="3BCD13AA" w14:textId="209E7EC4" w:rsidR="00073389" w:rsidRDefault="00073389" w:rsidP="00CA15E0">
      <w:pPr>
        <w:pStyle w:val="DTlotextu1"/>
      </w:pPr>
      <w:r w:rsidRPr="008A4AC6">
        <w:t>Návrh zákona tedy nediskriminuje žádné subjekty z důvodu jejich národního původu nebo státní příslušnosti.</w:t>
      </w:r>
    </w:p>
    <w:p w14:paraId="2E928698" w14:textId="6D466D95" w:rsidR="00073389" w:rsidRPr="00CA15E0" w:rsidRDefault="000C4D20" w:rsidP="004E5097">
      <w:pPr>
        <w:pStyle w:val="Nadpis4"/>
      </w:pPr>
      <w:r>
        <w:lastRenderedPageBreak/>
        <w:t>Výhrada zákona</w:t>
      </w:r>
      <w:r w:rsidR="008772C9">
        <w:t xml:space="preserve"> (</w:t>
      </w:r>
      <w:r w:rsidR="00073389" w:rsidRPr="00CA15E0">
        <w:t>čl. 4 odst. 1 Listiny).</w:t>
      </w:r>
    </w:p>
    <w:p w14:paraId="4642440B" w14:textId="0A0919F7" w:rsidR="00073389" w:rsidRDefault="00073389" w:rsidP="00CA15E0">
      <w:pPr>
        <w:pStyle w:val="DTlotextu1"/>
      </w:pPr>
      <w:r>
        <w:t>Předkládaný návrh zákona přesně vyme</w:t>
      </w:r>
      <w:r w:rsidR="004F03BE">
        <w:t>zuje nový okruh povinností pro nezpochybnitelně</w:t>
      </w:r>
      <w:r>
        <w:t xml:space="preserve"> </w:t>
      </w:r>
      <w:r w:rsidR="004F03BE">
        <w:t xml:space="preserve">stanovený </w:t>
      </w:r>
      <w:r>
        <w:t>okruh osob. V případě nově stanovovaných povinností se jedná o adaptaci vyplývající z právních předpisů Evropské unie, případně o povinnosti, které jsou přijímány na základě doporučení výboru Moneyval. Přestože jsou v rámci návrhu zákona ukládané nové povinnosti širšímu okruhu adresátu, jsou zachována veškerá práva a svobody těchto adresátů a k omezení těchto práv a svobod dochází pouze za situace, kde adresát nesplní některou z povinností (např. zadržení peněžní hotovosti vs. právo vlastnit majetek)</w:t>
      </w:r>
      <w:r w:rsidR="004F03BE">
        <w:t>, nebo jsou splněny podmínky k přijetí patřičného opatření (např. zmrazení majetku v případě uvedení subjektu na seznamu vydaném Radou bezpečnosti OSN)</w:t>
      </w:r>
      <w:r>
        <w:t>.</w:t>
      </w:r>
    </w:p>
    <w:p w14:paraId="6904E4B9" w14:textId="53888598" w:rsidR="00073389" w:rsidRPr="00CA15E0" w:rsidRDefault="007B51F1" w:rsidP="004E5097">
      <w:pPr>
        <w:pStyle w:val="Nadpis4"/>
      </w:pPr>
      <w:r>
        <w:t>Právo na soukromí (</w:t>
      </w:r>
      <w:r w:rsidR="00073389" w:rsidRPr="00CA15E0">
        <w:t xml:space="preserve">čl. 10 Listiny). </w:t>
      </w:r>
    </w:p>
    <w:p w14:paraId="1DC8038A" w14:textId="77777777" w:rsidR="00061526" w:rsidRDefault="00073389" w:rsidP="00CA15E0">
      <w:pPr>
        <w:pStyle w:val="DTlotextu1"/>
      </w:pPr>
      <w:r>
        <w:t>V rámci předloženého návrhu zákona stanovují kategorie zpracovávaných osobních údajů</w:t>
      </w:r>
      <w:r w:rsidR="00E370D2">
        <w:t xml:space="preserve"> nad rámec stávajícího stavu pouze v nezbytně nutném rozsahu</w:t>
      </w:r>
      <w:r>
        <w:t xml:space="preserve">. </w:t>
      </w:r>
    </w:p>
    <w:p w14:paraId="7BC7713C" w14:textId="21927D51" w:rsidR="00073389" w:rsidRDefault="00061526" w:rsidP="00CA15E0">
      <w:pPr>
        <w:pStyle w:val="DTlotextu1"/>
      </w:pPr>
      <w:r>
        <w:t xml:space="preserve">V případě </w:t>
      </w:r>
      <w:r w:rsidR="00073389">
        <w:t>navrhovaných kontrol</w:t>
      </w:r>
      <w:r w:rsidR="00E370D2">
        <w:t xml:space="preserve"> přeprav peněžní hotovosti, </w:t>
      </w:r>
      <w:r w:rsidR="00073389">
        <w:t xml:space="preserve">se vychází z již stanovených kategorií zpracovávaných osobních údajů. Navíc zákon přímo stanoví lhůtu, po kterou může FAÚ získané osobní údaje zpracovávat. Z pohledu ochrany osobních údajů lze tedy navrhovaný zákon považovat za souladný s čl. 10 odst. 3 Listiny. </w:t>
      </w:r>
    </w:p>
    <w:p w14:paraId="0BDE41DA" w14:textId="48C92C3C" w:rsidR="00061526" w:rsidRDefault="00061526" w:rsidP="00CA15E0">
      <w:pPr>
        <w:pStyle w:val="DTlotextu1"/>
      </w:pPr>
      <w:r>
        <w:t xml:space="preserve">V případě navržené úpravy mezinárodní spolupráce v oblasti provádění mezinárodních sankcí budou osobní údaje poskytovány </w:t>
      </w:r>
      <w:r w:rsidR="00260AAD">
        <w:t xml:space="preserve">cizímu státu nebo mezinárodní organizace pouze při splnění jasně definovaných podmínek </w:t>
      </w:r>
      <w:r w:rsidR="00B03372">
        <w:t>a dále se zohledněním skutečnosti</w:t>
      </w:r>
      <w:r>
        <w:t>,</w:t>
      </w:r>
      <w:r w:rsidR="00B03372">
        <w:t xml:space="preserve"> že</w:t>
      </w:r>
      <w:r>
        <w:t xml:space="preserve"> dotčené osoby vlastní majetek, který může být využit buď přímo, či nepřímo k</w:t>
      </w:r>
      <w:r w:rsidRPr="00061526">
        <w:t xml:space="preserve"> újm</w:t>
      </w:r>
      <w:r>
        <w:t>ě</w:t>
      </w:r>
      <w:r w:rsidRPr="00061526">
        <w:t xml:space="preserve"> práv druhých anebo v rozporu se zákonem chráněnými obecnými zájmy, k nimž lze řadit zájem na demokracii, principech právního státu či na dodržování mezinárodního práva. </w:t>
      </w:r>
    </w:p>
    <w:p w14:paraId="6FD49293" w14:textId="3A1109C4" w:rsidR="00073389" w:rsidRPr="00CA15E0" w:rsidRDefault="007B51F1" w:rsidP="004E5097">
      <w:pPr>
        <w:pStyle w:val="Nadpis4"/>
      </w:pPr>
      <w:r>
        <w:t>Ochrana vlastnického práva (</w:t>
      </w:r>
      <w:r w:rsidR="00073389" w:rsidRPr="00CA15E0">
        <w:t>čl. 11 Listiny).</w:t>
      </w:r>
    </w:p>
    <w:p w14:paraId="42D35D23" w14:textId="77777777" w:rsidR="00061526" w:rsidRDefault="00073389" w:rsidP="00CA15E0">
      <w:pPr>
        <w:pStyle w:val="DTlotextu1"/>
      </w:pPr>
      <w:r>
        <w:t xml:space="preserve">Navržená právní úprava přímo nedopadá na právo vlastnit majetek, pouze do určité míry stanoví podmínky pro prokazování původu určitého druhu majetku. </w:t>
      </w:r>
    </w:p>
    <w:p w14:paraId="4907FA27" w14:textId="662C0BD5" w:rsidR="00073389" w:rsidRDefault="00061526" w:rsidP="00CA15E0">
      <w:pPr>
        <w:pStyle w:val="DTlotextu1"/>
      </w:pPr>
      <w:r>
        <w:t xml:space="preserve">V případě navržené povinnosti související s přepravou peněžních prostředků má </w:t>
      </w:r>
      <w:r w:rsidR="00073389">
        <w:t xml:space="preserve">stanovené povinnosti </w:t>
      </w:r>
      <w:r>
        <w:t xml:space="preserve">osoba provádějící přepravu </w:t>
      </w:r>
      <w:r w:rsidR="00073389">
        <w:t xml:space="preserve">pouze za situace, kdy peněžní prostředky bude přepravovat v České republice. Jedná se tedy o obdobný princip, jako je v současné době již upraven ve vztahu k peněžní hotovosti, která do České republiky vstupuje z jiného než členského státu Evropské unie, nebo do tohoto státu vystupuje. S ohledem na účel zákona AML zákona, kterým je nastavení legislativních parametrů </w:t>
      </w:r>
      <w:r w:rsidR="00073389" w:rsidRPr="00E528C4">
        <w:t>pro</w:t>
      </w:r>
      <w:r w:rsidR="00073389">
        <w:t xml:space="preserve"> boj proti </w:t>
      </w:r>
      <w:r w:rsidR="00073389" w:rsidRPr="00E528C4">
        <w:t>legalizaci výnosů z trestné činnosti a financování terorismu</w:t>
      </w:r>
      <w:r w:rsidR="00073389">
        <w:t xml:space="preserve">, je zcela legitimním požadavkem na vlastníka peněžních prostředků, aby byl schopen prokázat původ peněžních prostředků a současně i předpokládaný účel jejich použití. Lze totiž vycházet z předpokladu, že každý legální vlastník peněžních prostředků je schopen prokázat legální původ takových prostředků. Prakticky se tedy nejedná o omezení práva na vlastnění majetku, ale pouze o stanovení povinnosti prokázat původ, což u legálního majetku nemůže způsobovat komplikace. Z důvodu přívětivosti pak bude možné poskytovat informace </w:t>
      </w:r>
      <w:r w:rsidR="00C804A9" w:rsidRPr="00C804A9">
        <w:t>na místě kontroly na základě výzvy orgánu</w:t>
      </w:r>
      <w:r w:rsidR="00073389">
        <w:t xml:space="preserve"> Celní správy České republiky. Aby bylo možné danou povinnost vynutit, je upraven jednak přestupek za situace, kdy přepravující osoba neposkytne požadované informace a současně je upravováno i předběžné opatření pro situace, kdy osoba chce poskytnout informace, ale na místě jimi nedisponuje, nebo pro situace, kdy existuje pochybnost o správnosti poskytovaných informací, a to zadržení peněžní hotovosti. V daném případě je upraven dočasný zásah do práva vlastnit majetek, ale zákon současně taxativně stanoví, za jaké situace musí být zadržená peněžní hotovost vrácena. </w:t>
      </w:r>
    </w:p>
    <w:p w14:paraId="4C768169" w14:textId="33713C52" w:rsidR="00A3072A" w:rsidRDefault="00017C43" w:rsidP="004E5097">
      <w:pPr>
        <w:pStyle w:val="DTlotextu1"/>
      </w:pPr>
      <w:r w:rsidRPr="009969CE">
        <w:lastRenderedPageBreak/>
        <w:t>V případě zmrazování majetku</w:t>
      </w:r>
      <w:r w:rsidR="00A3072A" w:rsidRPr="009969CE">
        <w:t>, na které</w:t>
      </w:r>
      <w:r w:rsidR="00A3072A">
        <w:t xml:space="preserve"> se bude vztahovat opatření obecné povahy vydané FAÚ, se bude jednat o masivní zásah do práva vlastnit majetek. </w:t>
      </w:r>
      <w:r w:rsidR="0038087F">
        <w:t>O</w:t>
      </w:r>
      <w:r w:rsidR="00045A18">
        <w:t xml:space="preserve">soby a subjekty </w:t>
      </w:r>
      <w:r w:rsidR="0038087F">
        <w:t xml:space="preserve">dotčené na </w:t>
      </w:r>
      <w:r w:rsidR="00045A18">
        <w:t xml:space="preserve">svých právech opatřením obecné povahy </w:t>
      </w:r>
      <w:r w:rsidR="008A4AC6">
        <w:t xml:space="preserve">však </w:t>
      </w:r>
      <w:r w:rsidR="0038087F">
        <w:t xml:space="preserve">vyplývají z vybraných </w:t>
      </w:r>
      <w:r w:rsidR="00045A18">
        <w:t>sankční seznam</w:t>
      </w:r>
      <w:r w:rsidR="0038087F">
        <w:t>ů</w:t>
      </w:r>
      <w:r w:rsidR="00045A18">
        <w:t xml:space="preserve"> vydaných Radou bezpečnosti OSN</w:t>
      </w:r>
      <w:r w:rsidR="007C6DEA">
        <w:t>.</w:t>
      </w:r>
      <w:r w:rsidR="007C6DEA" w:rsidRPr="007C6DEA">
        <w:t xml:space="preserve"> </w:t>
      </w:r>
      <w:r w:rsidR="007C6DEA">
        <w:t>Proces, pro zápis jednotlivých osob nebo subjektů na konsolidovaný seznam, je popsán v</w:t>
      </w:r>
      <w:r w:rsidR="00FB5AA3">
        <w:t xml:space="preserve"> </w:t>
      </w:r>
      <w:r w:rsidR="007C6DEA">
        <w:t xml:space="preserve">rezolucích. </w:t>
      </w:r>
      <w:r w:rsidR="00FB5AA3">
        <w:t>Zpravidla se vyžaduje, aby členské státy OSN kromě identifikačních údajů poskytly, také podrobnou zprávu o případu, na jejímž základě byl podán návrh na zařazení na sankční seznam. Kromě toho se požaduje, aby dotčené státy informovaly fyzické nebo právnické osoby či subjekty uvedené na konsolidovaném seznamu, o opatřeních, která jim byla uložena, a zejména o postupech pro zařazení na seznam, případně o následném vyřazení ze seznamu. Osoby a subjekty jsou tedy na sankční seznam zařazovány na základě důkladného posouzení oprávněnosti žádosti ze strany</w:t>
      </w:r>
      <w:r w:rsidR="005F66AA">
        <w:t xml:space="preserve"> rady bezpečnosti OSN</w:t>
      </w:r>
      <w:r w:rsidR="00FB5AA3">
        <w:t xml:space="preserve"> a v rámci daného postupu jsou jim přiznána některá práva (např. být informován o zařazení na seznam). Z pohledu práva vlastnit majetek je též nutno uvést</w:t>
      </w:r>
      <w:r w:rsidR="0006508B" w:rsidRPr="0006508B">
        <w:t xml:space="preserve">, že </w:t>
      </w:r>
      <w:r w:rsidR="0006508B">
        <w:t xml:space="preserve">vlastnictví majetku </w:t>
      </w:r>
      <w:r w:rsidR="0006508B" w:rsidRPr="0006508B">
        <w:t>není jen právem podle Listiny, nýbrž že vlastnictví t</w:t>
      </w:r>
      <w:r w:rsidR="0006508B">
        <w:t>éž</w:t>
      </w:r>
      <w:r w:rsidR="0006508B" w:rsidRPr="0006508B">
        <w:t xml:space="preserve"> zavazuje a nesmí být zneužito na újmu práv druhých anebo v rozporu se zákonem chráněnými obecnými zájmy</w:t>
      </w:r>
      <w:r w:rsidR="00FB5AA3">
        <w:t xml:space="preserve">. Mezi tyto zájmy </w:t>
      </w:r>
      <w:r w:rsidR="0006508B" w:rsidRPr="0006508B">
        <w:t>lze řadit zájem na demokracii, principech právního státu či na dodržování mezinárodního práva. Vlastnictví proto může být omezeno při sledování legitimního cíle, který je v zájmu společnosti, jímž bezesporu je docílení změny jednání sankcemi dotčených osob</w:t>
      </w:r>
      <w:r w:rsidR="009969CE">
        <w:t xml:space="preserve">. </w:t>
      </w:r>
      <w:r w:rsidR="00A3072A" w:rsidRPr="00A3072A">
        <w:t>Ústavní podmínka omezení práv</w:t>
      </w:r>
      <w:r w:rsidR="005F66AA">
        <w:t>a</w:t>
      </w:r>
      <w:r w:rsidR="00A3072A" w:rsidRPr="00A3072A">
        <w:t xml:space="preserve"> </w:t>
      </w:r>
      <w:r w:rsidR="009969CE">
        <w:t xml:space="preserve">vlastnit majetek </w:t>
      </w:r>
      <w:r w:rsidR="00A3072A" w:rsidRPr="00A3072A">
        <w:t>pouze zákonem je splněna s tím, že rozsah jeh</w:t>
      </w:r>
      <w:r w:rsidR="005F66AA">
        <w:t>o</w:t>
      </w:r>
      <w:r w:rsidR="00A3072A" w:rsidRPr="00A3072A">
        <w:t xml:space="preserve"> omezení je proporcionální k závažnosti sankcemi postihovaného jednání, jelikož postihovaná jednání jsou typu činnosti narušující nebo ohrožující územní celistvost, svrchovanost a nezávislost státu nebo poškozování mírového procesu.</w:t>
      </w:r>
      <w:r w:rsidR="009969CE">
        <w:t xml:space="preserve"> Současně je zajištěna řádná soudní ochrana proti takovému zásahu do vlastnických práv, a to </w:t>
      </w:r>
      <w:r w:rsidR="008A4AC6">
        <w:t>n</w:t>
      </w:r>
      <w:r w:rsidR="008A4AC6" w:rsidRPr="008A4AC6">
        <w:t>ávrh</w:t>
      </w:r>
      <w:r w:rsidR="008A4AC6">
        <w:t>em</w:t>
      </w:r>
      <w:r w:rsidR="008A4AC6" w:rsidRPr="008A4AC6">
        <w:t xml:space="preserve"> na zrušení opatře</w:t>
      </w:r>
      <w:r w:rsidR="005F66AA">
        <w:t>ní obecné povahy nebo jeho části</w:t>
      </w:r>
      <w:r w:rsidR="008A4AC6">
        <w:t xml:space="preserve"> podle § 101a soudního řádu správního.</w:t>
      </w:r>
    </w:p>
    <w:p w14:paraId="3BF6042E" w14:textId="77777777" w:rsidR="007B51F1" w:rsidRDefault="007B51F1" w:rsidP="007B51F1">
      <w:pPr>
        <w:pStyle w:val="DTlotextu1"/>
      </w:pPr>
      <w:r>
        <w:t xml:space="preserve">Předložený návrh zákona nezavádí žádné nové daně, poplatky nebo obdobná peněžitá plnění. </w:t>
      </w:r>
    </w:p>
    <w:p w14:paraId="77BD1689" w14:textId="2E3A23C0" w:rsidR="00073389" w:rsidRPr="00CA15E0" w:rsidRDefault="007B51F1" w:rsidP="004E5097">
      <w:pPr>
        <w:pStyle w:val="Nadpis4"/>
      </w:pPr>
      <w:r>
        <w:t>Ochrana listovního tajemství (</w:t>
      </w:r>
      <w:r w:rsidR="00073389" w:rsidRPr="00CA15E0">
        <w:t>čl. 13 Listiny).</w:t>
      </w:r>
    </w:p>
    <w:p w14:paraId="2C166FF2" w14:textId="544FCA4B" w:rsidR="00073389" w:rsidRDefault="00073389" w:rsidP="00CA15E0">
      <w:pPr>
        <w:pStyle w:val="DTlotextu1"/>
      </w:pPr>
      <w:r>
        <w:t xml:space="preserve">Návrh zákona za určitých situací předpokládá možnost kontroly listovních zásilek zasílaných uvnitř Evropské unie, a to ze strany orgánů </w:t>
      </w:r>
      <w:r w:rsidR="00E370D2">
        <w:t>c</w:t>
      </w:r>
      <w:r>
        <w:t xml:space="preserve">elní správy. Protože taková kontrola zahrnuje ověření informací o původu a zamýšleném použití peněžní hotovosti, a protože pojem peněžní hotovost kromě </w:t>
      </w:r>
      <w:r w:rsidRPr="0062265C">
        <w:t>platných platidel v české nebo cizí měně, mincí s obsahem zlata nejméně 90 %</w:t>
      </w:r>
      <w:r>
        <w:t xml:space="preserve"> a</w:t>
      </w:r>
      <w:r w:rsidRPr="0062265C">
        <w:t xml:space="preserve"> slitků s vysokou ryzostí s obsahem zlata alespoň 99,5 %,</w:t>
      </w:r>
      <w:r>
        <w:t xml:space="preserve"> zahrnuje také </w:t>
      </w:r>
      <w:r w:rsidRPr="0062265C">
        <w:t>cestovní šek</w:t>
      </w:r>
      <w:r>
        <w:t>y</w:t>
      </w:r>
      <w:r w:rsidRPr="0062265C">
        <w:t xml:space="preserve"> nebo peněžní poukázk</w:t>
      </w:r>
      <w:r>
        <w:t>y</w:t>
      </w:r>
      <w:r w:rsidRPr="0062265C">
        <w:t xml:space="preserve"> směniteln</w:t>
      </w:r>
      <w:r>
        <w:t>é</w:t>
      </w:r>
      <w:r w:rsidRPr="0062265C">
        <w:t xml:space="preserve"> za hotové peníze, cenn</w:t>
      </w:r>
      <w:r>
        <w:t>é</w:t>
      </w:r>
      <w:r w:rsidRPr="0062265C">
        <w:t xml:space="preserve"> papír</w:t>
      </w:r>
      <w:r>
        <w:t>y</w:t>
      </w:r>
      <w:r w:rsidRPr="0062265C">
        <w:t xml:space="preserve"> na doručitele nebo na řad, jakož i další investiční nástroj</w:t>
      </w:r>
      <w:r>
        <w:t>e</w:t>
      </w:r>
      <w:r w:rsidRPr="0062265C">
        <w:t>, které jsou podepsané, ale neobsahují jméno příjemce</w:t>
      </w:r>
      <w:r>
        <w:t>, je nutné při takové kontrole prolomit listovní tajemství. Některé peněžní prostředky jsou z povahy věci listinou (nejedná se o peníze ani o zboží) a tudíž jsou chráněny listovním tajemstvím. Bez navrženého prolomení listovního tajemství by nebyla možná jakákoliv kontrola. Prolomení listovního tajemství je ve vztahu ke kontrolám prováděným orgány Celní správy</w:t>
      </w:r>
      <w:r w:rsidRPr="0021141D">
        <w:t xml:space="preserve"> </w:t>
      </w:r>
      <w:r>
        <w:t xml:space="preserve">České republiky již v současnosti upraveno, a to pro kontroly zásilek zasílaných ze zemí mimo Evropskou unii nebo do takových zemí odesílaných (viz § 6 odst. 1 zákona č. 242/2016 Sb., celní zákon, ve znění pozdějších předpisů). V případě kontroly zásilky, na kterou se vztahuje listovní tajemství, jsou následně zjištěné informace chráněny mlčenlivostí stanovenou orgánům </w:t>
      </w:r>
      <w:r w:rsidR="00E370D2">
        <w:t>c</w:t>
      </w:r>
      <w:r>
        <w:t xml:space="preserve">elní správy daňovým řádem. V daném případě je vybalancován zájem státu na ověřování původu zasílané peněžní hotovosti a ochrana informací v takové zásilce obsažených. Navržená úprava tedy není v rozporu s čl. 13 Listiny, ani s čl. 17 </w:t>
      </w:r>
      <w:r w:rsidRPr="007717A4">
        <w:t>Mezinárodního paktu o občanských a politických právech</w:t>
      </w:r>
      <w:r>
        <w:t>.</w:t>
      </w:r>
    </w:p>
    <w:p w14:paraId="24347A1A" w14:textId="3007B0E0" w:rsidR="00FE72EF" w:rsidRPr="00FE72EF" w:rsidRDefault="00FE72EF" w:rsidP="004E5097">
      <w:pPr>
        <w:pStyle w:val="Nadpis4"/>
      </w:pPr>
      <w:r w:rsidRPr="00FE72EF">
        <w:lastRenderedPageBreak/>
        <w:t>Závěr</w:t>
      </w:r>
    </w:p>
    <w:p w14:paraId="2C0CA949" w14:textId="77777777" w:rsidR="00073389" w:rsidRDefault="00073389" w:rsidP="00CA15E0">
      <w:pPr>
        <w:pStyle w:val="DTlotextu1"/>
      </w:pPr>
      <w:r w:rsidRPr="00A30051">
        <w:t>Navrhovaná právní úprava je z výše uvedených hledisek plně v souladu s ústavním pořádkem České republiky, a to i s judikaturou Ústavního soudu, vztahující se k této problematice.</w:t>
      </w:r>
    </w:p>
    <w:p w14:paraId="5E652E1B" w14:textId="3139AE84" w:rsidR="0003045D" w:rsidRPr="007E29B6" w:rsidRDefault="0003045D" w:rsidP="004E5097">
      <w:pPr>
        <w:pStyle w:val="Nadpis3"/>
      </w:pPr>
      <w:r w:rsidRPr="007E29B6">
        <w:t>Zhodnocení slučitelnosti navrhované právní úpravy se závazky vyplývajícími pro Českou republiku z jejího členství v Evropské unii</w:t>
      </w:r>
    </w:p>
    <w:p w14:paraId="076E737E" w14:textId="4895C900" w:rsidR="00292C55" w:rsidRDefault="7CB6E90F" w:rsidP="007E29B6">
      <w:pPr>
        <w:pStyle w:val="DTlotextu1"/>
      </w:pPr>
      <w:r>
        <w:t xml:space="preserve">Navrhovaná právní úprava je plně slučitelná s právem Evropské unie a ustanovení navrhované právní úpravy nezakládají rozpor s primárním právem Evropské unie ve světle ustálené judikatury Soudního dvora Evropské unie (dále jen „SDEU“). </w:t>
      </w:r>
      <w:r w:rsidR="4F0ED967">
        <w:t xml:space="preserve">Na </w:t>
      </w:r>
      <w:r>
        <w:t>Právní úpravu v oblasti legalizace výnosů z trestné činnosti je v tomto ohledu třeba nahlížet mj. i jako prostředek zajištění fungování vnitřního trhu EU, neboť toky peněz získaných nezákonným způsobem mohou poškodit integritu, stabilitu a pověst finančního sektoru a ohrozit vnitřní trh Evropské unie.</w:t>
      </w:r>
    </w:p>
    <w:p w14:paraId="33515894" w14:textId="77777777" w:rsidR="00292C55" w:rsidRDefault="00292C55" w:rsidP="007E29B6">
      <w:pPr>
        <w:pStyle w:val="DTlotextu1"/>
      </w:pPr>
      <w:r>
        <w:t>Předkládaná právní úprava respektuje rovněž závazky, které pro Českou republiku vyplývají ze sekundárního práva EU.</w:t>
      </w:r>
    </w:p>
    <w:p w14:paraId="52BFFB42" w14:textId="77777777" w:rsidR="00292C55" w:rsidRDefault="00292C55" w:rsidP="007E29B6">
      <w:pPr>
        <w:pStyle w:val="DTlotextu1"/>
      </w:pPr>
      <w:r>
        <w:t>Konkrétně je předkládaná právní úprava v souladu s relevantním právem EU v oblasti legalizace výnosů z trestné činnosti a financování terorismu, a to s:</w:t>
      </w:r>
    </w:p>
    <w:p w14:paraId="2A16F67C" w14:textId="63824744" w:rsidR="00292C55" w:rsidRDefault="00292C55" w:rsidP="00346165">
      <w:pPr>
        <w:pStyle w:val="DTlotextu2"/>
        <w:numPr>
          <w:ilvl w:val="0"/>
          <w:numId w:val="36"/>
        </w:numPr>
      </w:pPr>
      <w:r>
        <w:t>AML směrnicí,</w:t>
      </w:r>
    </w:p>
    <w:p w14:paraId="4DFAAEEA" w14:textId="4A414508" w:rsidR="00292C55" w:rsidRDefault="00292C55" w:rsidP="00346165">
      <w:pPr>
        <w:pStyle w:val="DTlotextu2"/>
        <w:numPr>
          <w:ilvl w:val="0"/>
          <w:numId w:val="36"/>
        </w:numPr>
      </w:pPr>
      <w:r>
        <w:t>Nařízením Evropského parlamentu a Rady (EU) 2018/1672 ze dne 23. října 2018 o kontrolách peněžní hotovosti vstupující do Unie nebo ji opouštějící a o zrušení nařízení (ES) č. 1889/2005,</w:t>
      </w:r>
    </w:p>
    <w:p w14:paraId="692501C2" w14:textId="7F61969D" w:rsidR="00292C55" w:rsidRPr="00D702DF" w:rsidRDefault="00292C55" w:rsidP="00346165">
      <w:pPr>
        <w:pStyle w:val="DTlotextu2"/>
        <w:numPr>
          <w:ilvl w:val="0"/>
          <w:numId w:val="36"/>
        </w:numPr>
      </w:pPr>
      <w:r w:rsidRPr="00D702DF">
        <w:t>Nařízením TFR,</w:t>
      </w:r>
    </w:p>
    <w:p w14:paraId="01C6AE8B" w14:textId="0821BC12" w:rsidR="00292C55" w:rsidRDefault="00292C55" w:rsidP="00346165">
      <w:pPr>
        <w:pStyle w:val="DTlotextu2"/>
        <w:numPr>
          <w:ilvl w:val="0"/>
          <w:numId w:val="36"/>
        </w:numPr>
      </w:pPr>
      <w:r w:rsidRPr="00D702DF">
        <w:t>Nařízením MiCA,</w:t>
      </w:r>
    </w:p>
    <w:p w14:paraId="251525DE" w14:textId="25A7BE29" w:rsidR="00292C55" w:rsidRDefault="00292C55" w:rsidP="00346165">
      <w:pPr>
        <w:pStyle w:val="DTlotextu2"/>
        <w:numPr>
          <w:ilvl w:val="0"/>
          <w:numId w:val="36"/>
        </w:numPr>
      </w:pPr>
      <w:r>
        <w:t>Prováděcím nařízením Komise (EU) 2021/776 ze dne 11. května 2021, kterým se zavádí šablony určitých formulářů a technická pravidla pro účinnou výměnu informací podle nařízení Evropského parlamentu a Rady (EU) 2018/1672 o kontrolách peněžní hotovosti vstupující do Unie nebo ji opouštějící.</w:t>
      </w:r>
    </w:p>
    <w:p w14:paraId="375A8DD7" w14:textId="4E6169AE" w:rsidR="00292C55" w:rsidRDefault="00292C55" w:rsidP="007E29B6">
      <w:pPr>
        <w:pStyle w:val="DTlotextu1"/>
      </w:pPr>
      <w:r>
        <w:t>Návrh zákona vychází, jak z výše uvedených právních předpisů EU, tak i z</w:t>
      </w:r>
      <w:r w:rsidRPr="00292C55">
        <w:t xml:space="preserve"> doporučení z hodnocení výboru Moneyval</w:t>
      </w:r>
      <w:r w:rsidR="00911FF5">
        <w:t>.</w:t>
      </w:r>
      <w:r>
        <w:t xml:space="preserve"> </w:t>
      </w:r>
    </w:p>
    <w:p w14:paraId="39D25725" w14:textId="40B9DA87" w:rsidR="00306F1F" w:rsidRDefault="00292C55" w:rsidP="00306F1F">
      <w:pPr>
        <w:pStyle w:val="DTlotextu1"/>
      </w:pPr>
      <w:r>
        <w:t>Návrh zákona je plně slučitelný se závazky vyplývajícími pro Českou republiku z jejího členství v Evropské unii.</w:t>
      </w:r>
    </w:p>
    <w:p w14:paraId="5565E90D" w14:textId="77777777" w:rsidR="00306F1F" w:rsidRPr="00306F1F" w:rsidRDefault="00306F1F" w:rsidP="00306F1F">
      <w:pPr>
        <w:pStyle w:val="DTlotextu1"/>
      </w:pPr>
      <w:r>
        <w:t xml:space="preserve">Součástí předloženého návrhu jsou také dílčí upřesnění právní úpravy </w:t>
      </w:r>
      <w:r w:rsidRPr="00306F1F">
        <w:t xml:space="preserve">zákona o mezinárodní spolupráci při správě daní. Tento zákon zajišťuje transpozic </w:t>
      </w:r>
      <w:r w:rsidRPr="00151204">
        <w:t>směrnice Rady 2011/16/EU, o správní spolupráci v oblasti daní a o zrušení směrnice 77/799/EHS</w:t>
      </w:r>
      <w:r>
        <w:t xml:space="preserve"> a všechny její následné novelizace, tj. včetně směrnice DAC7.</w:t>
      </w:r>
      <w:r w:rsidRPr="00306F1F">
        <w:t xml:space="preserve"> Cílem přijetí navržené právní úpravy je zajištění plného soulad právní úpravy ČR a to:</w:t>
      </w:r>
    </w:p>
    <w:p w14:paraId="41AA83EB" w14:textId="77777777" w:rsidR="00306F1F" w:rsidRDefault="00306F1F" w:rsidP="00306F1F">
      <w:pPr>
        <w:pStyle w:val="DTlotextu1"/>
        <w:widowControl w:val="0"/>
        <w:numPr>
          <w:ilvl w:val="0"/>
          <w:numId w:val="30"/>
        </w:numPr>
      </w:pPr>
      <w:r>
        <w:t>se směrnicí</w:t>
      </w:r>
      <w:r w:rsidRPr="00151204">
        <w:t xml:space="preserve"> Rady (EU) 2021/514, kterou se mění směrnice 2011/16/EU o správní spolupráci v oblasti daní, a kterou se mimo jiné zavádí povinná automatická výměna informací oznamovaných provozovateli platforem (směrnice DAC 7)</w:t>
      </w:r>
      <w:r>
        <w:t>,</w:t>
      </w:r>
    </w:p>
    <w:p w14:paraId="4593B34D" w14:textId="77777777" w:rsidR="00306F1F" w:rsidRPr="00E6258D" w:rsidRDefault="00306F1F" w:rsidP="00E75201">
      <w:pPr>
        <w:pStyle w:val="DTlotextu1"/>
        <w:numPr>
          <w:ilvl w:val="0"/>
          <w:numId w:val="30"/>
        </w:numPr>
        <w:ind w:left="714" w:hanging="357"/>
      </w:pPr>
      <w:r w:rsidRPr="00306F1F">
        <w:rPr>
          <w:i/>
        </w:rPr>
        <w:lastRenderedPageBreak/>
        <w:t>Vzorovými pravidly pro podávání zpráv provozovateli platforem, pokud jde o prodejce v rámci sdílené a zakázkové ekonomiky</w:t>
      </w:r>
      <w:r w:rsidRPr="00306F1F">
        <w:rPr>
          <w:vertAlign w:val="superscript"/>
        </w:rPr>
        <w:footnoteReference w:id="3"/>
      </w:r>
      <w:r w:rsidRPr="00E6258D">
        <w:t xml:space="preserve">, která byla připravena v rámci Organizace pro hospodářskou spolupráci a rozvoj (OECD) v </w:t>
      </w:r>
      <w:r>
        <w:t>roce 2020, a</w:t>
      </w:r>
    </w:p>
    <w:p w14:paraId="4E525E26" w14:textId="77777777" w:rsidR="00306F1F" w:rsidRPr="00306F1F" w:rsidRDefault="00306F1F" w:rsidP="00306F1F">
      <w:pPr>
        <w:pStyle w:val="DTlotextu1"/>
        <w:widowControl w:val="0"/>
        <w:numPr>
          <w:ilvl w:val="0"/>
          <w:numId w:val="30"/>
        </w:numPr>
        <w:rPr>
          <w:i/>
        </w:rPr>
      </w:pPr>
      <w:r w:rsidRPr="00306F1F">
        <w:rPr>
          <w:i/>
        </w:rPr>
        <w:t>Vzorovými pravidly OECD pro podávání zpráv digitálními platformami z roku 2021: Rámec pro mezinárodní výměnu a volitelný modul pro prodej zboží</w:t>
      </w:r>
      <w:r w:rsidRPr="00306F1F">
        <w:rPr>
          <w:i/>
          <w:vertAlign w:val="superscript"/>
        </w:rPr>
        <w:footnoteReference w:id="4"/>
      </w:r>
      <w:r w:rsidRPr="00306F1F">
        <w:rPr>
          <w:i/>
        </w:rPr>
        <w:t>.</w:t>
      </w:r>
    </w:p>
    <w:p w14:paraId="491F9484" w14:textId="3261E54F" w:rsidR="00306F1F" w:rsidRDefault="00306F1F" w:rsidP="007E29B6">
      <w:pPr>
        <w:pStyle w:val="DTlotextu1"/>
      </w:pPr>
      <w:r>
        <w:t xml:space="preserve">Potřeba upřesnění právní úpravy byla vyvolána změnou výkladu pravidel na mezinárodní úrovni, tj. v rámci orgánů EU a OECD, ke kterým došlo až po přijetí implantačního zákona. V případě rozporu zákona ČR a směrnice EU se daňové subjekty mohou opřít o přímý účinek směrnice a správce daně může při výkonu své kompetence postupovat tak, že akceptuje spoléhání se daňového subjektu na výklad, který je v souladu se směrnicí DAC7 do doby, než nabyde účinnosti předložený návrh zákona. </w:t>
      </w:r>
    </w:p>
    <w:p w14:paraId="16D02868" w14:textId="77777777" w:rsidR="0003045D" w:rsidRPr="007E29B6" w:rsidRDefault="0003045D" w:rsidP="004E5097">
      <w:pPr>
        <w:pStyle w:val="Nadpis3"/>
      </w:pPr>
      <w:r w:rsidRPr="007E29B6">
        <w:t>Zhodnocení souladu navrhované právní úpravy s mezinárodními smlouvami, jimiž je Česká republika vázána</w:t>
      </w:r>
    </w:p>
    <w:p w14:paraId="4AAAE76F" w14:textId="2EEA4539" w:rsidR="0003045D" w:rsidRPr="00691B9B" w:rsidRDefault="0003045D" w:rsidP="004E5097">
      <w:pPr>
        <w:pStyle w:val="DTlotextu1"/>
        <w:rPr>
          <w:rFonts w:eastAsia="Calibri"/>
          <w:lang w:eastAsia="en-US"/>
        </w:rPr>
      </w:pPr>
      <w:r w:rsidRPr="00691B9B">
        <w:rPr>
          <w:rFonts w:eastAsia="Calibri"/>
          <w:lang w:eastAsia="en-US"/>
        </w:rPr>
        <w:t>Návrh zákona je plně v souladu s mezinárodními smlouvami, jimiž je Česká republika vázána, a dále s obecně uznávaným</w:t>
      </w:r>
      <w:r w:rsidR="008816E3">
        <w:rPr>
          <w:rFonts w:eastAsia="Calibri"/>
          <w:lang w:eastAsia="en-US"/>
        </w:rPr>
        <w:t>i zásadami mezinárodního práva.</w:t>
      </w:r>
    </w:p>
    <w:p w14:paraId="69CE6FE5" w14:textId="77777777" w:rsidR="007D6BA1" w:rsidRPr="009B22A7" w:rsidRDefault="007D6BA1" w:rsidP="009B22A7">
      <w:pPr>
        <w:pStyle w:val="DTlotextu1"/>
        <w:rPr>
          <w:rFonts w:eastAsia="Calibri"/>
          <w:lang w:eastAsia="en-US"/>
        </w:rPr>
      </w:pPr>
      <w:r w:rsidRPr="009B22A7">
        <w:rPr>
          <w:rFonts w:eastAsia="Calibri"/>
          <w:lang w:eastAsia="en-US"/>
        </w:rPr>
        <w:t>Vyhlášené mezinárodní smlouvy, k jejichž ratifikaci dal Parlament souhlas a jimiž je Česká republika vázána, jsou podle článku 10 Ústavy součástí právního řádu České republiky. Tyto mezinárodní smlouvy, mají z hlediska hierarchie právních předpisů aplikační přednost před zákony a právními předpisy nižší právní síly. Článek 10 Ústavy tak zaručuje, že při případném nesouladu vnitrostátního práva s mezinárodní smlouvou musí být respektována právě mezinárodní smlouva podle článku 10 Ústavy. Stanoví-li tedy mezinárodní smlouva podle článku 10 Ústavy něco jiného než zákon, použije se mezinárodní smlouva. Ústavní soud navíc v nálezu publikovaném pod č. 403/2002 Sb. rozhodl, že si tehdy platné mezinárodní smlouvy o lidských právech a základních svobodách zachovávají hierarchickou přednost před zákonem.</w:t>
      </w:r>
    </w:p>
    <w:p w14:paraId="2FA7A3DF" w14:textId="7A2B7D80" w:rsidR="007D6BA1" w:rsidRPr="009B22A7" w:rsidRDefault="007D6BA1" w:rsidP="009B22A7">
      <w:pPr>
        <w:pStyle w:val="Nadpis4"/>
      </w:pPr>
      <w:r w:rsidRPr="009B22A7">
        <w:t>Úmluva o ochraně lidských práv a základních svobod</w:t>
      </w:r>
    </w:p>
    <w:p w14:paraId="4D466945" w14:textId="77777777" w:rsidR="007D6BA1" w:rsidRPr="009B22A7" w:rsidRDefault="007D6BA1" w:rsidP="009B22A7">
      <w:pPr>
        <w:pStyle w:val="DTlotextu1"/>
        <w:rPr>
          <w:rFonts w:eastAsia="Calibri"/>
          <w:lang w:eastAsia="en-US"/>
        </w:rPr>
      </w:pPr>
      <w:r w:rsidRPr="009B22A7">
        <w:rPr>
          <w:rFonts w:eastAsia="Calibri"/>
          <w:lang w:eastAsia="en-US"/>
        </w:rPr>
        <w:t>Navržená právní úprava se dotýká některých práv zakotvených v Úmluvě o ochraně lidských práv a základních svobod (viz sdělení Federálního ministerstva zahraničních věcí č. 209/1992 Sb., dále jen „Úmluva“), a proto je nutné přistoupit k podrobnějšímu posouzení těchto zásahů a zhodnotit jejich slučitelnost s Úmluvou ve světle jejího výkladu podaného Evropským soudem pro lidská práva.</w:t>
      </w:r>
    </w:p>
    <w:p w14:paraId="21414BF1" w14:textId="6080C048" w:rsidR="007D6BA1" w:rsidRPr="009B22A7" w:rsidRDefault="007D6BA1" w:rsidP="009B22A7">
      <w:pPr>
        <w:pStyle w:val="Nadpis5"/>
      </w:pPr>
      <w:r w:rsidRPr="009B22A7">
        <w:t>Právo na respektování soukromého a rodinného života</w:t>
      </w:r>
    </w:p>
    <w:p w14:paraId="610B2827" w14:textId="77777777" w:rsidR="007D6BA1" w:rsidRPr="009B22A7" w:rsidRDefault="007D6BA1" w:rsidP="009B22A7">
      <w:pPr>
        <w:pStyle w:val="DTlotextu1"/>
        <w:rPr>
          <w:rFonts w:eastAsia="Calibri"/>
          <w:lang w:eastAsia="en-US"/>
        </w:rPr>
      </w:pPr>
      <w:r w:rsidRPr="009B22A7">
        <w:rPr>
          <w:rFonts w:eastAsia="Calibri"/>
          <w:lang w:eastAsia="en-US"/>
        </w:rPr>
        <w:t xml:space="preserve">Závěry z posouzení dopadů navrhované právní úpravy do práva na ochranu soukromí a osobních údajů provedeného v části 7 jsou zásadně použitelné i při posuzování zásahů do práva na respektování soukromého a rodinného života. </w:t>
      </w:r>
    </w:p>
    <w:p w14:paraId="04104493" w14:textId="473FBC16" w:rsidR="007D6BA1" w:rsidRPr="009B22A7" w:rsidRDefault="007D6BA1" w:rsidP="009B22A7">
      <w:pPr>
        <w:pStyle w:val="Nadpis5"/>
      </w:pPr>
      <w:r w:rsidRPr="009B22A7">
        <w:lastRenderedPageBreak/>
        <w:t>Právo na účinný prostředek nápravy</w:t>
      </w:r>
    </w:p>
    <w:p w14:paraId="7F237E29" w14:textId="77777777" w:rsidR="007D6BA1" w:rsidRPr="009B22A7" w:rsidRDefault="007D6BA1" w:rsidP="009B22A7">
      <w:pPr>
        <w:pStyle w:val="DTlotextu1"/>
        <w:rPr>
          <w:rFonts w:eastAsia="Calibri"/>
          <w:lang w:eastAsia="en-US"/>
        </w:rPr>
      </w:pPr>
      <w:r w:rsidRPr="009B22A7">
        <w:rPr>
          <w:rFonts w:eastAsia="Calibri"/>
          <w:lang w:eastAsia="en-US"/>
        </w:rPr>
        <w:t>Článek 13 Úmluvy zaručuje každému, kdo má za to, že bylo porušeno jeho právo přiznané Úmluvou, právo na účinné právní prostředky nápravy. Navržená právní úprava sama o sobě neobsahuje zvláštní úpravu právních prostředků nápravy zásahu do práva. Lze však užít institutů zakotvených v obecných předpisech, a to zejména ve správním řádu.</w:t>
      </w:r>
    </w:p>
    <w:p w14:paraId="0FABE508" w14:textId="77777777" w:rsidR="007D6BA1" w:rsidRPr="009B22A7" w:rsidRDefault="007D6BA1" w:rsidP="009B22A7">
      <w:pPr>
        <w:pStyle w:val="DTlotextu1"/>
        <w:rPr>
          <w:rFonts w:eastAsia="Calibri"/>
          <w:lang w:eastAsia="en-US"/>
        </w:rPr>
      </w:pPr>
      <w:r w:rsidRPr="009B22A7">
        <w:rPr>
          <w:rFonts w:eastAsia="Calibri"/>
          <w:lang w:eastAsia="en-US"/>
        </w:rPr>
        <w:t>V případě neoprávněného zásahu způsobeného Finančním analytickým úřadem nebo dozorčím úřadem má dotčená osoba právo na náhradu škody či nemajetkové újmy způsobené nesprávným úředním postupem podle zvláštního zákona.</w:t>
      </w:r>
    </w:p>
    <w:p w14:paraId="507E1A61" w14:textId="58BD1500" w:rsidR="007D6BA1" w:rsidRPr="009B22A7" w:rsidRDefault="007D6BA1" w:rsidP="009B22A7">
      <w:pPr>
        <w:pStyle w:val="Nadpis5"/>
      </w:pPr>
      <w:r w:rsidRPr="009B22A7">
        <w:t>Zákaz diskriminace</w:t>
      </w:r>
    </w:p>
    <w:p w14:paraId="10C6D71B" w14:textId="77777777" w:rsidR="007D6BA1" w:rsidRPr="009B22A7" w:rsidRDefault="007D6BA1" w:rsidP="009B22A7">
      <w:pPr>
        <w:pStyle w:val="DTlotextu1"/>
        <w:rPr>
          <w:rFonts w:eastAsia="Calibri"/>
          <w:lang w:eastAsia="en-US"/>
        </w:rPr>
      </w:pPr>
      <w:r w:rsidRPr="009B22A7">
        <w:rPr>
          <w:rFonts w:eastAsia="Calibri"/>
          <w:lang w:eastAsia="en-US"/>
        </w:rPr>
        <w:t>Článek 14 Úmluvy stanoví, že užívání práv a svobod přiznaných Úmluvou musí být zajištěno bez diskriminace založené na jakémkoli důvodu, jako je pohlaví, rasa, barva pleti, jazyk, náboženství, politické nebo jiné smýšlení, národnostní nebo sociální původ, příslušnost k národnostní menšině, majetek, rod nebo jiné postavení. Zákaz diskriminace vyjádřený v článku 14 Úmluvy tak směřuje proti takovému zacházení, kdy by s osobami, které jsou ve stejném nebo obdobném postavení, bylo zacházeno nerovně, nebo naopak, kdy by s osobami, které se nacházejí v odlišném postavení, bylo zacházeno stejně, a tím by došlo k nerovnému uplatňování práv a svobod garantovaných Úmluvou. Pokud by takový přístup neměl žádné opodstatnění, resp. pokud by neměl žádný legitimní důvod, byl by diskriminační.</w:t>
      </w:r>
    </w:p>
    <w:p w14:paraId="3736CE72" w14:textId="77777777" w:rsidR="007D6BA1" w:rsidRPr="009B22A7" w:rsidRDefault="007D6BA1" w:rsidP="009B22A7">
      <w:pPr>
        <w:pStyle w:val="DTlotextu1"/>
        <w:rPr>
          <w:rFonts w:eastAsia="Calibri"/>
          <w:lang w:eastAsia="en-US"/>
        </w:rPr>
      </w:pPr>
      <w:r w:rsidRPr="009B22A7">
        <w:rPr>
          <w:rFonts w:eastAsia="Calibri"/>
          <w:lang w:eastAsia="en-US"/>
        </w:rPr>
        <w:t>Navrhovaná právní úprava přiznává povinným osobám ve stejném postavení stejná práva a ukládá tytéž povinnosti.</w:t>
      </w:r>
    </w:p>
    <w:p w14:paraId="4C9AC8A0" w14:textId="70E1B8E4" w:rsidR="007D6BA1" w:rsidRPr="009B22A7" w:rsidRDefault="007D6BA1" w:rsidP="009B22A7">
      <w:pPr>
        <w:pStyle w:val="Nadpis5"/>
      </w:pPr>
      <w:r w:rsidRPr="009B22A7">
        <w:t>Celkové zhodnocení navržené právní úpravy</w:t>
      </w:r>
    </w:p>
    <w:p w14:paraId="690F7A77" w14:textId="77777777" w:rsidR="007D6BA1" w:rsidRPr="009B22A7" w:rsidRDefault="007D6BA1" w:rsidP="009B22A7">
      <w:pPr>
        <w:pStyle w:val="DTlotextu1"/>
        <w:rPr>
          <w:rFonts w:eastAsia="Calibri"/>
          <w:lang w:eastAsia="en-US"/>
        </w:rPr>
      </w:pPr>
      <w:r w:rsidRPr="009B22A7">
        <w:rPr>
          <w:rFonts w:eastAsia="Calibri"/>
          <w:lang w:eastAsia="en-US"/>
        </w:rPr>
        <w:t>V rámci celkového zhodnocení navržené právní úpravy v kontextu Úmluvy lze konstatovat, že s ohledem na všechny výše uvedené skutečnosti je navrhovaná právní úprava plně slučitelná s touto Úmluvou.</w:t>
      </w:r>
    </w:p>
    <w:p w14:paraId="11DA06FE" w14:textId="46CF77E0" w:rsidR="007D6BA1" w:rsidRPr="009B22A7" w:rsidRDefault="007D6BA1" w:rsidP="009B22A7">
      <w:pPr>
        <w:pStyle w:val="Nadpis4"/>
      </w:pPr>
      <w:r w:rsidRPr="009B22A7">
        <w:t>Mezinárodní pakt o občanských a politických právech</w:t>
      </w:r>
    </w:p>
    <w:p w14:paraId="744AF6FE" w14:textId="77777777" w:rsidR="007D6BA1" w:rsidRPr="009B22A7" w:rsidRDefault="007D6BA1" w:rsidP="009B22A7">
      <w:pPr>
        <w:pStyle w:val="DTlotextu1"/>
        <w:rPr>
          <w:rFonts w:eastAsia="Calibri"/>
          <w:lang w:eastAsia="en-US"/>
        </w:rPr>
      </w:pPr>
      <w:r w:rsidRPr="009B22A7">
        <w:rPr>
          <w:rFonts w:eastAsia="Calibri"/>
          <w:lang w:eastAsia="en-US"/>
        </w:rPr>
        <w:t>Mezinárodní pakt o občanských a politických právech ze dne 19. prosince 1966, vyhlášený ve Sbírce zákonů pod č. 120/1976 Sb. (dále jen „Pakt“), zakotvuje</w:t>
      </w:r>
    </w:p>
    <w:p w14:paraId="7AF25B5E" w14:textId="3FAD6AA7" w:rsidR="007D6BA1" w:rsidRPr="009B22A7" w:rsidRDefault="007D6BA1" w:rsidP="009B22A7">
      <w:pPr>
        <w:pStyle w:val="DTlotextu2"/>
        <w:numPr>
          <w:ilvl w:val="0"/>
          <w:numId w:val="36"/>
        </w:numPr>
      </w:pPr>
      <w:r w:rsidRPr="009B22A7">
        <w:t>v článku 2 odst. 3 právo domáhat se ochrany před případným zásahem do práv garantovaných Paktem,</w:t>
      </w:r>
    </w:p>
    <w:p w14:paraId="3EA810F8" w14:textId="5570F045" w:rsidR="007D6BA1" w:rsidRPr="009B22A7" w:rsidRDefault="007D6BA1" w:rsidP="009B22A7">
      <w:pPr>
        <w:pStyle w:val="DTlotextu2"/>
        <w:numPr>
          <w:ilvl w:val="0"/>
          <w:numId w:val="36"/>
        </w:numPr>
      </w:pPr>
      <w:r w:rsidRPr="009B22A7">
        <w:t>v článku 3 zákaz diskriminace na základě pohlaví,</w:t>
      </w:r>
    </w:p>
    <w:p w14:paraId="509FE29E" w14:textId="3AD7E290" w:rsidR="007D6BA1" w:rsidRPr="009B22A7" w:rsidRDefault="007D6BA1" w:rsidP="009B22A7">
      <w:pPr>
        <w:pStyle w:val="DTlotextu2"/>
        <w:numPr>
          <w:ilvl w:val="0"/>
          <w:numId w:val="36"/>
        </w:numPr>
      </w:pPr>
      <w:r w:rsidRPr="009B22A7">
        <w:t>v článku 17 zákaz svévolných zásahů do soukromého života a</w:t>
      </w:r>
    </w:p>
    <w:p w14:paraId="20C5B027" w14:textId="55AE8E2F" w:rsidR="007D6BA1" w:rsidRPr="009B22A7" w:rsidRDefault="007D6BA1" w:rsidP="009B22A7">
      <w:pPr>
        <w:pStyle w:val="DTlotextu2"/>
        <w:numPr>
          <w:ilvl w:val="0"/>
          <w:numId w:val="36"/>
        </w:numPr>
      </w:pPr>
      <w:r w:rsidRPr="009B22A7">
        <w:t>v článku 26 zákaz diskriminace na základě dalších důvodů.</w:t>
      </w:r>
    </w:p>
    <w:p w14:paraId="5B037918" w14:textId="77777777" w:rsidR="007D6BA1" w:rsidRPr="009B22A7" w:rsidRDefault="007D6BA1" w:rsidP="009B22A7">
      <w:pPr>
        <w:pStyle w:val="DTlotextu1"/>
        <w:rPr>
          <w:rFonts w:eastAsia="Calibri"/>
          <w:lang w:eastAsia="en-US"/>
        </w:rPr>
      </w:pPr>
      <w:r w:rsidRPr="009B22A7">
        <w:rPr>
          <w:rFonts w:eastAsia="Calibri"/>
          <w:lang w:eastAsia="en-US"/>
        </w:rPr>
        <w:t xml:space="preserve">Tato práva mají zásadně stejný obsah jako obdobná práva zakotvená v Úmluvě, která již byla v obecné části této důvodové zprávy posuzována. Výjimkou je zákaz diskriminace podle článku 26 Paktu. Zatímco zákaz diskriminace zakotvený v Úmluvě má povahu akcesorického práva (tedy se ho lze dovolat pouze spolu s porušením jiného práva), v případě Paktu má zákaz diskriminace povahu neakcesorickou, a tedy se jej lze dovolat přímo. </w:t>
      </w:r>
    </w:p>
    <w:p w14:paraId="2F497F03" w14:textId="77777777" w:rsidR="007D6BA1" w:rsidRPr="009B22A7" w:rsidRDefault="007D6BA1" w:rsidP="009B22A7">
      <w:pPr>
        <w:pStyle w:val="DTlotextu1"/>
        <w:rPr>
          <w:rFonts w:eastAsia="Calibri"/>
          <w:lang w:eastAsia="en-US"/>
        </w:rPr>
      </w:pPr>
      <w:r w:rsidRPr="009B22A7">
        <w:rPr>
          <w:rFonts w:eastAsia="Calibri"/>
          <w:lang w:eastAsia="en-US"/>
        </w:rPr>
        <w:t>Lze tak konstatovat, že navrhovaná právní úprava je plně slučitelná s Paktem.</w:t>
      </w:r>
    </w:p>
    <w:p w14:paraId="2E07F9E5" w14:textId="77777777" w:rsidR="0003045D" w:rsidRPr="007E29B6" w:rsidRDefault="0003045D" w:rsidP="004E5097">
      <w:pPr>
        <w:pStyle w:val="Nadpis4"/>
      </w:pPr>
      <w:r w:rsidRPr="007E29B6">
        <w:t>Závěr</w:t>
      </w:r>
    </w:p>
    <w:p w14:paraId="030A801D" w14:textId="77777777" w:rsidR="0003045D" w:rsidRPr="00691B9B" w:rsidRDefault="0003045D" w:rsidP="007E29B6">
      <w:pPr>
        <w:pStyle w:val="DTlotextu1"/>
        <w:rPr>
          <w:rFonts w:eastAsia="Calibri"/>
          <w:lang w:eastAsia="en-US"/>
        </w:rPr>
      </w:pPr>
      <w:r w:rsidRPr="00691B9B">
        <w:rPr>
          <w:rFonts w:eastAsia="Calibri"/>
          <w:lang w:eastAsia="en-US"/>
        </w:rPr>
        <w:t>S ohledem na to, že návrh zákona respektuje výše uvedené požadavky, lze jej považovat za slučitelný s mezinárodními smlouvami, jimiž je Česká republika vázána.</w:t>
      </w:r>
    </w:p>
    <w:p w14:paraId="44E19BAC" w14:textId="15D117C2" w:rsidR="0003045D" w:rsidRPr="007E29B6" w:rsidRDefault="0003045D" w:rsidP="004E5097">
      <w:pPr>
        <w:pStyle w:val="Nadpis3"/>
      </w:pPr>
      <w:r w:rsidRPr="004E5097">
        <w:lastRenderedPageBreak/>
        <w:t>Předpokládaný</w:t>
      </w:r>
      <w:r w:rsidRPr="007E29B6">
        <w:t xml:space="preserve"> hospodářský a finanční dopad navrhované právní úpravy</w:t>
      </w:r>
    </w:p>
    <w:p w14:paraId="20237C84" w14:textId="40821CFF" w:rsidR="7584E048" w:rsidRDefault="7584E048" w:rsidP="007E29B6">
      <w:pPr>
        <w:pStyle w:val="DTlotextu1"/>
      </w:pPr>
      <w:r w:rsidRPr="6B820DA2">
        <w:t>V této části jsou uvedeny předpokládané hospodářské a finanční dopady navrhovaných změn právní úpravy na veřejné rozpočty a na adresáty navrhovaných změn právní úpravy.</w:t>
      </w:r>
    </w:p>
    <w:p w14:paraId="22982618" w14:textId="4F762E10" w:rsidR="7584E048" w:rsidRDefault="7584E048" w:rsidP="007E29B6">
      <w:pPr>
        <w:pStyle w:val="DTlotextu1"/>
      </w:pPr>
      <w:r>
        <w:t>Dopady na veřejné rozpočty jsou dopady jednak na státní rozpočet a jednak na ostatní veřejné rozpočty, což jsou především rozpočty krajů a obcí. Dopady na veřejné rozpočty souvisejí zejména s novými kompetencemi</w:t>
      </w:r>
      <w:r w:rsidR="35B08622">
        <w:t xml:space="preserve"> orgánů</w:t>
      </w:r>
      <w:r>
        <w:t xml:space="preserve"> </w:t>
      </w:r>
      <w:r w:rsidR="5AE309CD">
        <w:t>c</w:t>
      </w:r>
      <w:r>
        <w:t>elní správy. Na základě objektivního posouzení těchto nových kompetencí se však posílení personálních kapacit nenavrhuje, neboť budou vyřešeny na vrub stávajícího personálního stavu, což znamená, že výdaje budou hrazeny zejména ze stávající rozpočtové kapitoly Ministerstva financí bez potřeby navyšování. Ostatní běžné výdaje budou též hrazeny ze stávajících rozpočtových kapitol bez potřeby navyšování.</w:t>
      </w:r>
    </w:p>
    <w:p w14:paraId="03D1F821" w14:textId="7604B2DE" w:rsidR="00306F1F" w:rsidRDefault="00306F1F" w:rsidP="00306F1F">
      <w:pPr>
        <w:pStyle w:val="DTlotextu1"/>
      </w:pPr>
      <w:r>
        <w:t xml:space="preserve">Navrhované zpřesnění transpozice směrnice DAC 7 nemění předpokládané hospodářské a finanční dopady tak, jak byly popsány v rámci předložení novely </w:t>
      </w:r>
      <w:r w:rsidRPr="00306F1F">
        <w:t>zákona o mezinárodní spolupráci při správě daní</w:t>
      </w:r>
      <w:r>
        <w:t>, kterým byla implementována směrnice DAC 7 (</w:t>
      </w:r>
      <w:r w:rsidRPr="00D643AF">
        <w:t xml:space="preserve">zákon č. 373/2022 Sb., </w:t>
      </w:r>
      <w:r w:rsidRPr="00306F1F">
        <w:t>kterým se mění zákon č. 164/2013 Sb., o mezinárodní spolupráci při správě daní a o změně dalších souvisejících zákonů, ve znění pozdějších předpisů, a další související zákony.)</w:t>
      </w:r>
    </w:p>
    <w:p w14:paraId="7E8E0B78" w14:textId="1FD31014" w:rsidR="7584E048" w:rsidRPr="007E29B6" w:rsidRDefault="7584E048" w:rsidP="004E5097">
      <w:pPr>
        <w:pStyle w:val="Nadpis4"/>
      </w:pPr>
      <w:r w:rsidRPr="007E29B6">
        <w:t>Dopad na veřejné rozpočty</w:t>
      </w:r>
    </w:p>
    <w:p w14:paraId="14DA89AB" w14:textId="656A2CA5" w:rsidR="7584E048" w:rsidRPr="007E29B6" w:rsidRDefault="7584E048" w:rsidP="004E5097">
      <w:pPr>
        <w:pStyle w:val="Nadpis5"/>
      </w:pPr>
      <w:r w:rsidRPr="007E29B6">
        <w:t>AML zákon</w:t>
      </w:r>
    </w:p>
    <w:p w14:paraId="36A12D4B" w14:textId="33C7EC21" w:rsidR="7584E048" w:rsidRPr="004E5097" w:rsidRDefault="00940C08" w:rsidP="004E5097">
      <w:pPr>
        <w:pStyle w:val="Nadpis6"/>
      </w:pPr>
      <w:r w:rsidRPr="007E29B6">
        <w:rPr>
          <w:rFonts w:eastAsia="Times New Roman"/>
        </w:rPr>
        <w:t>a)</w:t>
      </w:r>
      <w:r w:rsidR="7584E048" w:rsidRPr="007E29B6">
        <w:rPr>
          <w:rFonts w:eastAsia="Times New Roman"/>
        </w:rPr>
        <w:t xml:space="preserve"> Výdaje</w:t>
      </w:r>
    </w:p>
    <w:p w14:paraId="3CFFCA95" w14:textId="1DC6FD2D" w:rsidR="7584E048" w:rsidRDefault="7584E048" w:rsidP="007E29B6">
      <w:pPr>
        <w:pStyle w:val="DTlotextu1"/>
      </w:pPr>
      <w:r>
        <w:t xml:space="preserve">Výborem Moneyval je České republice mimo jiné vytýkáno, že nemá zaveden systém pro deklaraci pohybu finančních prostředků. Na základě toho vznikl nový § 41a, kdy vzniká nová povinnost informovat o původu a zamýšleném použití přepravované peněžní hotovosti v úhrnné hodnotě 15 000 EUR nebo vyšší. Navrhuje se zvolit systém, kde cestující jsou povinni poskytnout příslušnému správci informaci, v tomto případě </w:t>
      </w:r>
      <w:r w:rsidR="769F41BE">
        <w:t>orgánu c</w:t>
      </w:r>
      <w:r>
        <w:t>elní správ</w:t>
      </w:r>
      <w:r w:rsidR="744001DB">
        <w:t>y</w:t>
      </w:r>
      <w:r>
        <w:t xml:space="preserve">, o převážené hotovosti nad 15 000 EUR na žádost tohoto správce v souvislosti s prováděnou kontrolou. Cestující nemusejí ex ante předložit písemné ani ústní oznámení. V rámci běžné silniční kontroly, v případě, že by kontrolující osoba požadovala informace o převážené hotovosti, by pouze provedla záznam o této skutečnosti do záznamu o místním šetření. Tato varianta (tzv. </w:t>
      </w:r>
      <w:r w:rsidR="00CC6161">
        <w:t xml:space="preserve">systém ohlášení čili </w:t>
      </w:r>
      <w:r>
        <w:t>disclosure systém) je nejméně zatěžující a představuje minimální administrativní zátěž</w:t>
      </w:r>
      <w:r w:rsidR="3F9859F3">
        <w:t>,</w:t>
      </w:r>
      <w:r>
        <w:t xml:space="preserve"> jak pro osoby povinné hlásit převoz peněžní hotovosti, tak pro správce.</w:t>
      </w:r>
    </w:p>
    <w:p w14:paraId="057888A3" w14:textId="580B0EA9" w:rsidR="7584E048" w:rsidRDefault="7584E048" w:rsidP="007E29B6">
      <w:pPr>
        <w:pStyle w:val="DTlotextu1"/>
      </w:pPr>
      <w:r w:rsidRPr="6B820DA2">
        <w:t>Objektivním posouzením těchto nových kompetencí se posílení personálních kapacit nenavrhuje, neboť budou vyřešeny na vrub stávajícího personálního stavu, což znamená, že výdaje budou hrazeny ze stávající rozpočtové kapitoly Ministerstva financí, respektive Celní správy bez potřeby navyšování. Ostatní běžné výdaje budou též hrazeny ze stávající rozpočtové kapitoly bez potřeby navyšování.</w:t>
      </w:r>
    </w:p>
    <w:p w14:paraId="5A660D00" w14:textId="625E7825" w:rsidR="7584E048" w:rsidRDefault="7584E048" w:rsidP="007E29B6">
      <w:pPr>
        <w:pStyle w:val="DTlotextu1"/>
        <w:rPr>
          <w:color w:val="000000" w:themeColor="text1"/>
        </w:rPr>
      </w:pPr>
      <w:r w:rsidRPr="007E29B6">
        <w:t>Veškeré vznikající potřeby v personální a platové oblasti budou zabezpečeny v rámci v současnosti stanovených limitů počtu míst a objemu prostředků na platy v dotčených rozpočtových kapitolách.</w:t>
      </w:r>
    </w:p>
    <w:p w14:paraId="2D7474D2" w14:textId="17BA7B78" w:rsidR="1DD21374" w:rsidRPr="004E5097" w:rsidRDefault="007E29B6" w:rsidP="004E5097">
      <w:pPr>
        <w:pStyle w:val="Nadpis6"/>
      </w:pPr>
      <w:r>
        <w:rPr>
          <w:rFonts w:eastAsia="Times New Roman"/>
        </w:rPr>
        <w:t>b)</w:t>
      </w:r>
      <w:r w:rsidR="1DD21374" w:rsidRPr="007E29B6">
        <w:rPr>
          <w:rFonts w:eastAsia="Times New Roman"/>
        </w:rPr>
        <w:t xml:space="preserve"> Příjmy</w:t>
      </w:r>
    </w:p>
    <w:p w14:paraId="084FC8B9" w14:textId="675A21BE" w:rsidR="1DD21374" w:rsidRDefault="1DD21374" w:rsidP="007E29B6">
      <w:pPr>
        <w:pStyle w:val="DTlotextu1"/>
      </w:pPr>
      <w:r>
        <w:t xml:space="preserve">Navrhovaná novela přináší nové kompetence </w:t>
      </w:r>
      <w:r w:rsidR="74556B53">
        <w:t>orgánům c</w:t>
      </w:r>
      <w:r>
        <w:t>elní správ</w:t>
      </w:r>
      <w:r w:rsidR="5FE8CBBC">
        <w:t>y</w:t>
      </w:r>
      <w:r>
        <w:t>, kdy zadržená peněžní hotovost může být použita na úhradu pokuty, nákladů řízení nebo exekuce, případně může dojít k jejímu propadnutí či zabrání. V takovém případě by navrhované změny právní úpravy měly pozitivní dopad na rozpočty.</w:t>
      </w:r>
    </w:p>
    <w:p w14:paraId="42D62610" w14:textId="4081E88B" w:rsidR="1DD21374" w:rsidRDefault="1DD21374" w:rsidP="007E29B6">
      <w:pPr>
        <w:pStyle w:val="DTlotextu1"/>
      </w:pPr>
      <w:r w:rsidRPr="6B820DA2">
        <w:t xml:space="preserve">V současné době nelze tyto dopady kvantifikovat. Celní správa však vykonává obdobnou agendu u převozů peněžní hotovosti vstupující do Unie nebo ji opouštějící. V rámci této agendy </w:t>
      </w:r>
      <w:r w:rsidRPr="6B820DA2">
        <w:lastRenderedPageBreak/>
        <w:t>Celní správa eviduje statistiky neplnění povinností, ze kterých vyplývají příjmy do státního rozpočtu, převážně ve formě pokut.</w:t>
      </w:r>
    </w:p>
    <w:tbl>
      <w:tblPr>
        <w:tblW w:w="5000" w:type="pct"/>
        <w:tblLook w:val="04A0" w:firstRow="1" w:lastRow="0" w:firstColumn="1" w:lastColumn="0" w:noHBand="0" w:noVBand="1"/>
      </w:tblPr>
      <w:tblGrid>
        <w:gridCol w:w="2628"/>
        <w:gridCol w:w="1606"/>
        <w:gridCol w:w="1606"/>
        <w:gridCol w:w="1606"/>
        <w:gridCol w:w="1606"/>
      </w:tblGrid>
      <w:tr w:rsidR="6B820DA2" w:rsidRPr="004E5097" w14:paraId="099F56C9" w14:textId="77777777" w:rsidTr="004E5097">
        <w:trPr>
          <w:trHeight w:val="555"/>
        </w:trPr>
        <w:tc>
          <w:tcPr>
            <w:tcW w:w="1451" w:type="pct"/>
            <w:tcBorders>
              <w:top w:val="single" w:sz="8" w:space="0" w:color="auto"/>
              <w:left w:val="single" w:sz="8" w:space="0" w:color="auto"/>
              <w:bottom w:val="single" w:sz="8" w:space="0" w:color="auto"/>
              <w:right w:val="single" w:sz="8" w:space="0" w:color="auto"/>
            </w:tcBorders>
            <w:shd w:val="clear" w:color="auto" w:fill="BDD7EE"/>
            <w:tcMar>
              <w:left w:w="70" w:type="dxa"/>
              <w:right w:w="70" w:type="dxa"/>
            </w:tcMar>
            <w:vAlign w:val="center"/>
          </w:tcPr>
          <w:p w14:paraId="55436700" w14:textId="4651BEB7" w:rsidR="6B820DA2" w:rsidRPr="004E5097" w:rsidRDefault="6B820DA2" w:rsidP="007E29B6">
            <w:pPr>
              <w:jc w:val="center"/>
              <w:rPr>
                <w:b/>
                <w:bCs/>
                <w:sz w:val="20"/>
              </w:rPr>
            </w:pPr>
            <w:r w:rsidRPr="004E5097">
              <w:rPr>
                <w:b/>
                <w:bCs/>
                <w:sz w:val="20"/>
              </w:rPr>
              <w:t>CASH CONTROL</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7CB1A2E9" w14:textId="17B22742" w:rsidR="6B820DA2" w:rsidRPr="004E5097" w:rsidRDefault="6B820DA2" w:rsidP="007E29B6">
            <w:pPr>
              <w:jc w:val="center"/>
              <w:rPr>
                <w:b/>
                <w:bCs/>
                <w:sz w:val="20"/>
              </w:rPr>
            </w:pPr>
            <w:r w:rsidRPr="004E5097">
              <w:rPr>
                <w:b/>
                <w:bCs/>
                <w:sz w:val="20"/>
              </w:rPr>
              <w:t>2020</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457F81DA" w14:textId="689F8969" w:rsidR="6B820DA2" w:rsidRPr="004E5097" w:rsidRDefault="6B820DA2" w:rsidP="007E29B6">
            <w:pPr>
              <w:jc w:val="center"/>
              <w:rPr>
                <w:b/>
                <w:bCs/>
                <w:sz w:val="20"/>
              </w:rPr>
            </w:pPr>
            <w:r w:rsidRPr="004E5097">
              <w:rPr>
                <w:b/>
                <w:bCs/>
                <w:sz w:val="20"/>
              </w:rPr>
              <w:t>2021</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3E4C9654" w14:textId="3F54C610" w:rsidR="6B820DA2" w:rsidRPr="004E5097" w:rsidRDefault="6B820DA2" w:rsidP="007E29B6">
            <w:pPr>
              <w:jc w:val="center"/>
              <w:rPr>
                <w:b/>
                <w:bCs/>
                <w:sz w:val="20"/>
              </w:rPr>
            </w:pPr>
            <w:r w:rsidRPr="004E5097">
              <w:rPr>
                <w:b/>
                <w:bCs/>
                <w:sz w:val="20"/>
              </w:rPr>
              <w:t>2022</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71EB4889" w14:textId="0981CD9C" w:rsidR="6B820DA2" w:rsidRPr="004E5097" w:rsidRDefault="6B820DA2" w:rsidP="007E29B6">
            <w:pPr>
              <w:jc w:val="center"/>
              <w:rPr>
                <w:b/>
                <w:bCs/>
                <w:sz w:val="20"/>
              </w:rPr>
            </w:pPr>
            <w:r w:rsidRPr="004E5097">
              <w:rPr>
                <w:b/>
                <w:bCs/>
                <w:sz w:val="20"/>
              </w:rPr>
              <w:t>1. 1. 2023</w:t>
            </w:r>
          </w:p>
          <w:p w14:paraId="3AF85F60" w14:textId="5748AC61" w:rsidR="6B820DA2" w:rsidRPr="004E5097" w:rsidRDefault="6B820DA2" w:rsidP="007E29B6">
            <w:pPr>
              <w:jc w:val="center"/>
              <w:rPr>
                <w:b/>
                <w:bCs/>
                <w:sz w:val="20"/>
              </w:rPr>
            </w:pPr>
            <w:r w:rsidRPr="004E5097">
              <w:rPr>
                <w:b/>
                <w:bCs/>
                <w:sz w:val="20"/>
              </w:rPr>
              <w:t>31. 8. 2023</w:t>
            </w:r>
          </w:p>
        </w:tc>
      </w:tr>
      <w:tr w:rsidR="6B820DA2" w:rsidRPr="004E5097" w14:paraId="79C716E7" w14:textId="77777777" w:rsidTr="004E5097">
        <w:trPr>
          <w:trHeight w:val="555"/>
        </w:trPr>
        <w:tc>
          <w:tcPr>
            <w:tcW w:w="1451" w:type="pc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231CFEA" w14:textId="48D7CC6C" w:rsidR="6B820DA2" w:rsidRPr="004E5097" w:rsidRDefault="6B820DA2" w:rsidP="007E29B6">
            <w:pPr>
              <w:jc w:val="center"/>
              <w:rPr>
                <w:b/>
                <w:bCs/>
                <w:sz w:val="20"/>
              </w:rPr>
            </w:pPr>
            <w:r w:rsidRPr="004E5097">
              <w:rPr>
                <w:b/>
                <w:bCs/>
                <w:sz w:val="20"/>
              </w:rPr>
              <w:t>Neohlášené převozy EUR 10000 a vyšší</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6BA86172" w14:textId="243EBE98" w:rsidR="6B820DA2" w:rsidRPr="004E5097" w:rsidRDefault="6B820DA2" w:rsidP="007E29B6">
            <w:pPr>
              <w:jc w:val="center"/>
              <w:rPr>
                <w:sz w:val="20"/>
              </w:rPr>
            </w:pPr>
            <w:r w:rsidRPr="004E5097">
              <w:rPr>
                <w:sz w:val="20"/>
              </w:rPr>
              <w:t>27</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090EB482" w14:textId="55CBCAD7" w:rsidR="6B820DA2" w:rsidRPr="004E5097" w:rsidRDefault="6B820DA2" w:rsidP="007E29B6">
            <w:pPr>
              <w:jc w:val="center"/>
              <w:rPr>
                <w:sz w:val="20"/>
              </w:rPr>
            </w:pPr>
            <w:r w:rsidRPr="004E5097">
              <w:rPr>
                <w:sz w:val="20"/>
              </w:rPr>
              <w:t>15</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4A4165E0" w14:textId="3E682E7E" w:rsidR="6B820DA2" w:rsidRPr="004E5097" w:rsidRDefault="6B820DA2" w:rsidP="007E29B6">
            <w:pPr>
              <w:jc w:val="center"/>
              <w:rPr>
                <w:sz w:val="20"/>
              </w:rPr>
            </w:pPr>
            <w:r w:rsidRPr="004E5097">
              <w:rPr>
                <w:sz w:val="20"/>
              </w:rPr>
              <w:t>20</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63C716C4" w14:textId="249A74A8" w:rsidR="6B820DA2" w:rsidRPr="004E5097" w:rsidRDefault="6B820DA2" w:rsidP="007E29B6">
            <w:pPr>
              <w:jc w:val="center"/>
              <w:rPr>
                <w:sz w:val="20"/>
              </w:rPr>
            </w:pPr>
            <w:r w:rsidRPr="004E5097">
              <w:rPr>
                <w:sz w:val="20"/>
              </w:rPr>
              <w:t>63</w:t>
            </w:r>
          </w:p>
        </w:tc>
      </w:tr>
      <w:tr w:rsidR="6B820DA2" w:rsidRPr="004E5097" w14:paraId="2B447DB6" w14:textId="77777777" w:rsidTr="004E5097">
        <w:trPr>
          <w:trHeight w:val="555"/>
        </w:trPr>
        <w:tc>
          <w:tcPr>
            <w:tcW w:w="1451" w:type="pc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298B79C" w14:textId="44152A6C" w:rsidR="6B820DA2" w:rsidRPr="004E5097" w:rsidRDefault="6B820DA2" w:rsidP="007E29B6">
            <w:pPr>
              <w:jc w:val="center"/>
              <w:rPr>
                <w:b/>
                <w:bCs/>
                <w:sz w:val="20"/>
              </w:rPr>
            </w:pPr>
            <w:r w:rsidRPr="004E5097">
              <w:rPr>
                <w:b/>
                <w:bCs/>
                <w:sz w:val="20"/>
              </w:rPr>
              <w:t>Pokuty na místě</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5600D438" w14:textId="3B06506B" w:rsidR="6B820DA2" w:rsidRPr="004E5097" w:rsidRDefault="6B820DA2" w:rsidP="007E29B6">
            <w:pPr>
              <w:jc w:val="center"/>
              <w:rPr>
                <w:sz w:val="20"/>
              </w:rPr>
            </w:pPr>
            <w:r w:rsidRPr="004E5097">
              <w:rPr>
                <w:sz w:val="20"/>
              </w:rPr>
              <w:t>21</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237DD230" w14:textId="10CBA036" w:rsidR="6B820DA2" w:rsidRPr="004E5097" w:rsidRDefault="6B820DA2" w:rsidP="007E29B6">
            <w:pPr>
              <w:jc w:val="center"/>
              <w:rPr>
                <w:sz w:val="20"/>
              </w:rPr>
            </w:pPr>
            <w:r w:rsidRPr="004E5097">
              <w:rPr>
                <w:sz w:val="20"/>
              </w:rPr>
              <w:t>11</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25B81206" w14:textId="234457DB" w:rsidR="6B820DA2" w:rsidRPr="004E5097" w:rsidRDefault="6B820DA2" w:rsidP="007E29B6">
            <w:pPr>
              <w:jc w:val="center"/>
              <w:rPr>
                <w:sz w:val="20"/>
              </w:rPr>
            </w:pPr>
            <w:r w:rsidRPr="004E5097">
              <w:rPr>
                <w:sz w:val="20"/>
              </w:rPr>
              <w:t>20</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232902EA" w14:textId="4897F378" w:rsidR="6B820DA2" w:rsidRPr="004E5097" w:rsidRDefault="6B820DA2" w:rsidP="007E29B6">
            <w:pPr>
              <w:jc w:val="center"/>
              <w:rPr>
                <w:sz w:val="20"/>
              </w:rPr>
            </w:pPr>
            <w:r w:rsidRPr="004E5097">
              <w:rPr>
                <w:sz w:val="20"/>
              </w:rPr>
              <w:t>60</w:t>
            </w:r>
          </w:p>
        </w:tc>
      </w:tr>
      <w:tr w:rsidR="6B820DA2" w:rsidRPr="004E5097" w14:paraId="21BE15E7" w14:textId="77777777" w:rsidTr="004E5097">
        <w:trPr>
          <w:trHeight w:val="240"/>
        </w:trPr>
        <w:tc>
          <w:tcPr>
            <w:tcW w:w="1451" w:type="pc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86D3AAB" w14:textId="24FAD26A" w:rsidR="6B820DA2" w:rsidRPr="004E5097" w:rsidRDefault="6B820DA2" w:rsidP="007E29B6">
            <w:pPr>
              <w:jc w:val="center"/>
              <w:rPr>
                <w:b/>
                <w:bCs/>
                <w:sz w:val="20"/>
              </w:rPr>
            </w:pPr>
            <w:r w:rsidRPr="004E5097">
              <w:rPr>
                <w:b/>
                <w:bCs/>
                <w:sz w:val="20"/>
              </w:rPr>
              <w:t>Pokuty na místě</w:t>
            </w:r>
          </w:p>
          <w:p w14:paraId="41F37ECC" w14:textId="24183101" w:rsidR="6B820DA2" w:rsidRPr="004E5097" w:rsidRDefault="6B820DA2" w:rsidP="007E29B6">
            <w:pPr>
              <w:jc w:val="center"/>
              <w:rPr>
                <w:b/>
                <w:bCs/>
                <w:sz w:val="20"/>
              </w:rPr>
            </w:pPr>
            <w:r w:rsidRPr="004E5097">
              <w:rPr>
                <w:b/>
                <w:bCs/>
                <w:sz w:val="20"/>
              </w:rPr>
              <w:t>Kč celkem</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3D12AF72" w14:textId="0FF9473C" w:rsidR="6B820DA2" w:rsidRPr="004E5097" w:rsidRDefault="6B820DA2" w:rsidP="007E29B6">
            <w:pPr>
              <w:jc w:val="center"/>
              <w:rPr>
                <w:sz w:val="20"/>
              </w:rPr>
            </w:pPr>
            <w:r w:rsidRPr="004E5097">
              <w:rPr>
                <w:sz w:val="20"/>
              </w:rPr>
              <w:t>89 000</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2D16EDF3" w14:textId="33194E2B" w:rsidR="6B820DA2" w:rsidRPr="004E5097" w:rsidRDefault="6B820DA2" w:rsidP="007E29B6">
            <w:pPr>
              <w:jc w:val="center"/>
              <w:rPr>
                <w:sz w:val="20"/>
              </w:rPr>
            </w:pPr>
            <w:r w:rsidRPr="004E5097">
              <w:rPr>
                <w:sz w:val="20"/>
              </w:rPr>
              <w:t>112 000</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1743375D" w14:textId="7DB342A4" w:rsidR="6B820DA2" w:rsidRPr="004E5097" w:rsidRDefault="6B820DA2" w:rsidP="007E29B6">
            <w:pPr>
              <w:jc w:val="center"/>
              <w:rPr>
                <w:sz w:val="20"/>
              </w:rPr>
            </w:pPr>
            <w:r w:rsidRPr="004E5097">
              <w:rPr>
                <w:sz w:val="20"/>
              </w:rPr>
              <w:t>129 500</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6E313DDE" w14:textId="32E2798E" w:rsidR="6B820DA2" w:rsidRPr="004E5097" w:rsidRDefault="6B820DA2" w:rsidP="007E29B6">
            <w:pPr>
              <w:jc w:val="center"/>
              <w:rPr>
                <w:sz w:val="20"/>
              </w:rPr>
            </w:pPr>
            <w:r w:rsidRPr="004E5097">
              <w:rPr>
                <w:sz w:val="20"/>
              </w:rPr>
              <w:t>382 000</w:t>
            </w:r>
          </w:p>
        </w:tc>
      </w:tr>
      <w:tr w:rsidR="6B820DA2" w:rsidRPr="004E5097" w14:paraId="4EB65488" w14:textId="77777777" w:rsidTr="004E5097">
        <w:trPr>
          <w:trHeight w:val="555"/>
        </w:trPr>
        <w:tc>
          <w:tcPr>
            <w:tcW w:w="1451" w:type="pc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DAAEBD" w14:textId="44EBFF04" w:rsidR="6B820DA2" w:rsidRPr="004E5097" w:rsidRDefault="6B820DA2" w:rsidP="007E29B6">
            <w:pPr>
              <w:jc w:val="center"/>
              <w:rPr>
                <w:b/>
                <w:bCs/>
                <w:sz w:val="20"/>
              </w:rPr>
            </w:pPr>
            <w:r w:rsidRPr="004E5097">
              <w:rPr>
                <w:b/>
                <w:bCs/>
                <w:sz w:val="20"/>
              </w:rPr>
              <w:t>Kontrolovaná neohlášená hotovost</w:t>
            </w:r>
          </w:p>
          <w:p w14:paraId="711C444E" w14:textId="7C8EA315" w:rsidR="6B820DA2" w:rsidRPr="004E5097" w:rsidRDefault="6B820DA2" w:rsidP="007E29B6">
            <w:pPr>
              <w:jc w:val="center"/>
              <w:rPr>
                <w:b/>
                <w:bCs/>
                <w:sz w:val="20"/>
              </w:rPr>
            </w:pPr>
            <w:r w:rsidRPr="004E5097">
              <w:rPr>
                <w:b/>
                <w:bCs/>
                <w:sz w:val="20"/>
              </w:rPr>
              <w:t>EUR celkem</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00EC9F83" w14:textId="6A80AE41" w:rsidR="6B820DA2" w:rsidRPr="004E5097" w:rsidRDefault="6B820DA2" w:rsidP="007E29B6">
            <w:pPr>
              <w:jc w:val="center"/>
              <w:rPr>
                <w:sz w:val="20"/>
              </w:rPr>
            </w:pPr>
            <w:r w:rsidRPr="004E5097">
              <w:rPr>
                <w:sz w:val="20"/>
              </w:rPr>
              <w:t>293 091</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25FED5B5" w14:textId="496483C3" w:rsidR="6B820DA2" w:rsidRPr="004E5097" w:rsidRDefault="6B820DA2" w:rsidP="007E29B6">
            <w:pPr>
              <w:jc w:val="center"/>
              <w:rPr>
                <w:sz w:val="20"/>
              </w:rPr>
            </w:pPr>
            <w:r w:rsidRPr="004E5097">
              <w:rPr>
                <w:sz w:val="20"/>
              </w:rPr>
              <w:t>142 024</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1F145851" w14:textId="3A98B9D3" w:rsidR="6B820DA2" w:rsidRPr="004E5097" w:rsidRDefault="6B820DA2" w:rsidP="007E29B6">
            <w:pPr>
              <w:jc w:val="center"/>
              <w:rPr>
                <w:sz w:val="20"/>
              </w:rPr>
            </w:pPr>
            <w:r w:rsidRPr="004E5097">
              <w:rPr>
                <w:sz w:val="20"/>
              </w:rPr>
              <w:t>237 377</w:t>
            </w:r>
          </w:p>
        </w:tc>
        <w:tc>
          <w:tcPr>
            <w:tcW w:w="887" w:type="pct"/>
            <w:tcBorders>
              <w:top w:val="single" w:sz="8" w:space="0" w:color="auto"/>
              <w:left w:val="single" w:sz="8" w:space="0" w:color="auto"/>
              <w:bottom w:val="single" w:sz="8" w:space="0" w:color="auto"/>
              <w:right w:val="single" w:sz="8" w:space="0" w:color="auto"/>
            </w:tcBorders>
            <w:shd w:val="clear" w:color="auto" w:fill="E2EFD9"/>
            <w:vAlign w:val="center"/>
          </w:tcPr>
          <w:p w14:paraId="6F85C0BE" w14:textId="360EFE69" w:rsidR="6B820DA2" w:rsidRPr="004E5097" w:rsidRDefault="6B820DA2" w:rsidP="007E29B6">
            <w:pPr>
              <w:jc w:val="center"/>
              <w:rPr>
                <w:sz w:val="20"/>
              </w:rPr>
            </w:pPr>
            <w:r w:rsidRPr="004E5097">
              <w:rPr>
                <w:sz w:val="20"/>
              </w:rPr>
              <w:t>193 109</w:t>
            </w:r>
          </w:p>
        </w:tc>
      </w:tr>
    </w:tbl>
    <w:p w14:paraId="01757CF0" w14:textId="195086F2" w:rsidR="2A9F403C" w:rsidRDefault="2A9F403C" w:rsidP="007E29B6">
      <w:pPr>
        <w:pStyle w:val="DTlotextu1"/>
      </w:pPr>
      <w:r>
        <w:t>Vzhledem k rozšíření § 50 o nové přestupky týkající se povinností při převozech peněžní hotovosti a zároveň zavedení nového § 50c Přestupky příslušné profesní komory, kde</w:t>
      </w:r>
      <w:r w:rsidR="66B0CE28">
        <w:t xml:space="preserve"> je</w:t>
      </w:r>
      <w:r>
        <w:t xml:space="preserve"> za přestupek</w:t>
      </w:r>
      <w:r w:rsidR="2C93BA21">
        <w:t xml:space="preserve"> možno</w:t>
      </w:r>
      <w:r>
        <w:t xml:space="preserve"> uložit pokutu do 1 000 000 Kč lze předpokládat, že novela bude mít pozitivní dopad na veřejné rozpočty. V současné době však nelze tyto pozitivní dopady kvantifikovat.</w:t>
      </w:r>
    </w:p>
    <w:p w14:paraId="031834B7" w14:textId="6ABF8757" w:rsidR="2A9F403C" w:rsidRDefault="2A9F403C" w:rsidP="007E29B6">
      <w:pPr>
        <w:pStyle w:val="DTlotextu1"/>
      </w:pPr>
      <w:r w:rsidRPr="6B820DA2">
        <w:t>Pozitivní dopad na rozpočty může přinést také rozšíření přestupků v § 45, § 46 a § 49.</w:t>
      </w:r>
    </w:p>
    <w:p w14:paraId="7C913AFD" w14:textId="7F182DF8" w:rsidR="644061EC" w:rsidRPr="007E29B6" w:rsidRDefault="644061EC" w:rsidP="004E5097">
      <w:pPr>
        <w:pStyle w:val="Nadpis5"/>
      </w:pPr>
      <w:r w:rsidRPr="007E29B6">
        <w:t>Zákon o provádění mezinárodních sankcí</w:t>
      </w:r>
    </w:p>
    <w:p w14:paraId="6E30EDCB" w14:textId="78D5F909" w:rsidR="644061EC" w:rsidRPr="004E5097" w:rsidRDefault="007E29B6" w:rsidP="004E5097">
      <w:pPr>
        <w:pStyle w:val="Nadpis6"/>
      </w:pPr>
      <w:r>
        <w:rPr>
          <w:rFonts w:eastAsia="Times New Roman"/>
        </w:rPr>
        <w:t>a)</w:t>
      </w:r>
      <w:r w:rsidR="644061EC" w:rsidRPr="007E29B6">
        <w:rPr>
          <w:rFonts w:eastAsia="Times New Roman"/>
        </w:rPr>
        <w:t xml:space="preserve"> Dopady</w:t>
      </w:r>
    </w:p>
    <w:p w14:paraId="643A9235" w14:textId="53082CDC" w:rsidR="6B820DA2" w:rsidRDefault="71024D40" w:rsidP="007E29B6">
      <w:pPr>
        <w:pStyle w:val="DTlotextu1"/>
      </w:pPr>
      <w:r w:rsidRPr="77644FD9">
        <w:t>Výborem Moneyval je v rámci doporučení č. 6 a 7 České republice vytýkáno, že sankce Rady bezpečnosti OSN nejsou uplatňovány na národní úrovni bez prodlení, a proto je v zákoně o provádění mezinárodních sankcích upraven postup pro vkládání subjektů a osob na vnitrostátní sankční seznam.</w:t>
      </w:r>
    </w:p>
    <w:p w14:paraId="42D1B538" w14:textId="6F095B5B" w:rsidR="6B820DA2" w:rsidRPr="007E29B6" w:rsidRDefault="520C8629" w:rsidP="007E29B6">
      <w:pPr>
        <w:pStyle w:val="DTlotextu1"/>
      </w:pPr>
      <w:r w:rsidRPr="007E29B6">
        <w:t>Na základě novely tohoto zákona bude nově rezoluce Rady bezpečnosti OSN „překlopena“ do českého právního řádu prostřednictvím opatření obecné povahy.</w:t>
      </w:r>
      <w:r>
        <w:t xml:space="preserve"> </w:t>
      </w:r>
      <w:r w:rsidRPr="007E29B6">
        <w:t xml:space="preserve">Kdo je uveden na seznamu obsaženém v rozhodnutí Rady bezpečnosti OSN nebo na seznamu vydaném sankčním výborem Rady bezpečnosti budou muset povinné osoby samy sledovat a seznamem se řídit.  </w:t>
      </w:r>
    </w:p>
    <w:p w14:paraId="6D4B07FF" w14:textId="2AB0551D" w:rsidR="6B820DA2" w:rsidRDefault="6D9B3A42" w:rsidP="007E29B6">
      <w:pPr>
        <w:pStyle w:val="DTlotextu1"/>
      </w:pPr>
      <w:r>
        <w:t xml:space="preserve">Vzhledem k </w:t>
      </w:r>
      <w:r w:rsidR="6A9772B9">
        <w:t>de facto</w:t>
      </w:r>
      <w:r w:rsidR="71024D40">
        <w:t xml:space="preserve"> automatickému přebírání sankčního seznamu</w:t>
      </w:r>
      <w:r w:rsidR="10084A35">
        <w:t xml:space="preserve"> se nepředpokládají žádné výdaje, ani žádné příjmy do veřejných rozpočtů</w:t>
      </w:r>
    </w:p>
    <w:p w14:paraId="56DDFF54" w14:textId="6623CF60" w:rsidR="644061EC" w:rsidRPr="00291932" w:rsidRDefault="644061EC" w:rsidP="00213DA4">
      <w:pPr>
        <w:pStyle w:val="Nadpis4"/>
      </w:pPr>
      <w:r w:rsidRPr="00291932">
        <w:t xml:space="preserve">Dopad na adresáty </w:t>
      </w:r>
      <w:r w:rsidRPr="004E5097">
        <w:t>změn</w:t>
      </w:r>
      <w:r w:rsidRPr="00291932">
        <w:t xml:space="preserve"> navrhované právní úpravy</w:t>
      </w:r>
    </w:p>
    <w:p w14:paraId="263699D1" w14:textId="30BB98EE" w:rsidR="644061EC" w:rsidRDefault="644061EC" w:rsidP="007E29B6">
      <w:pPr>
        <w:pStyle w:val="DTlotextu1"/>
      </w:pPr>
      <w:r w:rsidRPr="6B820DA2">
        <w:t>Na straně osob povinných poskytovat údaje pro Hodnocení rizik na úrovni České republiky mohou vzniknout náklady s tímto spojené, a dále mohou vzniknout náklady týkající se úprav, které souvisí s poskytováním informací FAÚ při správním dozoru příslušnou profesní komorou. Také může dojít k větší administrativní zátěži v souvislosti s upřesněním požadavků na kontaktní osobu a zpřesněním rozsahu informační povinnosti povinné osoby vůči FAÚ. Na straně povinných osob mohou vzniknout také náklady spojené s aktualizací systémů vnitřních zásad a hodnocení rizik. Výše těchto nákladů není známa, avšak předpokládá se, že se bude jednat o marginální dopady.</w:t>
      </w:r>
    </w:p>
    <w:p w14:paraId="2AA821EC" w14:textId="3EEEB3E8" w:rsidR="003E1250" w:rsidRPr="007E29B6" w:rsidRDefault="003E1250" w:rsidP="004E5097">
      <w:pPr>
        <w:pStyle w:val="Nadpis3"/>
      </w:pPr>
      <w:r w:rsidRPr="007E29B6">
        <w:lastRenderedPageBreak/>
        <w:t xml:space="preserve">Zhodnocení sociálních dopadů, včetně dopadů na specifické skupiny obyvatel, </w:t>
      </w:r>
      <w:r w:rsidRPr="004E5097">
        <w:t>zejména</w:t>
      </w:r>
      <w:r w:rsidRPr="007E29B6">
        <w:t xml:space="preserve"> osoby sociálně slabé, osoby se</w:t>
      </w:r>
      <w:r w:rsidR="0001089A" w:rsidRPr="007E29B6">
        <w:t> </w:t>
      </w:r>
      <w:r w:rsidRPr="007E29B6">
        <w:t>zdravotním postižením a národnostní menšiny, dopadů na</w:t>
      </w:r>
      <w:r w:rsidR="009D5E1A" w:rsidRPr="007E29B6">
        <w:t> </w:t>
      </w:r>
      <w:r w:rsidRPr="007E29B6">
        <w:t>ochranu práv dětí a dopadů na životní prostředí</w:t>
      </w:r>
    </w:p>
    <w:p w14:paraId="1F313697" w14:textId="19DE9759" w:rsidR="007D6BA1" w:rsidRPr="006A575D" w:rsidRDefault="60973183" w:rsidP="007E29B6">
      <w:pPr>
        <w:pStyle w:val="DTlotextu1"/>
      </w:pPr>
      <w:r w:rsidRPr="6B820DA2">
        <w:t xml:space="preserve">Navrhovaná právní úprava nepředpokládá žádný negativní dopad na práva specifických sociálních skupiny obyvatel, jako jsou zdravotně postižení, národnostní menšiny, zaměstnanci a jiné. </w:t>
      </w:r>
      <w:r w:rsidR="00100DD2">
        <w:t>Novela také nebude mít žádný dopad na ochranu práv dětí, ani na životní prostředí</w:t>
      </w:r>
    </w:p>
    <w:p w14:paraId="16743FDB" w14:textId="0053D1E6" w:rsidR="006B1DA9" w:rsidRPr="007E29B6" w:rsidRDefault="0003045D" w:rsidP="004E5097">
      <w:pPr>
        <w:pStyle w:val="Nadpis3"/>
      </w:pPr>
      <w:r w:rsidRPr="004E5097">
        <w:t>Zhodnocení</w:t>
      </w:r>
      <w:r w:rsidRPr="007E29B6">
        <w:t xml:space="preserve"> dopadu navrhovaného řešení ve vztahu k ochraně soukromí a osobních údajů </w:t>
      </w:r>
      <w:r w:rsidR="001B0FBF" w:rsidRPr="007E29B6">
        <w:t>(DPIA)</w:t>
      </w:r>
    </w:p>
    <w:p w14:paraId="237AA621" w14:textId="0F4AA0E3" w:rsidR="006B1DA9" w:rsidRDefault="09F27FCA" w:rsidP="007E29B6">
      <w:pPr>
        <w:pStyle w:val="DTlotextu1"/>
      </w:pPr>
      <w:r w:rsidRPr="6B820DA2">
        <w:t>V této části jsou zpracovány důvody předpokládaného zpracování osobních údajů a posouzení vlivu na ochranu osobních údajů ve vztahu k předloženému návrhu změny AML zákona a zákona o provádění mezinárodních sankcí. Při zpracování osobních údajů je dodržováno základní právo na respektování soukromého a rodinného života zaručené článkem 8 Úmluvy o ochraně lidských práv a základních svobod Rady Evropy, jakož i právo na respektování soukromého a rodinného života zaručené článkem 7 a 8 Listiny základních práv Evropské unie (dále jen „Listina“) a právo na ochranu osobních údajů zaručené článkem 8 Listiny. Zpracovávání osobních údajů se uskutečňuje pouze pro účely předcházení trestné činnosti a jejího potírání.</w:t>
      </w:r>
    </w:p>
    <w:p w14:paraId="04B0186E" w14:textId="34E5BACC" w:rsidR="09F27FCA" w:rsidRPr="004F3CF5" w:rsidRDefault="09F27FCA" w:rsidP="004E5097">
      <w:pPr>
        <w:pStyle w:val="Nadpis4"/>
      </w:pPr>
      <w:r w:rsidRPr="004F3CF5">
        <w:t>AML zákon</w:t>
      </w:r>
    </w:p>
    <w:p w14:paraId="0A010119" w14:textId="77777777" w:rsidR="006B1DA9" w:rsidRPr="007E29B6" w:rsidRDefault="006B1DA9" w:rsidP="004E5097">
      <w:pPr>
        <w:pStyle w:val="Nadpis5"/>
      </w:pPr>
      <w:r w:rsidRPr="007E29B6">
        <w:t>Účel zpracování osobních údajů</w:t>
      </w:r>
    </w:p>
    <w:p w14:paraId="27CAD8CB" w14:textId="3A659178" w:rsidR="0C411D1B" w:rsidRDefault="0C411D1B" w:rsidP="004F3CF5">
      <w:pPr>
        <w:pStyle w:val="DTlotextu1"/>
      </w:pPr>
      <w:r>
        <w:t>Na základě AML zákona Finanční analytický úřad získává informace potřebné pro šetření podezřelého obchodu prostřednictvím oznámení o podezřelém obchodu (§ 18 AML zákona) nebo na žádost (§</w:t>
      </w:r>
      <w:r w:rsidR="44405C07">
        <w:t xml:space="preserve"> </w:t>
      </w:r>
      <w:r>
        <w:t>24 AML zákona) od povinných osob. Dále získává informace nezbytné pro správní dozor nad povinnými osobami. Na základě §</w:t>
      </w:r>
      <w:r w:rsidR="07010FA7">
        <w:t xml:space="preserve"> </w:t>
      </w:r>
      <w:r>
        <w:t xml:space="preserve">42 AML zákona </w:t>
      </w:r>
      <w:r w:rsidR="54526F7B">
        <w:t>orgány c</w:t>
      </w:r>
      <w:r>
        <w:t>elní správ</w:t>
      </w:r>
      <w:r w:rsidR="29AC9D29">
        <w:t>y</w:t>
      </w:r>
      <w:r>
        <w:t xml:space="preserve"> kontroluj</w:t>
      </w:r>
      <w:r w:rsidR="4590A483">
        <w:t>í</w:t>
      </w:r>
      <w:r>
        <w:t xml:space="preserve"> plnění povinnosti podle §</w:t>
      </w:r>
      <w:r w:rsidR="617B6BE4">
        <w:t xml:space="preserve"> </w:t>
      </w:r>
      <w:r>
        <w:t>41 a nově také podle §</w:t>
      </w:r>
      <w:r w:rsidR="4C76BD5B">
        <w:t xml:space="preserve"> </w:t>
      </w:r>
      <w:r>
        <w:t>41a.  V rámci této kontroly m</w:t>
      </w:r>
      <w:r w:rsidR="5DFB03CE">
        <w:t>ohou</w:t>
      </w:r>
      <w:r>
        <w:t xml:space="preserve"> zaznamenávat a zpracovávat informace, včetně osobních údajů.</w:t>
      </w:r>
    </w:p>
    <w:p w14:paraId="4E082671" w14:textId="169FE29C" w:rsidR="0C411D1B" w:rsidRDefault="0C411D1B" w:rsidP="004F3CF5">
      <w:pPr>
        <w:pStyle w:val="DTlotextu1"/>
      </w:pPr>
      <w:r w:rsidRPr="6B820DA2">
        <w:t>Zpracovávání osobních údajů je nezbytným minimem pro efektivní chod systému proti legalizaci výnosů z trestné činnosti a financování terorismu.</w:t>
      </w:r>
    </w:p>
    <w:p w14:paraId="1B1833C2" w14:textId="77777777" w:rsidR="006B1DA9" w:rsidRPr="007E29B6" w:rsidRDefault="006B1DA9" w:rsidP="004E5097">
      <w:pPr>
        <w:pStyle w:val="Nadpis5"/>
      </w:pPr>
      <w:r w:rsidRPr="007E29B6">
        <w:t>Kategorie zpracovávaných osobních údajů</w:t>
      </w:r>
    </w:p>
    <w:p w14:paraId="3D8CDDDF" w14:textId="718E3D06" w:rsidR="3E16E8D9" w:rsidRDefault="3E16E8D9" w:rsidP="004E5097">
      <w:pPr>
        <w:pStyle w:val="DTlotextu1"/>
        <w:keepNext/>
      </w:pPr>
      <w:r w:rsidRPr="6B820DA2">
        <w:t>V rámci AML zákona je možné zpracovávat osobní údaje kontaktních osob a osobní údaje povinných osob a klientů povinných osob a osob s nimi spojených. Jedná se zejména o tyto kategorie osobních údajů:</w:t>
      </w:r>
    </w:p>
    <w:p w14:paraId="5DCD70DC" w14:textId="62780580" w:rsidR="3E16E8D9" w:rsidRDefault="3E16E8D9" w:rsidP="00346165">
      <w:pPr>
        <w:pStyle w:val="DTlotextu2"/>
        <w:numPr>
          <w:ilvl w:val="0"/>
          <w:numId w:val="37"/>
        </w:numPr>
        <w:ind w:hanging="357"/>
        <w:contextualSpacing/>
      </w:pPr>
      <w:r w:rsidRPr="6B820DA2">
        <w:t>identifikační</w:t>
      </w:r>
    </w:p>
    <w:p w14:paraId="1333BD11" w14:textId="284598E4" w:rsidR="3E16E8D9" w:rsidRDefault="3E16E8D9" w:rsidP="00346165">
      <w:pPr>
        <w:pStyle w:val="DTlotextu2"/>
        <w:numPr>
          <w:ilvl w:val="0"/>
          <w:numId w:val="38"/>
        </w:numPr>
        <w:ind w:hanging="357"/>
        <w:contextualSpacing/>
      </w:pPr>
      <w:r w:rsidRPr="6B820DA2">
        <w:t>všechna jména a příjmení;</w:t>
      </w:r>
    </w:p>
    <w:p w14:paraId="5735D810" w14:textId="7549B025" w:rsidR="3E16E8D9" w:rsidRDefault="3E16E8D9" w:rsidP="00346165">
      <w:pPr>
        <w:pStyle w:val="DTlotextu2"/>
        <w:numPr>
          <w:ilvl w:val="0"/>
          <w:numId w:val="38"/>
        </w:numPr>
        <w:ind w:hanging="357"/>
        <w:contextualSpacing/>
      </w:pPr>
      <w:r w:rsidRPr="6B820DA2">
        <w:t>rodné číslo, a nebylo-li přiděleno, datum narození a pohlaví;</w:t>
      </w:r>
    </w:p>
    <w:p w14:paraId="3F8915CC" w14:textId="2267F005" w:rsidR="3E16E8D9" w:rsidRDefault="3E16E8D9" w:rsidP="00346165">
      <w:pPr>
        <w:pStyle w:val="DTlotextu2"/>
        <w:numPr>
          <w:ilvl w:val="0"/>
          <w:numId w:val="38"/>
        </w:numPr>
        <w:ind w:hanging="357"/>
        <w:contextualSpacing/>
      </w:pPr>
      <w:r w:rsidRPr="6B820DA2">
        <w:t>místo narození;</w:t>
      </w:r>
    </w:p>
    <w:p w14:paraId="660D9C77" w14:textId="793B266A" w:rsidR="3E16E8D9" w:rsidRDefault="3E16E8D9" w:rsidP="00346165">
      <w:pPr>
        <w:pStyle w:val="DTlotextu2"/>
        <w:numPr>
          <w:ilvl w:val="0"/>
          <w:numId w:val="38"/>
        </w:numPr>
        <w:ind w:hanging="357"/>
        <w:contextualSpacing/>
      </w:pPr>
      <w:r w:rsidRPr="6B820DA2">
        <w:t>trvalý nebo jiný pobyt;</w:t>
      </w:r>
    </w:p>
    <w:p w14:paraId="3B3DE148" w14:textId="2671A4EC" w:rsidR="3E16E8D9" w:rsidRDefault="3E16E8D9" w:rsidP="00346165">
      <w:pPr>
        <w:pStyle w:val="DTlotextu2"/>
        <w:numPr>
          <w:ilvl w:val="0"/>
          <w:numId w:val="38"/>
        </w:numPr>
        <w:ind w:hanging="357"/>
        <w:contextualSpacing/>
      </w:pPr>
      <w:r w:rsidRPr="6B820DA2">
        <w:t>státní občanství;</w:t>
      </w:r>
    </w:p>
    <w:p w14:paraId="016EDB18" w14:textId="35C5D426" w:rsidR="3E16E8D9" w:rsidRDefault="3E16E8D9" w:rsidP="00346165">
      <w:pPr>
        <w:pStyle w:val="DTlotextu2"/>
        <w:numPr>
          <w:ilvl w:val="0"/>
          <w:numId w:val="38"/>
        </w:numPr>
        <w:ind w:hanging="357"/>
        <w:contextualSpacing/>
      </w:pPr>
      <w:r w:rsidRPr="6B820DA2">
        <w:t>číslo a druh identifikačního dokladu;</w:t>
      </w:r>
    </w:p>
    <w:p w14:paraId="5BB1388D" w14:textId="4D08BFBF" w:rsidR="3E16E8D9" w:rsidRDefault="3E16E8D9" w:rsidP="00346165">
      <w:pPr>
        <w:pStyle w:val="DTlotextu2"/>
        <w:numPr>
          <w:ilvl w:val="0"/>
          <w:numId w:val="38"/>
        </w:numPr>
        <w:ind w:hanging="357"/>
        <w:contextualSpacing/>
      </w:pPr>
      <w:r w:rsidRPr="6B820DA2">
        <w:t>telefonní číslo kontaktní osoby;</w:t>
      </w:r>
    </w:p>
    <w:p w14:paraId="4C845095" w14:textId="000FEC46" w:rsidR="3E16E8D9" w:rsidRDefault="3E16E8D9" w:rsidP="00346165">
      <w:pPr>
        <w:pStyle w:val="DTlotextu2"/>
        <w:numPr>
          <w:ilvl w:val="0"/>
          <w:numId w:val="38"/>
        </w:numPr>
        <w:ind w:hanging="357"/>
        <w:contextualSpacing/>
      </w:pPr>
      <w:r w:rsidRPr="6B820DA2">
        <w:t>číslo účtu kryptoaktiv původce;</w:t>
      </w:r>
    </w:p>
    <w:p w14:paraId="5B74C327" w14:textId="25519878" w:rsidR="3E16E8D9" w:rsidRDefault="3E16E8D9" w:rsidP="00A16F31">
      <w:pPr>
        <w:pStyle w:val="DTlotextu2"/>
        <w:keepNext/>
        <w:numPr>
          <w:ilvl w:val="0"/>
          <w:numId w:val="38"/>
        </w:numPr>
        <w:ind w:left="1071" w:hanging="357"/>
        <w:contextualSpacing/>
      </w:pPr>
      <w:r w:rsidRPr="6B820DA2">
        <w:t>u podnikající fyzické osoby</w:t>
      </w:r>
    </w:p>
    <w:p w14:paraId="5E6E510E" w14:textId="680CDF83" w:rsidR="3E16E8D9" w:rsidRDefault="3E16E8D9" w:rsidP="00346165">
      <w:pPr>
        <w:pStyle w:val="DTlotextu2"/>
        <w:numPr>
          <w:ilvl w:val="1"/>
          <w:numId w:val="39"/>
        </w:numPr>
        <w:ind w:hanging="357"/>
        <w:contextualSpacing/>
      </w:pPr>
      <w:r w:rsidRPr="6B820DA2">
        <w:t>obchodní firma, odlišující dodatek nebo další označení,</w:t>
      </w:r>
    </w:p>
    <w:p w14:paraId="2E00C6E6" w14:textId="0C2BB01B" w:rsidR="3E16E8D9" w:rsidRDefault="3E16E8D9" w:rsidP="00346165">
      <w:pPr>
        <w:pStyle w:val="DTlotextu2"/>
        <w:numPr>
          <w:ilvl w:val="1"/>
          <w:numId w:val="39"/>
        </w:numPr>
        <w:ind w:hanging="357"/>
        <w:contextualSpacing/>
      </w:pPr>
      <w:r w:rsidRPr="6B820DA2">
        <w:lastRenderedPageBreak/>
        <w:t>sídlo,</w:t>
      </w:r>
    </w:p>
    <w:p w14:paraId="071FA8A0" w14:textId="2FAA986E" w:rsidR="3E16E8D9" w:rsidRDefault="3E16E8D9" w:rsidP="00346165">
      <w:pPr>
        <w:pStyle w:val="DTlotextu2"/>
        <w:numPr>
          <w:ilvl w:val="1"/>
          <w:numId w:val="39"/>
        </w:numPr>
        <w:ind w:hanging="357"/>
        <w:contextualSpacing/>
      </w:pPr>
      <w:r w:rsidRPr="6B820DA2">
        <w:t>identifikační číslo, případně daňové identifikační číslo osoby;</w:t>
      </w:r>
    </w:p>
    <w:p w14:paraId="2E89721E" w14:textId="724C885F" w:rsidR="3E16E8D9" w:rsidRDefault="3E16E8D9" w:rsidP="00346165">
      <w:pPr>
        <w:pStyle w:val="DTlotextu2"/>
        <w:numPr>
          <w:ilvl w:val="0"/>
          <w:numId w:val="38"/>
        </w:numPr>
        <w:ind w:hanging="357"/>
        <w:contextualSpacing/>
      </w:pPr>
      <w:r w:rsidRPr="6B820DA2">
        <w:t>vztah k právnické osobě – klientovi;</w:t>
      </w:r>
    </w:p>
    <w:p w14:paraId="6255F215" w14:textId="41F6BDB2" w:rsidR="3E16E8D9" w:rsidRDefault="3E16E8D9" w:rsidP="00346165">
      <w:pPr>
        <w:pStyle w:val="DTlotextu2"/>
        <w:numPr>
          <w:ilvl w:val="0"/>
          <w:numId w:val="37"/>
        </w:numPr>
        <w:ind w:hanging="357"/>
        <w:contextualSpacing/>
      </w:pPr>
      <w:r w:rsidRPr="6B820DA2">
        <w:t>popisné</w:t>
      </w:r>
    </w:p>
    <w:p w14:paraId="74E8A46E" w14:textId="5E5D927F" w:rsidR="3E16E8D9" w:rsidRDefault="3E16E8D9" w:rsidP="00346165">
      <w:pPr>
        <w:pStyle w:val="DTlotextu2"/>
        <w:numPr>
          <w:ilvl w:val="0"/>
          <w:numId w:val="38"/>
        </w:numPr>
        <w:ind w:hanging="357"/>
        <w:contextualSpacing/>
      </w:pPr>
      <w:r w:rsidRPr="6B820DA2">
        <w:t>pracovní zařazení kontaktní osoby;</w:t>
      </w:r>
    </w:p>
    <w:p w14:paraId="570A3056" w14:textId="71E89BAA" w:rsidR="3E16E8D9" w:rsidRDefault="3E16E8D9" w:rsidP="00346165">
      <w:pPr>
        <w:pStyle w:val="DTlotextu2"/>
        <w:numPr>
          <w:ilvl w:val="0"/>
          <w:numId w:val="38"/>
        </w:numPr>
        <w:ind w:hanging="357"/>
        <w:contextualSpacing/>
      </w:pPr>
      <w:r w:rsidRPr="6B820DA2">
        <w:t>e-mail kontaktní osoby;</w:t>
      </w:r>
    </w:p>
    <w:p w14:paraId="2C88E93F" w14:textId="2851AB46" w:rsidR="3E16E8D9" w:rsidRDefault="3E16E8D9" w:rsidP="00346165">
      <w:pPr>
        <w:pStyle w:val="DTlotextu2"/>
        <w:numPr>
          <w:ilvl w:val="0"/>
          <w:numId w:val="38"/>
        </w:numPr>
        <w:ind w:hanging="357"/>
        <w:contextualSpacing/>
      </w:pPr>
      <w:r w:rsidRPr="6B820DA2">
        <w:t>adresa distribuovaného registru původce;</w:t>
      </w:r>
    </w:p>
    <w:p w14:paraId="3F6590F1" w14:textId="266CA009" w:rsidR="3E16E8D9" w:rsidRDefault="3E16E8D9" w:rsidP="00346165">
      <w:pPr>
        <w:pStyle w:val="DTlotextu2"/>
        <w:numPr>
          <w:ilvl w:val="0"/>
          <w:numId w:val="38"/>
        </w:numPr>
        <w:ind w:hanging="357"/>
        <w:contextualSpacing/>
      </w:pPr>
      <w:r w:rsidRPr="6B820DA2">
        <w:t>údaje o obchodech a obchodních vztazích s klientem v rozsahu odpovídajícím stávajícím povinnostem kontroly klienta.</w:t>
      </w:r>
    </w:p>
    <w:p w14:paraId="245E867D" w14:textId="581DD911" w:rsidR="3E16E8D9" w:rsidRDefault="3E16E8D9" w:rsidP="004F3CF5">
      <w:pPr>
        <w:pStyle w:val="DTlotextu1"/>
      </w:pPr>
      <w:r>
        <w:t xml:space="preserve">Pro naplnění shora uvedeného účelu zpracování není nutné, aby docházelo ke zpracování zvláštní kategorie osobních údajů ve smyslu čl. 9 nařízení Evropského parlamentu a Rady (EU) 2016/679 ze dne 27. dubna 2016 o ochraně fyzických osob v souvislosti se zpracováním osobních údajů a o volném pohybu těchto údajů a o zrušení směrnice 95/46/ES (dále </w:t>
      </w:r>
      <w:r w:rsidR="75603481">
        <w:t>také</w:t>
      </w:r>
      <w:r>
        <w:t xml:space="preserve"> „nařízení GDPR“). </w:t>
      </w:r>
    </w:p>
    <w:p w14:paraId="71432AD6" w14:textId="77777777" w:rsidR="0048201B" w:rsidRDefault="0048201B" w:rsidP="0048201B">
      <w:pPr>
        <w:pStyle w:val="DTlotextu1"/>
      </w:pPr>
      <w:r>
        <w:t>Prostředky zpracování budou výpočetní technika správce, jejíž součástí je běžný kancelářský software a spisová služba.</w:t>
      </w:r>
    </w:p>
    <w:p w14:paraId="157EFDDB" w14:textId="6D987C44" w:rsidR="3E16E8D9" w:rsidRDefault="3E16E8D9" w:rsidP="004F3CF5">
      <w:pPr>
        <w:pStyle w:val="DTlotextu1"/>
      </w:pPr>
      <w:r w:rsidRPr="6B820DA2">
        <w:t>Finanční analytický úřad při plnění svých zákonných povinností předává osobní údaje dalším orgánům veřejné moci, a to za účelem plnění jejich zákonných povinností v rozsahu, který je umožněn zejména podle § 39 AML zákona, který taxativně vymezuje situace, na které se vztahují výjimky z mlčenlivosti.</w:t>
      </w:r>
    </w:p>
    <w:p w14:paraId="48E4F5A6" w14:textId="77777777" w:rsidR="006B1DA9" w:rsidRPr="007E29B6" w:rsidRDefault="006B1DA9" w:rsidP="004E5097">
      <w:pPr>
        <w:pStyle w:val="Nadpis5"/>
      </w:pPr>
      <w:r w:rsidRPr="007E29B6">
        <w:t>Způsob zpracování osobních údajů</w:t>
      </w:r>
    </w:p>
    <w:p w14:paraId="12AA79CB" w14:textId="6EFF6253" w:rsidR="14D2AE3E" w:rsidRDefault="14D2AE3E" w:rsidP="004F3CF5">
      <w:pPr>
        <w:pStyle w:val="DTlotextu1"/>
      </w:pPr>
      <w:r>
        <w:t>Předkládaná novela AML zákona předpokládá zpracování osobních údajů Finančním analytickým úřadem</w:t>
      </w:r>
      <w:r w:rsidR="14B447E6">
        <w:t xml:space="preserve"> a</w:t>
      </w:r>
      <w:r>
        <w:t xml:space="preserve"> případně </w:t>
      </w:r>
      <w:r w:rsidR="404818E4">
        <w:t>orgány c</w:t>
      </w:r>
      <w:r>
        <w:t>elní správ</w:t>
      </w:r>
      <w:r w:rsidR="45A5B23A">
        <w:t>y</w:t>
      </w:r>
      <w:r>
        <w:t>. Osobní údaje budou zpracovávány pouze k předem definovanému účelu, kterým je „předcházení legalizace výnosů z trestné činnosti a financování terorismu“. Samotné zpracování osobních údajů podléhá povinnosti zachovávat mlčenlivost.</w:t>
      </w:r>
    </w:p>
    <w:p w14:paraId="54EACFBD" w14:textId="41876329" w:rsidR="14D2AE3E" w:rsidRDefault="14D2AE3E" w:rsidP="004F3CF5">
      <w:pPr>
        <w:pStyle w:val="DTlotextu1"/>
      </w:pPr>
      <w:r>
        <w:t xml:space="preserve">Pokud Úřad nebo </w:t>
      </w:r>
      <w:r w:rsidR="41B6D3EE">
        <w:t>orgány c</w:t>
      </w:r>
      <w:r>
        <w:t>elní správ</w:t>
      </w:r>
      <w:r w:rsidR="0F2D6497">
        <w:t>y</w:t>
      </w:r>
      <w:r>
        <w:t xml:space="preserve"> zpracováv</w:t>
      </w:r>
      <w:r w:rsidR="2D6130E6">
        <w:t>ají</w:t>
      </w:r>
      <w:r>
        <w:t xml:space="preserve"> osobní údaj, který vypovídá o rasovém nebo etnickém původu, politických názorech, náboženském vyznání nebo filosofickém přesvědčení, členství v odborové organizaci, zdravotním stavu, sexuálním chování nebo sexuální orientaci, tak zajistí, že k takovému osobnímu údaji má přístup pouze kvalifikovaná úřední osoba</w:t>
      </w:r>
      <w:r w:rsidR="5BE38DDC">
        <w:t>, v souladu s již platnými postupy.</w:t>
      </w:r>
    </w:p>
    <w:p w14:paraId="549506F7" w14:textId="77777777" w:rsidR="006B1DA9" w:rsidRPr="007E29B6" w:rsidRDefault="006B1DA9" w:rsidP="004E5097">
      <w:pPr>
        <w:pStyle w:val="Nadpis5"/>
      </w:pPr>
      <w:r w:rsidRPr="007E29B6">
        <w:t>Veřejnost zpracování</w:t>
      </w:r>
    </w:p>
    <w:p w14:paraId="4EDBEACC" w14:textId="37CF2A80" w:rsidR="0F199AEB" w:rsidRDefault="0F199AEB" w:rsidP="004F3CF5">
      <w:pPr>
        <w:pStyle w:val="DTlotextu1"/>
      </w:pPr>
      <w:r w:rsidRPr="6B820DA2">
        <w:t>Osobní údaje shromažďované dle stávající ani navrhované úpravy nebudou zpracovávány veřejně.</w:t>
      </w:r>
    </w:p>
    <w:p w14:paraId="4F9402A3" w14:textId="77777777" w:rsidR="006B1DA9" w:rsidRPr="007E29B6" w:rsidRDefault="006B1DA9" w:rsidP="004E5097">
      <w:pPr>
        <w:pStyle w:val="Nadpis5"/>
      </w:pPr>
      <w:r w:rsidRPr="007E29B6">
        <w:t>Lhůty pro uchování osobních údajů</w:t>
      </w:r>
    </w:p>
    <w:p w14:paraId="767F44F6" w14:textId="7ED86F49" w:rsidR="01550DA8" w:rsidRDefault="01550DA8" w:rsidP="004F3CF5">
      <w:pPr>
        <w:pStyle w:val="DTlotextu1"/>
      </w:pPr>
      <w:r w:rsidRPr="77644FD9">
        <w:t>Osobní údaje zpracovávané dle stávajícího znění zákona o některých opatřeních proti legalizaci výnosů z trestné činnosti a financování terorismu jsou uchovávány po dobu deseti, respektive pěti let. Navrhovaná právní úprava tento stav žádným způsobem nemění.</w:t>
      </w:r>
    </w:p>
    <w:p w14:paraId="3E324F00" w14:textId="77777777" w:rsidR="006B1DA9" w:rsidRPr="007E29B6" w:rsidRDefault="006B1DA9" w:rsidP="004E5097">
      <w:pPr>
        <w:pStyle w:val="Nadpis5"/>
      </w:pPr>
      <w:r w:rsidRPr="007E29B6">
        <w:t>Oprávnění subjektu údajů</w:t>
      </w:r>
    </w:p>
    <w:p w14:paraId="65B929E3" w14:textId="629E5BE2" w:rsidR="27823F48" w:rsidRDefault="27823F48" w:rsidP="004F3CF5">
      <w:pPr>
        <w:pStyle w:val="DTlotextu1"/>
      </w:pPr>
      <w:r w:rsidRPr="6B820DA2">
        <w:t>Nařízení GDPR předpokládá celou řadu práv, prostřednictvím kterých mohou subjekty údajů alespoň částečně ovlivňovat zpracování svých osobních údajů. Je třeba zdůraznit, že správce má povinnost reagovat na aplikaci práv ze strany subjektů údajů, a to zásadně bezúplatně. Výjimky z bez</w:t>
      </w:r>
      <w:r w:rsidR="0048201B">
        <w:t>ú</w:t>
      </w:r>
      <w:r w:rsidRPr="6B820DA2">
        <w:t xml:space="preserve">platnosti úkonů dle čl. 12 – 22 nařízení 2016/679 jsou stanoveny v čl. 12 odst. 5 nařízení GDPR a obecně je možné říci, že jde o situace, kdy dochází k šikanóznímu výkonu </w:t>
      </w:r>
      <w:r w:rsidRPr="6B820DA2">
        <w:lastRenderedPageBreak/>
        <w:t>práv subjektem údajů, přičemž v takovém případě má správce možnost svou reakci zpoplatnit, nebo odmítnout vyhovět žádosti. Nařízení GDPR umožňuje subjektům údajů uplatnit tato práva:</w:t>
      </w:r>
    </w:p>
    <w:p w14:paraId="6B8FC709" w14:textId="6837AC38" w:rsidR="27823F48" w:rsidRDefault="27823F48" w:rsidP="00346165">
      <w:pPr>
        <w:pStyle w:val="DTlotextu2"/>
        <w:numPr>
          <w:ilvl w:val="0"/>
          <w:numId w:val="40"/>
        </w:numPr>
      </w:pPr>
      <w:r w:rsidRPr="6B820DA2">
        <w:rPr>
          <w:u w:val="single"/>
        </w:rPr>
        <w:t>právo obdržet informace o zpracování osobních údajů (čl. 12 – 14)</w:t>
      </w:r>
      <w:r w:rsidRPr="6B820DA2">
        <w:t xml:space="preserve"> – informace o zpracování osobních údajů je základním předpokladem pro uplatnění dalších práv subjektů údajů, protože subjekt údajů získává základní informace o zpracování včetně výčtu práv, která pro dané zpracování může uplatnit;</w:t>
      </w:r>
    </w:p>
    <w:p w14:paraId="1BE433C0" w14:textId="290E97A9" w:rsidR="27823F48" w:rsidRDefault="27823F48" w:rsidP="00346165">
      <w:pPr>
        <w:pStyle w:val="DTlotextu2"/>
        <w:numPr>
          <w:ilvl w:val="0"/>
          <w:numId w:val="40"/>
        </w:numPr>
      </w:pPr>
      <w:r w:rsidRPr="6B820DA2">
        <w:rPr>
          <w:u w:val="single"/>
        </w:rPr>
        <w:t>právo subjektu údajů na přístup k osobním údajům (čl. 15)</w:t>
      </w:r>
      <w:r w:rsidRPr="6B820DA2">
        <w:t xml:space="preserve"> – spočívá v právu získat od správce osobních údajů potvrzení o tom, zda dochází či nedochází ke zpracování osobních údajů a v případě, že ke zpracování osobních údajů dochází, má subjekt údajů právo získat přístup k těmto osobním údajům a k dalším informacím, které jsou uvedeny v čl. 15 nařízení GDPR;</w:t>
      </w:r>
    </w:p>
    <w:p w14:paraId="372CC0A2" w14:textId="2306D7E1" w:rsidR="27823F48" w:rsidRDefault="27823F48" w:rsidP="00346165">
      <w:pPr>
        <w:pStyle w:val="DTlotextu2"/>
        <w:numPr>
          <w:ilvl w:val="0"/>
          <w:numId w:val="40"/>
        </w:numPr>
      </w:pPr>
      <w:r w:rsidRPr="6B820DA2">
        <w:rPr>
          <w:u w:val="single"/>
        </w:rPr>
        <w:t>právo na opravu (čl. 16)</w:t>
      </w:r>
      <w:r w:rsidRPr="6B820DA2">
        <w:t xml:space="preserve"> – subjekt údajů má právo na to, aby správce osobních údajů bez zbytečného odkladu opravil údaje, které se ho týkají; </w:t>
      </w:r>
    </w:p>
    <w:p w14:paraId="6A696D97" w14:textId="321702B6" w:rsidR="27823F48" w:rsidRDefault="27823F48" w:rsidP="00346165">
      <w:pPr>
        <w:pStyle w:val="DTlotextu2"/>
        <w:numPr>
          <w:ilvl w:val="0"/>
          <w:numId w:val="40"/>
        </w:numPr>
      </w:pPr>
      <w:r w:rsidRPr="6B820DA2">
        <w:rPr>
          <w:u w:val="single"/>
        </w:rPr>
        <w:t>právo na výmaz (čl. 17)</w:t>
      </w:r>
      <w:r w:rsidRPr="6B820DA2">
        <w:t xml:space="preserve"> – právo na to, aby správce bez zbytečného odkladu vymazal osobní údaje, které se daného subjektu údajů týkají, lze uplatnit pouze za podmínek stanovených čl. 17;</w:t>
      </w:r>
    </w:p>
    <w:p w14:paraId="5DBDE71D" w14:textId="4BFC7725" w:rsidR="27823F48" w:rsidRDefault="27823F48" w:rsidP="00346165">
      <w:pPr>
        <w:pStyle w:val="DTlotextu2"/>
        <w:numPr>
          <w:ilvl w:val="0"/>
          <w:numId w:val="40"/>
        </w:numPr>
      </w:pPr>
      <w:r w:rsidRPr="6B820DA2">
        <w:rPr>
          <w:u w:val="single"/>
        </w:rPr>
        <w:t>právo na omezení zpracování (čl. 18)</w:t>
      </w:r>
      <w:r w:rsidRPr="6B820DA2">
        <w:t xml:space="preserve"> – toto právo může za podmínek stanovených v čl. 18 nařízení GDPR uplatnit každý subjekt údajů, jehož osobní údaje jsou správcem zpracovány;</w:t>
      </w:r>
    </w:p>
    <w:p w14:paraId="7EF264A2" w14:textId="69899FFB" w:rsidR="27823F48" w:rsidRDefault="27823F48" w:rsidP="00346165">
      <w:pPr>
        <w:pStyle w:val="DTlotextu2"/>
        <w:numPr>
          <w:ilvl w:val="0"/>
          <w:numId w:val="40"/>
        </w:numPr>
      </w:pPr>
      <w:r w:rsidRPr="6B820DA2">
        <w:rPr>
          <w:u w:val="single"/>
        </w:rPr>
        <w:t>právo vznést námitku (čl. 21)</w:t>
      </w:r>
      <w:r w:rsidRPr="6B820DA2">
        <w:t xml:space="preserve"> – toto právo může uplatnit subjekt údajů za podmínek stanovených v čl. 21;</w:t>
      </w:r>
    </w:p>
    <w:p w14:paraId="3E17A44D" w14:textId="33330C17" w:rsidR="27823F48" w:rsidRDefault="27823F48" w:rsidP="00346165">
      <w:pPr>
        <w:pStyle w:val="DTlotextu2"/>
        <w:numPr>
          <w:ilvl w:val="0"/>
          <w:numId w:val="40"/>
        </w:numPr>
      </w:pPr>
      <w:r w:rsidRPr="6B820DA2">
        <w:rPr>
          <w:u w:val="single"/>
        </w:rPr>
        <w:t>právo nebýt předmětem automatizovaného individuálního rozhodování včetně profilování (čl. 22)</w:t>
      </w:r>
      <w:r w:rsidRPr="6B820DA2">
        <w:t xml:space="preserve"> – toto právo se v kontextu zpracování osobních údajů dle navrhované novely zákona neuplatní, neboť získané osobní údaje nebudou sloužit k automatizovanému individuálnímu rozhodování či profilování.</w:t>
      </w:r>
    </w:p>
    <w:p w14:paraId="45A828FB" w14:textId="5A483E4A" w:rsidR="27823F48" w:rsidRDefault="27823F48" w:rsidP="004F3CF5">
      <w:pPr>
        <w:pStyle w:val="DTlotextu1"/>
      </w:pPr>
      <w:r>
        <w:t>Práva subjektu údajů mohou být částečně omezena, a to na základě §</w:t>
      </w:r>
      <w:r w:rsidR="231848A0">
        <w:t xml:space="preserve"> </w:t>
      </w:r>
      <w:r>
        <w:t xml:space="preserve">31a </w:t>
      </w:r>
      <w:r w:rsidR="019D1E90">
        <w:t xml:space="preserve">odstavce 3 </w:t>
      </w:r>
      <w:r>
        <w:t>AML zákona, který stanoví, že Úřad nevyhoví žádosti o přístup k osobním údajům, popřípadě takové žádosti vyhoví pouze částečně, pokud by vyhověním došlo k ohrožení:</w:t>
      </w:r>
    </w:p>
    <w:p w14:paraId="3335907A" w14:textId="553B14C1" w:rsidR="27823F48" w:rsidRDefault="27823F48" w:rsidP="00346165">
      <w:pPr>
        <w:pStyle w:val="DTlotextu2"/>
        <w:numPr>
          <w:ilvl w:val="0"/>
          <w:numId w:val="41"/>
        </w:numPr>
      </w:pPr>
      <w:r w:rsidRPr="6B820DA2">
        <w:t>plnění úkolu za účelem zabránění zneužívání finančního systému k legalizaci výnosů z trestné činnosti nebo k financování terorismu,</w:t>
      </w:r>
    </w:p>
    <w:p w14:paraId="4D89EB89" w14:textId="328DE4BF" w:rsidR="27823F48" w:rsidRDefault="27823F48" w:rsidP="00346165">
      <w:pPr>
        <w:pStyle w:val="DTlotextu2"/>
        <w:numPr>
          <w:ilvl w:val="0"/>
          <w:numId w:val="41"/>
        </w:numPr>
      </w:pPr>
      <w:r w:rsidRPr="6B820DA2">
        <w:t>vytváření podmínek pro odhalování legalizace výnosů z trestné činnosti nebo financování terorismu, nebo</w:t>
      </w:r>
    </w:p>
    <w:p w14:paraId="7607B90A" w14:textId="2065F842" w:rsidR="27823F48" w:rsidRDefault="27823F48" w:rsidP="00346165">
      <w:pPr>
        <w:pStyle w:val="DTlotextu2"/>
        <w:numPr>
          <w:ilvl w:val="0"/>
          <w:numId w:val="41"/>
        </w:numPr>
      </w:pPr>
      <w:r>
        <w:t>ochrany utajovaných informací.</w:t>
      </w:r>
    </w:p>
    <w:p w14:paraId="41EC6543" w14:textId="77777777" w:rsidR="006B1DA9" w:rsidRPr="007E29B6" w:rsidRDefault="006B1DA9" w:rsidP="004E5097">
      <w:pPr>
        <w:pStyle w:val="Nadpis5"/>
      </w:pPr>
      <w:r w:rsidRPr="007E29B6">
        <w:t>Posouzení nebezpečí neoprávněného přístupu k osobním údajům</w:t>
      </w:r>
    </w:p>
    <w:p w14:paraId="6DFE762F" w14:textId="172F8D88" w:rsidR="3F1300AE" w:rsidRDefault="3F1300AE" w:rsidP="004F3CF5">
      <w:pPr>
        <w:pStyle w:val="DTlotextu1"/>
      </w:pPr>
      <w:r>
        <w:t xml:space="preserve">Veškeré osobní údaje jsou shromažďované v souvislosti s plněním povinností vyplývajících z AML zákona. Finanční analytický úřad, respektive </w:t>
      </w:r>
      <w:r w:rsidR="1DF057FE">
        <w:t>orgány c</w:t>
      </w:r>
      <w:r>
        <w:t>elní správ</w:t>
      </w:r>
      <w:r w:rsidR="1F15A667">
        <w:t>y</w:t>
      </w:r>
      <w:r>
        <w:t xml:space="preserve"> bud</w:t>
      </w:r>
      <w:r w:rsidR="2E3431FF">
        <w:t>ou</w:t>
      </w:r>
      <w:r>
        <w:t xml:space="preserve"> postupovat totožně, jako postupuj</w:t>
      </w:r>
      <w:r w:rsidR="0C0089B5">
        <w:t>í</w:t>
      </w:r>
      <w:r>
        <w:t xml:space="preserve"> dnes při shromažďování a zpracovávání osobních údajů. Je zajištěno, že nemůže dojít k neoprávněnému nebo nahodilému přístupu k osobním údajům, k jejich změně, zničení či ztrátě, neoprávněným přenosům nebo neoprávněnému zpracování. K osobním údajům jsou oprávněny přistupovat pouze osoby oprávněné k jejich zpracování.</w:t>
      </w:r>
    </w:p>
    <w:p w14:paraId="79DF349B" w14:textId="77777777" w:rsidR="006B1DA9" w:rsidRPr="007E29B6" w:rsidRDefault="006B1DA9" w:rsidP="004E5097">
      <w:pPr>
        <w:pStyle w:val="Nadpis5"/>
      </w:pPr>
      <w:r w:rsidRPr="007E29B6">
        <w:lastRenderedPageBreak/>
        <w:t>Záruky ochrany osobních údajů</w:t>
      </w:r>
    </w:p>
    <w:p w14:paraId="02F228B5" w14:textId="2C58A27B" w:rsidR="006B1DA9" w:rsidRPr="004F3CF5" w:rsidRDefault="004F3CF5" w:rsidP="004E5097">
      <w:pPr>
        <w:pStyle w:val="Nadpis6"/>
        <w:rPr>
          <w:rFonts w:eastAsia="Times New Roman"/>
          <w:i w:val="0"/>
        </w:rPr>
      </w:pPr>
      <w:r>
        <w:rPr>
          <w:rFonts w:eastAsia="Times New Roman"/>
        </w:rPr>
        <w:t xml:space="preserve">a) </w:t>
      </w:r>
      <w:r w:rsidR="006B1DA9" w:rsidRPr="004E5097">
        <w:t>Prevence</w:t>
      </w:r>
      <w:r w:rsidR="006B1DA9" w:rsidRPr="004F3CF5">
        <w:rPr>
          <w:rFonts w:eastAsia="Times New Roman"/>
        </w:rPr>
        <w:t xml:space="preserve"> zneužití osobních údajů</w:t>
      </w:r>
    </w:p>
    <w:p w14:paraId="7FFC1FAA" w14:textId="6FD6BA74" w:rsidR="2C37D588" w:rsidRDefault="2C37D588" w:rsidP="004F3CF5">
      <w:pPr>
        <w:pStyle w:val="DTlotextu1"/>
      </w:pPr>
      <w:r w:rsidRPr="6B820DA2">
        <w:t>S ohledem na to, že zpracování osobních údajů bude probíhat podle stávajících metod při zpracování osobních údajů, nepředpokládá se přijetí specifických opatření za účelem ochrany osobních údajů. Stávající způsob ochrany údajů je v tomto ohledu adekvátní.</w:t>
      </w:r>
    </w:p>
    <w:p w14:paraId="2159C75D" w14:textId="50F2D31E" w:rsidR="006B1DA9" w:rsidRPr="004F3CF5" w:rsidRDefault="004F3CF5" w:rsidP="004E5097">
      <w:pPr>
        <w:pStyle w:val="Nadpis6"/>
        <w:rPr>
          <w:rFonts w:eastAsia="Times New Roman"/>
          <w:i w:val="0"/>
        </w:rPr>
      </w:pPr>
      <w:r>
        <w:rPr>
          <w:rFonts w:eastAsia="Times New Roman"/>
        </w:rPr>
        <w:t xml:space="preserve">b) </w:t>
      </w:r>
      <w:r w:rsidR="006B1DA9" w:rsidRPr="004F3CF5">
        <w:rPr>
          <w:rFonts w:eastAsia="Times New Roman"/>
        </w:rPr>
        <w:t>Sankce za zneužití osobních údajů</w:t>
      </w:r>
    </w:p>
    <w:p w14:paraId="3A146EB7" w14:textId="33309084" w:rsidR="121C78A1" w:rsidRDefault="121C78A1" w:rsidP="004F3CF5">
      <w:pPr>
        <w:pStyle w:val="DTlotextu1"/>
      </w:pPr>
      <w:r>
        <w:t>Povinnost mlčenlivosti vychází z §</w:t>
      </w:r>
      <w:r w:rsidR="499E007C">
        <w:t xml:space="preserve"> </w:t>
      </w:r>
      <w:r>
        <w:t>38 AML zákona, na jehož základě jsou povinné osoby a jejich zaměstnanci, zaměstnanci Úřadu, zaměstnanci ostatních dozorčích úřadů nebo Rady pro veřejný dohled nad auditem a fyzické osoby, které jsou pro povinnou osobu, Úřad, jiný dozorčí úřad nebo Rad</w:t>
      </w:r>
      <w:r w:rsidR="01DC4F4A">
        <w:t>a</w:t>
      </w:r>
      <w:r>
        <w:t xml:space="preserve">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nebo § 31c, nestanoví-li tento zákon jinak. O těchto skutečnostech je také povinen zachovávat mlčenlivost každý, kdo se o nich dozví.</w:t>
      </w:r>
    </w:p>
    <w:p w14:paraId="118E337C" w14:textId="224D54C1" w:rsidR="121C78A1" w:rsidRDefault="121C78A1" w:rsidP="004F3CF5">
      <w:pPr>
        <w:pStyle w:val="DTlotextu1"/>
      </w:pPr>
      <w:r w:rsidRPr="6B820DA2">
        <w:t xml:space="preserve">Porušení mlčenlivosti je sankciováno pokutou do výše </w:t>
      </w:r>
      <w:r w:rsidR="00566283">
        <w:t>1 0</w:t>
      </w:r>
      <w:r w:rsidRPr="6B820DA2">
        <w:t>00 000 Kč.</w:t>
      </w:r>
    </w:p>
    <w:p w14:paraId="19A57A85" w14:textId="1DD95551" w:rsidR="006B1DA9" w:rsidRPr="004F3CF5" w:rsidRDefault="5EB65D4F" w:rsidP="004E5097">
      <w:pPr>
        <w:pStyle w:val="Nadpis5"/>
      </w:pPr>
      <w:r w:rsidRPr="004F3CF5">
        <w:t xml:space="preserve"> </w:t>
      </w:r>
      <w:r w:rsidR="006B1DA9" w:rsidRPr="004F3CF5">
        <w:t>Závěr</w:t>
      </w:r>
    </w:p>
    <w:p w14:paraId="0A0E6B9D" w14:textId="2DF89AF8" w:rsidR="19251EC9" w:rsidRDefault="19251EC9" w:rsidP="004F3CF5">
      <w:pPr>
        <w:pStyle w:val="DTlotextu1"/>
      </w:pPr>
      <w:r>
        <w:t>Správcům osobních údajů je stanoven účel zpracování osobních údajů, kterým je prevence legalizace výnosů z trestné činnosti a financování terorismu. Prostředky zpracování budou výpočetní technika správce, jejíž součástí je běžný kancelářský software a spisová služba.</w:t>
      </w:r>
    </w:p>
    <w:p w14:paraId="12B52421" w14:textId="5D1206E7" w:rsidR="6B820DA2" w:rsidRDefault="19251EC9" w:rsidP="004F3CF5">
      <w:pPr>
        <w:pStyle w:val="DTlotextu1"/>
      </w:pPr>
      <w:r w:rsidRPr="6B820DA2">
        <w:t>Vyloučení některých práv subjektů údajů není dáno zvůlí správce, ale vychází z povahy zpracování údajů, které je založeno na určitém právním důvodu, při kterém se některá práva ze své povahy neuplatňují.</w:t>
      </w:r>
    </w:p>
    <w:p w14:paraId="0B57D0BC" w14:textId="565292CC" w:rsidR="19251EC9" w:rsidRPr="004F3CF5" w:rsidRDefault="19251EC9" w:rsidP="004E5097">
      <w:pPr>
        <w:pStyle w:val="Nadpis4"/>
      </w:pPr>
      <w:r w:rsidRPr="004F3CF5">
        <w:t>Zákon o provádění mezinárodních sankcí</w:t>
      </w:r>
    </w:p>
    <w:p w14:paraId="579321F5" w14:textId="7144DD7A" w:rsidR="0003045D" w:rsidRPr="00691B9B" w:rsidRDefault="40184282" w:rsidP="004F3CF5">
      <w:pPr>
        <w:pStyle w:val="DTlotextu1"/>
      </w:pPr>
      <w:r>
        <w:t>Obecně je ochrana osobních údajů upravena</w:t>
      </w:r>
      <w:r w:rsidR="5DB52969">
        <w:t xml:space="preserve"> výše uvedeným</w:t>
      </w:r>
      <w:r>
        <w:t xml:space="preserve"> přímo použitelným nařízením Evropského parlamentu a Rady (EU) č. 2016/679 ze dne 27. dubna 2016 o ochraně fyzických osob v souvislosti se zpracováním osobních údajů a o volném pohybu těchto údajů a o zrušení směrnice 95/46/ES (obecné nařízení o ochraně osobních údajů) a zákonem č. 110/2019 Sb., o zpracování osobních údajů.</w:t>
      </w:r>
    </w:p>
    <w:p w14:paraId="7FC4CDE5" w14:textId="01A3CEE2" w:rsidR="77644FD9" w:rsidRDefault="40184282" w:rsidP="004F3CF5">
      <w:pPr>
        <w:pStyle w:val="DTlotextu1"/>
      </w:pPr>
      <w:r>
        <w:t xml:space="preserve">Ustanovení 16 nařízení GDPR stanoví, že toto nařízení se nevztahuje na otázky ochrany základních práv a svobod nebo volného pohybu osobních údajů v souvislosti s činnostmi, které nespadají do působnosti práva Unie, jako jsou činnosti týkající se národní bezpečnosti. </w:t>
      </w:r>
    </w:p>
    <w:p w14:paraId="6E5EFBC1" w14:textId="60BB0DD1" w:rsidR="09415156" w:rsidRDefault="09415156" w:rsidP="004F3CF5">
      <w:pPr>
        <w:pStyle w:val="DTlotextu1"/>
      </w:pPr>
      <w:r w:rsidRPr="18A3E442">
        <w:t>Vzhledem k zprostředkování seznamu subjektů a osob, proti nimž jsou uplatňovány sankce, prostřednictvím „překlápění“ rezolucí, nedochází na základě zákona ke zpracování osobních údajů fyzických osob.</w:t>
      </w:r>
    </w:p>
    <w:p w14:paraId="4A724F86" w14:textId="4A9ED706" w:rsidR="19251EC9" w:rsidRPr="004F3CF5" w:rsidRDefault="19251EC9" w:rsidP="004E5097">
      <w:pPr>
        <w:pStyle w:val="Nadpis4"/>
      </w:pPr>
      <w:r w:rsidRPr="004F3CF5">
        <w:t>Závěr</w:t>
      </w:r>
    </w:p>
    <w:p w14:paraId="50B0FCFB" w14:textId="65ACC0D4" w:rsidR="19251EC9" w:rsidRDefault="19251EC9" w:rsidP="004F3CF5">
      <w:pPr>
        <w:pStyle w:val="DTlotextu1"/>
      </w:pPr>
      <w:r w:rsidRPr="6B820DA2">
        <w:t>Navržená právní úprava nenarušuje stávající zákonný rámec pro zpracování osobních údajů. Jde o přiměřené a relevantní zpracování osobních údajů omezené na nezbytný rozsah ve vztahu k účelu, pro který jsou zpracovávány. Právní úprava sebou nenese jiné dopady na soukromí dotčených ani jiných osob.</w:t>
      </w:r>
    </w:p>
    <w:p w14:paraId="4207957A" w14:textId="77777777" w:rsidR="0003045D" w:rsidRPr="004F3CF5" w:rsidRDefault="0003045D" w:rsidP="004E5097">
      <w:pPr>
        <w:pStyle w:val="Nadpis3"/>
      </w:pPr>
      <w:r w:rsidRPr="004F3CF5">
        <w:t xml:space="preserve">Zhodnocení korupčních rizik navrhovaného </w:t>
      </w:r>
      <w:r w:rsidRPr="004E5097">
        <w:t>řešení</w:t>
      </w:r>
      <w:r w:rsidRPr="004F3CF5">
        <w:t xml:space="preserve"> (CIA)</w:t>
      </w:r>
    </w:p>
    <w:p w14:paraId="0103EB70" w14:textId="2A4E1D8A" w:rsidR="638335E4" w:rsidRDefault="638335E4" w:rsidP="004F3CF5">
      <w:pPr>
        <w:pStyle w:val="DTlotextu1"/>
      </w:pPr>
      <w:r>
        <w:t>U novely zákona o provádění mezinárodních sankcí, vzhledem k automatickému přebírání</w:t>
      </w:r>
      <w:r w:rsidR="25928CA7">
        <w:t xml:space="preserve"> sankčních seznamů</w:t>
      </w:r>
      <w:r>
        <w:t>, nehrozí žádná korupční rizika.</w:t>
      </w:r>
    </w:p>
    <w:p w14:paraId="53A37AE7" w14:textId="38577103" w:rsidR="00E51A48" w:rsidRPr="00E51A48" w:rsidRDefault="4BCAEBA0" w:rsidP="004F3CF5">
      <w:pPr>
        <w:pStyle w:val="DTlotextu1"/>
      </w:pPr>
      <w:r>
        <w:lastRenderedPageBreak/>
        <w:t>Navržené změny AML zákona nezavádí nestandardní správní postupy, které by se odchylovaly od zavedené praxe orgánů státní správy a měly odlišný korupční potenciál. Obecně lze k navrhované úpravě ve vztahu ke vzniku korupčních rizik uvést následující</w:t>
      </w:r>
      <w:r w:rsidR="59F3E962">
        <w:t>.</w:t>
      </w:r>
    </w:p>
    <w:p w14:paraId="3193FFDC" w14:textId="77777777" w:rsidR="0003045D" w:rsidRPr="004E5097" w:rsidRDefault="0003045D" w:rsidP="004E5097">
      <w:pPr>
        <w:pStyle w:val="Nadpis4"/>
      </w:pPr>
      <w:r w:rsidRPr="004E5097">
        <w:t>Přiměřenost</w:t>
      </w:r>
    </w:p>
    <w:p w14:paraId="4F110677" w14:textId="11DD15AC" w:rsidR="78C173AD" w:rsidRDefault="78C173AD" w:rsidP="004F3CF5">
      <w:pPr>
        <w:pStyle w:val="DTlotextu1"/>
      </w:pPr>
      <w:r>
        <w:t>Pokud jde o rozsah působnosti Finančního analytického úřadu,</w:t>
      </w:r>
      <w:r w:rsidR="5E3F70AE">
        <w:t xml:space="preserve"> respektive orgánů celní správy,</w:t>
      </w:r>
      <w:r>
        <w:t xml:space="preserve"> je rozhodující jak zákonný okruh působnosti jako takový, tak i míra diskrece, kterou uvedenému úřadu zákon při výkonu působnosti umožňuje, resp. jakou míru diskrece zde zákon předpokládá. Jakýkoli normativní text zakotvující určitou míru diskrece sám o sobě představuje potenciální korupční riziko. Proto se při přípravě takového ustanovení vždy poměřuje nutnost zavedení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nebo stávající kompetence ve stejném nebo upraveném rozsahu</w:t>
      </w:r>
      <w:r w:rsidR="67B0986F">
        <w:t>,</w:t>
      </w:r>
      <w:r>
        <w:t xml:space="preserve"> a to pouze v rozsahu nezbytném pro úpravu vztahů, které mají být právní úpravou nově regulovány, přičemž míra diskrece zůstává zachována.</w:t>
      </w:r>
    </w:p>
    <w:p w14:paraId="5D6485A8" w14:textId="77777777" w:rsidR="004F3CF5" w:rsidRPr="004F3CF5" w:rsidRDefault="0003045D" w:rsidP="004E5097">
      <w:pPr>
        <w:pStyle w:val="Nadpis4"/>
      </w:pPr>
      <w:r w:rsidRPr="18A3E442">
        <w:t>Efektivita</w:t>
      </w:r>
    </w:p>
    <w:p w14:paraId="7647F20B" w14:textId="68CB6166" w:rsidR="0003045D" w:rsidRPr="00691B9B" w:rsidRDefault="70F2AAEA" w:rsidP="004F3CF5">
      <w:pPr>
        <w:pStyle w:val="DTlotextu1"/>
      </w:pPr>
      <w:r w:rsidRPr="6B820DA2">
        <w:t>Z hlediska efektivity lze k předložené úpravě uvést, že k uložení i k vynucování splnění povinnosti při výkonu působnosti v oblasti legalizace výnosů z trestné činnosti a financování terorismu je věcně a místně příslušný Úřad a dozorčí úřady. Úřad, resp. dozorčí úřady obvykle disponují podklady pro vydání daného rozhodnutí, ale i potřebnými odbornými znalostmi, čímž je zaručena efektivní implementace dané regulace i její efektivní kontrola, případně vynucování. Nástroje kontroly a vynucování jsou v oblasti boje proti legalizaci výnosů z trestné činnosti a financování terorismu daní upraveny jako obecné instituty AML zákona, správního a kontrolního řádu.</w:t>
      </w:r>
    </w:p>
    <w:p w14:paraId="411D779F" w14:textId="77777777" w:rsidR="0003045D" w:rsidRPr="004E5097" w:rsidRDefault="0003045D" w:rsidP="004E5097">
      <w:pPr>
        <w:pStyle w:val="Nadpis4"/>
      </w:pPr>
      <w:r w:rsidRPr="004E5097">
        <w:t>Odpovědnost</w:t>
      </w:r>
    </w:p>
    <w:p w14:paraId="52EE4E4B" w14:textId="0CA65199" w:rsidR="0003045D" w:rsidRPr="00691B9B" w:rsidRDefault="0D4D2C4B" w:rsidP="004F3CF5">
      <w:pPr>
        <w:pStyle w:val="DTlotextu1"/>
      </w:pPr>
      <w:r w:rsidRPr="6B820DA2">
        <w:t>Zvolená právní úprava vždy jasně reflektuje požadavek čl. 79 odst. 1 Ústavy, podle něhož musí být působnost správního úřadu stanovena zákonem.</w:t>
      </w:r>
    </w:p>
    <w:p w14:paraId="14589FA7" w14:textId="3B56BAF7" w:rsidR="0003045D" w:rsidRPr="00691B9B" w:rsidRDefault="0D4D2C4B" w:rsidP="004F3CF5">
      <w:pPr>
        <w:pStyle w:val="DTlotextu1"/>
      </w:pPr>
      <w:r>
        <w:t>Odpovědnou osobou na straně Finančního analytického úřadu</w:t>
      </w:r>
      <w:r w:rsidR="7662D0C0">
        <w:t xml:space="preserve"> a </w:t>
      </w:r>
      <w:r w:rsidR="49DADDED">
        <w:t>orgánů c</w:t>
      </w:r>
      <w:r w:rsidR="7662D0C0">
        <w:t>elní správy</w:t>
      </w:r>
      <w:r>
        <w:t xml:space="preserve"> je vždy úřední osoba. Určení konkrétní úřední osoby je prováděno na základě vnitřních předpisů, resp. organizačního uspořádání konkrétního správního úřadu, přičemž popis organizační struktury je správní úřad povinen zveřejnit na základě zákona č. 106/1999 Sb., o svobodném přístupu k informacím, ve znění pozdějších předpisů. Úřední osoba je povinna se při výkonu působnosti správního úřadu prokazovat služebním průkazem.</w:t>
      </w:r>
    </w:p>
    <w:p w14:paraId="26F18BFB" w14:textId="77777777" w:rsidR="0003045D" w:rsidRPr="004E5097" w:rsidRDefault="0003045D" w:rsidP="004E5097">
      <w:pPr>
        <w:pStyle w:val="Nadpis4"/>
      </w:pPr>
      <w:r w:rsidRPr="004E5097">
        <w:t>Opravné prostředky</w:t>
      </w:r>
    </w:p>
    <w:p w14:paraId="0AFA5B67" w14:textId="1D8E6365" w:rsidR="0003045D" w:rsidRPr="00691B9B" w:rsidRDefault="656C4C8B" w:rsidP="004F3CF5">
      <w:pPr>
        <w:pStyle w:val="DTlotextu1"/>
      </w:pPr>
      <w:r w:rsidRPr="6B820DA2">
        <w:t>Z hlediska opravných prostředků existuje možnost účinné obrany proti nesprávnému úřednímu postupu v první řadě v podobě řádného opravného prostředku, kterým je odvolání, resp. rozklad. V souladu s § 68 správního řádu má správní orgán povinnost v rozhodnutí uvést poučení, zda je možné proti rozhodnutí podat odvolání, v jaké lhůtě je tak možno učinit, u kterého správního orgánu se odvolání podává, spolu s upozorněním na případné vyloučení odkladného účinku. Neúplné, nesprávné nebo chybějící poučení je spojeno s důsledky pro bono účastníka řízení. Existuje také možnost užití mimořádných opravných prostředků dle správního řádu. Vedle opravných prostředků správní řád připouští rovněž jiné prostředky ochrany, kterými je třeba rozumět: stížnost (srov. § 175 správního řádu), podnět na nečinnost (srov. § 80 správního řádu).</w:t>
      </w:r>
    </w:p>
    <w:p w14:paraId="1B93EC82" w14:textId="43EADB63" w:rsidR="0003045D" w:rsidRPr="00691B9B" w:rsidRDefault="656C4C8B" w:rsidP="004F3CF5">
      <w:pPr>
        <w:pStyle w:val="DTlotextu1"/>
      </w:pPr>
      <w:r w:rsidRPr="6B820DA2">
        <w:lastRenderedPageBreak/>
        <w:t>Ve vztazích mezi orgány různých států se uplatní svébytná právní úprava administrativní spolupráce v této oblasti včetně všech procesních záruk, které se nabízí osobám, které by mohly být činností těchto úřadů dotčeny.</w:t>
      </w:r>
    </w:p>
    <w:p w14:paraId="14E50647" w14:textId="77777777" w:rsidR="0003045D" w:rsidRPr="004E5097" w:rsidRDefault="0003045D" w:rsidP="004E5097">
      <w:pPr>
        <w:pStyle w:val="Nadpis4"/>
      </w:pPr>
      <w:r w:rsidRPr="004E5097">
        <w:t>Kontrolní mechanismy</w:t>
      </w:r>
    </w:p>
    <w:p w14:paraId="48B5EA0A" w14:textId="3471DCED" w:rsidR="0003045D" w:rsidRPr="00691B9B" w:rsidRDefault="6CFCAB29" w:rsidP="004F3CF5">
      <w:pPr>
        <w:pStyle w:val="DTlotextu1"/>
      </w:pPr>
      <w:r w:rsidRPr="6B820DA2">
        <w:t xml:space="preserve">Z hlediska systému kontrolních mechanismů je nutno uvést, že oblast opatření proti legalizaci výnosů z trestné činnosti se pohybuje v procesním režimu správního řádu, jenž obsahuje úpravu kontroly a přezkumu přijatých rozhodnutí, a to primárně formou opravných prostředků. Proti rozhodnutím je možno podat odvolání anebo v určitých případech užít mimořádných opravných prostředků či jiných prostředků ochrany (viz předchozí bod). Vedle toho lze využít rovněž dozorčí prostředky, čímž je zaručena dostatečná kontrola správnosti a zákonnosti všech rozhodnutí vydávaných v režimu správního řádu. </w:t>
      </w:r>
    </w:p>
    <w:p w14:paraId="2C12EDBF" w14:textId="2D6AA540" w:rsidR="0003045D" w:rsidRPr="00691B9B" w:rsidRDefault="6CFCAB29" w:rsidP="004F3CF5">
      <w:pPr>
        <w:pStyle w:val="DTlotextu1"/>
      </w:pPr>
      <w:r w:rsidRPr="6B820DA2">
        <w:t xml:space="preserve">Přezkum správních rozhodnutí v této oblasti právních vztahů podléhá též soudní ochraně správními soudy. </w:t>
      </w:r>
    </w:p>
    <w:p w14:paraId="1F32CA3F" w14:textId="148FCE98" w:rsidR="0003045D" w:rsidRPr="00691B9B" w:rsidRDefault="6CFCAB29" w:rsidP="004F3CF5">
      <w:pPr>
        <w:pStyle w:val="DTlotextu1"/>
      </w:pPr>
      <w:r w:rsidRPr="6B820DA2">
        <w:t xml:space="preserve">V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 </w:t>
      </w:r>
    </w:p>
    <w:p w14:paraId="1EFD9B38" w14:textId="1A2D8ABD" w:rsidR="0003045D" w:rsidRPr="00691B9B" w:rsidRDefault="6CFCAB29" w:rsidP="004F3CF5">
      <w:pPr>
        <w:pStyle w:val="DTlotextu1"/>
      </w:pPr>
      <w:r w:rsidRPr="6B820DA2">
        <w:t>Z hlediska transparence a otevřenosti dat lze konstatovat, že navrhovaná úprava nemá vliv na dostupnost informací podle zákona č. 106/1999 Sb., o svobodném přístupu k informacím, ve znění pozdějších předpisů.</w:t>
      </w:r>
    </w:p>
    <w:p w14:paraId="02386CAB" w14:textId="2A77A5C3" w:rsidR="0003045D" w:rsidRPr="004F3CF5" w:rsidRDefault="0003045D" w:rsidP="004E5097">
      <w:pPr>
        <w:pStyle w:val="Nadpis3"/>
      </w:pPr>
      <w:r w:rsidRPr="004E5097">
        <w:t>Zhodnocení</w:t>
      </w:r>
      <w:r w:rsidRPr="004F3CF5">
        <w:t xml:space="preserve"> dopadů </w:t>
      </w:r>
      <w:r w:rsidR="00873FC2" w:rsidRPr="004F3CF5">
        <w:t>na bezpečnost nebo obranu státu</w:t>
      </w:r>
    </w:p>
    <w:p w14:paraId="444F8562" w14:textId="2BC74A2B" w:rsidR="00662BB7" w:rsidRDefault="0003045D" w:rsidP="004F3CF5">
      <w:pPr>
        <w:pStyle w:val="DTlotextu1"/>
        <w:rPr>
          <w:rFonts w:eastAsia="Calibri"/>
          <w:lang w:eastAsia="en-US"/>
        </w:rPr>
      </w:pPr>
      <w:r w:rsidRPr="00691B9B">
        <w:rPr>
          <w:rFonts w:eastAsia="Calibri"/>
          <w:lang w:eastAsia="en-US"/>
        </w:rPr>
        <w:t>Navrhovaná právní úprava nemá dopad na bezpečnost nebo obranu státu ve smyslu usnesení vlády č. 343/D z roku 2015.</w:t>
      </w:r>
    </w:p>
    <w:p w14:paraId="177525F8" w14:textId="021CD454" w:rsidR="003E1250" w:rsidRPr="004F3CF5" w:rsidRDefault="00C424BE" w:rsidP="004E5097">
      <w:pPr>
        <w:pStyle w:val="Nadpis3"/>
      </w:pPr>
      <w:r w:rsidRPr="004E5097">
        <w:t>Z</w:t>
      </w:r>
      <w:r w:rsidR="003E1250" w:rsidRPr="004E5097">
        <w:t>hodnocení</w:t>
      </w:r>
      <w:r w:rsidR="003E1250" w:rsidRPr="004F3CF5">
        <w:t xml:space="preserve"> dopadů na rodiny</w:t>
      </w:r>
    </w:p>
    <w:p w14:paraId="25A89A84" w14:textId="00DF9618" w:rsidR="00C424BE" w:rsidRDefault="478D8794" w:rsidP="004F3CF5">
      <w:pPr>
        <w:pStyle w:val="DTlotextu1"/>
      </w:pPr>
      <w:r w:rsidRPr="6B820DA2">
        <w:t>Navrhovaná novela nepředpokládá žádné dopady na rodiny.</w:t>
      </w:r>
    </w:p>
    <w:p w14:paraId="760D8B2A" w14:textId="232D4759" w:rsidR="003E1250" w:rsidRPr="004F3CF5" w:rsidRDefault="00C424BE" w:rsidP="004E5097">
      <w:pPr>
        <w:pStyle w:val="Nadpis3"/>
      </w:pPr>
      <w:r w:rsidRPr="004F3CF5">
        <w:t>Z</w:t>
      </w:r>
      <w:r w:rsidR="003E1250" w:rsidRPr="004F3CF5">
        <w:t xml:space="preserve">hodnocení územních dopadů, včetně dopadů na územní </w:t>
      </w:r>
      <w:r w:rsidR="003E1250" w:rsidRPr="004E5097">
        <w:t>samosprávné</w:t>
      </w:r>
      <w:r w:rsidR="003E1250" w:rsidRPr="004F3CF5">
        <w:t xml:space="preserve"> celky</w:t>
      </w:r>
    </w:p>
    <w:p w14:paraId="60A91511" w14:textId="3EC66485" w:rsidR="1FCBA2E1" w:rsidRDefault="1FCBA2E1" w:rsidP="004F3CF5">
      <w:pPr>
        <w:pStyle w:val="DTlotextu1"/>
      </w:pPr>
      <w:r w:rsidRPr="6B820DA2">
        <w:t>Navrhovaná právní úprava nemá dopad na území ani územní samosprávné celky.</w:t>
      </w:r>
    </w:p>
    <w:p w14:paraId="49AD8DE0" w14:textId="2B1BAB23" w:rsidR="0003045D" w:rsidRPr="004F3CF5" w:rsidRDefault="00662BB7" w:rsidP="004E5097">
      <w:pPr>
        <w:pStyle w:val="Nadpis3"/>
      </w:pPr>
      <w:r w:rsidRPr="004F3CF5">
        <w:t xml:space="preserve">Zhodnocení souladu se zásadami pro tvorbu digitálně přívětivé </w:t>
      </w:r>
      <w:r w:rsidRPr="004E5097">
        <w:t>legislativy</w:t>
      </w:r>
      <w:r w:rsidRPr="004F3CF5">
        <w:t xml:space="preserve"> (DPL)</w:t>
      </w:r>
    </w:p>
    <w:p w14:paraId="0BF74E5E" w14:textId="17A2CAA1" w:rsidR="00662BB7" w:rsidRDefault="00662BB7" w:rsidP="004F3CF5">
      <w:pPr>
        <w:pStyle w:val="DTlotextu1"/>
        <w:rPr>
          <w:rFonts w:eastAsia="Calibri"/>
          <w:lang w:eastAsia="en-US"/>
        </w:rPr>
      </w:pPr>
      <w:r w:rsidRPr="00FD0E76">
        <w:rPr>
          <w:rFonts w:eastAsia="Calibri"/>
          <w:lang w:eastAsia="en-US"/>
        </w:rPr>
        <w:t>V rámci této kapitoly je zhodnocen soulad navrhovaného právního předpisu s hlavními deseti zásadami pro tvorbu digitálně přívětivé legislativy.</w:t>
      </w:r>
    </w:p>
    <w:p w14:paraId="29861450" w14:textId="21E02976" w:rsidR="00662BB7" w:rsidRPr="00996D3C" w:rsidRDefault="00662BB7" w:rsidP="004E5097">
      <w:pPr>
        <w:pStyle w:val="Nadpis4"/>
      </w:pPr>
      <w:r w:rsidRPr="00996D3C">
        <w:t>Budování přednostně digitálních služeb (princip digital by default)</w:t>
      </w:r>
    </w:p>
    <w:p w14:paraId="6A45E6FB" w14:textId="13EA18DD" w:rsidR="006A575D" w:rsidRPr="006A575D" w:rsidRDefault="00996D3C" w:rsidP="00747D36">
      <w:pPr>
        <w:pStyle w:val="DTlotextu1"/>
        <w:rPr>
          <w:bCs/>
        </w:rPr>
      </w:pPr>
      <w:r w:rsidRPr="00996D3C">
        <w:rPr>
          <w:rFonts w:eastAsia="Calibri"/>
          <w:lang w:eastAsia="en-US"/>
        </w:rPr>
        <w:t>Navržená právní úprava nepředepisuje konkrétní podobu „služeb“ spojených s postupy podle AML zákona.</w:t>
      </w:r>
    </w:p>
    <w:p w14:paraId="382F4542" w14:textId="156B5610" w:rsidR="00662BB7" w:rsidRPr="00996D3C" w:rsidRDefault="00662BB7" w:rsidP="004E5097">
      <w:pPr>
        <w:pStyle w:val="Nadpis4"/>
      </w:pPr>
      <w:r w:rsidRPr="00996D3C">
        <w:t>Maximální opakovatelnost a znovu</w:t>
      </w:r>
      <w:r w:rsidR="002908E8" w:rsidRPr="00996D3C">
        <w:t xml:space="preserve"> </w:t>
      </w:r>
      <w:r w:rsidRPr="00996D3C">
        <w:t>použitelnost údajů a služeb (princip only once)</w:t>
      </w:r>
    </w:p>
    <w:p w14:paraId="1C44429E" w14:textId="77777777" w:rsidR="00747D36" w:rsidRPr="00747D36" w:rsidRDefault="00747D36" w:rsidP="00747D36">
      <w:pPr>
        <w:pStyle w:val="DTlotextu1"/>
      </w:pPr>
      <w:r w:rsidRPr="00747D36">
        <w:t xml:space="preserve">Návrh zákona se týká oblasti prevence legalizace výnosů z trestné činnosti a financování terorismu, a proto jsou Finančním analytickým úřadem získané informace chráněny povinností zachovávat mlčenlivost podle § 38 a násl. AML zákona. K významu zásady zachování mlčenlivosti lze uvést, že zákonná garance toho, že s informacemi poskytnutými povinnými </w:t>
      </w:r>
      <w:r w:rsidRPr="00747D36">
        <w:lastRenderedPageBreak/>
        <w:t>osobami bude nakládáno jako s důvěrnými a zásadně nezveřejnitelnými. To je důležitým faktorem pro právní jistotu povinných osob a pro realizaci jejich oznamovací povinnosti o podezřelém obchodu. Povinnost zachovat mlčenlivost má za úkol zejména ochranu informací, které jsou Finančním analytickým úřadem o konkrétní osobě zjištěny, a je vysoce žádoucí, aby povinné osoby, které poskytly údaje o svém klientovi a o jeho finančních záležitostech a poměrech, měly záruku, že nedojde ke zneužití těchto velmi citlivých informací. Zrušení zmíněné povinnosti zachovávat mlčenlivost by mělo zásadní dopady na fungování celého systému proti legalizaci výnosů z trestné činnosti a financování terorismu, tj. přeneseně i na fungování celého státu.</w:t>
      </w:r>
    </w:p>
    <w:p w14:paraId="2D018333" w14:textId="679A07F8" w:rsidR="006A575D" w:rsidRPr="006A575D" w:rsidRDefault="00747D36" w:rsidP="00747D36">
      <w:pPr>
        <w:pStyle w:val="DTlotextu1"/>
        <w:rPr>
          <w:bCs/>
        </w:rPr>
      </w:pPr>
      <w:r w:rsidRPr="00747D36">
        <w:t>V případě získávání informací Finančním analytickým úřadem návrh vychází z obecné úpravy správního řádu a AML zákona. Návrh zákona rovněž naplňuje zásadu opakovatelnosti a znovupoužitelnosti údajů v intencích výše uvedeného</w:t>
      </w:r>
      <w:r>
        <w:t>.</w:t>
      </w:r>
    </w:p>
    <w:p w14:paraId="249D2A04" w14:textId="77777777" w:rsidR="00662BB7" w:rsidRPr="00996D3C" w:rsidRDefault="00662BB7" w:rsidP="004E5097">
      <w:pPr>
        <w:pStyle w:val="Nadpis4"/>
      </w:pPr>
      <w:r w:rsidRPr="00996D3C">
        <w:t>Budování služeb přístupných a použitelných pro všechny, včetně osob se zdravotním postižením (princip governance accessibility)</w:t>
      </w:r>
    </w:p>
    <w:p w14:paraId="642ECCE7" w14:textId="37CF0E52" w:rsidR="006A575D" w:rsidRPr="006A575D" w:rsidRDefault="00996D3C" w:rsidP="00747D36">
      <w:pPr>
        <w:pStyle w:val="DTlotextu1"/>
        <w:rPr>
          <w:bCs/>
        </w:rPr>
      </w:pPr>
      <w:r w:rsidRPr="00996D3C">
        <w:t>Tato zásada není návrhem zákona upravena, právní úprava se řídí obecnými právními předpisy upravující tuto problematiku.</w:t>
      </w:r>
    </w:p>
    <w:p w14:paraId="3CE31E03" w14:textId="77777777" w:rsidR="00662BB7" w:rsidRPr="00996D3C" w:rsidRDefault="00662BB7" w:rsidP="004E5097">
      <w:pPr>
        <w:pStyle w:val="Nadpis4"/>
      </w:pPr>
      <w:r w:rsidRPr="00996D3C">
        <w:t>Sdílené služby veřejné správy</w:t>
      </w:r>
    </w:p>
    <w:p w14:paraId="07750879" w14:textId="1BD2525F" w:rsidR="006A575D" w:rsidRPr="006A575D" w:rsidRDefault="00996D3C" w:rsidP="00747D36">
      <w:pPr>
        <w:pStyle w:val="DTlotextu1"/>
      </w:pPr>
      <w:r w:rsidRPr="00996D3C">
        <w:t>Tato zásada není návrhem zákona upravena, právní úprava se řídí obecnými právními předpisy upravující tuto problematiku.</w:t>
      </w:r>
    </w:p>
    <w:p w14:paraId="4241EE9D" w14:textId="77777777" w:rsidR="00662BB7" w:rsidRPr="00996D3C" w:rsidRDefault="00662BB7" w:rsidP="004E5097">
      <w:pPr>
        <w:pStyle w:val="Nadpis4"/>
      </w:pPr>
      <w:r w:rsidRPr="00996D3C">
        <w:t>Konsolidace a propojování informačních systémů veřejné správy</w:t>
      </w:r>
    </w:p>
    <w:p w14:paraId="69268908" w14:textId="4F73138C" w:rsidR="006A575D" w:rsidRPr="006A575D" w:rsidRDefault="00996D3C" w:rsidP="00747D36">
      <w:pPr>
        <w:pStyle w:val="DTlotextu1"/>
        <w:rPr>
          <w:bCs/>
        </w:rPr>
      </w:pPr>
      <w:r w:rsidRPr="00996D3C">
        <w:t>Návrh zákona nestanoví, jakým způsobem má Finanční analytický úřad zajistit to, aby jím poskytované služby řádně fungovaly. Návrh zákona tedy nijak neupravuje topologie informačních systémů ani jejich komponent.</w:t>
      </w:r>
    </w:p>
    <w:p w14:paraId="1FE5FAA8" w14:textId="77777777" w:rsidR="00662BB7" w:rsidRPr="00996D3C" w:rsidRDefault="00662BB7" w:rsidP="004E5097">
      <w:pPr>
        <w:pStyle w:val="Nadpis4"/>
      </w:pPr>
      <w:r w:rsidRPr="00996D3C">
        <w:t>Mezinárodní interoperabilita - budování služeb propojitelných a využitelných v evropském prostoru</w:t>
      </w:r>
    </w:p>
    <w:p w14:paraId="0DF8794F" w14:textId="14973410" w:rsidR="006A575D" w:rsidRPr="003A737E" w:rsidRDefault="00996D3C" w:rsidP="000C4D20">
      <w:pPr>
        <w:pStyle w:val="DTlotextu1"/>
      </w:pPr>
      <w:r w:rsidRPr="003A737E">
        <w:t xml:space="preserve">Návrh zákona se sám o sobě </w:t>
      </w:r>
      <w:r w:rsidR="003A737E" w:rsidRPr="003A737E">
        <w:t>sice týká</w:t>
      </w:r>
      <w:r w:rsidRPr="003A737E">
        <w:t xml:space="preserve"> mezinárodní spolupráce</w:t>
      </w:r>
      <w:r w:rsidR="003A737E">
        <w:t>,</w:t>
      </w:r>
      <w:r w:rsidRPr="003A737E">
        <w:t xml:space="preserve"> a</w:t>
      </w:r>
      <w:r w:rsidR="003A737E" w:rsidRPr="003A737E">
        <w:t>však</w:t>
      </w:r>
      <w:r w:rsidRPr="003A737E">
        <w:t xml:space="preserve"> neupravuje budování služeb propojitelných a využitelných v evropském prostoru. Použijí se proto již obecné instituty obsažené v AML zákoně (§ 33 AML zákona)</w:t>
      </w:r>
    </w:p>
    <w:p w14:paraId="73C165D3" w14:textId="77777777" w:rsidR="00662BB7" w:rsidRPr="00996D3C" w:rsidRDefault="00662BB7" w:rsidP="00346165">
      <w:pPr>
        <w:pStyle w:val="Nadpis4"/>
      </w:pPr>
      <w:r w:rsidRPr="00996D3C">
        <w:t>Ochrana osobních údajů v míře umožňující kvalitní služby (princip nařízení o ochraně osobních údajů)</w:t>
      </w:r>
    </w:p>
    <w:p w14:paraId="26BEA234" w14:textId="2F8B494A" w:rsidR="006A575D" w:rsidRPr="006A575D" w:rsidRDefault="00996D3C" w:rsidP="00747D36">
      <w:pPr>
        <w:pStyle w:val="DTlotextu1"/>
      </w:pPr>
      <w:r w:rsidRPr="00996D3C">
        <w:t>Návrh zákona je plně v souladu s touto zásadou. Návrh zákona nad rámec základní ochrany osobních údajů stanovených zákonem o ochraně osobních údajů a AML zákonem (povinnost zachovávat mlčenlivost).</w:t>
      </w:r>
    </w:p>
    <w:p w14:paraId="1E26A2FB" w14:textId="77777777" w:rsidR="00662BB7" w:rsidRPr="00996D3C" w:rsidRDefault="00662BB7" w:rsidP="00346165">
      <w:pPr>
        <w:pStyle w:val="Nadpis4"/>
      </w:pPr>
      <w:r w:rsidRPr="00996D3C">
        <w:t>Otevřenost a transparentnost včetně otevřených dat a služeb (princip open government)</w:t>
      </w:r>
    </w:p>
    <w:p w14:paraId="7D94B267" w14:textId="0D5842C0" w:rsidR="006A575D" w:rsidRPr="006A575D" w:rsidRDefault="00996D3C" w:rsidP="00747D36">
      <w:pPr>
        <w:pStyle w:val="DTlotextu1"/>
        <w:rPr>
          <w:bCs/>
        </w:rPr>
      </w:pPr>
      <w:r w:rsidRPr="00996D3C">
        <w:t>Návrh zákona sám o sobě nikterak neomezuje otevřenost a transparentnost.</w:t>
      </w:r>
    </w:p>
    <w:p w14:paraId="647C7B88" w14:textId="77777777" w:rsidR="00662BB7" w:rsidRPr="00996D3C" w:rsidRDefault="00662BB7" w:rsidP="00346165">
      <w:pPr>
        <w:pStyle w:val="Nadpis4"/>
      </w:pPr>
      <w:r w:rsidRPr="00996D3C">
        <w:t>Technologická neutralita</w:t>
      </w:r>
    </w:p>
    <w:p w14:paraId="353D74E1" w14:textId="029ABF39" w:rsidR="006A575D" w:rsidRPr="006A575D" w:rsidRDefault="00996D3C" w:rsidP="00747D36">
      <w:pPr>
        <w:pStyle w:val="DTlotextu1"/>
      </w:pPr>
      <w:r w:rsidRPr="00996D3C">
        <w:t>Zákon neomezuje technické ani technologické prostředky, které mohou využívat dotčené subjekty. Volba technického řešení je na samotných subjektech.</w:t>
      </w:r>
    </w:p>
    <w:p w14:paraId="300BDD10" w14:textId="77777777" w:rsidR="00662BB7" w:rsidRPr="00996D3C" w:rsidRDefault="00662BB7" w:rsidP="00346165">
      <w:pPr>
        <w:pStyle w:val="Nadpis4"/>
      </w:pPr>
      <w:r w:rsidRPr="00996D3C">
        <w:lastRenderedPageBreak/>
        <w:t>Uživatelská přívětivost</w:t>
      </w:r>
    </w:p>
    <w:p w14:paraId="72CF795E" w14:textId="1DEA82E0" w:rsidR="006A575D" w:rsidRDefault="00996D3C" w:rsidP="00346165">
      <w:pPr>
        <w:pStyle w:val="DTlotextu1"/>
      </w:pPr>
      <w:r w:rsidRPr="00996D3C">
        <w:t>Návrh zákona nepředpokládá v této oblasti odchylky od obecné právní úpravy.</w:t>
      </w:r>
    </w:p>
    <w:p w14:paraId="47BCCD3A" w14:textId="4A7A1600" w:rsidR="00A90ED7" w:rsidRPr="00A90ED7" w:rsidRDefault="008730AD" w:rsidP="008F2906">
      <w:pPr>
        <w:pageBreakBefore/>
        <w:widowControl w:val="0"/>
        <w:spacing w:before="240" w:after="120"/>
        <w:jc w:val="center"/>
        <w:outlineLvl w:val="0"/>
        <w:rPr>
          <w:b/>
          <w:sz w:val="36"/>
        </w:rPr>
      </w:pPr>
      <w:r>
        <w:rPr>
          <w:b/>
          <w:sz w:val="36"/>
        </w:rPr>
        <w:lastRenderedPageBreak/>
        <w:t xml:space="preserve">II. </w:t>
      </w:r>
      <w:r w:rsidR="00A90ED7" w:rsidRPr="00A90ED7">
        <w:rPr>
          <w:b/>
          <w:sz w:val="36"/>
        </w:rPr>
        <w:t>Zvláštní část</w:t>
      </w:r>
    </w:p>
    <w:p w14:paraId="79337441" w14:textId="77777777" w:rsidR="000F6324" w:rsidRPr="008B6061" w:rsidRDefault="000F6324" w:rsidP="000F6324">
      <w:pPr>
        <w:pStyle w:val="Dvodovzprvaksti"/>
      </w:pPr>
      <w:r>
        <w:t>K části první</w:t>
      </w:r>
    </w:p>
    <w:p w14:paraId="45FFE437" w14:textId="77777777" w:rsidR="000F6324" w:rsidRDefault="000F6324" w:rsidP="000F6324">
      <w:pPr>
        <w:pStyle w:val="Dvodovzprvaknovlnku"/>
      </w:pPr>
      <w:r>
        <w:t xml:space="preserve"> </w:t>
      </w:r>
    </w:p>
    <w:p w14:paraId="04E2DC8A" w14:textId="77777777" w:rsidR="000F6324" w:rsidRPr="00750222" w:rsidRDefault="000F6324" w:rsidP="000F6324">
      <w:pPr>
        <w:pStyle w:val="Dvodovzprvakbodu"/>
      </w:pPr>
      <w:r w:rsidRPr="00750222">
        <w:t> (poznámka pod čarou č. 2)</w:t>
      </w:r>
    </w:p>
    <w:p w14:paraId="0E334359" w14:textId="77777777" w:rsidR="000F6324" w:rsidRDefault="000F6324" w:rsidP="000F6324">
      <w:pPr>
        <w:pStyle w:val="Dvodovzprva"/>
      </w:pPr>
      <w:r>
        <w:t>Legislativně-technická úprava. Upravuje se odkaz na aktuální n</w:t>
      </w:r>
      <w:r w:rsidRPr="003D71C3">
        <w:t>ařízení Evropského parlamentu a Rady (EU) 2023/1113 ze dne 31. května 2023 o informacích doprovázejících převody peněžních prostředků a některých kryptoaktiv a o změně směrnice (EU) 2015/849</w:t>
      </w:r>
      <w:r>
        <w:t>.</w:t>
      </w:r>
    </w:p>
    <w:p w14:paraId="5FAB5D0F" w14:textId="77777777" w:rsidR="000F6324" w:rsidRDefault="000F6324" w:rsidP="000F6324">
      <w:pPr>
        <w:pStyle w:val="Dvodovzprvakbodu"/>
      </w:pPr>
      <w:r>
        <w:t> (poznámka pod čarou č. 20)</w:t>
      </w:r>
    </w:p>
    <w:p w14:paraId="4C1DFD56" w14:textId="77777777" w:rsidR="000F6324" w:rsidRPr="00783F9A" w:rsidRDefault="000F6324" w:rsidP="000F6324">
      <w:pPr>
        <w:pStyle w:val="Dvodovzprva"/>
      </w:pPr>
      <w:r w:rsidRPr="00783F9A">
        <w:t>Upravuje se odkaz na aktuální nařízení Evropského parlamentu a Rady (EU) 2023/1113 ze dne 31. května 2023 o informacích doprovázejících převody peněžních prostředků a některých kryptoaktiv a o změně směrnice (EU) 2015/849.</w:t>
      </w:r>
    </w:p>
    <w:p w14:paraId="358CB3DE" w14:textId="77777777" w:rsidR="000F6324" w:rsidRDefault="000F6324" w:rsidP="000F6324">
      <w:pPr>
        <w:pStyle w:val="Dvodovzprvakbodu"/>
      </w:pPr>
      <w:r>
        <w:t>(§ 2 odst. 1 písm. b))</w:t>
      </w:r>
    </w:p>
    <w:p w14:paraId="71DD2D81" w14:textId="77777777" w:rsidR="000F6324" w:rsidRPr="004D09F1" w:rsidRDefault="000F6324" w:rsidP="000F6324">
      <w:pPr>
        <w:pStyle w:val="Dvodovzprva"/>
      </w:pPr>
      <w:r>
        <w:t>Jedná se o technickou změnu, která je nepřímo vyvolána nařízeními TFR a MiCA. Primárně se jedná o legislativně technické zjednodušení, jelikož podle nařízení MiCa může služby spojené s virtuálními aktivy poskytovat i banka. Pokud by byl zachován stávající princip, podle kterého se vychází z premisy, že není překryv mezi finančními a úvěrovými institucemi, pak by se ve všech případech zmínky o osobě poskytující služby spojené s virtuálními aktivy muselo dodat, že se jedná i o úvěrové instituce poskytující tyto služby. Toto by vedlo ke znepřehlednění textu a možnému zmatení jeho adresátů. Samotná eliminace překryvu mezi finančními a úvěrovými institucemi nicméně nemá sama o sobě žádný věcný význam, jedná se o relikt doslovné implementace AML směrnice.</w:t>
      </w:r>
    </w:p>
    <w:p w14:paraId="4D27903E" w14:textId="77777777" w:rsidR="000F6324" w:rsidRDefault="000F6324" w:rsidP="000F6324">
      <w:pPr>
        <w:pStyle w:val="Dvodovzprvakbodu"/>
      </w:pPr>
      <w:r>
        <w:t>(§ 2 odst. 1 písm. b) bod 15)</w:t>
      </w:r>
    </w:p>
    <w:p w14:paraId="01D58766" w14:textId="77777777" w:rsidR="000F6324" w:rsidRPr="008C6F49" w:rsidRDefault="000F6324" w:rsidP="000F6324">
      <w:pPr>
        <w:pStyle w:val="Dvodovzprva"/>
      </w:pPr>
      <w:r>
        <w:t>Na základě změny AML směrnice nařízením TFR se z osoby poskytující služby s virtuálním aktivem stává finanční instituce.</w:t>
      </w:r>
    </w:p>
    <w:p w14:paraId="77B8049B" w14:textId="77777777" w:rsidR="000F6324" w:rsidRDefault="000F6324" w:rsidP="000F6324">
      <w:pPr>
        <w:pStyle w:val="Dvodovzprvakbodu"/>
      </w:pPr>
      <w:r>
        <w:t>(§ 2 odst. 1 písm. l))</w:t>
      </w:r>
    </w:p>
    <w:p w14:paraId="6995A31F" w14:textId="77777777" w:rsidR="000F6324" w:rsidRPr="008C6F49" w:rsidRDefault="000F6324" w:rsidP="000F6324">
      <w:pPr>
        <w:pStyle w:val="Dvodovzprva"/>
      </w:pPr>
      <w:r>
        <w:t>Na základě změny AML směrnice nařízením TFR se z osoby poskytující služby s virtuálním aktivem stává finanční instituce a je tedy nutno její stávající úpravu v písm. l) vypustit, aby nebyla dále řazena mezi povinné osoby z nefinančního sektoru.</w:t>
      </w:r>
    </w:p>
    <w:p w14:paraId="2C9FD3EC" w14:textId="77777777" w:rsidR="000F6324" w:rsidRDefault="000F6324" w:rsidP="000F6324">
      <w:pPr>
        <w:pStyle w:val="Dvodovzprvakbodu"/>
      </w:pPr>
      <w:r>
        <w:t>(§ 4 odst. 2)</w:t>
      </w:r>
    </w:p>
    <w:p w14:paraId="0A91E1A6" w14:textId="77777777" w:rsidR="000F6324" w:rsidRPr="00DB5396" w:rsidRDefault="000F6324" w:rsidP="000F6324">
      <w:pPr>
        <w:pStyle w:val="Dvodovzprva"/>
      </w:pPr>
      <w:r>
        <w:t>Současná d</w:t>
      </w:r>
      <w:r w:rsidRPr="00DB5396">
        <w:t xml:space="preserve">efinice obchodního vztahu </w:t>
      </w:r>
      <w:r>
        <w:t xml:space="preserve">je omezena </w:t>
      </w:r>
      <w:r w:rsidRPr="00DB5396">
        <w:t xml:space="preserve">pouze na </w:t>
      </w:r>
      <w:r>
        <w:t xml:space="preserve">smluvní </w:t>
      </w:r>
      <w:r w:rsidRPr="00DB5396">
        <w:t xml:space="preserve">vztah, což </w:t>
      </w:r>
      <w:r>
        <w:t xml:space="preserve">vytváří komplikace při aplikaci AML povinností </w:t>
      </w:r>
      <w:r w:rsidRPr="00DB5396">
        <w:t>někter</w:t>
      </w:r>
      <w:r>
        <w:t>ými</w:t>
      </w:r>
      <w:r w:rsidRPr="00DB5396">
        <w:t xml:space="preserve"> typy povinných osob</w:t>
      </w:r>
      <w:r>
        <w:t>. Jedná se zejména o vztahy založené na základě zákona, což se typicky vyskytuje u notářů.</w:t>
      </w:r>
      <w:r w:rsidRPr="00DB5396">
        <w:t xml:space="preserve"> Je žádoucí, aby povinné osoby aplikovaly AML opatření primárně v rámci obchodního vztahu a přístup jednorázového obchodu byl aplikován v menším rozsahu.</w:t>
      </w:r>
      <w:r>
        <w:t xml:space="preserve"> Zároveň se musí jednat o vztahy srovnatelné se smluvními vztahy, tj. nemělo by se jednat např. o manželství či zákonné zastoupení vlastního potomka.</w:t>
      </w:r>
    </w:p>
    <w:p w14:paraId="198A59C6" w14:textId="77777777" w:rsidR="000F6324" w:rsidRDefault="000F6324" w:rsidP="000F6324">
      <w:pPr>
        <w:pStyle w:val="Dvodovzprvakbodu"/>
      </w:pPr>
      <w:r>
        <w:t>(§ 4 odst. 5 písm. a))</w:t>
      </w:r>
    </w:p>
    <w:p w14:paraId="6BA2CACF" w14:textId="77777777" w:rsidR="000F6324" w:rsidRPr="00D969D0" w:rsidRDefault="000F6324" w:rsidP="000F6324">
      <w:pPr>
        <w:pStyle w:val="Dvodovzprva"/>
      </w:pPr>
      <w:r w:rsidRPr="00D969D0">
        <w:t>Pro zvýšení právní jistoty adresátů se v souladu s AML směrnicí</w:t>
      </w:r>
      <w:r>
        <w:t xml:space="preserve">, která v rámci čl. 3 odst. 9 za politicky exponovanou osobu považuje </w:t>
      </w:r>
      <w:r w:rsidRPr="00495C2C">
        <w:t>člen</w:t>
      </w:r>
      <w:r>
        <w:t>y</w:t>
      </w:r>
      <w:r w:rsidRPr="00495C2C">
        <w:t xml:space="preserve"> </w:t>
      </w:r>
      <w:r>
        <w:t>„</w:t>
      </w:r>
      <w:r w:rsidRPr="00495C2C">
        <w:t>správních, řídících nebo dozorčích orgánů podniků ve vlastnictví státu</w:t>
      </w:r>
      <w:r>
        <w:t>“, navrhuje</w:t>
      </w:r>
      <w:r w:rsidRPr="00D969D0">
        <w:t xml:space="preserve"> do demonstrativního výčtu politicky exponovaných osob </w:t>
      </w:r>
      <w:r>
        <w:t>začlenit také</w:t>
      </w:r>
      <w:r w:rsidRPr="00D969D0">
        <w:t xml:space="preserve"> osob</w:t>
      </w:r>
      <w:r>
        <w:t>u</w:t>
      </w:r>
      <w:r w:rsidRPr="00D969D0">
        <w:t xml:space="preserve">, která je členem kontrolního orgánu </w:t>
      </w:r>
      <w:r>
        <w:t>obchodní korporace</w:t>
      </w:r>
      <w:r w:rsidRPr="00D969D0">
        <w:t xml:space="preserve"> kontrolované státem.</w:t>
      </w:r>
      <w:r>
        <w:t xml:space="preserve"> Zároveň se terminologie AML zákona sjednocuje s terminologií zákona o obchodních korporacích (§ 46).</w:t>
      </w:r>
      <w:r w:rsidRPr="00D969D0">
        <w:t xml:space="preserve"> Vzhledem k faktu, že v § 4 odst. 5 písm. a) je demonstrativní výčet, tak toto </w:t>
      </w:r>
      <w:r w:rsidRPr="00D969D0">
        <w:lastRenderedPageBreak/>
        <w:t>doplnění nezakládá nový titul pro klasifikaci osoby jako politicky exponované osoby. Vždy bude nezbytné splnit podmínku, že se jedná o významnou veřejnou funkci s celostátním nebo regionálním významem.</w:t>
      </w:r>
    </w:p>
    <w:p w14:paraId="5F4B44C8" w14:textId="77777777" w:rsidR="000F6324" w:rsidRDefault="000F6324" w:rsidP="000F6324">
      <w:pPr>
        <w:pStyle w:val="Dvodovzprvakbodu"/>
      </w:pPr>
      <w:r>
        <w:t>(§ 4 odst. 7 písm. b))</w:t>
      </w:r>
    </w:p>
    <w:p w14:paraId="659AA7E9" w14:textId="77777777" w:rsidR="000F6324" w:rsidRPr="00E558D6" w:rsidRDefault="000F6324" w:rsidP="000F6324">
      <w:pPr>
        <w:pStyle w:val="Dvodovzprva"/>
      </w:pPr>
      <w:r w:rsidRPr="00A708C4">
        <w:t>Na základě nařízení TFR se nově konstituují korespondenční vztahy pro poskytovatele služeb spojených s virtuálními aktivy. Pro více vizte návrh § 25b.</w:t>
      </w:r>
    </w:p>
    <w:p w14:paraId="79288E20" w14:textId="77777777" w:rsidR="000F6324" w:rsidRDefault="000F6324" w:rsidP="000F6324">
      <w:pPr>
        <w:pStyle w:val="Dvodovzprvakbodu"/>
      </w:pPr>
      <w:r>
        <w:t>(§ 4 odst. 8 a 9)</w:t>
      </w:r>
    </w:p>
    <w:p w14:paraId="23E164D4" w14:textId="77777777" w:rsidR="000F6324" w:rsidRDefault="000F6324" w:rsidP="000F6324">
      <w:pPr>
        <w:pStyle w:val="Dvodovzprva"/>
        <w:keepNext/>
        <w:rPr>
          <w:u w:val="single"/>
        </w:rPr>
      </w:pPr>
      <w:r w:rsidRPr="00D03C67">
        <w:rPr>
          <w:u w:val="single"/>
        </w:rPr>
        <w:t>K </w:t>
      </w:r>
      <w:r>
        <w:rPr>
          <w:u w:val="single"/>
        </w:rPr>
        <w:t>odstavci</w:t>
      </w:r>
      <w:r w:rsidRPr="00D03C67">
        <w:rPr>
          <w:u w:val="single"/>
        </w:rPr>
        <w:t xml:space="preserve"> 8</w:t>
      </w:r>
    </w:p>
    <w:p w14:paraId="18E5CE98" w14:textId="77777777" w:rsidR="000F6324" w:rsidRDefault="000F6324" w:rsidP="000F6324">
      <w:pPr>
        <w:pStyle w:val="Dvodovzprva"/>
      </w:pPr>
      <w:r w:rsidRPr="00D03C67">
        <w:t>Upravuje se definice osoby poskytující služby spojené s virtuálním aktivem</w:t>
      </w:r>
      <w:r>
        <w:t xml:space="preserve"> tak, aby odpovídala nařízení TFR. Stávající vnitrostátní definice </w:t>
      </w:r>
      <w:r w:rsidRPr="00994D4C">
        <w:t>osoby poskytující služby spojené s virtuálním aktivem</w:t>
      </w:r>
      <w:r>
        <w:t xml:space="preserve"> je sice nové definici podle nařízení MiCA podobná, avšak pro právní jistotu se na přímo odkazuje na služby související s kryptoaktivy podle nařízení MiCA (čl. 3 odst. 16). Zároveň se vylučují z působnosti AML zákona</w:t>
      </w:r>
      <w:r w:rsidRPr="00975DF2">
        <w:t xml:space="preserve"> </w:t>
      </w:r>
      <w:r w:rsidRPr="00B5193A">
        <w:t>osoby poskytující služby spojené s virtuálním aktivem</w:t>
      </w:r>
      <w:r>
        <w:t>, které pouze poskytují poradenství související s kryptoaktivy, jelikož nejsou z hlediska AML rizikové. V obecné rovině je pak nutno konstatovat, že na základě doporučení FATF je zvolena širší definice osob poskytujících služby s virtuálními aktivy nežli je definice poskytovatele služeb s virtuálními aktivy podle čl. 3 odst. 15 nařízení MiCA (pro více informací vizte Závěrečnou zprávu z hodnocení regulace).</w:t>
      </w:r>
    </w:p>
    <w:p w14:paraId="43334BD3" w14:textId="77777777" w:rsidR="000F6324" w:rsidRDefault="000F6324" w:rsidP="000F6324">
      <w:pPr>
        <w:pStyle w:val="Dvodovzprva"/>
        <w:keepNext/>
        <w:rPr>
          <w:u w:val="single"/>
        </w:rPr>
      </w:pPr>
      <w:r w:rsidRPr="00F93302">
        <w:rPr>
          <w:u w:val="single"/>
        </w:rPr>
        <w:t>K odstavci 9</w:t>
      </w:r>
    </w:p>
    <w:p w14:paraId="21F0B6BF" w14:textId="77777777" w:rsidR="000F6324" w:rsidRDefault="000F6324" w:rsidP="000F6324">
      <w:pPr>
        <w:pStyle w:val="Dvodovzprva"/>
      </w:pPr>
      <w:r w:rsidRPr="00F93302">
        <w:t xml:space="preserve">Na základě </w:t>
      </w:r>
      <w:r w:rsidRPr="00A63CF7">
        <w:t>nařízení</w:t>
      </w:r>
      <w:r w:rsidRPr="00F93302">
        <w:t xml:space="preserve"> TFR se </w:t>
      </w:r>
      <w:r>
        <w:t xml:space="preserve">upravuje definice virtuálního aktiva v souladu s nařízením MiCA (čl. 3 odst. 5). Nově se tak jedná o </w:t>
      </w:r>
      <w:r w:rsidRPr="00A63CF7">
        <w:t>digitální zachycení hodnoty nebo práva, které může být převáděno a ukládáno elektronicky pomocí technologie distribuovaného registru nebo pomocí podobné technologie</w:t>
      </w:r>
      <w:r>
        <w:t>, kdy distribuovaným registrem je úložiště informací, které vede evidenci o transakcích a které je distribuováno prostřednictvím souboru síťových uzlů DLT a synchronizováno mezi nimi pomocí mechanismu konsensu. Mechanismem konsensu jsou pravidla a postupy, podle nichž je dosaženo dohody mezi síťovými uzly DLT, že transakce je validována a síťovým uzlem DLT je zařízení nebo proces, které jsou součástí sítě a které obsahují úplnou nebo částečnou repliku evidence o všech transakcích v distribuovaném registru.</w:t>
      </w:r>
    </w:p>
    <w:p w14:paraId="2A9F6FBD" w14:textId="77777777" w:rsidR="000F6324" w:rsidRDefault="000F6324" w:rsidP="000F6324">
      <w:pPr>
        <w:pStyle w:val="Dvodovzprva"/>
      </w:pPr>
      <w:r>
        <w:t xml:space="preserve">Virtuálním aktivem pak nejsou </w:t>
      </w:r>
    </w:p>
    <w:p w14:paraId="418E81E6" w14:textId="77777777" w:rsidR="000F6324" w:rsidRDefault="000F6324" w:rsidP="000F6324">
      <w:pPr>
        <w:pStyle w:val="Dvodovzprva"/>
        <w:numPr>
          <w:ilvl w:val="0"/>
          <w:numId w:val="50"/>
        </w:numPr>
      </w:pPr>
      <w:r>
        <w:t>finanční nástroje;</w:t>
      </w:r>
    </w:p>
    <w:p w14:paraId="131A1F09" w14:textId="77777777" w:rsidR="000F6324" w:rsidRDefault="000F6324" w:rsidP="000F6324">
      <w:pPr>
        <w:pStyle w:val="Dvodovzprva"/>
        <w:numPr>
          <w:ilvl w:val="0"/>
          <w:numId w:val="50"/>
        </w:numPr>
      </w:pPr>
      <w:r>
        <w:t>vklady včetně strukturovaných vkladů;</w:t>
      </w:r>
    </w:p>
    <w:p w14:paraId="6C2564DF" w14:textId="77777777" w:rsidR="000F6324" w:rsidRDefault="000F6324" w:rsidP="000F6324">
      <w:pPr>
        <w:pStyle w:val="Dvodovzprva"/>
        <w:numPr>
          <w:ilvl w:val="0"/>
          <w:numId w:val="50"/>
        </w:numPr>
      </w:pPr>
      <w:r>
        <w:t>peněžní prostředky, ledaže splňují znaky elektronických peněžních tokenů;</w:t>
      </w:r>
    </w:p>
    <w:p w14:paraId="719BBF96" w14:textId="77777777" w:rsidR="000F6324" w:rsidRDefault="000F6324" w:rsidP="000F6324">
      <w:pPr>
        <w:pStyle w:val="Dvodovzprva"/>
        <w:numPr>
          <w:ilvl w:val="0"/>
          <w:numId w:val="50"/>
        </w:numPr>
      </w:pPr>
      <w:r>
        <w:t>sekuritizované pozice v kontextu sekuritizace ve smyslu čl. 2 bodu 1 nařízení (EU) 2017/2402;</w:t>
      </w:r>
    </w:p>
    <w:p w14:paraId="7F11D201" w14:textId="77777777" w:rsidR="000F6324" w:rsidRDefault="000F6324" w:rsidP="000F6324">
      <w:pPr>
        <w:pStyle w:val="Dvodovzprva"/>
        <w:numPr>
          <w:ilvl w:val="0"/>
          <w:numId w:val="50"/>
        </w:numPr>
      </w:pPr>
      <w:r>
        <w:t>produkty neživotního nebo životního pojištění spadající do pojistných odvětví uvedených v přílohách I a II směrnice Evropského parlamentu a Rady 2009/138/ES nebo zajišťovací nebo retrocesní smlouvy podle uvedené směrnice;</w:t>
      </w:r>
    </w:p>
    <w:p w14:paraId="69B25B95" w14:textId="77777777" w:rsidR="000F6324" w:rsidRDefault="000F6324" w:rsidP="000F6324">
      <w:pPr>
        <w:pStyle w:val="Dvodovzprva"/>
        <w:numPr>
          <w:ilvl w:val="0"/>
          <w:numId w:val="50"/>
        </w:numPr>
      </w:pPr>
      <w:r>
        <w:t>penzijní produkty, jejichž primárním účelem je podle vnitrostátního práva poskytovat investorům příjem v důchodu a jež investora opravňují k získání určitých výhod;</w:t>
      </w:r>
    </w:p>
    <w:p w14:paraId="7A7060A1" w14:textId="77777777" w:rsidR="000F6324" w:rsidRDefault="000F6324" w:rsidP="000F6324">
      <w:pPr>
        <w:pStyle w:val="Dvodovzprva"/>
        <w:numPr>
          <w:ilvl w:val="0"/>
          <w:numId w:val="50"/>
        </w:numPr>
      </w:pPr>
      <w:r>
        <w:t>úředně uznané zaměstnanecké penzijní systémy spadající do oblasti působnosti směrnice Evropského parlamentu a Rady (EU) 2016/2341 nebo směrnice 2009/138/ES;</w:t>
      </w:r>
    </w:p>
    <w:p w14:paraId="44380A35" w14:textId="77777777" w:rsidR="000F6324" w:rsidRDefault="000F6324" w:rsidP="000F6324">
      <w:pPr>
        <w:pStyle w:val="Dvodovzprva"/>
        <w:numPr>
          <w:ilvl w:val="0"/>
          <w:numId w:val="50"/>
        </w:numPr>
      </w:pPr>
      <w:r>
        <w:lastRenderedPageBreak/>
        <w:t>individuální penzijní produkty, na něž podle vnitrostátního práva povinně finančně přispívá zaměstnavatel a zaměstnavatel ani zaměstnanec si nemohou zvolit penzijní produkt ani poskytovatele;</w:t>
      </w:r>
    </w:p>
    <w:p w14:paraId="34EC67B3" w14:textId="77777777" w:rsidR="000F6324" w:rsidRDefault="000F6324" w:rsidP="000F6324">
      <w:pPr>
        <w:pStyle w:val="Dvodovzprva"/>
        <w:numPr>
          <w:ilvl w:val="0"/>
          <w:numId w:val="50"/>
        </w:numPr>
      </w:pPr>
      <w:r>
        <w:t>panevropský osobní penzijní produkt ve smyslu čl. 2 bodu 2 nařízení Evropského parlamentu a Rady (EU) 2019/1238 ;</w:t>
      </w:r>
    </w:p>
    <w:p w14:paraId="6C530CB3" w14:textId="77777777" w:rsidR="000F6324" w:rsidRDefault="000F6324" w:rsidP="000F6324">
      <w:pPr>
        <w:pStyle w:val="Dvodovzprva"/>
        <w:numPr>
          <w:ilvl w:val="0"/>
          <w:numId w:val="50"/>
        </w:numPr>
      </w:pPr>
      <w:r>
        <w:t>systémy sociálního zabezpečení, na které se vztahují nařízení Evropského parlamentu a Rady (ES) č. 883/2004 a (ES) č. 987/2009.</w:t>
      </w:r>
    </w:p>
    <w:p w14:paraId="491B2497" w14:textId="77777777" w:rsidR="000F6324" w:rsidRPr="00E558D6" w:rsidRDefault="000F6324" w:rsidP="000F6324">
      <w:pPr>
        <w:pStyle w:val="Dvodovzprva"/>
      </w:pPr>
      <w:r>
        <w:t>Dále je v zájmu souladu s doporučením FATF omezena výjimka</w:t>
      </w:r>
      <w:r w:rsidRPr="00FC5888">
        <w:t xml:space="preserve"> </w:t>
      </w:r>
      <w:r>
        <w:t>v MiCA (čl. 2 odst. 3). Pro více informací vizte příslušnou část Závěrečné zprávy z hodnocení regulace. Omezení této výjimky však nezakládá oproti stávajícímu stavu povinnosti osobám, které doposud nebyly povinnými osobami.</w:t>
      </w:r>
    </w:p>
    <w:p w14:paraId="31578E8C" w14:textId="77777777" w:rsidR="000F6324" w:rsidRDefault="000F6324" w:rsidP="000F6324">
      <w:pPr>
        <w:pStyle w:val="Dvodovzprvakbodu"/>
      </w:pPr>
      <w:r>
        <w:t>(§ 4 odst. 10)</w:t>
      </w:r>
    </w:p>
    <w:p w14:paraId="07045499" w14:textId="77777777" w:rsidR="000F6324" w:rsidRPr="00E558D6" w:rsidRDefault="000F6324" w:rsidP="000F6324">
      <w:pPr>
        <w:pStyle w:val="Dvodovzprva"/>
      </w:pPr>
      <w:r>
        <w:t>Zavádí se definice nehostované adresy podle nařízení TFR. Jedná se o definici nezbytnou pro určení rizikovosti transakcí v oblasti převodů virtuálních aktiv.</w:t>
      </w:r>
    </w:p>
    <w:p w14:paraId="4C2E2CDA" w14:textId="77777777" w:rsidR="000F6324" w:rsidRDefault="000F6324" w:rsidP="000F6324">
      <w:pPr>
        <w:pStyle w:val="Dvodovzprvakbodu"/>
      </w:pPr>
      <w:r>
        <w:t>(§ 4 odst. 16)</w:t>
      </w:r>
    </w:p>
    <w:p w14:paraId="227B74AC" w14:textId="77777777" w:rsidR="000F6324" w:rsidRDefault="000F6324" w:rsidP="000F6324">
      <w:pPr>
        <w:pStyle w:val="Dvodovzprva"/>
      </w:pPr>
      <w:r w:rsidRPr="00FE218D">
        <w:t>P</w:t>
      </w:r>
      <w:r>
        <w:t>ro sjednocení terminologie části páté a Nařízení o kontrole peněžní hotovosti se pro účely tohoto zákona definuje termín peněžní hotovost. Nařízení o kontrole peněžní hotovosti pak za peněžní hotovost považuje</w:t>
      </w:r>
    </w:p>
    <w:p w14:paraId="7537BD47" w14:textId="77777777" w:rsidR="000F6324" w:rsidRDefault="000F6324" w:rsidP="000F6324">
      <w:pPr>
        <w:pStyle w:val="Dvodovzprva"/>
        <w:numPr>
          <w:ilvl w:val="0"/>
          <w:numId w:val="49"/>
        </w:numPr>
      </w:pPr>
      <w:r>
        <w:t xml:space="preserve">oběživo, kterým jsou </w:t>
      </w:r>
      <w:r w:rsidRPr="00182A5D">
        <w:t>bankovky a mince, jež jsou v oběhu jako prostředek směny, nebo které byly v oběhu jako prostředek směny a dosud mohou být u finančních institucí nebo centrálních bank vyměněny za bankovky a mince, jež jsou v oběhu jako prostředek směny</w:t>
      </w:r>
      <w:r>
        <w:t>,</w:t>
      </w:r>
    </w:p>
    <w:p w14:paraId="766541FA" w14:textId="77777777" w:rsidR="000F6324" w:rsidRDefault="000F6324" w:rsidP="000F6324">
      <w:pPr>
        <w:pStyle w:val="Dvodovzprva"/>
        <w:numPr>
          <w:ilvl w:val="0"/>
          <w:numId w:val="49"/>
        </w:numPr>
      </w:pPr>
      <w:r>
        <w:t>převoditelné nástroje na doručitele, kterými jsou</w:t>
      </w:r>
      <w:r w:rsidRPr="00182A5D">
        <w:t xml:space="preserve"> </w:t>
      </w:r>
      <w:r>
        <w:t>jiné nástroje než oběživo, které své držitele opravňují požadovat určitou finanční částku při předložení těchto nástrojů, aniž by musel prokázat totožnost či nárok na tuto částku. Jde například o cestovní šeky, vlastní směnky nebo peněžní poukázky, jež jsou buď ve formě na doručitele, podepsané, ale s neuvedeným jménem příjemce, indosované bez omezení, vystavené na fiktivního příjemce, nebo v jiné formě, kdy nárok na ně přechází na osobu jejich doručením,</w:t>
      </w:r>
    </w:p>
    <w:p w14:paraId="25A11752" w14:textId="77777777" w:rsidR="000F6324" w:rsidRDefault="000F6324" w:rsidP="000F6324">
      <w:pPr>
        <w:pStyle w:val="Dvodovzprva"/>
        <w:numPr>
          <w:ilvl w:val="0"/>
          <w:numId w:val="49"/>
        </w:numPr>
      </w:pPr>
      <w:r>
        <w:t>mince s obsahem zlata nejméně 90 %, slitky s vysokou ryzostí, jako například pruty, nugety nebo hroudy s obsahem zlata alespoň 99,5 %,</w:t>
      </w:r>
    </w:p>
    <w:p w14:paraId="3008763D" w14:textId="77777777" w:rsidR="000F6324" w:rsidRPr="008F2D87" w:rsidRDefault="000F6324" w:rsidP="000F6324">
      <w:pPr>
        <w:pStyle w:val="Dvodovzprva"/>
        <w:numPr>
          <w:ilvl w:val="0"/>
          <w:numId w:val="49"/>
        </w:numPr>
      </w:pPr>
      <w:r>
        <w:t xml:space="preserve">předplacené </w:t>
      </w:r>
      <w:r w:rsidRPr="00182A5D">
        <w:t>kart</w:t>
      </w:r>
      <w:r>
        <w:t>y,</w:t>
      </w:r>
      <w:r w:rsidRPr="00182A5D">
        <w:t xml:space="preserve"> kter</w:t>
      </w:r>
      <w:r>
        <w:t>é uchovávají</w:t>
      </w:r>
      <w:r w:rsidRPr="00182A5D">
        <w:t xml:space="preserve"> peněžní hodnot</w:t>
      </w:r>
      <w:r>
        <w:t>u</w:t>
      </w:r>
      <w:r w:rsidRPr="00182A5D">
        <w:t xml:space="preserve"> nebo finanční prostředky, nebo k nim poskytuj</w:t>
      </w:r>
      <w:r>
        <w:t>í</w:t>
      </w:r>
      <w:r w:rsidRPr="00182A5D">
        <w:t xml:space="preserve"> přístup, již lze použít k platebním transakcím, pořízení zboží nebo služeb nebo k výměně za oběživo, pokud </w:t>
      </w:r>
      <w:r>
        <w:t>nejsou spojeny</w:t>
      </w:r>
      <w:r w:rsidRPr="00182A5D">
        <w:t xml:space="preserve"> s bankovním účtem</w:t>
      </w:r>
      <w:r>
        <w:t>.</w:t>
      </w:r>
    </w:p>
    <w:p w14:paraId="4FACC6A5" w14:textId="77777777" w:rsidR="000F6324" w:rsidRDefault="000F6324" w:rsidP="000F6324">
      <w:pPr>
        <w:pStyle w:val="Dvodovzprvakbodu"/>
      </w:pPr>
      <w:r>
        <w:t xml:space="preserve"> (§ 14)</w:t>
      </w:r>
    </w:p>
    <w:p w14:paraId="324D8288" w14:textId="77777777" w:rsidR="000F6324" w:rsidRDefault="000F6324" w:rsidP="000F6324">
      <w:pPr>
        <w:pStyle w:val="Dvodovzprva"/>
      </w:pPr>
      <w:r>
        <w:t>Legislativně technická úprava související se zrušením § 2 odst. 1 písm. l).</w:t>
      </w:r>
    </w:p>
    <w:p w14:paraId="62956608" w14:textId="77777777" w:rsidR="000F6324" w:rsidRDefault="000F6324" w:rsidP="000F6324">
      <w:pPr>
        <w:pStyle w:val="Dvodovzprvakbodu"/>
      </w:pPr>
      <w:r>
        <w:t>(§ 14)</w:t>
      </w:r>
    </w:p>
    <w:p w14:paraId="18783DD0" w14:textId="77777777" w:rsidR="000F6324" w:rsidRPr="00E558D6" w:rsidRDefault="000F6324" w:rsidP="000F6324">
      <w:pPr>
        <w:pStyle w:val="Dvodovzprva"/>
      </w:pPr>
      <w:r>
        <w:t>Legislativně technická úprava související se zavedením nového nařízení TFR.</w:t>
      </w:r>
    </w:p>
    <w:p w14:paraId="57E82688" w14:textId="77777777" w:rsidR="000F6324" w:rsidRDefault="000F6324" w:rsidP="000F6324">
      <w:pPr>
        <w:pStyle w:val="Dvodovzprvakbodu"/>
      </w:pPr>
      <w:r>
        <w:t>(§ 16 odst. 1 písm. a))</w:t>
      </w:r>
    </w:p>
    <w:p w14:paraId="001B24AC" w14:textId="77777777" w:rsidR="000F6324" w:rsidRDefault="000F6324" w:rsidP="000F6324">
      <w:pPr>
        <w:pStyle w:val="Dvodovzprva"/>
      </w:pPr>
      <w:r>
        <w:t>Legislativně technická úprava související se zavedením nového nařízení TFR.</w:t>
      </w:r>
    </w:p>
    <w:p w14:paraId="2C5A983A" w14:textId="77777777" w:rsidR="000F6324" w:rsidRDefault="000F6324" w:rsidP="000F6324">
      <w:pPr>
        <w:pStyle w:val="Dvodovzprvakbodu"/>
      </w:pPr>
      <w:r>
        <w:t>(§ 20 odst. 3 až 5)</w:t>
      </w:r>
    </w:p>
    <w:p w14:paraId="2A8EB653" w14:textId="77777777" w:rsidR="000F6324" w:rsidRDefault="000F6324" w:rsidP="000F6324">
      <w:pPr>
        <w:pStyle w:val="Dvodovzprva"/>
      </w:pPr>
      <w:r>
        <w:t xml:space="preserve">V návaznosti na rozsudek Nejvyššího správního soudu (NSS) ze dne 7. 5. 2020, čj. 6 Afs 129/2019-55, ve věci Elektra PV s.r.o., v úpadku, se navrhuje, s ohledem na činnost FAÚ jako finanční zpravodajské jednotky České republiky, která v souvislosti se šetřením podezřelých </w:t>
      </w:r>
      <w:r>
        <w:lastRenderedPageBreak/>
        <w:t>obchodů spojených s praním špinavých peněz, financováním terorismu nebo financováním šíření zbraní hromadného ničení blokuje podezřelé finanční prostředky či jiný majetek během sekund, a s ohledem na právní jistotu dotčených subjektů, označit úkon FAÚ podle § 20 (odklad splnění příkazu klienta), směřující pouze k dočasnému omezení nakládání s podezřelým majetkem, namísto správního rozhodnutí za zásah ve smyslu § 82 správního řádu. Zásah jako správní akt je konkrétní a adresný, což odpovídá povaze předmětného úkonu FAÚ. Z § 20 odst. 4 AML zákona plyne, že odklad splnění příkazu klienta nebo zajištění majetku může být vyhlášen ústně, telefonicky, telefaxem či elektronicky, a až následně je povinnost doručit stejnopis v písemném vyhotovení. To odpovídá uplatnění zásahu, kdy některé faktické zásahy mohou být dodatečně formalizovány.</w:t>
      </w:r>
    </w:p>
    <w:p w14:paraId="3FF55A6E" w14:textId="77777777" w:rsidR="000F6324" w:rsidRPr="004045E0" w:rsidRDefault="000F6324" w:rsidP="000F6324">
      <w:pPr>
        <w:pStyle w:val="Dvodovzprva"/>
      </w:pPr>
      <w:r>
        <w:t>Důvodem navrhované změny je, že (1) tomuto úkonu nepředchází žádné správní řízení, tj. formalizovaný postup, ale probíhá šetření finanční zpravodajské jednotky ve formě operativní analýzy, prováděné buď vnitrostátně nebo v zahraničí (odklad splnění příkazu na žádost zahraniční finanční zpravodajské jednotky), (2) dále, jak uvádí i současné znění AML zákona, při rozhodování o tomto opatření je účastníkem řízení pouze povinná osoba a nikoliv ta osoba, do jejichž práv je fakticky zasahováno, (3) proti tomuto úkonu není přípustné odvolání a (4) z důvodu mlčenlivosti není možné skutkové odůvodňování, pouze právní.</w:t>
      </w:r>
    </w:p>
    <w:p w14:paraId="429B045A" w14:textId="77777777" w:rsidR="000F6324" w:rsidRDefault="000F6324" w:rsidP="000F6324">
      <w:pPr>
        <w:pStyle w:val="Dvodovzprvakbodu"/>
      </w:pPr>
      <w:r>
        <w:t> (§ 21 odst. 2, 3 a 4)</w:t>
      </w:r>
    </w:p>
    <w:p w14:paraId="5002DB18" w14:textId="77777777" w:rsidR="000F6324" w:rsidRDefault="000F6324" w:rsidP="000F6324">
      <w:pPr>
        <w:pStyle w:val="Dvodovzprva"/>
      </w:pPr>
      <w:r>
        <w:t>Legislativně technická úprava související s úpravou vymezující povinné osoby v § 2 odst. 1 AML zákona.</w:t>
      </w:r>
    </w:p>
    <w:p w14:paraId="189BFEDD" w14:textId="77777777" w:rsidR="000F6324" w:rsidRDefault="000F6324" w:rsidP="000F6324">
      <w:pPr>
        <w:pStyle w:val="Dvodovzprvakbodu"/>
      </w:pPr>
      <w:r>
        <w:t> (§ 21a odst. 2)</w:t>
      </w:r>
    </w:p>
    <w:p w14:paraId="338D2147" w14:textId="77777777" w:rsidR="000F6324" w:rsidRPr="00A45536" w:rsidRDefault="000F6324" w:rsidP="000F6324">
      <w:pPr>
        <w:pStyle w:val="Dvodovzprva"/>
      </w:pPr>
      <w:r>
        <w:t>L</w:t>
      </w:r>
      <w:r w:rsidRPr="00A45536">
        <w:t>egislativně tec</w:t>
      </w:r>
      <w:r>
        <w:t>hnická</w:t>
      </w:r>
      <w:r w:rsidRPr="00A45536">
        <w:t xml:space="preserve"> úprav</w:t>
      </w:r>
      <w:r>
        <w:t>a</w:t>
      </w:r>
      <w:r w:rsidRPr="00A45536">
        <w:t xml:space="preserve"> související s úpravou vymezující povinné osoby v § 2 odst. 1 AML zákona</w:t>
      </w:r>
      <w:r>
        <w:t>.</w:t>
      </w:r>
    </w:p>
    <w:p w14:paraId="48427516" w14:textId="77777777" w:rsidR="000F6324" w:rsidRDefault="000F6324" w:rsidP="000F6324">
      <w:pPr>
        <w:pStyle w:val="Dvodovzprvakbodu"/>
      </w:pPr>
      <w:r>
        <w:t>(§ 22 odst. 1)</w:t>
      </w:r>
    </w:p>
    <w:p w14:paraId="3892B418" w14:textId="77777777" w:rsidR="000F6324" w:rsidRDefault="000F6324" w:rsidP="000F6324">
      <w:pPr>
        <w:pStyle w:val="Dvodovzprva"/>
      </w:pPr>
      <w:r>
        <w:t>Úprava § 22 odst. 1 si primárně klade za cíl zjednodušit a zefektivnit komunikaci FAÚ a povinných osob pro účely výkonu činnosti FAÚ jakožto finanční zpravodajské jednotky. Stávající povinnost povinných osob spočívala pouze v identifikaci kontaktní osoby bez dalšího, a tedy docházelo k tomu, že FAÚ nebyl schopen zkontaktovat určenou kontaktní osobu v daný okamžik, což způsobilo, že postup při získávání informací pro účely šetření podezřelých obchodů byl značně ztížen a aplikace opatření odkladu splnění příkazu klienta byla v některých případech dokonce znemožněna a došlo tak k odčerpání nelegálního výnosu. Nově se navrhuje doplnit povinnost povinných osob zasílat FAÚ právě z těchto důvodů i časový rámec, v rámci kterého je kontaktní osoba zastižitelná, který však nesmí být kratší nežli je doba, po kterou povinná osoba běžně vykonává svou činnost.</w:t>
      </w:r>
    </w:p>
    <w:p w14:paraId="6F13D428" w14:textId="77777777" w:rsidR="000F6324" w:rsidRDefault="000F6324" w:rsidP="000F6324">
      <w:pPr>
        <w:pStyle w:val="Dvodovzprva"/>
      </w:pPr>
      <w:r>
        <w:t>Nad rámec výše uvedeného se ze statistických důvodů a z důvodů optimálního řízení rizik FAÚ u jednotlivých sektorů doplňuje v rámci hlášení kontaktní osoby i povinnost uvést, o jaký typ povinné osoby se jedná (např. banka, směnárník, provozovatel hazardních her…).</w:t>
      </w:r>
    </w:p>
    <w:p w14:paraId="66BF01C2" w14:textId="77777777" w:rsidR="000F6324" w:rsidRPr="00330735" w:rsidRDefault="000F6324" w:rsidP="000F6324">
      <w:pPr>
        <w:pStyle w:val="Dvodovzprva"/>
      </w:pPr>
      <w:r>
        <w:t>Zároveň se zkracují lhůty pro povinnou osobu informovat FAÚ o tom, kdo je určenou kontaktní osobou pro styk s FAÚ a, případně o tom, jaké nastaly změny. Vzhledem ke skutečnosti, že lhůta se vztahuje k oznámení vzniku změny, jeví se stávající lhůty nepřiměřeně dlouhé. Zkrácení lhůt je odůvodněno zejména tím, že FAÚ potřebuje pro výkon činnosti finanční zpravodajské jednotky od povinných osob pokud možno co nejaktuálnější informace ke kontaktním osobám.</w:t>
      </w:r>
    </w:p>
    <w:p w14:paraId="48B359CD" w14:textId="77777777" w:rsidR="000F6324" w:rsidRDefault="000F6324" w:rsidP="000F6324">
      <w:pPr>
        <w:pStyle w:val="Dvodovzprvakbodu"/>
      </w:pPr>
      <w:r>
        <w:lastRenderedPageBreak/>
        <w:t>(§ 24 odst. 4)</w:t>
      </w:r>
    </w:p>
    <w:p w14:paraId="2388DDA6" w14:textId="77777777" w:rsidR="000F6324" w:rsidRPr="00E558D6" w:rsidRDefault="000F6324" w:rsidP="000F6324">
      <w:pPr>
        <w:pStyle w:val="Dvodovzprva"/>
      </w:pPr>
      <w:r>
        <w:t>V rámci snahy o zpřesnění kompetencí FAÚ se explicitně stanoví povinnost povinných osob poskytnout FAÚ informace, které potřebuje pro efektivní a rizikově orientovaný výkon správního dozoru v oblasti AML/CFT, nebo k provádění strategické finanční analýzy, byť nemusí nutně souviset s konkrétními úkony prováděnými vůči dané povinné osobě. Toto oprávnění tak umožní FAÚ sběr dat a analýzu daného sektoru z hlediska rizikovosti a naplňování povinností AML (vizte § 29c odst. 2 písm. e)). K tomu by měla sloužit zejména dotazníková šetření, případně lze využít i jiné způsoby získávání informací. Česká republika je z hlediska efektivního a rizikově orientovaného dozoru v oblasti AML/CFT hodnocena ze strany Evropského orgánu pro bankovnictví (EBA) a Výborem</w:t>
      </w:r>
      <w:r w:rsidRPr="008A6100">
        <w:t xml:space="preserve"> expertů pro hodnocení opatření proti praní špinavých peněz a financování terorismu (</w:t>
      </w:r>
      <w:r>
        <w:t>výbor MONEYVAL).</w:t>
      </w:r>
    </w:p>
    <w:p w14:paraId="54ABEA6B" w14:textId="77777777" w:rsidR="000F6324" w:rsidRDefault="000F6324" w:rsidP="000F6324">
      <w:pPr>
        <w:pStyle w:val="Dvodovzprvakbodu"/>
      </w:pPr>
      <w:r>
        <w:t>(§ 25b)</w:t>
      </w:r>
    </w:p>
    <w:p w14:paraId="624CDECA" w14:textId="77777777" w:rsidR="000F6324" w:rsidRDefault="000F6324" w:rsidP="000F6324">
      <w:pPr>
        <w:pStyle w:val="Dvodovzprva"/>
      </w:pPr>
      <w:r>
        <w:t>Nově vkládaný § 25b adaptuje speciální ustanovení TFR, která jsou nezbytná v rámci AML systému pro osoby</w:t>
      </w:r>
      <w:r w:rsidRPr="008C3134">
        <w:t xml:space="preserve"> poskytující služby spojené s virtuálním aktivem</w:t>
      </w:r>
      <w:r>
        <w:t>. První povinností je v rámci hodnocení rizik vždy zhodnotit rizika spojená s nehostovanou adresou. Vzhledem k faktu, že je osoba poskytující služby spojené s virtuálním aktivem nově finanční institucí, tak má povinnost provést toto hodnocení rizik písemně. Toto následně musí také promítnout do svého systému vnitřních zásad (opět písemně), a aplikovat při identifikaci a kontrole klienta. Zejména pak musí vyhodnotit i aplikaci přiměřených opatření zesílené identifikace a kontroly klienta.</w:t>
      </w:r>
    </w:p>
    <w:p w14:paraId="3A0BD602" w14:textId="77777777" w:rsidR="000F6324" w:rsidRDefault="000F6324" w:rsidP="000F6324">
      <w:pPr>
        <w:pStyle w:val="Dvodovzprva"/>
      </w:pPr>
      <w:r>
        <w:t>Druhou povinností jsou povinnosti spojené s korespondenčními vztahy s osobami poskytujícími služby spojené s virtuálními aktivy, které nespadají do působnosti nařízení MiCA z důvodu, že neprovozují svou činnost na území Evropské unie. Zde je pak stanovena povinnost u těchto osob před navázáním korespondenčního vztahu funkčnost AML opatření zavedených v nařízení TFR a zároveň určit, zda je tato osoba registrovaná či licencovaná. Zároveň se stanoví povinnost častěji aktualizovat údaje získané v rámci kontroly respondenční instituce, která je právě zahraničním poskytovatelem služeb spojených s virtuálním aktivem. Nad rámec stávajících záznamních povinností se pak stanoví též rozšířená záznamní povinnost pro případy ukončení korespondenčního vztahu se zahraničním poskytovatelem služeb spojených s virtuálním aktivem.</w:t>
      </w:r>
    </w:p>
    <w:p w14:paraId="731DD068" w14:textId="77777777" w:rsidR="000F6324" w:rsidRDefault="000F6324" w:rsidP="000F6324">
      <w:pPr>
        <w:pStyle w:val="Dvodovzprva"/>
      </w:pPr>
      <w:r>
        <w:t>Finálně se po vzoru § 25a a v souladu s nařízením TFR stanoví povinnost pro osoby poskytující služby spojené s virtuálním aktivem v rámci EU (tj. dopadá na ně nařízení MiCA) určit ústřední kontaktní místo.</w:t>
      </w:r>
    </w:p>
    <w:p w14:paraId="59D12323" w14:textId="77777777" w:rsidR="000F6324" w:rsidRDefault="000F6324" w:rsidP="000F6324">
      <w:pPr>
        <w:pStyle w:val="Dvodovzprvakbodu"/>
      </w:pPr>
      <w:r>
        <w:t>(§ 27a)</w:t>
      </w:r>
    </w:p>
    <w:p w14:paraId="473DCB35" w14:textId="77777777" w:rsidR="000F6324" w:rsidRPr="00781F2E" w:rsidRDefault="000F6324" w:rsidP="000F6324">
      <w:pPr>
        <w:pStyle w:val="Dvodovzprva"/>
      </w:pPr>
      <w:r>
        <w:t>Legislativně technická úprava související se zrušením § 2 odst. 1 písm. l).</w:t>
      </w:r>
    </w:p>
    <w:p w14:paraId="28A993C3" w14:textId="77777777" w:rsidR="000F6324" w:rsidRDefault="000F6324" w:rsidP="000F6324">
      <w:pPr>
        <w:pStyle w:val="Dvodovzprvakbodu"/>
      </w:pPr>
      <w:r>
        <w:t>(§ 27a písm. c))</w:t>
      </w:r>
    </w:p>
    <w:p w14:paraId="0C965BB6" w14:textId="77777777" w:rsidR="000F6324" w:rsidRPr="00E558D6" w:rsidRDefault="000F6324" w:rsidP="000F6324">
      <w:pPr>
        <w:pStyle w:val="Dvodovzprva"/>
      </w:pPr>
      <w:r>
        <w:t>V rámci zachování právní jistoty se navrhuje explicitně doplnit do výčtu povinností povinnost mlčenlivosti podle § 38.</w:t>
      </w:r>
    </w:p>
    <w:p w14:paraId="7F490D9C" w14:textId="77777777" w:rsidR="000F6324" w:rsidRDefault="000F6324" w:rsidP="000F6324">
      <w:pPr>
        <w:pStyle w:val="Dvodovzprvakbodu"/>
      </w:pPr>
      <w:r>
        <w:t>(§ 28)</w:t>
      </w:r>
    </w:p>
    <w:p w14:paraId="309C183A" w14:textId="77777777" w:rsidR="000F6324" w:rsidRDefault="000F6324" w:rsidP="000F6324">
      <w:pPr>
        <w:pStyle w:val="Dvodovzprva"/>
      </w:pPr>
      <w:r>
        <w:t>Legislativně technická úprava související se zrušením § 2 odst. 1 písm. l).</w:t>
      </w:r>
    </w:p>
    <w:p w14:paraId="6F5A3AF7" w14:textId="77777777" w:rsidR="000F6324" w:rsidRDefault="000F6324" w:rsidP="000F6324">
      <w:pPr>
        <w:pStyle w:val="Dvodovzprvakbodu"/>
      </w:pPr>
      <w:r>
        <w:t>(§ 29b)</w:t>
      </w:r>
    </w:p>
    <w:p w14:paraId="73950406" w14:textId="77777777" w:rsidR="000F6324" w:rsidRPr="00945CAC" w:rsidRDefault="000F6324" w:rsidP="000F6324">
      <w:pPr>
        <w:pStyle w:val="Dvodovzprva"/>
      </w:pPr>
      <w:r>
        <w:t>V rámci zachování právní jistoty se navrhuje explicitně doplnit do výčtu povinností povinnost mlčenlivosti podle § 38.</w:t>
      </w:r>
    </w:p>
    <w:p w14:paraId="36C84268" w14:textId="77777777" w:rsidR="000F6324" w:rsidRDefault="000F6324" w:rsidP="000F6324">
      <w:pPr>
        <w:pStyle w:val="Dvodovzprvakbodu"/>
      </w:pPr>
      <w:r>
        <w:lastRenderedPageBreak/>
        <w:t>(§ 29c odst. 2)</w:t>
      </w:r>
    </w:p>
    <w:p w14:paraId="3BA85CBC" w14:textId="77777777" w:rsidR="000F6324" w:rsidRDefault="000F6324" w:rsidP="000F6324">
      <w:pPr>
        <w:pStyle w:val="Dvodovzprva"/>
      </w:pPr>
      <w:r>
        <w:t xml:space="preserve">V rámci hodnocení České republiky výborem Moneyval bylo České republice vytčeno, že v AML zákoně není explicitně legislativně uchopena možnost FAÚ provádět strategickou analýzu s výjimkou národního hodnocení rizik. Navržená změna primárně tak cílí na odstranění tohoto nedostatku a zároveň má za cíl zpřehlednit kompetenční ustanovení týkající se FAÚ a to včetně zvýraznění jeho analytické role, jako primárního poslání FAÚ. Ve finále se pak jedná o zpřesnění transpozice čl. 32 AML směrnice. Dále bylo České republice vytýkáno, že v rozporu s doporučením FATF č. 29 existují legislativní překážky týkající se poskytování informací orgánům činným v trestním řízení a zpravodajským službám na jejich žádost. I když toto oprávnění plyne z trestního řádu, resp. ze zákona o zpravodajských službách, navrhuje se explicitně toto uvést v rámci kompetenčního ustanovení FAÚ. </w:t>
      </w:r>
    </w:p>
    <w:p w14:paraId="44FA60AD" w14:textId="77777777" w:rsidR="000F6324" w:rsidRDefault="000F6324" w:rsidP="000F6324">
      <w:pPr>
        <w:pStyle w:val="Dvodovzprvakbodu"/>
      </w:pPr>
      <w:r>
        <w:t>(§ 30a odst. 1)</w:t>
      </w:r>
    </w:p>
    <w:p w14:paraId="545BB885" w14:textId="77777777" w:rsidR="000F6324" w:rsidRDefault="000F6324" w:rsidP="000F6324">
      <w:pPr>
        <w:pStyle w:val="Dvodovzprva"/>
      </w:pPr>
      <w:r>
        <w:t>Národní hodnocení rizik v oblasti AML/CFT je materiál</w:t>
      </w:r>
      <w:r w:rsidRPr="006C10CE">
        <w:t xml:space="preserve"> </w:t>
      </w:r>
      <w:r>
        <w:t>schválený vládou, který je klíčovým dokumentem pro řízení rizik spojených s praním peněz, financováním terorismu a financováním šíření zbraní hromadného ničení na národní úrovni. Česká republika musí materiál povinně vypracovat a následně aktualizovat, přičemž jej zasílá Evropské komisi a předkládá při každém hodnocení výborem Moneyval. Pro účely zpracovávání národního hodnocení rizik se stanoví explicitní povinnost poskytovat FAÚ potřebné informace. Zároveň se pro účely zpracování národního hodnocení rizik rozšiřuje okruh osob, které se ho mohou účastnit o osoby ze soukromého sektoru, které sice nejsou povinnými osobami, ale mohou disponovat informacemi důležitými pro hodnocení rizik na národní úrovni (např. zbrojaři, obchodníci s chemickým či biologickým materiálem).</w:t>
      </w:r>
    </w:p>
    <w:p w14:paraId="5DC2A0D4" w14:textId="77777777" w:rsidR="000F6324" w:rsidRDefault="000F6324" w:rsidP="000F6324">
      <w:pPr>
        <w:pStyle w:val="Dvodovzprvakbodu"/>
      </w:pPr>
      <w:r>
        <w:t> (§ 30a odst. 6)</w:t>
      </w:r>
    </w:p>
    <w:p w14:paraId="0EA0CF0B" w14:textId="77777777" w:rsidR="000F6324" w:rsidRDefault="000F6324" w:rsidP="000F6324">
      <w:pPr>
        <w:pStyle w:val="Dvodovzprva"/>
      </w:pPr>
      <w:r>
        <w:t xml:space="preserve">Na základě hodnocení České republiky výborem Moneyval se explicitně doplňuje povinnost orgánů veřejné moci v rámci součinnosti poskytnuté FAÚ vést statistiky relevantní </w:t>
      </w:r>
      <w:r w:rsidRPr="00D54FF1">
        <w:t xml:space="preserve">pro </w:t>
      </w:r>
      <w:r>
        <w:t>efektivní fungování</w:t>
      </w:r>
      <w:r w:rsidRPr="00D54FF1">
        <w:t xml:space="preserve"> systému pro b</w:t>
      </w:r>
      <w:r>
        <w:t>oj proti praní peněz,</w:t>
      </w:r>
      <w:r w:rsidRPr="00D54FF1">
        <w:t xml:space="preserve"> financování terorismu</w:t>
      </w:r>
      <w:r>
        <w:t xml:space="preserve"> a financování šíření zbraní hromadného ničení</w:t>
      </w:r>
      <w:r w:rsidRPr="00D54FF1">
        <w:t>.</w:t>
      </w:r>
      <w:r>
        <w:t xml:space="preserve"> Zároveň se jedná o zpřesnění transpozice článku 44 AML směrnice, který vyžaduje, aby byly v České republice vedeny statistiky, které umožní posouzení účinnosti stávajícího AML systému jako takového. Navržená úprava však neopravňuje FAÚ k vyžádání si jakékoliv statistiky od kteréhokoliv orgánu veřejné moci. Primárně se musí jednat o statistiky vyplývající z činnosti, která má souvislost s bojem proti praní peněz, financování terorismu nebo financování šíření zbraní hromadného ničení a současně spadá do působnosti daného orgánu. Sekundárně by pak taková spolupráce měla být posuzována skrze zásadu hospodárnosti, zda je statistické šetření jako takové možné provést bez enormních vstupních nákladů a zda je výstup těmto nákladům přiměřeně odpovídající.</w:t>
      </w:r>
    </w:p>
    <w:p w14:paraId="4A338D4C" w14:textId="77777777" w:rsidR="000F6324" w:rsidRDefault="000F6324" w:rsidP="000F6324">
      <w:pPr>
        <w:pStyle w:val="Dvodovzprva"/>
      </w:pPr>
      <w:r>
        <w:t xml:space="preserve">Z hlediska relevance statistiky pro posouzení </w:t>
      </w:r>
      <w:r w:rsidRPr="000A6A56">
        <w:t>účinnosti systému opatření proti legalizaci výnosů z trestné činnosti a financování terorismu</w:t>
      </w:r>
      <w:r>
        <w:t xml:space="preserve"> lze pak poukázat zejména na znění doporučení FATF č. 33, podle kterého by </w:t>
      </w:r>
      <w:r w:rsidRPr="007B1F41">
        <w:rPr>
          <w:i/>
        </w:rPr>
        <w:t xml:space="preserve">„měly zahrnovat počty obdržených a postoupených </w:t>
      </w:r>
      <w:r>
        <w:rPr>
          <w:i/>
        </w:rPr>
        <w:t>oznámení podezřelých obchodů</w:t>
      </w:r>
      <w:r w:rsidRPr="007B1F41">
        <w:rPr>
          <w:i/>
        </w:rPr>
        <w:t>; uskutečněných vyšetřování, stíhání a odsouzení pro praní peněz a financování terorismu; objem zmrazeného, zajištěného a odňatého majetku; a údaje o mezinárodní právní pomoci nebo jiných mezinárodních žádostech o spolupráci.“</w:t>
      </w:r>
      <w:r>
        <w:t xml:space="preserve">. Dále se pak jedná o statistiky podle čl. 44 AML směrnice, tj. zejména o </w:t>
      </w:r>
    </w:p>
    <w:p w14:paraId="36C06E35" w14:textId="77777777" w:rsidR="000F6324" w:rsidRDefault="000F6324" w:rsidP="000F6324">
      <w:pPr>
        <w:pStyle w:val="Dvodovzprva"/>
        <w:numPr>
          <w:ilvl w:val="0"/>
          <w:numId w:val="48"/>
        </w:numPr>
      </w:pPr>
      <w:r>
        <w:t>údaje o velikosti a významu jednotlivých odvětví, která spadají do oblasti působnosti AML zákona, včetně počtu fyzických osob a subjektů a hospodářského významu každého odvětví,</w:t>
      </w:r>
    </w:p>
    <w:p w14:paraId="0F50B9AE" w14:textId="77777777" w:rsidR="000F6324" w:rsidRDefault="000F6324" w:rsidP="000F6324">
      <w:pPr>
        <w:pStyle w:val="Dvodovzprva"/>
        <w:numPr>
          <w:ilvl w:val="0"/>
          <w:numId w:val="48"/>
        </w:numPr>
      </w:pPr>
      <w:r>
        <w:t xml:space="preserve">údaje vypovídající o počtu oznámení, vyšetřování a soudních řízení na vnitrostátní úrovni v rámci boje proti praní peněz a financování terorismu, včetně počtu oznámení podezřelých </w:t>
      </w:r>
      <w:r>
        <w:lastRenderedPageBreak/>
        <w:t>transakcí učiněných u FAÚ, o opatřeních přijatých v návaznosti na tato oznámení a v ročních souhrnech o počtu vyšetřovaných případů, počtu stíhaných osob, počtu osob odsouzených za praní peněz nebo financování terorismu, druzích predikativních trestných činů, a hodnotě zmrazeného, zajištěného nebo odňatého majetku, vyjádřené v eurech,</w:t>
      </w:r>
    </w:p>
    <w:p w14:paraId="26EFF432" w14:textId="77777777" w:rsidR="000F6324" w:rsidRDefault="000F6324" w:rsidP="000F6324">
      <w:pPr>
        <w:pStyle w:val="Dvodovzprva"/>
        <w:numPr>
          <w:ilvl w:val="0"/>
          <w:numId w:val="48"/>
        </w:numPr>
      </w:pPr>
      <w:r w:rsidRPr="007B1F41">
        <w:t>údaje o počtu a procentním podílu oznámení, která vedla k dalšímu vyšetřování, společně s výroční zprávou pro povinné osoby podrobně popisující užitečnost oznámení, která podaly, a následná opatření</w:t>
      </w:r>
      <w:r>
        <w:t>,</w:t>
      </w:r>
    </w:p>
    <w:p w14:paraId="5E77ED8A" w14:textId="77777777" w:rsidR="000F6324" w:rsidRDefault="000F6324" w:rsidP="000F6324">
      <w:pPr>
        <w:pStyle w:val="Dvodovzprva"/>
        <w:numPr>
          <w:ilvl w:val="0"/>
          <w:numId w:val="48"/>
        </w:numPr>
      </w:pPr>
      <w:r w:rsidRPr="007B1F41">
        <w:t xml:space="preserve">údaje o počtu přeshraničních žádostí o informace, které </w:t>
      </w:r>
      <w:r>
        <w:t>FAÚ</w:t>
      </w:r>
      <w:r w:rsidRPr="007B1F41">
        <w:t xml:space="preserve"> podal, obdržel a zamítl a kterým plně či částečně vyhověl, r</w:t>
      </w:r>
      <w:r>
        <w:t>ozdělené podle země protistrany,</w:t>
      </w:r>
    </w:p>
    <w:p w14:paraId="39E0BCFF" w14:textId="77777777" w:rsidR="000F6324" w:rsidRDefault="000F6324" w:rsidP="000F6324">
      <w:pPr>
        <w:pStyle w:val="Dvodovzprva"/>
        <w:numPr>
          <w:ilvl w:val="0"/>
          <w:numId w:val="48"/>
        </w:numPr>
      </w:pPr>
      <w:r w:rsidRPr="007B1F41">
        <w:t xml:space="preserve">údaje o lidských zdrojích přidělených příslušným orgánům odpovědným za dohled v oblasti boje proti praní peněz a financování terorismu a lidských zdrojích přidělených </w:t>
      </w:r>
      <w:r>
        <w:t>FAÚ, a</w:t>
      </w:r>
    </w:p>
    <w:p w14:paraId="7DBF51C2" w14:textId="77777777" w:rsidR="000F6324" w:rsidRDefault="000F6324" w:rsidP="000F6324">
      <w:pPr>
        <w:pStyle w:val="Dvodovzprva"/>
        <w:numPr>
          <w:ilvl w:val="0"/>
          <w:numId w:val="48"/>
        </w:numPr>
      </w:pPr>
      <w:r>
        <w:t xml:space="preserve">údaje o </w:t>
      </w:r>
      <w:r w:rsidRPr="00FB0E4E">
        <w:t>počt</w:t>
      </w:r>
      <w:r>
        <w:t>u</w:t>
      </w:r>
      <w:r w:rsidRPr="00FB0E4E">
        <w:t xml:space="preserve"> opatření v oblasti dohledu, na místě i na dálku, počet porušení předpisů zjištěných na základě opatření v oblasti dohledu a sankcí či správních opatření uložených orgány dohledu.</w:t>
      </w:r>
    </w:p>
    <w:p w14:paraId="2FB0787D" w14:textId="77777777" w:rsidR="000F6324" w:rsidRPr="001B5D56" w:rsidRDefault="000F6324" w:rsidP="000F6324">
      <w:pPr>
        <w:pStyle w:val="Dvodovzprva"/>
      </w:pPr>
      <w:r>
        <w:t>Většinou těchto údajů sice disponuje FAÚ z povahy věci bez nutnosti kooperace s jinými orgány veřejné moci, avšak nepodstatná část požadovaných údajů se týká činnosti dohledových orgánů v oblasti AML, orgánů činných v trestním řízení a trestních soudů. Tyto údaje můžou zpravidla získat pouze jiné orgány veřejné moci, a proto je nezbytné, jak pro řádnou implementaci AML směrnice, tak doporučení FATF, postavit najisto jejich opatřování.</w:t>
      </w:r>
    </w:p>
    <w:p w14:paraId="200B1460" w14:textId="77777777" w:rsidR="000F6324" w:rsidRDefault="000F6324" w:rsidP="000F6324">
      <w:pPr>
        <w:pStyle w:val="Dvodovzprvakbodu"/>
      </w:pPr>
      <w:r w:rsidRPr="009E26AA">
        <w:t>(§ 34a odst. 1)</w:t>
      </w:r>
    </w:p>
    <w:p w14:paraId="64196CDB" w14:textId="77777777" w:rsidR="000F6324" w:rsidRPr="00E558D6" w:rsidRDefault="000F6324" w:rsidP="000F6324">
      <w:pPr>
        <w:pStyle w:val="Dvodovzprva"/>
      </w:pPr>
      <w:r>
        <w:t>Na základě nařízení TFR se rozšiřuje tzv. vnější oznamovací systém ve smyslu předpisů o ochraně oznamovatelů, který vede FAÚ i o hlášení povinností podle nařízení TFR.</w:t>
      </w:r>
    </w:p>
    <w:p w14:paraId="3E72006D" w14:textId="77777777" w:rsidR="000F6324" w:rsidRDefault="000F6324" w:rsidP="000F6324">
      <w:pPr>
        <w:pStyle w:val="Dvodovzprvakbodu"/>
      </w:pPr>
      <w:r>
        <w:t>(§ 35 odst. 2)</w:t>
      </w:r>
    </w:p>
    <w:p w14:paraId="36871A88" w14:textId="77777777" w:rsidR="000F6324" w:rsidRPr="00E558D6" w:rsidRDefault="000F6324" w:rsidP="000F6324">
      <w:pPr>
        <w:pStyle w:val="Dvodovzprva"/>
      </w:pPr>
      <w:r w:rsidRPr="00C76A65">
        <w:t>Legislativně technická úprava související se zavedením nového nařízení TFR.</w:t>
      </w:r>
    </w:p>
    <w:p w14:paraId="7811B170" w14:textId="77777777" w:rsidR="000F6324" w:rsidRDefault="000F6324" w:rsidP="000F6324">
      <w:pPr>
        <w:pStyle w:val="Dvodovzprvakbodu"/>
      </w:pPr>
      <w:r w:rsidDel="006479B4">
        <w:t xml:space="preserve"> </w:t>
      </w:r>
      <w:r>
        <w:t>(§ 35 odst. 12)</w:t>
      </w:r>
    </w:p>
    <w:p w14:paraId="59D11451" w14:textId="77777777" w:rsidR="000F6324" w:rsidRDefault="000F6324" w:rsidP="000F6324">
      <w:pPr>
        <w:pStyle w:val="Dvodovzprva"/>
      </w:pPr>
      <w:r>
        <w:t>Vzhledem k nařízení MiCA se v případě některých osob poskytujících služby spojené s virtuálním aktivem již nebude jednat o provozování živnosti volné. V takovém případě bude FAÚ kontrolovat, zda daná osoba má příslušné oprávnění.</w:t>
      </w:r>
    </w:p>
    <w:p w14:paraId="4505405E" w14:textId="77777777" w:rsidR="000F6324" w:rsidRDefault="000F6324" w:rsidP="000F6324">
      <w:pPr>
        <w:pStyle w:val="Dvodovzprvakbodu"/>
      </w:pPr>
      <w:r>
        <w:t>(§ 37 odst. 1)</w:t>
      </w:r>
    </w:p>
    <w:p w14:paraId="758320ED" w14:textId="77777777" w:rsidR="000F6324" w:rsidRDefault="000F6324" w:rsidP="000F6324">
      <w:pPr>
        <w:pStyle w:val="Dvodovzprva"/>
      </w:pPr>
      <w:r>
        <w:t xml:space="preserve">Vzhledem k neexistenci pořádkové lhůty nemusí v praxi docházet ke včasnému či vůbec žádnému předání informací o zahájení, ukončení a výsledku kontroly prováděného příslušnou profesní komorou FAÚ, který má subsidiární působnost vedle profesních komor k výkonu správního dozoru v oblasti AML nad jejími členy. Navrhuje se proto 5 denní pořádková lhůta pro zaslání informace o zahájení kontroly a o ukončení kontroly příslušnou profesní komorou FAÚ. </w:t>
      </w:r>
    </w:p>
    <w:p w14:paraId="42930894" w14:textId="77777777" w:rsidR="000F6324" w:rsidRPr="000F31F7" w:rsidRDefault="000F6324" w:rsidP="000F6324">
      <w:pPr>
        <w:pStyle w:val="Dvodovzprvakbodu"/>
      </w:pPr>
      <w:r>
        <w:t> (§ 38 odst. 1)</w:t>
      </w:r>
    </w:p>
    <w:p w14:paraId="1DBCDF93" w14:textId="77777777" w:rsidR="000F6324" w:rsidRDefault="000F6324" w:rsidP="000F6324">
      <w:pPr>
        <w:pStyle w:val="Dvodovzprva"/>
      </w:pPr>
      <w:r w:rsidRPr="00F93302">
        <w:t>Vzhledem ke skutečnosti</w:t>
      </w:r>
      <w:r>
        <w:t xml:space="preserve"> že § 24 odst. 3 AML zákona upravuje povinnost povinné osoby sdělovat informace týkající se obchodního vztahu s konkrétní osobou</w:t>
      </w:r>
      <w:r w:rsidRPr="00F63AE2">
        <w:t xml:space="preserve"> </w:t>
      </w:r>
      <w:r>
        <w:t xml:space="preserve">na základě pokynu FAÚ, považuje se z  hlediska naplňování účelu AML zákona prostřednictvím šetření podezřelých obchodů za vhodné, aby i takový úkon FAÚ a s ním související informace byly pokryty povinností mlčenlivosti. Pokud by povinná osoba k obsahu daného pokynu FAÚ nebyla vázaná mlčenlivostí, mohlo by potenciálně dojít ke zmaření naplnění účelu, pro který byl daný pokyn udělen, tj. šetření podezřelého obchodu nebo probíhající trestní řízení. Teoreticky by mohla nastat situace, kdy povinná osoba nevstoupí do obchodního vztahu s konkrétní osobou, jelikož </w:t>
      </w:r>
      <w:r>
        <w:lastRenderedPageBreak/>
        <w:t>ve vztahu k této konkrétní osobě byla v minulosti plněna informační povinnost vůči FAÚ. Navržené doplnění by mělo takovým situacím předejít, respektive důvodem ze strany povinné osoby pro nenavázání obchodního vztahu s klientem by neměl být odkaz na v minulosti vydaný pokyn FAÚ k plnění informační povinnosti.</w:t>
      </w:r>
    </w:p>
    <w:p w14:paraId="71D9BAA7" w14:textId="77777777" w:rsidR="000F6324" w:rsidRPr="003D53BB" w:rsidRDefault="000F6324" w:rsidP="000F6324">
      <w:pPr>
        <w:pStyle w:val="Dvodovzprva"/>
      </w:pPr>
      <w:r w:rsidRPr="00893B5C">
        <w:t>Současně je nutno povinnost mlčenlivosti rozšířit i na tzv. „dotazníková šetření“ upravená v § 24 odst. 4 AML zákona. I v rámci dotazníkových šetření prováděných FAÚ může být v rámci odpovědi povinné osoby identifikována konkrétní osoba. Z taktického hlediska v zájmu naplnění účelu správního dozoru prováděného FAÚ je vhodné, aby i informace o dotazníkovém šetření prováděném FAÚ byla pokryta povinností mlčenlivosti povinné osoby.</w:t>
      </w:r>
    </w:p>
    <w:p w14:paraId="48DA97F9" w14:textId="77777777" w:rsidR="000F6324" w:rsidRDefault="000F6324" w:rsidP="000F6324">
      <w:pPr>
        <w:pStyle w:val="Dvodovzprvakbodu"/>
      </w:pPr>
      <w:r>
        <w:t>(část pátá – nadpis)</w:t>
      </w:r>
    </w:p>
    <w:p w14:paraId="0504F650" w14:textId="77777777" w:rsidR="000F6324" w:rsidRPr="008F2D87" w:rsidRDefault="000F6324" w:rsidP="000F6324">
      <w:pPr>
        <w:pStyle w:val="Dvodovzprva"/>
      </w:pPr>
      <w:r>
        <w:t>Legislativně-technicky se mění nadpis části tak, aby odpovídal obsahu části.</w:t>
      </w:r>
    </w:p>
    <w:p w14:paraId="2A6A2026" w14:textId="77777777" w:rsidR="000F6324" w:rsidRDefault="000F6324" w:rsidP="000F6324">
      <w:pPr>
        <w:pStyle w:val="Dvodovzprvakbodu"/>
      </w:pPr>
      <w:r>
        <w:t>(§ 41 nadpis)</w:t>
      </w:r>
    </w:p>
    <w:p w14:paraId="4460176A" w14:textId="77777777" w:rsidR="000F6324" w:rsidRPr="008F2D87" w:rsidRDefault="000F6324" w:rsidP="000F6324">
      <w:pPr>
        <w:pStyle w:val="Dvodovzprva"/>
      </w:pPr>
      <w:r>
        <w:t>Legislativně-technicky se mění nadpis části tak, aby odpovídal obsahu části. Terminologicky již v současné době nadpis neodpovídá Nařízení o kontrolách peněžní hotovosti, které hovoří o peněžní hotovosti vstupující na území Evropské unie nebo jí opouštějící.</w:t>
      </w:r>
    </w:p>
    <w:p w14:paraId="356F0D88" w14:textId="77777777" w:rsidR="000F6324" w:rsidRDefault="000F6324" w:rsidP="000F6324">
      <w:pPr>
        <w:pStyle w:val="Dvodovzprvakbodu"/>
      </w:pPr>
      <w:r w:rsidDel="005634D0">
        <w:t xml:space="preserve"> </w:t>
      </w:r>
      <w:r>
        <w:t>(§ 41 odst. 1)</w:t>
      </w:r>
    </w:p>
    <w:p w14:paraId="0066F3F3" w14:textId="77777777" w:rsidR="000F6324" w:rsidRPr="008F2D87" w:rsidRDefault="000F6324" w:rsidP="000F6324">
      <w:pPr>
        <w:pStyle w:val="Dvodovzprva"/>
      </w:pPr>
      <w:r>
        <w:t xml:space="preserve">Legislativně technická novela zohledňující </w:t>
      </w:r>
      <w:r w:rsidRPr="002B295D">
        <w:t>nově zavedenou definici peněžní hotovosti v § 4 odst. 16 AML zákona</w:t>
      </w:r>
      <w:r>
        <w:t>.</w:t>
      </w:r>
    </w:p>
    <w:p w14:paraId="08A96714" w14:textId="77777777" w:rsidR="000F6324" w:rsidRDefault="000F6324" w:rsidP="000F6324">
      <w:pPr>
        <w:pStyle w:val="Dvodovzprvakbodu"/>
      </w:pPr>
      <w:r w:rsidDel="00F37AF4">
        <w:t xml:space="preserve"> </w:t>
      </w:r>
      <w:r>
        <w:t>(§ 41 odst. 2)</w:t>
      </w:r>
    </w:p>
    <w:p w14:paraId="65E42DC7" w14:textId="77777777" w:rsidR="000F6324" w:rsidRPr="008F2D87" w:rsidRDefault="000F6324" w:rsidP="000F6324">
      <w:pPr>
        <w:pStyle w:val="Dvodovzprva"/>
      </w:pPr>
      <w:r w:rsidRPr="00F37AF4">
        <w:t>Legislativně technická novela zohledňující nově zavedenou definici peněžní hotovosti v § 4 odst. 16 AML zákona.</w:t>
      </w:r>
    </w:p>
    <w:p w14:paraId="7DBD0665" w14:textId="77777777" w:rsidR="000F6324" w:rsidRDefault="000F6324" w:rsidP="000F6324">
      <w:pPr>
        <w:pStyle w:val="Dvodovzprvakbodu"/>
      </w:pPr>
      <w:r>
        <w:t>(§ 41 odst. 3)</w:t>
      </w:r>
    </w:p>
    <w:p w14:paraId="57AB3CD0" w14:textId="77777777" w:rsidR="000F6324" w:rsidRPr="008F2D87" w:rsidRDefault="000F6324" w:rsidP="000F6324">
      <w:pPr>
        <w:pStyle w:val="Dvodovzprva"/>
      </w:pPr>
      <w:r>
        <w:t>Legislativně-technická změna související se zavedením definice peněžní hotovosti v § 4 odst. 16 AML zákona.</w:t>
      </w:r>
    </w:p>
    <w:p w14:paraId="5F48D599" w14:textId="77777777" w:rsidR="000F6324" w:rsidRDefault="000F6324" w:rsidP="000F6324">
      <w:pPr>
        <w:pStyle w:val="Dvodovzprvakbodu"/>
      </w:pPr>
      <w:r>
        <w:t>(§ 41 odst. 4)</w:t>
      </w:r>
    </w:p>
    <w:p w14:paraId="083726DA" w14:textId="77777777" w:rsidR="000F6324" w:rsidRPr="008F2D87" w:rsidRDefault="000F6324" w:rsidP="000F6324">
      <w:pPr>
        <w:pStyle w:val="Dvodovzprva"/>
      </w:pPr>
      <w:r w:rsidRPr="00F37AF4">
        <w:t>Legislativně-technická změna související se zavedením definice peněžní hotovosti v § 4 odst. 16 AML zákona</w:t>
      </w:r>
      <w:r>
        <w:t>.</w:t>
      </w:r>
    </w:p>
    <w:p w14:paraId="46DA2B9F" w14:textId="77777777" w:rsidR="000F6324" w:rsidRDefault="000F6324" w:rsidP="000F6324">
      <w:pPr>
        <w:pStyle w:val="Dvodovzprvakbodu"/>
      </w:pPr>
      <w:r>
        <w:t>(§ 41 odst. 5)</w:t>
      </w:r>
    </w:p>
    <w:p w14:paraId="3AC855F8" w14:textId="77777777" w:rsidR="000F6324" w:rsidRPr="008F2D87" w:rsidRDefault="000F6324" w:rsidP="000F6324">
      <w:pPr>
        <w:pStyle w:val="Dvodovzprva"/>
      </w:pPr>
      <w:r>
        <w:t xml:space="preserve">Vzhledem ke skutečnosti, že rozsah požadovaných údajů vyplývá přímo ze vzoru stanovenému v prováděcím nařízení Komise </w:t>
      </w:r>
      <w:r w:rsidRPr="0026154D">
        <w:t>(EU) 2021/776 ze dne 11. května 2021, kterým se zavádí šablony určitých formulářů a technická pravidla pro účinnou výměnu informací podle nařízení Evropského parlamentu a Rady (EU) 2018/1672 o kontrolách peněžní hotovosti vstupující do Unie nebo ji opouštějící</w:t>
      </w:r>
      <w:r>
        <w:t>, je dané ustanovení nadbytečné. Odkaz na formulář je upraven v rámci dosavadního odstavce 6.</w:t>
      </w:r>
    </w:p>
    <w:p w14:paraId="3296D174" w14:textId="77777777" w:rsidR="000F6324" w:rsidRDefault="000F6324" w:rsidP="000F6324">
      <w:pPr>
        <w:pStyle w:val="Dvodovzprvakbodu"/>
      </w:pPr>
      <w:r>
        <w:t>(§ 41 odst. 6)</w:t>
      </w:r>
    </w:p>
    <w:p w14:paraId="5EEE181F" w14:textId="77777777" w:rsidR="000F6324" w:rsidRPr="008F2D87" w:rsidRDefault="000F6324" w:rsidP="000F6324">
      <w:pPr>
        <w:pStyle w:val="Dvodovzprva"/>
      </w:pPr>
      <w:r>
        <w:t xml:space="preserve">Postup pro přepočet měny na euro je upraven v § 41b. </w:t>
      </w:r>
    </w:p>
    <w:p w14:paraId="6F2033F4" w14:textId="77777777" w:rsidR="000F6324" w:rsidRDefault="000F6324" w:rsidP="000F6324">
      <w:pPr>
        <w:pStyle w:val="Dvodovzprvakbodu"/>
      </w:pPr>
      <w:r>
        <w:t xml:space="preserve"> (§ 41a a 41b)</w:t>
      </w:r>
    </w:p>
    <w:p w14:paraId="4175F78D" w14:textId="77777777" w:rsidR="000F6324" w:rsidRDefault="000F6324" w:rsidP="000F6324">
      <w:pPr>
        <w:pStyle w:val="Dvodovzprva"/>
        <w:rPr>
          <w:u w:val="single"/>
        </w:rPr>
      </w:pPr>
      <w:r w:rsidRPr="0014068D">
        <w:rPr>
          <w:u w:val="single"/>
        </w:rPr>
        <w:t>K § 41a</w:t>
      </w:r>
    </w:p>
    <w:p w14:paraId="65A6A2E1" w14:textId="77777777" w:rsidR="000F6324" w:rsidRDefault="000F6324" w:rsidP="000F6324">
      <w:pPr>
        <w:pStyle w:val="Dvodovzprva"/>
      </w:pPr>
      <w:r>
        <w:t xml:space="preserve">V rámci hodnocení České republiky výborem Moneyval bylo České republice vytčeno, že nemá zaveden systém kontroly vnitrounijních převozů peněžní hotovosti, který má být implementován v rámci doporučení FATF č. 32. Tuto oblast neřeší Nařízení o kontrole hotovosti, které je zaměřeno na vnější hranice Evropské unie, a tudíž v tomto ohledu absentuje </w:t>
      </w:r>
      <w:r>
        <w:lastRenderedPageBreak/>
        <w:t>evropská právní úprava, která by tuto oblast pokrývala. Navíc článek 63 odst. 1 Smlouvy o fungování Evropské unie sice zakazuje všechna omezení pohybu kapitálu mezi členskými státy, nicméně v článku 65 odst. 1 písm. b)</w:t>
      </w:r>
      <w:r w:rsidRPr="001365C5">
        <w:t xml:space="preserve"> </w:t>
      </w:r>
      <w:r>
        <w:t>Smlouvy o fungování Evropské unie se stanoví, že čl. 63 není dotčeno právo členských států mimo jiné stanovit postupy pro ohlašování pohybu kapitálu pro účely správní nebo učinit opatření odůvodněná veřejným pořádkem či veřejnou bezpečností. Právo EU tedy nepředstavuje překážku pro zavedení dodatečných vnitrostátních kontrol pohybu peněžní hotovosti uvnitř Unie.</w:t>
      </w:r>
    </w:p>
    <w:p w14:paraId="44C37697" w14:textId="77777777" w:rsidR="000F6324" w:rsidRDefault="000F6324" w:rsidP="000F6324">
      <w:pPr>
        <w:pStyle w:val="Dvodovzprva"/>
      </w:pPr>
      <w:r>
        <w:t>Pro naplnění výše uvedeného doporučení a odstranění dlouhodobě přetrvávajícího negativního hodnocení v této věci výborem Moneyval je tak navržena informační povinnost v rámci nejvyššího možného limitu 15 000 EUR.</w:t>
      </w:r>
      <w:r w:rsidRPr="00287286">
        <w:t xml:space="preserve"> </w:t>
      </w:r>
      <w:r>
        <w:t>T</w:t>
      </w:r>
      <w:r w:rsidRPr="00287286">
        <w:t xml:space="preserve">ento </w:t>
      </w:r>
      <w:r>
        <w:t xml:space="preserve">limit </w:t>
      </w:r>
      <w:r w:rsidRPr="00287286">
        <w:t>byl zvolen také z důvodu, aby nekolidoval s částkou, ve které je legální provádět platby v hotovosti podle zákona o omezení plateb v</w:t>
      </w:r>
      <w:r>
        <w:t> </w:t>
      </w:r>
      <w:r w:rsidRPr="00287286">
        <w:t>hotovosti</w:t>
      </w:r>
      <w:r>
        <w:t>. Oproti deklaračnímu principu v případě „třetizemních“ dovozů a vývozů je v daném případě zvolen princip pouze informovat, a to v případě, že je k tomu osoba vyzvána. Tato výzva bude mít nejčastěji ústní formu, kdy v rámci kontroly příslušný celník vyzve kontrolovaného ke sdělení požadovaných údajů. Jedná se o značné zjednodušení pro subjekty, na které by mohla daná povinnost dopadnout, neboť tuto lze splnit až na místě v případě kontroly. Současně se nebude informace získávat prostřednictvím formuláře (na rozdíl od režimu pro třetí země), ale postačí informace pouze sdělit (ústně, v případě kontroly na silnici, případně písemně, pokud bude kontrolována nedoprovázená zásilka). K zadokumentování takto získaných informací bude použit obecný postup upravený daňovým řádem. Oproti režimu stanovenému pro třetí země je značně zredukováno množství informací, které musí osoba přepravující peněžní hotovost znát, respektive, které je na výzvu celního úřadu povinna sdělit. Povinnost poskytnout informace má tedy každý, kdo přepravuje peněžní hotovost ve výši 15 000 EUR a více po území České republiky. Tato povinnost se nevztahuje na osoby, které dováží peněžní hotovost z jiného státu než ze státu Evropské unie, nebo které do takového státu peněžní hotovost vyváží a celnímu úřadu prokáží, že splnily oznamovací povinnost podle § 41 AML zákona.</w:t>
      </w:r>
    </w:p>
    <w:p w14:paraId="19A96B6E" w14:textId="77777777" w:rsidR="000F6324" w:rsidRDefault="000F6324" w:rsidP="000F6324">
      <w:pPr>
        <w:pStyle w:val="Dvodovzprva"/>
      </w:pPr>
      <w:r>
        <w:t>Zároveň se stanoví stejná povinnost pro nedoprovázené poštovní zásilky, obsahující peněžní hotovost přesahující stanovený limit, které odesílatel odesílá do jiného členského státu Evropské unie, nebo které příjemce z takového státu přijímá. Na zásilky zasílané uvnitř České republiky se daná povinnost vztahovat nebude. Identifikačními údaji příjemce podle odstavce 3 písm. c) je myšlen údaj o osobě, ke které mají peněžní prostředky doputovat a to jak při přepravě doprovázené zásilky, tak i v případě zásilky nedoprovázené.</w:t>
      </w:r>
    </w:p>
    <w:p w14:paraId="138B1602" w14:textId="77777777" w:rsidR="000F6324" w:rsidRDefault="000F6324" w:rsidP="000F6324">
      <w:pPr>
        <w:pStyle w:val="Dvodovzprva"/>
      </w:pPr>
      <w:r>
        <w:t xml:space="preserve">Způsob pro informování o přepravě peněžní hotovosti byl zvolen z důvodu, že nejméně zasahuje do práv dotčených subjektů, přičemž povinnost je vázána až na výzvu celního úřadu. Lze tedy konstatovat, že bude minimum případů, kdy nedojde ke splnění daných povinností ze strany osoby povinné poskytovat informace. Na druhou stranu bude osoba povinná poskytnout informace odpovídat za správnost a úplnost takto poskytnutých informací. Pokud bude zjištěno, že poskytnuté informace nejsou správné nebo úplné, bude za takové jednání hrozit sankce. Zvolené řešení současně nezakládá žádné další požadavky na tvorbu zvláštních informačních systémů. </w:t>
      </w:r>
    </w:p>
    <w:p w14:paraId="59D8034C" w14:textId="77777777" w:rsidR="000F6324" w:rsidRDefault="000F6324" w:rsidP="000F6324">
      <w:pPr>
        <w:pStyle w:val="Dvodovzprva"/>
        <w:rPr>
          <w:u w:val="single"/>
        </w:rPr>
      </w:pPr>
      <w:r w:rsidRPr="0014068D">
        <w:rPr>
          <w:u w:val="single"/>
        </w:rPr>
        <w:t xml:space="preserve">K </w:t>
      </w:r>
      <w:r>
        <w:rPr>
          <w:u w:val="single"/>
        </w:rPr>
        <w:t>§ 41b</w:t>
      </w:r>
    </w:p>
    <w:p w14:paraId="4F0359C5" w14:textId="77777777" w:rsidR="000F6324" w:rsidRPr="005E3CDB" w:rsidRDefault="000F6324" w:rsidP="000F6324">
      <w:pPr>
        <w:pStyle w:val="Dvodovzprva"/>
      </w:pPr>
      <w:r w:rsidRPr="005E3CDB">
        <w:t xml:space="preserve">Stanoví se pravidla pro přepočet kurzů jako lex specialis k § 54 AML zákona. </w:t>
      </w:r>
      <w:r>
        <w:t xml:space="preserve">Zachovává se stávající </w:t>
      </w:r>
      <w:r w:rsidRPr="005E3CDB">
        <w:t xml:space="preserve">konstrukce pro </w:t>
      </w:r>
      <w:r>
        <w:t>přepočet měn, jak byla upravena v § 41 odst. 7.</w:t>
      </w:r>
    </w:p>
    <w:p w14:paraId="4E97A844" w14:textId="77777777" w:rsidR="000F6324" w:rsidRPr="0014068D" w:rsidRDefault="000F6324" w:rsidP="000F6324">
      <w:pPr>
        <w:pStyle w:val="Dvodovzprva"/>
      </w:pPr>
      <w:r w:rsidRPr="005E3CDB">
        <w:t>Pro ohodnocení peněžní hotovosti, která není jinou měnou, se použije postup podle zákona upravujícího oceňování majetku.</w:t>
      </w:r>
    </w:p>
    <w:p w14:paraId="2B1F2068" w14:textId="77777777" w:rsidR="000F6324" w:rsidRDefault="000F6324" w:rsidP="000F6324">
      <w:pPr>
        <w:pStyle w:val="Dvodovzprvakbodu"/>
      </w:pPr>
      <w:r w:rsidDel="00760802">
        <w:lastRenderedPageBreak/>
        <w:t xml:space="preserve"> </w:t>
      </w:r>
      <w:r>
        <w:t>(§ 42)</w:t>
      </w:r>
    </w:p>
    <w:p w14:paraId="642AF83E" w14:textId="77777777" w:rsidR="000F6324" w:rsidRPr="00A724BB" w:rsidRDefault="000F6324" w:rsidP="000F6324">
      <w:pPr>
        <w:pStyle w:val="Dvodovzprva"/>
      </w:pPr>
      <w:r w:rsidRPr="00A724BB">
        <w:t>Komplexněji se upravuje kompetenční §</w:t>
      </w:r>
      <w:r>
        <w:t xml:space="preserve"> 42</w:t>
      </w:r>
      <w:r w:rsidRPr="00A724BB">
        <w:t xml:space="preserve">, který se týká činností orgánů Celní správy České republiky. Oproti dosavadnímu oprávnění provádět kontrolu, respektive přijímat oznámení o přeshraniční (třetizemní) přepravě peněžní hotovosti, se nově rozšiřuje i oprávnění kontrolovat a zaznamenávat zjištěné informace i ve vztahu k (vnitrounijní) přepravě peněžní hotovosti. </w:t>
      </w:r>
    </w:p>
    <w:p w14:paraId="5F8240C8" w14:textId="77777777" w:rsidR="000F6324" w:rsidRPr="00A724BB" w:rsidRDefault="000F6324" w:rsidP="000F6324">
      <w:pPr>
        <w:pStyle w:val="Dvodovzprva"/>
      </w:pPr>
      <w:r w:rsidRPr="00A724BB">
        <w:t xml:space="preserve">Dále se vzhledem k nově vzniklé komplexní úpravě zadržení peněžní hotovosti v § 42a vypouští dosavadní úprava obsažená v odstavci 4 </w:t>
      </w:r>
      <w:r>
        <w:t>a 5</w:t>
      </w:r>
      <w:r w:rsidRPr="00A724BB">
        <w:t>.</w:t>
      </w:r>
      <w:r>
        <w:t xml:space="preserve"> Stejně tak se v rámci daného § neupravuje postup pro vracení zadržené peněžní hotovosti upravený v dosavadním odstavci 6, neboť tento je komplexně upraven v rámci nového § 42b.</w:t>
      </w:r>
    </w:p>
    <w:p w14:paraId="22FC25D4" w14:textId="77777777" w:rsidR="000F6324" w:rsidRPr="00A724BB" w:rsidRDefault="000F6324" w:rsidP="000F6324">
      <w:pPr>
        <w:pStyle w:val="Dvodovzprva"/>
      </w:pPr>
      <w:r w:rsidRPr="00A724BB">
        <w:t xml:space="preserve">Povinnost zasílat zjištěné informace FAÚ, a to jak o kontrolních zjištěních, v rámci kterých bylo zjištěno porušení právních předpisů, tak i informace o přijatých oznámeních podle § 41 nebo poskytnutých informacích podle § 41a, zůstává zachována v rozsahu stanoveném dosavadní právní úpravou. </w:t>
      </w:r>
      <w:r w:rsidRPr="00F5761B">
        <w:t>Současně se vypouští úprava postupu při nesplnění oznamovací povinnosti podle § 41, neboť povinnost celního úřadu vyhotovit oznámení z moci úřední vyplývá z přímo použitelného předpisu EU upravujícího kontroly peněžní hotovosti vstupující do Unie nebo jí opouštějící.</w:t>
      </w:r>
    </w:p>
    <w:p w14:paraId="3E440271" w14:textId="77777777" w:rsidR="000F6324" w:rsidRPr="00E8008E" w:rsidRDefault="000F6324" w:rsidP="000F6324">
      <w:pPr>
        <w:pStyle w:val="Dvodovzprva"/>
        <w:rPr>
          <w:color w:val="0000FF"/>
        </w:rPr>
      </w:pPr>
      <w:r>
        <w:t>P</w:t>
      </w:r>
      <w:r w:rsidRPr="00A724BB">
        <w:t xml:space="preserve">eněžní hotovostí </w:t>
      </w:r>
      <w:r>
        <w:t xml:space="preserve">se </w:t>
      </w:r>
      <w:r w:rsidRPr="00A724BB">
        <w:t>rozumí například i cestovní šeky nebo peněžní poukázky směnitelné za hotové peníze, cenné papíry na doručitele nebo na řad, případně i další investiční nástroje, které jsou podepsané, ale neobsahují jméno příjemce</w:t>
      </w:r>
      <w:r>
        <w:t xml:space="preserve">. V daném případě se nejedná o oběživo (peníze), ani zlato (zboží), ale o </w:t>
      </w:r>
      <w:r w:rsidRPr="00A724BB">
        <w:t>listiny</w:t>
      </w:r>
      <w:r>
        <w:t xml:space="preserve">, </w:t>
      </w:r>
      <w:r w:rsidRPr="00A724BB">
        <w:t xml:space="preserve">na </w:t>
      </w:r>
      <w:r>
        <w:t>které se</w:t>
      </w:r>
      <w:r w:rsidRPr="00A724BB">
        <w:t xml:space="preserve"> vztah</w:t>
      </w:r>
      <w:r>
        <w:t>uje</w:t>
      </w:r>
      <w:r w:rsidRPr="00A724BB">
        <w:t xml:space="preserve"> listovní tajemství</w:t>
      </w:r>
      <w:r>
        <w:t>.</w:t>
      </w:r>
      <w:r w:rsidRPr="00A724BB">
        <w:t xml:space="preserve"> </w:t>
      </w:r>
      <w:r>
        <w:t>N</w:t>
      </w:r>
      <w:r w:rsidRPr="00A724BB">
        <w:t xml:space="preserve">avrhuje </w:t>
      </w:r>
      <w:r>
        <w:t xml:space="preserve">se tedy pro účely kontroly </w:t>
      </w:r>
      <w:r w:rsidRPr="00A724BB">
        <w:t xml:space="preserve">listovní tajemství prolomit. </w:t>
      </w:r>
      <w:r>
        <w:t xml:space="preserve">Bez dané úpravy by </w:t>
      </w:r>
      <w:r w:rsidRPr="004C1C03">
        <w:t xml:space="preserve">nedoprovázené </w:t>
      </w:r>
      <w:r>
        <w:t xml:space="preserve">zásilky obsahující vybrané druhy peněžní hotovosti nebylo </w:t>
      </w:r>
      <w:r w:rsidRPr="004C1C03">
        <w:t xml:space="preserve">možno kontrolovat. </w:t>
      </w:r>
      <w:r w:rsidRPr="00A724BB">
        <w:t xml:space="preserve">Při </w:t>
      </w:r>
      <w:r>
        <w:t xml:space="preserve">kontrole zásilky obsahující listiny se pak </w:t>
      </w:r>
      <w:r w:rsidRPr="00A724BB">
        <w:t>použije § 6 celního zákona obdobně, tj. provedení kontroly potvrdí celní úřad na obalu zásilky a sepíše o něm úřední záznam</w:t>
      </w:r>
      <w:r>
        <w:t>. Dále se využije i § 8 celního zákona, na základě kterého se nebudou kontrolovat např. diplomatické zásilky.</w:t>
      </w:r>
    </w:p>
    <w:p w14:paraId="521E8D61" w14:textId="77777777" w:rsidR="000F6324" w:rsidRDefault="000F6324" w:rsidP="000F6324">
      <w:pPr>
        <w:pStyle w:val="Dvodovzprvakbodu"/>
      </w:pPr>
      <w:r>
        <w:t>(§ 42a až 42c)</w:t>
      </w:r>
    </w:p>
    <w:p w14:paraId="7922A464" w14:textId="77777777" w:rsidR="000F6324" w:rsidRDefault="000F6324" w:rsidP="000F6324">
      <w:pPr>
        <w:pStyle w:val="Dvodovzprvakparagrafu"/>
      </w:pPr>
      <w:r>
        <w:t>K § 42a</w:t>
      </w:r>
    </w:p>
    <w:p w14:paraId="41098E95" w14:textId="77777777" w:rsidR="000F6324" w:rsidRDefault="000F6324" w:rsidP="000F6324">
      <w:pPr>
        <w:pStyle w:val="Dvodovzprva"/>
      </w:pPr>
      <w:r>
        <w:t>Zjednodušuje a zpřehledňuje se právní úprava postupu zadržení peněžní hotovosti, zejména se jednoznačně stanoví subsidiarita použití postupů podle celního zákona. Nově se vymezují situace, kdy bude povinnost celního úřadu peněžní prostředky zadržet.  Explicitně se ukotvuje možnost diskrece celních úřadů zadržet peněžní hotovost při uvedení nesprávných údajů v příslušném formuláři nebo podezření na poskytnutí nesprávných informací.</w:t>
      </w:r>
    </w:p>
    <w:p w14:paraId="26AFC684" w14:textId="77777777" w:rsidR="000F6324" w:rsidRDefault="000F6324" w:rsidP="000F6324">
      <w:pPr>
        <w:pStyle w:val="Dvodovzprva"/>
      </w:pPr>
      <w:r>
        <w:t xml:space="preserve">V případě § 42a </w:t>
      </w:r>
      <w:r w:rsidRPr="00C17C8F">
        <w:t xml:space="preserve">se </w:t>
      </w:r>
      <w:r>
        <w:t xml:space="preserve">pak obdobně použijí </w:t>
      </w:r>
      <w:r w:rsidRPr="00C17C8F">
        <w:t>ustanovení § 40 (postup při zadržení) a 41 (námitka proti zadržení)</w:t>
      </w:r>
      <w:r>
        <w:t xml:space="preserve"> celního zákona.</w:t>
      </w:r>
    </w:p>
    <w:p w14:paraId="405F8E5E" w14:textId="77777777" w:rsidR="000F6324" w:rsidRDefault="000F6324" w:rsidP="000F6324">
      <w:pPr>
        <w:pStyle w:val="Dvodovzprvakparagrafu"/>
      </w:pPr>
      <w:r>
        <w:t>K § 42b</w:t>
      </w:r>
    </w:p>
    <w:p w14:paraId="2CE592E0" w14:textId="77777777" w:rsidR="000F6324" w:rsidRDefault="000F6324" w:rsidP="000F6324">
      <w:pPr>
        <w:pStyle w:val="Dvodovzprva"/>
      </w:pPr>
      <w:r>
        <w:t>Explicitně se upravují situace, kdy se mají vrátit zadržené peněžní prostředky.</w:t>
      </w:r>
      <w:r w:rsidRPr="0050025A">
        <w:t xml:space="preserve"> </w:t>
      </w:r>
      <w:r>
        <w:t>Jednou z kategorií podmínek pro nevrácení zadržených peněžních prostředků je i existence jiné právní překážky. Takovou překážkou může být například nezajištěný celní dluh na dováženém zboží, kterým mohou být vysoce hodnotné komodity (zlato). V případě dovozu takové komodity, kdy nebylo podáno celní prohlášení, nelze bez splnění dalších povinností ze strany dovozce (deklaranta) zajištěný předmět vrátit. Obdobná situace nastane, pokud dojde u „přezajištění“ zadržených peněžních prostředků orgánem činným v trestním řízení podle trestního řádu.</w:t>
      </w:r>
    </w:p>
    <w:p w14:paraId="7E407656" w14:textId="77777777" w:rsidR="000F6324" w:rsidRDefault="000F6324" w:rsidP="000F6324">
      <w:pPr>
        <w:pStyle w:val="Dvodovzprva"/>
      </w:pPr>
      <w:r>
        <w:t xml:space="preserve">Z důvodů odstranění tvrdosti právního předpisu se též upravuje postup, kdy je hodnota zadržených peněžních prostředků ve výrazném nepoměru k hrozící výši pokuty nebo jiných nákladů. Jedná se například o situace, kdy bude zdrženo peněžní hotovost v hodnotě 1 000 000 </w:t>
      </w:r>
      <w:r>
        <w:lastRenderedPageBreak/>
        <w:t xml:space="preserve">EUR, přičemž z AML zákona hrozí sankce ve výši 42 000 EUR (cca 1 000 000 Kč). V takovém případě by celní úřad ponechal v režimu zadržení pouze odpovídající část peněžní hotovosti a zbytek by mohl vrátit, opět za </w:t>
      </w:r>
      <w:r w:rsidRPr="00EA7608">
        <w:t>subsidi</w:t>
      </w:r>
      <w:r>
        <w:t>árního</w:t>
      </w:r>
      <w:r w:rsidRPr="00EA7608">
        <w:t xml:space="preserve"> použití postupů podle celního zákona</w:t>
      </w:r>
      <w:r>
        <w:t>.</w:t>
      </w:r>
    </w:p>
    <w:p w14:paraId="0A08AEB7" w14:textId="77777777" w:rsidR="000F6324" w:rsidRDefault="000F6324" w:rsidP="000F6324">
      <w:pPr>
        <w:pStyle w:val="Dvodovzprva"/>
      </w:pPr>
      <w:r>
        <w:t xml:space="preserve">Z hlediska samotného vracení peněžní hotovosti se tato hotovost vrací primárně osobě, které byla odňata, a to v souladu s nařízením o přeshraničních převozech hotovosti. I z praktického hlediska je pak vzhledem k faktu, že osoba, která hotovost převáží na rozdíl od vlastníka lépe identifikovatelná, vhodné vracet převáženou hotovost této osobě. Zároveň nelze vyloučit vrácení věci osobě, která prokáže, že je vlastníkem věci a o vrácení hotovosti požádá, nebrání-li tomu zákonná překážka. </w:t>
      </w:r>
    </w:p>
    <w:p w14:paraId="0A23647F" w14:textId="77777777" w:rsidR="000F6324" w:rsidRDefault="000F6324" w:rsidP="000F6324">
      <w:pPr>
        <w:pStyle w:val="Dvodovzprvakparagrafu"/>
      </w:pPr>
      <w:r>
        <w:t>K § 42c</w:t>
      </w:r>
    </w:p>
    <w:p w14:paraId="0AD31097" w14:textId="77777777" w:rsidR="000F6324" w:rsidRPr="007B1D6A" w:rsidRDefault="000F6324" w:rsidP="000F6324">
      <w:pPr>
        <w:pStyle w:val="Dvodovzprva"/>
      </w:pPr>
      <w:r>
        <w:t>Explicitně se upravuje využití daňového řádu pro oblast přeshraničních převozů peněžní hotovosti. Stávající právní úprava přeshraničních převozů hotovosti vyplývala z Nařízení o kontrole peněžní hotovosti a stávající kontroly probíhaly pouze v rámci celního dohledu, což při použití § 68 celního zákona znamenalo využití daňového řádu jako subsidiárního procesního předpisu. Z důvodu zachování jednotného procesu pro celou část pátou se navrhuje využít tento proces i pro vnitrounijní převozy hotovosti.</w:t>
      </w:r>
      <w:r w:rsidRPr="00F8429E">
        <w:t xml:space="preserve"> </w:t>
      </w:r>
      <w:r>
        <w:t xml:space="preserve"> Zde je hlavním důvodem to, že</w:t>
      </w:r>
      <w:r w:rsidRPr="00F8429E">
        <w:t xml:space="preserve"> převážnou většinu dohledovýc</w:t>
      </w:r>
      <w:r>
        <w:t>h činností na silnici vykonává C</w:t>
      </w:r>
      <w:r w:rsidRPr="00F8429E">
        <w:t xml:space="preserve">elní správa </w:t>
      </w:r>
      <w:r>
        <w:t xml:space="preserve">České republiky </w:t>
      </w:r>
      <w:r w:rsidRPr="00F8429E">
        <w:t>v režimu daňového řádu, viz</w:t>
      </w:r>
      <w:r>
        <w:t>te</w:t>
      </w:r>
      <w:r w:rsidRPr="00F8429E">
        <w:t xml:space="preserve"> např. zákon o pozemních komunikacích, zákon o odpadech nebo zákon o obalech, </w:t>
      </w:r>
      <w:r>
        <w:t>a je žádoucí,</w:t>
      </w:r>
      <w:r w:rsidRPr="00F8429E">
        <w:t xml:space="preserve"> </w:t>
      </w:r>
      <w:r>
        <w:t>aby byl pro celkovou kontrolní činnost i při provádění kontroly převozů peněžní hotovosti zachován jednotný procesní rámec a nevznikly výkladové a aplikační problémy.</w:t>
      </w:r>
    </w:p>
    <w:p w14:paraId="5E302A06" w14:textId="77777777" w:rsidR="000F6324" w:rsidRDefault="000F6324" w:rsidP="000F6324">
      <w:pPr>
        <w:pStyle w:val="Dvodovzprvakbodu"/>
      </w:pPr>
      <w:r>
        <w:t>(45 odst. 1 písm. a))</w:t>
      </w:r>
    </w:p>
    <w:p w14:paraId="78C918B8" w14:textId="77777777" w:rsidR="000F6324" w:rsidRPr="0079560E" w:rsidRDefault="000F6324" w:rsidP="000F6324">
      <w:pPr>
        <w:pStyle w:val="Dvodovzprva"/>
      </w:pPr>
      <w:r>
        <w:t>Legislativně technická změna související s doplněním písmene c).</w:t>
      </w:r>
    </w:p>
    <w:p w14:paraId="55C6444D" w14:textId="77777777" w:rsidR="000F6324" w:rsidRDefault="000F6324" w:rsidP="000F6324">
      <w:pPr>
        <w:pStyle w:val="Dvodovzprvakbodu"/>
      </w:pPr>
      <w:r>
        <w:t>(§ 45 odst. 1 písm. c))</w:t>
      </w:r>
    </w:p>
    <w:p w14:paraId="323728BF" w14:textId="77777777" w:rsidR="000F6324" w:rsidRPr="00EA372A" w:rsidRDefault="000F6324" w:rsidP="000F6324">
      <w:pPr>
        <w:pStyle w:val="Dvodovzprva"/>
      </w:pPr>
      <w:r>
        <w:t>Doplňuje se nová skutková podstata související se zavedením povinnosti poskytnout informace FAÚ při výkonu dozoru.</w:t>
      </w:r>
    </w:p>
    <w:p w14:paraId="0922FB03" w14:textId="77777777" w:rsidR="000F6324" w:rsidRDefault="000F6324" w:rsidP="000F6324">
      <w:pPr>
        <w:pStyle w:val="Dvodovzprvakbodu"/>
      </w:pPr>
      <w:r>
        <w:t>(§ 45 odst. 2 a 3)</w:t>
      </w:r>
    </w:p>
    <w:p w14:paraId="1E044A7B" w14:textId="77777777" w:rsidR="000F6324" w:rsidRPr="000E0BBB" w:rsidRDefault="000F6324" w:rsidP="000F6324">
      <w:pPr>
        <w:pStyle w:val="Dvodovzprva"/>
      </w:pPr>
      <w:r w:rsidRPr="000E0BBB">
        <w:t xml:space="preserve">Doplňuje se nová skutková podstata související se zavedením povinnosti poskytnout informace FAÚ </w:t>
      </w:r>
      <w:r>
        <w:t>pro účely tvorby a aktualizace národního hodnocení rizik</w:t>
      </w:r>
      <w:r w:rsidRPr="000E0BBB">
        <w:t>.</w:t>
      </w:r>
      <w:r>
        <w:t xml:space="preserve"> Tato skutková podstata se výjimečně nevztahuje pouze na povinné osoby, ale i na osoby, </w:t>
      </w:r>
      <w:r w:rsidRPr="0020165C">
        <w:t>které mohou mít informace spojené s riziky legalizace výnosů z trestné činnosti</w:t>
      </w:r>
      <w:r>
        <w:t>,</w:t>
      </w:r>
      <w:r w:rsidRPr="0020165C">
        <w:t xml:space="preserve"> financování terorismu</w:t>
      </w:r>
      <w:r>
        <w:t xml:space="preserve"> a financování šíření zbraní hromadného ničení, tj. na osoby, které nemají status povinné osoby.</w:t>
      </w:r>
    </w:p>
    <w:p w14:paraId="25AA007D" w14:textId="77777777" w:rsidR="000F6324" w:rsidRDefault="000F6324" w:rsidP="000F6324">
      <w:pPr>
        <w:pStyle w:val="Dvodovzprvakbodu"/>
      </w:pPr>
      <w:r>
        <w:t>(§ 46 odst. 2)</w:t>
      </w:r>
    </w:p>
    <w:p w14:paraId="05E190E8" w14:textId="77777777" w:rsidR="000F6324" w:rsidRPr="0020165C" w:rsidRDefault="000F6324" w:rsidP="000F6324">
      <w:pPr>
        <w:pStyle w:val="Dvodovzprva"/>
      </w:pPr>
      <w:r>
        <w:t>V návaznosti na úpravu povinností spojených s určením kontaktních osob se zavádí nová skutková podstata přestupku.</w:t>
      </w:r>
    </w:p>
    <w:p w14:paraId="3980D16C" w14:textId="77777777" w:rsidR="000F6324" w:rsidRDefault="000F6324" w:rsidP="000F6324">
      <w:pPr>
        <w:pStyle w:val="Dvodovzprvakbodu"/>
      </w:pPr>
      <w:r>
        <w:t> (§ 49 odst. 1)</w:t>
      </w:r>
    </w:p>
    <w:p w14:paraId="1DEEFE78" w14:textId="77777777" w:rsidR="000F6324" w:rsidRPr="003D53BB" w:rsidRDefault="000F6324" w:rsidP="000F6324">
      <w:pPr>
        <w:pStyle w:val="Dvodovzprva"/>
      </w:pPr>
      <w:r>
        <w:t xml:space="preserve">Zavádí se adaptační skutkové podstaty k porušení povinností poskytovatelem platební služby podle nařízení TFR. Konkrétně se pak v případě skutkových podstat podle písmene a) jedná o porušení povinností týkajících se informací doprovázející převody peněžních prostředků, tj. informace o plátci a příjemci peněžních prostředků, nezajistí ověření správnosti těchto informací, příjme platbu bez doprovodných informací, resp. si před jejím přijetím tyto informace nevyžádá. Dále se toto dotýká i nezavedení odpovídajících opatření v rámci systému vnitřních zásad. V rámci písmene a) jsou pak samostatně uvedeny tzv. eurodelikty, tj. přestupky, u kterých Rada Evropské unie a Evropský parlament shledali takovou společenskou závažnost, že stanoví sjednocující parametry pro samotné sankce (vizte čl. 29 nařízení TFR). Zde jde zejména o správné nastavení samotných platebních a informačních systémů, </w:t>
      </w:r>
      <w:r>
        <w:lastRenderedPageBreak/>
        <w:t>nezohlednění rizika u převodů, které nedoprovází všechny informace nebo nezohlednění unijních nebo vnitrostátních omezujících opatření (mezinárodních sankcí) v rámci systému vnitřních zásad.</w:t>
      </w:r>
    </w:p>
    <w:p w14:paraId="74A4FA16" w14:textId="77777777" w:rsidR="000F6324" w:rsidRDefault="000F6324" w:rsidP="000F6324">
      <w:pPr>
        <w:pStyle w:val="Dvodovzprvakbodu"/>
      </w:pPr>
      <w:r>
        <w:t> (§ 49 odst. 2)</w:t>
      </w:r>
    </w:p>
    <w:p w14:paraId="781B1C8B" w14:textId="77777777" w:rsidR="000F6324" w:rsidRPr="003E237F" w:rsidRDefault="000F6324" w:rsidP="000F6324">
      <w:pPr>
        <w:pStyle w:val="Dvodovzprva"/>
      </w:pPr>
      <w:r>
        <w:t>Zavádí se adaptační skutkové podstaty k porušení povinností osobou</w:t>
      </w:r>
      <w:r w:rsidRPr="003056B8">
        <w:t xml:space="preserve"> poskytující služby spojené s virtuálním aktivem </w:t>
      </w:r>
      <w:r>
        <w:t xml:space="preserve">podle nařízení TFR. Konkrétně se pak v případě skutkových podstat podle písmene a) jedná o porušení povinností týkajících se informací doprovázející převod kryptoaktiv, tj. informace o původci a příjemci kryptoaktiv, nezajistí ověření správnosti těchto informací, zpřístupní kryptoaktiva příjemci bez doprovodných informací, resp. si před zpřístupněním tyto informace nevyžádá. Dále se toto dotýká i nezavedení odpovídajících opatření v rámci systému vnitřních zásad. </w:t>
      </w:r>
      <w:r w:rsidRPr="004A03DA">
        <w:t>V rámci písmene a) jsou pak samostatně uvedeny tzv. eurodelikty, tj. přestupky, u kterých Rada Evropské unie a Evropský parlament shledali takovou společenskou závažnost, že stanoví sjednocující parametry pro samotné sankce (vizte čl. 29 nařízení TFR).</w:t>
      </w:r>
      <w:r>
        <w:t xml:space="preserve"> Zde jde zejména o správné nastavení samotných platebních a informačních systémů, nezohlednění rizika u převodů, které nedoprovází všechny informace nebo nezohlednění unijních nebo vnitrostátních omezujících opatření (mezinárodních sankcí) v rámci systému vnitřních zásad.</w:t>
      </w:r>
    </w:p>
    <w:p w14:paraId="4322F8C2" w14:textId="77777777" w:rsidR="000F6324" w:rsidRDefault="000F6324" w:rsidP="000F6324">
      <w:pPr>
        <w:pStyle w:val="Dvodovzprvakbodu"/>
      </w:pPr>
      <w:r>
        <w:t> (§ 49 odst. 3)</w:t>
      </w:r>
    </w:p>
    <w:p w14:paraId="2FADF27C" w14:textId="77777777" w:rsidR="000F6324" w:rsidRPr="003E237F" w:rsidRDefault="000F6324" w:rsidP="000F6324">
      <w:pPr>
        <w:pStyle w:val="Dvodovzprva"/>
      </w:pPr>
      <w:r>
        <w:t>Doplňuje se speciální skutková podstata pro finanční instituci (osobu poskytující služby spojené s kryptoaktivem) týkající se korespondenčního vztahu se</w:t>
      </w:r>
      <w:r w:rsidRPr="00007C8C">
        <w:t xml:space="preserve"> zahraniční</w:t>
      </w:r>
      <w:r>
        <w:t>mi</w:t>
      </w:r>
      <w:r w:rsidRPr="00007C8C">
        <w:t xml:space="preserve"> poskytovatel</w:t>
      </w:r>
      <w:r>
        <w:t>i</w:t>
      </w:r>
      <w:r w:rsidRPr="00007C8C">
        <w:t xml:space="preserve"> služeb spojených s virtuálním aktivem</w:t>
      </w:r>
      <w:r>
        <w:t>. Vzhledem k faktu, že se jedná o případné porušení o stejné závažnosti jako v případě jiných korespondenčních vztahů, tak se považuje za vhodné, aby bylo trestáno obdobně.</w:t>
      </w:r>
    </w:p>
    <w:p w14:paraId="3F3C47E1" w14:textId="77777777" w:rsidR="000F6324" w:rsidRDefault="000F6324" w:rsidP="000F6324">
      <w:pPr>
        <w:pStyle w:val="Dvodovzprvakbodu"/>
      </w:pPr>
      <w:r>
        <w:t> (§ 49 odst. 4)</w:t>
      </w:r>
    </w:p>
    <w:p w14:paraId="069E4B7F" w14:textId="77777777" w:rsidR="000F6324" w:rsidRDefault="000F6324" w:rsidP="000F6324">
      <w:pPr>
        <w:pStyle w:val="Dvodovzprva"/>
      </w:pPr>
      <w:r>
        <w:t>Doplňuje se speciální skutková podstata pro osobu poskytující služby spojené s kryptoaktivem týkající se porušení povinnosti mít ústřední kontaktní místo.</w:t>
      </w:r>
    </w:p>
    <w:p w14:paraId="01C308EE" w14:textId="77777777" w:rsidR="000F6324" w:rsidRDefault="000F6324" w:rsidP="000F6324">
      <w:pPr>
        <w:pStyle w:val="Dvodovzprvakbodu"/>
      </w:pPr>
      <w:r>
        <w:t> (§ 49 odst. 6)</w:t>
      </w:r>
    </w:p>
    <w:p w14:paraId="323A3202" w14:textId="77777777" w:rsidR="000F6324" w:rsidRPr="004851A6" w:rsidRDefault="000F6324" w:rsidP="000F6324">
      <w:pPr>
        <w:pStyle w:val="Dvodovzprva"/>
      </w:pPr>
      <w:r>
        <w:t>Legislativně-technická úprava odkazu související s přečíslováním odstavců.</w:t>
      </w:r>
    </w:p>
    <w:p w14:paraId="7D9D3C42" w14:textId="77777777" w:rsidR="000F6324" w:rsidRDefault="000F6324" w:rsidP="000F6324">
      <w:pPr>
        <w:pStyle w:val="Dvodovzprvakbodu"/>
      </w:pPr>
      <w:r>
        <w:t> (§ 49 odst. 7)</w:t>
      </w:r>
    </w:p>
    <w:p w14:paraId="141DB667" w14:textId="77777777" w:rsidR="000F6324" w:rsidRPr="003E237F" w:rsidRDefault="000F6324" w:rsidP="000F6324">
      <w:pPr>
        <w:pStyle w:val="Dvodovzprva"/>
      </w:pPr>
      <w:r w:rsidRPr="007B1D6A">
        <w:t>Legislativně-technická úprava odkazu</w:t>
      </w:r>
      <w:r>
        <w:t xml:space="preserve"> související s přečíslováním odstavců.</w:t>
      </w:r>
    </w:p>
    <w:p w14:paraId="52EB3BCC" w14:textId="77777777" w:rsidR="000F6324" w:rsidRDefault="000F6324" w:rsidP="000F6324">
      <w:pPr>
        <w:pStyle w:val="Dvodovzprvakbodu"/>
      </w:pPr>
      <w:r w:rsidRPr="003E237F">
        <w:t> (§ 49 odst. 8)</w:t>
      </w:r>
    </w:p>
    <w:p w14:paraId="2561EBA9" w14:textId="77777777" w:rsidR="000F6324" w:rsidRDefault="000F6324" w:rsidP="000F6324">
      <w:pPr>
        <w:pStyle w:val="Dvodovzprva"/>
      </w:pPr>
      <w:r>
        <w:t>Na základě nařízení TFR se ustanovení rozšiřuje o nové eurodelikty.</w:t>
      </w:r>
    </w:p>
    <w:p w14:paraId="389A711C" w14:textId="77777777" w:rsidR="000F6324" w:rsidRPr="005E3CDB" w:rsidRDefault="000F6324" w:rsidP="000F6324">
      <w:pPr>
        <w:pStyle w:val="Dvodovzprvakbodu"/>
      </w:pPr>
      <w:r w:rsidRPr="005E3CDB">
        <w:t> (</w:t>
      </w:r>
      <w:r>
        <w:t xml:space="preserve">Nadpis </w:t>
      </w:r>
      <w:r w:rsidRPr="005E3CDB">
        <w:t>§ 50)</w:t>
      </w:r>
    </w:p>
    <w:p w14:paraId="17F21A4A" w14:textId="7810F67C" w:rsidR="000F6324" w:rsidRPr="005E3CDB" w:rsidRDefault="000F6324" w:rsidP="000F6324">
      <w:pPr>
        <w:pStyle w:val="Dvodovzprva"/>
      </w:pPr>
      <w:r w:rsidRPr="005E3CDB">
        <w:t xml:space="preserve">S ohledem na skutečnost, že se zavádí nové skutkové podstaty </w:t>
      </w:r>
      <w:r w:rsidR="003810BC">
        <w:t>spočívající</w:t>
      </w:r>
      <w:r w:rsidRPr="005E3CDB">
        <w:t xml:space="preserve"> v uvádění nesprávných údajů nebo poskytování nesprávných informací, </w:t>
      </w:r>
      <w:r w:rsidRPr="00DC2E2A">
        <w:t>neodpovídal by dosavadní nadpis obsahu daného ustanovení.</w:t>
      </w:r>
      <w:r w:rsidRPr="005E3CDB">
        <w:t xml:space="preserve"> Stejně tak v případě vnitrounijních přeprav není upravována oznamovací povinnost, ale povinnost poskytnout informace. Nadpis je tedy upraven tak, aby odpovídal popisu všech skutkových podstat v § 50 upravovaných. Současně je zohledněn</w:t>
      </w:r>
      <w:r>
        <w:t>a</w:t>
      </w:r>
      <w:r w:rsidRPr="005E3CDB">
        <w:t xml:space="preserve"> definice pojmu „peněžní hotovost“ (vizte § 4 odst. 16 AML zákona).</w:t>
      </w:r>
    </w:p>
    <w:p w14:paraId="3DE73790" w14:textId="77777777" w:rsidR="000F6324" w:rsidRDefault="000F6324" w:rsidP="000F6324">
      <w:pPr>
        <w:pStyle w:val="Dvodovzprvakbodu"/>
      </w:pPr>
      <w:r>
        <w:t>(§ 50 odst. 1 písm. a) a b))</w:t>
      </w:r>
    </w:p>
    <w:p w14:paraId="6A4B6F5E" w14:textId="77777777" w:rsidR="000F6324" w:rsidRDefault="000F6324" w:rsidP="000F6324">
      <w:pPr>
        <w:pStyle w:val="Dvodovzprva"/>
      </w:pPr>
      <w:r>
        <w:t>Vzhledem k jednotné maximální výši pokuty stanovené v odstavci 2 se zjednodušuje skutková podstata přestupku související se stávající povinností oznamovat dovoz a vývoz peněžní hotovosti. Daná skutková podstata tedy bude zahrnovat nejenom nepodání oznámení na</w:t>
      </w:r>
      <w:r w:rsidRPr="00DC2E2A">
        <w:t xml:space="preserve"> </w:t>
      </w:r>
      <w:r w:rsidRPr="00DC2E2A">
        <w:lastRenderedPageBreak/>
        <w:t>společném ohlašovacím formuláři Evropské unie</w:t>
      </w:r>
      <w:r>
        <w:t xml:space="preserve"> (to znamená při dovozu, vývozu nebo zasílání), ale také uvádění nesprávných nebo neúplných údajů v ohlašovacím formuláři, neboť i v takovém případě nelze považovat oznamovací povinnost za splněnou.  </w:t>
      </w:r>
    </w:p>
    <w:p w14:paraId="6AFC641A" w14:textId="77777777" w:rsidR="000F6324" w:rsidRPr="007B1D6A" w:rsidRDefault="000F6324" w:rsidP="000F6324">
      <w:pPr>
        <w:pStyle w:val="Dvodovzprva"/>
      </w:pPr>
      <w:r>
        <w:t xml:space="preserve">Nově se doplňuje i skutková podstata přestupku spočívající v nesplnění nově zaváděné informační povinnosti podle § 41a (respektive v nesplnění povinnosti sdělit údaje. Přestupkovým jednáním tedy bude neposkytnutí informací na výzvu celního úřadu o přepravované peněžní hotovosti v České republice, nebo neposkytnutí informací o peněžní hotovosti zasílané nebo přijímané v poštovní zásilce do nebo ze členského státu Evropské unie. Za nesplnění povinnosti sdělit údaje bude též považováno poskytnutí informací nesprávných nebo neúplných. </w:t>
      </w:r>
    </w:p>
    <w:p w14:paraId="6F993C6B" w14:textId="77777777" w:rsidR="000F6324" w:rsidRDefault="000F6324" w:rsidP="000F6324">
      <w:pPr>
        <w:pStyle w:val="Dvodovzprvakbodu"/>
      </w:pPr>
      <w:r>
        <w:t>(§ 50a odst. 1 písm. a))</w:t>
      </w:r>
    </w:p>
    <w:p w14:paraId="64AFC231" w14:textId="77777777" w:rsidR="000F6324" w:rsidRPr="009C237F" w:rsidRDefault="000F6324" w:rsidP="000F6324">
      <w:pPr>
        <w:pStyle w:val="Dvodovzprva"/>
      </w:pPr>
      <w:r>
        <w:t xml:space="preserve">V návaznosti na adaptaci TFR se naplňují požadavky </w:t>
      </w:r>
      <w:r w:rsidRPr="00027227">
        <w:t xml:space="preserve">článku </w:t>
      </w:r>
      <w:r w:rsidRPr="00A724BB">
        <w:t>29.</w:t>
      </w:r>
    </w:p>
    <w:p w14:paraId="45B9AC3D" w14:textId="77777777" w:rsidR="000F6324" w:rsidRDefault="000F6324" w:rsidP="000F6324">
      <w:pPr>
        <w:pStyle w:val="Dvodovzprvakbodu"/>
      </w:pPr>
      <w:r>
        <w:t>(§ 50c)</w:t>
      </w:r>
    </w:p>
    <w:p w14:paraId="7F118336" w14:textId="77777777" w:rsidR="000F6324" w:rsidRPr="009C237F" w:rsidRDefault="000F6324" w:rsidP="000F6324">
      <w:pPr>
        <w:pStyle w:val="Dvodovzprva"/>
      </w:pPr>
      <w:r>
        <w:t>Vzhledem k tomu, že je neúčelné mít v rámci právního řádu zakotvenou imperfektní normu, navrhují se pokuty pro příslušné profesní komory za porušení jejich povinností až do výše 1 milionu korun. Uložení správního trestu umožňuje vynucení splnění zákonem uložených povinností, které jsou stěžejní pro efektivní fungování celého AML systému včetně výkonu dozoru v oblasti AML.</w:t>
      </w:r>
    </w:p>
    <w:p w14:paraId="5DE3B3C3" w14:textId="77777777" w:rsidR="000F6324" w:rsidRDefault="000F6324" w:rsidP="000F6324">
      <w:pPr>
        <w:pStyle w:val="Dvodovzprvakbodu"/>
      </w:pPr>
      <w:r>
        <w:t>(§ 51a)</w:t>
      </w:r>
    </w:p>
    <w:p w14:paraId="03743781" w14:textId="77777777" w:rsidR="000F6324" w:rsidRPr="009C237F" w:rsidRDefault="000F6324" w:rsidP="000F6324">
      <w:pPr>
        <w:pStyle w:val="Dvodovzprva"/>
      </w:pPr>
      <w:r>
        <w:t>V současné době je u</w:t>
      </w:r>
      <w:r w:rsidRPr="006C1A24">
        <w:t xml:space="preserve"> přestupku, k jehož projednání je příslušná </w:t>
      </w:r>
      <w:r>
        <w:t xml:space="preserve">Česká národní banka </w:t>
      </w:r>
      <w:r w:rsidRPr="006C1A24">
        <w:t xml:space="preserve">a za který zákon stanoví sazbu pokuty, jejíž horní hranice je alespoň 1 000 000 Kč, promlčecí doba 5 let. </w:t>
      </w:r>
      <w:r>
        <w:t>V zásadě tak vzniká dvojkolejnost promlčecích lhůt, kdy v rámci sdíleného dozoru FAÚ a ČNB v případě, když protiprávní jednání zjistí FAÚ po 4 letech, tak je vůči pachateli přestupek promlčen, avšak Česká národní banka má při zjištění stejného protiprávního stavu u stejného pachatele ještě jeden rok „k dobru“. Vzhledem k zájmu chráněnému tímto zákonem a k nutnosti právní jistoty adresáta právní normy se navrhuje sjednotit promlčecí lhůty na horní hranici.</w:t>
      </w:r>
    </w:p>
    <w:p w14:paraId="1C82066A" w14:textId="77777777" w:rsidR="000F6324" w:rsidRDefault="000F6324" w:rsidP="000F6324">
      <w:pPr>
        <w:pStyle w:val="Dvodovzprvakbodu"/>
      </w:pPr>
      <w:r>
        <w:t>(§ 52 odst. 6)</w:t>
      </w:r>
    </w:p>
    <w:p w14:paraId="433CCCFA" w14:textId="77777777" w:rsidR="000F6324" w:rsidRPr="00E84741" w:rsidRDefault="000F6324" w:rsidP="000F6324">
      <w:pPr>
        <w:pStyle w:val="Dvodovzprva"/>
      </w:pPr>
      <w:r w:rsidRPr="00E84741">
        <w:t>Legislativně-technická změna související s</w:t>
      </w:r>
      <w:r>
        <w:t> </w:t>
      </w:r>
      <w:r w:rsidRPr="00E84741">
        <w:t>úpravou</w:t>
      </w:r>
      <w:r>
        <w:t xml:space="preserve"> postupů pro zadržení peněžní hotovosti v části </w:t>
      </w:r>
      <w:r w:rsidRPr="00E84741">
        <w:t>páté.</w:t>
      </w:r>
    </w:p>
    <w:p w14:paraId="0E905CB4" w14:textId="77777777" w:rsidR="000F6324" w:rsidRDefault="000F6324" w:rsidP="000F6324">
      <w:pPr>
        <w:pStyle w:val="Dvodovzprvakbodu"/>
      </w:pPr>
      <w:r>
        <w:t>(§ 52a odst. 2)</w:t>
      </w:r>
    </w:p>
    <w:p w14:paraId="53411C9D" w14:textId="77777777" w:rsidR="000F6324" w:rsidRPr="00D9664E" w:rsidRDefault="000F6324" w:rsidP="000F6324">
      <w:pPr>
        <w:pStyle w:val="Dvodovzprva"/>
      </w:pPr>
      <w:r>
        <w:t>Vzhledem k absenci lhůty se navrhuje zavést pořádkovou lhůtu v délce 15 dnů.</w:t>
      </w:r>
    </w:p>
    <w:p w14:paraId="03F387DC" w14:textId="77777777" w:rsidR="000F6324" w:rsidRDefault="000F6324" w:rsidP="000F6324">
      <w:pPr>
        <w:pStyle w:val="Dvodovzprvakbodu"/>
      </w:pPr>
      <w:r>
        <w:t>(§ 52a odst. 3)</w:t>
      </w:r>
    </w:p>
    <w:p w14:paraId="30AFA7B7" w14:textId="77777777" w:rsidR="000F6324" w:rsidRPr="00D9664E" w:rsidRDefault="000F6324" w:rsidP="000F6324">
      <w:pPr>
        <w:pStyle w:val="Dvodovzprva"/>
      </w:pPr>
      <w:r>
        <w:t>Vzhledem k absenci lhůty se navrhuje zavést pořádkovou lhůtu v délce 15 dnů.</w:t>
      </w:r>
    </w:p>
    <w:p w14:paraId="5DC1D213" w14:textId="77777777" w:rsidR="000F6324" w:rsidRDefault="000F6324" w:rsidP="000F6324">
      <w:pPr>
        <w:pStyle w:val="Dvodovzprvakbodu"/>
      </w:pPr>
      <w:r>
        <w:t>(§ 53 odst. 1)</w:t>
      </w:r>
    </w:p>
    <w:p w14:paraId="6FA4FE63" w14:textId="77777777" w:rsidR="000F6324" w:rsidRPr="00D9664E" w:rsidRDefault="000F6324" w:rsidP="000F6324">
      <w:pPr>
        <w:pStyle w:val="Dvodovzprva"/>
      </w:pPr>
      <w:r w:rsidRPr="00D9664E">
        <w:t xml:space="preserve">V návaznosti na adaptaci TFR se naplňují požadavky článku </w:t>
      </w:r>
      <w:r>
        <w:t>30</w:t>
      </w:r>
      <w:r w:rsidRPr="00D9664E">
        <w:t>.</w:t>
      </w:r>
    </w:p>
    <w:p w14:paraId="27C013DA" w14:textId="77777777" w:rsidR="000F6324" w:rsidRDefault="000F6324" w:rsidP="000F6324">
      <w:pPr>
        <w:pStyle w:val="Dvodovzprvakbodu"/>
      </w:pPr>
      <w:r>
        <w:t> (§ 54 odst. 3)</w:t>
      </w:r>
    </w:p>
    <w:p w14:paraId="0EC65DA7" w14:textId="77777777" w:rsidR="000F6324" w:rsidRDefault="000F6324" w:rsidP="000F6324">
      <w:pPr>
        <w:pStyle w:val="Dvodovzprva"/>
      </w:pPr>
      <w:r w:rsidRPr="005E3CDB">
        <w:t xml:space="preserve">Vypouští se </w:t>
      </w:r>
      <w:r>
        <w:t xml:space="preserve">odkaz na zvláštní postup pro stanovení kurzů pro přepočet měn na euro pro peněžní hotovost jednak z důvodů jeho nadbytečnosti a dále proto, že postup pro stanovení takových kurzů je nově upraven v § 41b AML zákona. </w:t>
      </w:r>
    </w:p>
    <w:p w14:paraId="6B037FC5" w14:textId="77777777" w:rsidR="000F6324" w:rsidRDefault="000F6324" w:rsidP="000F6324">
      <w:pPr>
        <w:pStyle w:val="Dvodovzprvaknovlnku"/>
      </w:pPr>
      <w:r>
        <w:t xml:space="preserve"> </w:t>
      </w:r>
    </w:p>
    <w:p w14:paraId="004999F0" w14:textId="77777777" w:rsidR="000F6324" w:rsidRPr="005E3CDB" w:rsidRDefault="000F6324" w:rsidP="000F6324">
      <w:pPr>
        <w:pStyle w:val="Dvodovzprva"/>
        <w:rPr>
          <w:u w:val="single"/>
        </w:rPr>
      </w:pPr>
      <w:r w:rsidRPr="005E3CDB">
        <w:rPr>
          <w:u w:val="single"/>
        </w:rPr>
        <w:t>K bodu 1</w:t>
      </w:r>
    </w:p>
    <w:p w14:paraId="22A338EC" w14:textId="77777777" w:rsidR="000F6324" w:rsidRDefault="000F6324" w:rsidP="000F6324">
      <w:pPr>
        <w:pStyle w:val="Dvodovzprva"/>
      </w:pPr>
      <w:r>
        <w:lastRenderedPageBreak/>
        <w:t>Stanoví se 30 denní přechodné období, kdy povinné osoby doplní a zašlou FAÚ nově požadované kontaktní údaje.</w:t>
      </w:r>
    </w:p>
    <w:p w14:paraId="6ACB7A11" w14:textId="77777777" w:rsidR="000F6324" w:rsidRDefault="000F6324" w:rsidP="000F6324">
      <w:pPr>
        <w:pStyle w:val="Dvodovzprva"/>
        <w:rPr>
          <w:u w:val="single"/>
        </w:rPr>
      </w:pPr>
      <w:r w:rsidRPr="005E3CDB">
        <w:rPr>
          <w:u w:val="single"/>
        </w:rPr>
        <w:t>K bodu 2</w:t>
      </w:r>
    </w:p>
    <w:p w14:paraId="1B16DF94" w14:textId="77777777" w:rsidR="000F6324" w:rsidRDefault="000F6324" w:rsidP="000F6324">
      <w:pPr>
        <w:pStyle w:val="Dvodovzprva"/>
      </w:pPr>
      <w:r>
        <w:t>Explicitně se upravuje vynětí z informační povinnosti těch zásilek a vnitrounijních převozů peněžní hotovosti, které započaly před nabytím účinnosti tohoto zákona.</w:t>
      </w:r>
    </w:p>
    <w:p w14:paraId="578BFEEA" w14:textId="77777777" w:rsidR="000F6324" w:rsidRDefault="000F6324" w:rsidP="000F6324">
      <w:pPr>
        <w:pStyle w:val="Dvodovzprva"/>
        <w:rPr>
          <w:u w:val="single"/>
        </w:rPr>
      </w:pPr>
      <w:r w:rsidRPr="005E3CDB">
        <w:rPr>
          <w:u w:val="single"/>
        </w:rPr>
        <w:t>K bodu 3</w:t>
      </w:r>
    </w:p>
    <w:p w14:paraId="30BF4228" w14:textId="77777777" w:rsidR="000F6324" w:rsidRPr="005E3CDB" w:rsidRDefault="000F6324" w:rsidP="000F6324">
      <w:pPr>
        <w:pStyle w:val="Dvodovzprva"/>
        <w:rPr>
          <w:u w:val="single"/>
        </w:rPr>
      </w:pPr>
      <w:r>
        <w:t>Standardní přechodné ustanovení řešící změnu procesních režimů.</w:t>
      </w:r>
    </w:p>
    <w:p w14:paraId="3459C8A1" w14:textId="77777777" w:rsidR="000F6324" w:rsidRPr="008B6061" w:rsidRDefault="000F6324" w:rsidP="000F6324">
      <w:pPr>
        <w:pStyle w:val="Dvodovzprvaksti"/>
      </w:pPr>
      <w:r>
        <w:t>K části druhé</w:t>
      </w:r>
    </w:p>
    <w:p w14:paraId="7372A8FE" w14:textId="77777777" w:rsidR="000F6324" w:rsidRDefault="000F6324" w:rsidP="000F6324">
      <w:pPr>
        <w:pStyle w:val="Dvodovzprvaknovlnku"/>
      </w:pPr>
      <w:r>
        <w:t xml:space="preserve"> </w:t>
      </w:r>
    </w:p>
    <w:p w14:paraId="10CA16AE" w14:textId="77777777" w:rsidR="000F6324" w:rsidRDefault="000F6324" w:rsidP="000F6324">
      <w:pPr>
        <w:pStyle w:val="Dvodovzprvakbodu"/>
        <w:numPr>
          <w:ilvl w:val="0"/>
          <w:numId w:val="42"/>
        </w:numPr>
      </w:pPr>
      <w:r>
        <w:t>(§ 4 odst. 1 písm. a) bod 1)</w:t>
      </w:r>
    </w:p>
    <w:p w14:paraId="33D4D52C" w14:textId="77777777" w:rsidR="000F6324" w:rsidRPr="007247AC" w:rsidRDefault="000F6324" w:rsidP="000F6324">
      <w:pPr>
        <w:pStyle w:val="Dvodovzprva"/>
      </w:pPr>
      <w:r w:rsidRPr="007247AC">
        <w:t>V</w:t>
      </w:r>
      <w:r>
        <w:t xml:space="preserve">zhledem k tvorbě nového postupu </w:t>
      </w:r>
      <w:r w:rsidRPr="007247AC">
        <w:t>pro určení okruhu osob, na které dopadají mezinárodní sankce Rady bezpečnosti OSN, nebo sankčního výboru Rady bezpečnosti OSN</w:t>
      </w:r>
      <w:r>
        <w:t>,</w:t>
      </w:r>
      <w:r w:rsidRPr="007247AC">
        <w:t xml:space="preserve"> </w:t>
      </w:r>
      <w:r>
        <w:t xml:space="preserve">kterým se ukládá mezinárodní sankce spočívající ve zmrazení majetku nebo jiné cílené finanční sankci v souvislosti s opatřením proti terorismu, financování terorismu, šíření zbraní hromadného ničení nebo financování šíření zbraní hromadného ničení (rezoluce Rady bezpečnosti OSN 1267/1999,rezoluce Rady bezpečnosti OSN 1373/2001, rezoluce Rady bezpečnosti OSN 1718/2006,rezoluce Rady bezpečnosti OSN 1737/2006.), </w:t>
      </w:r>
      <w:r w:rsidRPr="007247AC">
        <w:t xml:space="preserve">se vylučuje </w:t>
      </w:r>
      <w:r>
        <w:t>využití</w:t>
      </w:r>
      <w:r w:rsidRPr="007247AC">
        <w:t xml:space="preserve"> nařízení vlády.</w:t>
      </w:r>
      <w:r>
        <w:t xml:space="preserve"> Pro vymezení těchto osob se použije postup podle § 8d.</w:t>
      </w:r>
    </w:p>
    <w:p w14:paraId="0702C929" w14:textId="77777777" w:rsidR="000F6324" w:rsidRDefault="000F6324" w:rsidP="000F6324">
      <w:pPr>
        <w:pStyle w:val="Dvodovzprvakbodu"/>
      </w:pPr>
      <w:r w:rsidDel="00C42095">
        <w:t xml:space="preserve"> </w:t>
      </w:r>
      <w:r>
        <w:t>(Část druhá hlava II)</w:t>
      </w:r>
    </w:p>
    <w:p w14:paraId="10EBEB03" w14:textId="77777777" w:rsidR="000F6324" w:rsidRDefault="000F6324" w:rsidP="000F6324">
      <w:pPr>
        <w:pStyle w:val="Dvodovzprva"/>
      </w:pPr>
      <w:r w:rsidRPr="008A6100">
        <w:t>Současný postup upravený v zákoně o provádění mezinárodních sankcích, kdy na základě rozhodnutí Rady bezpečnosti Organizace spojených národů, přijatých podle článku 41 Charty Organizace spojených národů</w:t>
      </w:r>
      <w:r>
        <w:t xml:space="preserve"> stanoví</w:t>
      </w:r>
      <w:r w:rsidRPr="008A6100">
        <w:t xml:space="preserve">, </w:t>
      </w:r>
      <w:r>
        <w:t xml:space="preserve">že </w:t>
      </w:r>
      <w:r w:rsidRPr="008A6100">
        <w:t>subjekt nebo osoba může být zapsána na vnitrostátní sankční seznam až na základě nařízení vlády,</w:t>
      </w:r>
      <w:r>
        <w:t xml:space="preserve"> v rámci kterého je subjekt nebo osoba explicitně uvedena. V</w:t>
      </w:r>
      <w:r w:rsidRPr="008A6100">
        <w:t xml:space="preserve"> praxi </w:t>
      </w:r>
      <w:r>
        <w:t xml:space="preserve">to </w:t>
      </w:r>
      <w:r w:rsidRPr="008A6100">
        <w:t>znamená prodlevu minimálně v řádech jednotek dnů</w:t>
      </w:r>
      <w:r>
        <w:t xml:space="preserve"> od vydání </w:t>
      </w:r>
      <w:r w:rsidRPr="008A6100">
        <w:t xml:space="preserve">rozhodnutí Rady bezpečnosti Organizace spojených národů. </w:t>
      </w:r>
      <w:r>
        <w:t>Takový stav je však</w:t>
      </w:r>
      <w:r w:rsidRPr="008A6100">
        <w:t xml:space="preserve"> v rozporu s doporučením č. 6 a 7 Výboru expertů pro hodnocení opatření proti praní špinavých peněz a financování terorismu (Moneyval).</w:t>
      </w:r>
    </w:p>
    <w:p w14:paraId="45A37FA5" w14:textId="77777777" w:rsidR="000F6324" w:rsidRDefault="000F6324" w:rsidP="000F6324">
      <w:pPr>
        <w:pStyle w:val="Dvodovzprva"/>
      </w:pPr>
      <w:r>
        <w:t>Samotný sankční mechanismus určování v rámci Rady bezpečnosti OSN je dvojí, buď je seznam osob (případně subjektů) na které sankce dopadají uveden v rámci rozhodnutí Rady bezpečnosti, což je spíše starší model, nebo je vydáván průběžně sankčním výborem, který je zřízen rozhodnutím Rady bezpečnosti o uvalení sankcí (novější model).</w:t>
      </w:r>
    </w:p>
    <w:p w14:paraId="2C64C791" w14:textId="77777777" w:rsidR="000F6324" w:rsidRDefault="000F6324" w:rsidP="000F6324">
      <w:pPr>
        <w:pStyle w:val="Dvodovzprva"/>
      </w:pPr>
      <w:r>
        <w:t xml:space="preserve">Nově zákon zavádí pro provádění vybraných rezolucí Rady bezpečnosti OSN opatření obecné povahy, které bude vydávat FAÚ. Opatření obecné povahy se bude dotýkat pouze tzv. cílených finančních sankcí ve smyslu doporučení FATF, mělo by zejména obsahovat informaci o tom, jaké sankce se na základě dané rezoluce RB OSN uplatní a odkaz na internetové stránky, kde je uveden sankční seznam, případně překlad datových polí v rámci odkazovaného seznamu. Vzhledem k tomu, že FAÚ v tomto případě nemá diskreci ohledně obsahu sankcí ani ohledně vymezení okruhu adresátů opatření obecné povahy, tak se vydává bez řízení o návrhu a nabývá účinnosti dnem vyvěšení veřejné vyhlášky. Ze stejného důvodu pak opatření obecné povahy sleduje osud dané rezoluce Rady bezpečnosti OSN. </w:t>
      </w:r>
    </w:p>
    <w:p w14:paraId="3148CB5C" w14:textId="77777777" w:rsidR="000F6324" w:rsidRDefault="000F6324" w:rsidP="000F6324">
      <w:pPr>
        <w:pStyle w:val="Dvodovzprvakbodu"/>
      </w:pPr>
      <w:r>
        <w:t> (§ 9 odst. 1)</w:t>
      </w:r>
    </w:p>
    <w:p w14:paraId="50AE5F6A" w14:textId="77777777" w:rsidR="000F6324" w:rsidRPr="00A33C5D" w:rsidRDefault="000F6324" w:rsidP="000F6324">
      <w:pPr>
        <w:pStyle w:val="Dvodovzprva"/>
      </w:pPr>
      <w:r>
        <w:t>Legislativně-technická úprava. Legislativní zkratka pro Finančně analytický úřad je nově zavedena již v § 8d.</w:t>
      </w:r>
    </w:p>
    <w:p w14:paraId="4C8F3AED" w14:textId="77777777" w:rsidR="000F6324" w:rsidRDefault="000F6324" w:rsidP="000F6324">
      <w:pPr>
        <w:pStyle w:val="Dvodovzprvakbodu"/>
      </w:pPr>
      <w:r>
        <w:lastRenderedPageBreak/>
        <w:t> (§ 14 odst. 7)</w:t>
      </w:r>
    </w:p>
    <w:p w14:paraId="2DD472A3" w14:textId="77777777" w:rsidR="000F6324" w:rsidRDefault="000F6324" w:rsidP="000F6324">
      <w:pPr>
        <w:pStyle w:val="Dvodovzprva"/>
      </w:pPr>
      <w:r>
        <w:t>Úprava vztahující se k mezinárodní spolupráci se přesouvá do nově vytvořené hlavy VI, která komplexně upravuje parametry mezinárodní spolupráce.</w:t>
      </w:r>
    </w:p>
    <w:p w14:paraId="4A3E9734" w14:textId="77777777" w:rsidR="000F6324" w:rsidRDefault="000F6324" w:rsidP="000F6324">
      <w:pPr>
        <w:pStyle w:val="Dvodovzprvakbodu"/>
      </w:pPr>
      <w:r>
        <w:t> (§ 16 odst. 4 písm. g))</w:t>
      </w:r>
    </w:p>
    <w:p w14:paraId="5E3B8460" w14:textId="77777777" w:rsidR="000F6324" w:rsidRDefault="000F6324" w:rsidP="000F6324">
      <w:pPr>
        <w:pStyle w:val="Dvodovzprva"/>
      </w:pPr>
      <w:r>
        <w:t xml:space="preserve">Vzhledem ke skutečnosti, že za stanovených podmínek je možné spolupracovat a poskytovat informace i mezinárodní organizaci, je nutno upravit průlom do mlčenlivosti i pro takové případy. </w:t>
      </w:r>
    </w:p>
    <w:p w14:paraId="2C523297" w14:textId="77777777" w:rsidR="000F6324" w:rsidRDefault="000F6324" w:rsidP="000F6324">
      <w:pPr>
        <w:pStyle w:val="Dvodovzprvakbodu"/>
      </w:pPr>
      <w:r>
        <w:t> (Část čtvrtá hlava VI)</w:t>
      </w:r>
    </w:p>
    <w:p w14:paraId="686B8AEB" w14:textId="77777777" w:rsidR="000F6324" w:rsidRDefault="000F6324" w:rsidP="000F6324">
      <w:pPr>
        <w:pStyle w:val="Dvodovzprva"/>
      </w:pPr>
      <w:r>
        <w:t xml:space="preserve">Z důvodu komplexní úpravy dochází ke sloučení postupů pro mezinárodní spolupráci v oblasti provádění mezinárodních sankcí, které jsou doposud „roztříštěny“ napříč zákonem o provádění mezinárodních sankcí v rámci samostatné hlavy. S ohledem na to, že daná ustanovení upravují činnost FAÚ při mezinárodní spolupráci, byla daná hlava zařazena systematicky do části čtvrté zákona o provádění mezinárodních sankcích, která upravuje pravomoci a povinnosti státních orgánů a České národní banky. Současně se do této hlavy doplňují některá pravidla pro mezinárodní spolupráci, která doposud zákon o provádění mezinárodních sankcích neupravoval. </w:t>
      </w:r>
    </w:p>
    <w:p w14:paraId="00BD3ED4" w14:textId="77777777" w:rsidR="000F6324" w:rsidRPr="005A325F" w:rsidRDefault="000F6324" w:rsidP="000F6324">
      <w:pPr>
        <w:pStyle w:val="Dvodovzprvakparagrafu"/>
      </w:pPr>
      <w:r w:rsidRPr="005A325F">
        <w:t>K § 16b</w:t>
      </w:r>
    </w:p>
    <w:p w14:paraId="771FFC3E" w14:textId="77777777" w:rsidR="000F6324" w:rsidRDefault="000F6324" w:rsidP="000F6324">
      <w:pPr>
        <w:pStyle w:val="Dvodovzprva"/>
      </w:pPr>
      <w:r>
        <w:t xml:space="preserve">Fakticky se přebírá obsah ustanovení stávajícího § 14 odst. 7, které se z tohoto důvodu navrhuje zrušit. Nastavují se základní parametry pro mezinárodní spolupráci FAÚ v oblasti provádění mezinárodních sankcí s institucemi z jiných zemí nebo s mezinárodními organizacemi. Zatímco při mezinárodní spolupráci FAÚ v </w:t>
      </w:r>
      <w:r w:rsidRPr="00AC3836">
        <w:t>rozsahu stanoveném mezinárodní smlouvou, kterou je Česká republika vázána, nebo na základě vzájemnosti se zahraničními orgány se stejnou nebo obdobnou věcnou působností v oblasti mezinárodních sankcí</w:t>
      </w:r>
      <w:r>
        <w:t xml:space="preserve"> se předpokládá spíše automatická spolupráce, v případě mezinárodních organizací bude taková spolupráce podmíněna zaručenou úrovní ochrany poskytovaných informací. Vzhledem k faktu, že spolupráce může probíhat v obou směrech výměny informací, je nutno též upravit povinnost FAÚ, v případě, že bude dožádán o spolupráci, poskytnout dožadujícímu orgánu nebo organizaci informaci, jakým způsobem bylo s žádostí naloženo. </w:t>
      </w:r>
    </w:p>
    <w:p w14:paraId="211CBD54" w14:textId="77777777" w:rsidR="000F6324" w:rsidRPr="005A325F" w:rsidRDefault="000F6324" w:rsidP="000F6324">
      <w:pPr>
        <w:pStyle w:val="Dvodovzprvakparagrafu"/>
      </w:pPr>
      <w:r w:rsidRPr="005A325F">
        <w:t>K § 16c</w:t>
      </w:r>
    </w:p>
    <w:p w14:paraId="6698069F" w14:textId="77777777" w:rsidR="000F6324" w:rsidRDefault="000F6324" w:rsidP="000F6324">
      <w:pPr>
        <w:pStyle w:val="Dvodovzprva"/>
      </w:pPr>
      <w:r>
        <w:t>Daná právní úprava reaguje na špatné hodnocení implementace doporučení FATF</w:t>
      </w:r>
      <w:r w:rsidRPr="007B3EE0">
        <w:t xml:space="preserve"> </w:t>
      </w:r>
      <w:r>
        <w:t xml:space="preserve">č. 6, které se týká cílených finančních sankcí ve vztahu k terorismu a jeho financování, v rámci kterého je České republice vytýkáno, že na vnitrostátní úrovni neexistuje formalizovaný proces, podle kterého by mohla Česká republika požádat jiný stát, včetně členských států Evropské unie, aby na jeho území účinkovala opatření o „zmrazení“ majetku, na který se vztahuje mezinárodní sankce, přijatá Českou republikou. Ve smyslu výše uvedeného se tedy upravuje oprávnění FAÚ požádat v rámci mezinárodní spolupráce za vymezených podmínek orgán z jiného státu o přijetí zmrazovacího opatření ve vztahu k sankcionovanému majetku. Omezení na oblast majetku vyplývá přímo z doporučení FATF. </w:t>
      </w:r>
    </w:p>
    <w:p w14:paraId="7142EA0F" w14:textId="77777777" w:rsidR="000F6324" w:rsidRDefault="000F6324" w:rsidP="000F6324">
      <w:pPr>
        <w:pStyle w:val="Dvodovzprva"/>
      </w:pPr>
      <w:r>
        <w:t xml:space="preserve">Upravuje se i zmocnění FAÚ uplatnit zmrazovací opatření ve vztahu k majetku na základě žádosti </w:t>
      </w:r>
      <w:r w:rsidRPr="001921A8">
        <w:t xml:space="preserve">orgánu se stejnou nebo obdobnou věcnou působností v oblasti </w:t>
      </w:r>
      <w:r>
        <w:t xml:space="preserve">provádění </w:t>
      </w:r>
      <w:r w:rsidRPr="001921A8">
        <w:t>mezinárodních sankcí</w:t>
      </w:r>
      <w:r>
        <w:t xml:space="preserve">. Takovou žádostí však FAÚ není vázán a měl by prověřovat, zda neexistuje překážka pro provedení požadovaných úkonů (vizte § 16d). </w:t>
      </w:r>
    </w:p>
    <w:p w14:paraId="2F1A3BA9" w14:textId="77777777" w:rsidR="000F6324" w:rsidRPr="005A325F" w:rsidRDefault="000F6324" w:rsidP="000F6324">
      <w:pPr>
        <w:pStyle w:val="Dvodovzprvakparagrafu"/>
      </w:pPr>
      <w:r w:rsidRPr="005A325F">
        <w:t>K § 16d</w:t>
      </w:r>
    </w:p>
    <w:p w14:paraId="1C6F7FC3" w14:textId="77777777" w:rsidR="000F6324" w:rsidRPr="008A6100" w:rsidRDefault="000F6324" w:rsidP="000F6324">
      <w:pPr>
        <w:pStyle w:val="Dvodovzprva"/>
      </w:pPr>
      <w:r w:rsidRPr="00027227">
        <w:t xml:space="preserve">Aby mohl FAÚ odmítnout provedení opatření na žádost jiného orgánu oprávněného takovou žádost podat, upravují se podmínky, za jakých nelze žádosti vyhovět. Obě podmínky se </w:t>
      </w:r>
      <w:r w:rsidRPr="00027227">
        <w:lastRenderedPageBreak/>
        <w:t>posuzují pouze k orgánu a možnosti spolupráci požadovat, to znamená k zahraničnímu orgánu se stejnou nebo obdobnou věcnou působností v oblasti mezinárodních sankcí. Pokud by takovou žádost podal jiný než uvedený orgán, nebude se jednat o žádost o mezinárodní spolupráci podle hlavy VI, což bude mít za následek, že FAÚ nevznikne povinnost informovat dožadujícího o tom, jakým způsobem bylo s žádostí naloženo.</w:t>
      </w:r>
      <w:r w:rsidDel="00027227">
        <w:t xml:space="preserve"> </w:t>
      </w:r>
    </w:p>
    <w:p w14:paraId="7C852C9C" w14:textId="77777777" w:rsidR="000F6324" w:rsidRPr="00FC26A0" w:rsidRDefault="000F6324" w:rsidP="000F6324">
      <w:pPr>
        <w:pStyle w:val="Dvodovzprvaksti"/>
      </w:pPr>
      <w:r>
        <w:t>K části třetí</w:t>
      </w:r>
    </w:p>
    <w:p w14:paraId="1C0D5589" w14:textId="77777777" w:rsidR="000F6324" w:rsidRDefault="000F6324" w:rsidP="000F6324">
      <w:pPr>
        <w:pStyle w:val="Dvodovzprvaknovlnku"/>
      </w:pPr>
    </w:p>
    <w:p w14:paraId="46971BCC" w14:textId="77777777" w:rsidR="000F6324" w:rsidRDefault="000F6324" w:rsidP="00BF3571">
      <w:pPr>
        <w:pStyle w:val="Dvodovzprvakbodu"/>
        <w:numPr>
          <w:ilvl w:val="0"/>
          <w:numId w:val="52"/>
        </w:numPr>
      </w:pPr>
      <w:r>
        <w:t> (Hlava III, díl 1)</w:t>
      </w:r>
    </w:p>
    <w:p w14:paraId="2E122F56" w14:textId="77777777" w:rsidR="000F6324" w:rsidRDefault="000F6324" w:rsidP="000F6324">
      <w:pPr>
        <w:pStyle w:val="Dvodovzprva"/>
      </w:pPr>
      <w:r>
        <w:t>Navrhuje se přesunout dosavadní § 15 do nového Dílu 1 jako § 8b. Jedná se o úpravu, jejímž cílem je vyšší přehlednost zákona při následující implementaci směrnice DAC 8. Tato změna je nutná z důvodu obtížného zařazení předpokládané implementační úpravy do systematiky zákona, která se v návaznosti na množství novelizací směrnice DAC stala nepřehlednou a v současné době končí § 14zzx. S ohledem na to, že v blízké době bude připravován návrh zákona implementující rozsáhlou právní úpravu automatické výměny informací obsaženou ve směrnici DAC 8 a do budoucna lze očekávat další takové novely vynucené vývojem v oblasti automatické výměny informací na poli OECD a Evropské unie, není udržitelné nadále vkládat desítky nových ustanovení do prostoru § 14, kde již nyní mají paragrafy označení se třemi písmeny. Obdobně jako v jedné z předchozích novel se proto navrhuje tento stav provizorně vyřešit tak, že nová právní úprava automatické výměny informací bude vložena do prostoru § 15 (tedy § 15, 15a, 15b, …). Tuto změnu by však z legislativně technického hlediska bylo obtížné provést v novele, která by současně přesouvala stávající díl 3 jinam, protože by bylo nutné nejprve vložit nová ustanovení obsažená v samostatném oddílu dílu 2 obsahující nový § 15, a až pak zrušit díl 3 obsahující dosavadní § 15, čímž by nebylo dodrženo standardní pořadí ustanovení. Z tohoto důvodu se navrhuje přípravu pro očekávanou novelu provést již v tomto návrhu zákona.</w:t>
      </w:r>
    </w:p>
    <w:p w14:paraId="0AAEC200" w14:textId="77777777" w:rsidR="000F6324" w:rsidRPr="00101231" w:rsidRDefault="000F6324" w:rsidP="000F6324">
      <w:pPr>
        <w:pStyle w:val="Dvodovzprva"/>
      </w:pPr>
      <w:r>
        <w:t xml:space="preserve">Obsah dosavadního § 15 (nového § 8b) zůstává totožný. Nedochází proto ke změně práv a povinností adresátů zákona. </w:t>
      </w:r>
    </w:p>
    <w:p w14:paraId="6D551F9D" w14:textId="77777777" w:rsidR="000F6324" w:rsidRDefault="000F6324" w:rsidP="000F6324">
      <w:pPr>
        <w:pStyle w:val="Dvodovzprvakbodu"/>
      </w:pPr>
      <w:r>
        <w:t> (§ 14ze)</w:t>
      </w:r>
    </w:p>
    <w:p w14:paraId="75AAAAEA" w14:textId="3FBD83F3" w:rsidR="000F6324" w:rsidRPr="00101231" w:rsidRDefault="000F6324" w:rsidP="000F6324">
      <w:pPr>
        <w:pStyle w:val="Dvodovzprva"/>
      </w:pPr>
      <w:r w:rsidRPr="00A25694">
        <w:t xml:space="preserve"> </w:t>
      </w:r>
      <w:r w:rsidRPr="00BB180E">
        <w:t>V souladu se směrnicí DAC 7 může neusazený oznamující provozovatel platformy působící alespoň v jednom členském státě Evropské unie plnit registrační povinnost v libovolném členském státě Evropské unie, tedy i v členském státě, ve kterém nevykonává žádnou aktivitu. Úprava tak v návaznosti na úpravy § 14zr rozšiřuje definici „Neusazeného oznamujícího provozovatele platformy“, tak aby pokrývala</w:t>
      </w:r>
      <w:r>
        <w:t xml:space="preserve"> i provozovatele platformy, který oznamovanou činnost přeshraničně usnadňuje v jakémkoliv členském státě EU. Zpřesňuje se tak transpozice směrnice DAC 7, dle které má provozovatel platformy možnost registrovat se v členském státě, nehledě na to, zda ve vztahu k </w:t>
      </w:r>
      <w:bookmarkStart w:id="0" w:name="_GoBack"/>
      <w:bookmarkEnd w:id="0"/>
      <w:r w:rsidR="00E8164E">
        <w:t>tomuto</w:t>
      </w:r>
      <w:r>
        <w:t xml:space="preserve"> státu současně vykonává oznamovanou činnost. </w:t>
      </w:r>
    </w:p>
    <w:p w14:paraId="2F6BCDF7" w14:textId="77777777" w:rsidR="000F6324" w:rsidRDefault="000F6324" w:rsidP="000F6324">
      <w:pPr>
        <w:pStyle w:val="Dvodovzprvakbodu"/>
      </w:pPr>
      <w:r>
        <w:t>(§ 14zf odst. 2)</w:t>
      </w:r>
    </w:p>
    <w:p w14:paraId="55C9596A" w14:textId="77777777" w:rsidR="000F6324" w:rsidRDefault="000F6324" w:rsidP="000F6324">
      <w:pPr>
        <w:pStyle w:val="Dvodovzprva"/>
      </w:pPr>
      <w:r>
        <w:t>Směrnice DAC 7 umožňuje upuštění od oznamovací povinnosti ve vztahu k provozovatelům platforem neusazeným v EU za splnění určitých podmínek, avšak pro uplatnění částečného switch-off se nevyžaduje, aby platnou kvalifikační dohodu mezi příslušnými orgány podepsaly všechny členské státy Evropské unie. Kvalifikovaná činnost tak může být vykonávána i ve vztahu ke státu nebo jurisdikci, které nenaplní podmínku kvalifikovaného smluvního státu.</w:t>
      </w:r>
    </w:p>
    <w:p w14:paraId="28782BCC" w14:textId="77777777" w:rsidR="000F6324" w:rsidRDefault="000F6324" w:rsidP="000F6324">
      <w:pPr>
        <w:pStyle w:val="Dvodovzprvakbodu"/>
      </w:pPr>
      <w:r>
        <w:t> (§ 14zr)</w:t>
      </w:r>
    </w:p>
    <w:p w14:paraId="2535075B" w14:textId="77777777" w:rsidR="000F6324" w:rsidRPr="0061204F" w:rsidRDefault="000F6324" w:rsidP="000F6324">
      <w:pPr>
        <w:pStyle w:val="Dvodovzprva"/>
      </w:pPr>
      <w:r>
        <w:t xml:space="preserve">V souladu se směrnicí DAC 7 může neusazený oznamující provozovatel platformy působící alespoň v jednom členském státě Evropské unie plnit registrační povinnost v libovolném </w:t>
      </w:r>
      <w:r>
        <w:lastRenderedPageBreak/>
        <w:t>členském státě Evropské unie, tedy i v členském státě, ve kterém nevykonává žádnou aktivitu. Dosavadní znění § 14zr však vázalo zánik tuzemské registrační povinnosti pouze na případy, kdy je registrační povinnost plněna ve členském státě, v němž je přeshraničně usnadňována oznamovaná činnost.</w:t>
      </w:r>
    </w:p>
    <w:p w14:paraId="7E67E427" w14:textId="77777777" w:rsidR="000F6324" w:rsidRDefault="000F6324" w:rsidP="000F6324">
      <w:pPr>
        <w:pStyle w:val="Dvodovzprvakbodu"/>
      </w:pPr>
      <w:r>
        <w:t>(§ 14zy odst. 2)</w:t>
      </w:r>
    </w:p>
    <w:p w14:paraId="72A8B1EA" w14:textId="77777777" w:rsidR="000F6324" w:rsidRPr="00B328B5" w:rsidRDefault="000F6324" w:rsidP="000F6324">
      <w:pPr>
        <w:pStyle w:val="Dvodovzprva"/>
      </w:pPr>
      <w:r>
        <w:t>Evropská komise</w:t>
      </w:r>
      <w:r w:rsidRPr="00B328B5">
        <w:t xml:space="preserve"> v rámci </w:t>
      </w:r>
      <w:r>
        <w:t>dodatečně vydaných odpovědí</w:t>
      </w:r>
      <w:r w:rsidRPr="00B328B5">
        <w:t xml:space="preserve"> na často kladené otázky vysvětlila, že </w:t>
      </w:r>
      <w:r>
        <w:t xml:space="preserve">se </w:t>
      </w:r>
      <w:r w:rsidRPr="00B328B5">
        <w:t xml:space="preserve">slova </w:t>
      </w:r>
      <w:r>
        <w:t>směrnice DAC 7 „</w:t>
      </w:r>
      <w:r w:rsidRPr="00B328B5">
        <w:t>předem a každoročně</w:t>
      </w:r>
      <w:r>
        <w:t>“</w:t>
      </w:r>
      <w:r w:rsidRPr="00B328B5">
        <w:t xml:space="preserve"> mají </w:t>
      </w:r>
      <w:r>
        <w:t>vykládat</w:t>
      </w:r>
      <w:r w:rsidRPr="00B328B5">
        <w:t xml:space="preserve"> tak, že se jedná o okamžik před každoročním termínem pro podání oznámení, tj. </w:t>
      </w:r>
      <w:r>
        <w:t>do 31. ledna. Provozovatel platformy tak nemusí dopředu odhadovat, zda bude nebo nebude usnadňovat pouze vyloučené činnosti, ale může tak činit se znalostí toho, jaké činnosti skutečně usnadňoval, protože oznámení musí učinit až po skončení oznamovaného období. I tak ale směrnice vyžaduje, aby tak učinil „ke spokojenosti“ správce daně, což je transponováno tak, že správce daně o této skutečnosti vydá rozhodnutí. Provozovatel platformy by proto měl oznámení podat s dostatečným předstihem tak, aby v případě, kdy jeho status bude rozhodnutím zamítnut, stihnul splnit oznamovací povinnost a nedostal se do prodlení s jejím plněním.</w:t>
      </w:r>
    </w:p>
    <w:p w14:paraId="4CBE40B0" w14:textId="77777777" w:rsidR="000F6324" w:rsidRDefault="000F6324" w:rsidP="000F6324">
      <w:pPr>
        <w:pStyle w:val="Dvodovzprvakbodu"/>
      </w:pPr>
      <w:r>
        <w:t>(§ 14zy odst. 4)</w:t>
      </w:r>
    </w:p>
    <w:p w14:paraId="39C48252" w14:textId="77777777" w:rsidR="000F6324" w:rsidRPr="00B328B5" w:rsidRDefault="000F6324" w:rsidP="000F6324">
      <w:pPr>
        <w:pStyle w:val="Dvodovzprva"/>
      </w:pPr>
      <w:r>
        <w:t xml:space="preserve">Protože se ohlášení podle § 14zy nově bude podávat </w:t>
      </w:r>
      <w:r w:rsidRPr="00B328B5">
        <w:rPr>
          <w:i/>
        </w:rPr>
        <w:t>ex post</w:t>
      </w:r>
      <w:r>
        <w:t xml:space="preserve">, a nikoliv </w:t>
      </w:r>
      <w:r>
        <w:rPr>
          <w:i/>
        </w:rPr>
        <w:t>ex ante</w:t>
      </w:r>
      <w:r>
        <w:t>, není právní úprava obsažená v § 14zy odst. 4 nadále potřebná, neboť řešila situaci, kdy se ohlášený stav následně změní.</w:t>
      </w:r>
    </w:p>
    <w:p w14:paraId="42C84A39" w14:textId="77777777" w:rsidR="000F6324" w:rsidRDefault="000F6324" w:rsidP="000F6324">
      <w:pPr>
        <w:pStyle w:val="Dvodovzprvakbodu"/>
      </w:pPr>
      <w:r>
        <w:t>(§ 14zy odst. 5)</w:t>
      </w:r>
    </w:p>
    <w:p w14:paraId="18D43CA9" w14:textId="77777777" w:rsidR="000F6324" w:rsidRPr="0061204F" w:rsidRDefault="000F6324" w:rsidP="000F6324">
      <w:pPr>
        <w:pStyle w:val="Dvodovzprva"/>
      </w:pPr>
      <w:r>
        <w:t>V návaznosti na zrušení odstavce 4 se vypouští na něj navazující právní úprava.</w:t>
      </w:r>
    </w:p>
    <w:p w14:paraId="2127CB9B" w14:textId="77777777" w:rsidR="000F6324" w:rsidRDefault="000F6324" w:rsidP="000F6324">
      <w:pPr>
        <w:pStyle w:val="Dvodovzprvakbodu"/>
      </w:pPr>
      <w:r>
        <w:t>(§ 14zzx odst. 2 a 3)</w:t>
      </w:r>
    </w:p>
    <w:p w14:paraId="0EBAB33B" w14:textId="77777777" w:rsidR="000F6324" w:rsidRDefault="000F6324" w:rsidP="000F6324">
      <w:pPr>
        <w:pStyle w:val="Dvodovzprva"/>
      </w:pPr>
      <w:r>
        <w:t xml:space="preserve">Dochází ke zpřesnění transpozice směrnice DAC 7, která v příloze V oddílu IV pododdílu F odst. 4 stanoví, že </w:t>
      </w:r>
      <w:r w:rsidRPr="003B098B">
        <w:rPr>
          <w:i/>
        </w:rPr>
        <w:t>„[k]aždý členský stát neprodleně uvědomí Komisi o každém provozovateli platformy ve smyslu oddílu I pododdílu A bodu 4 písm. b), který zahájí svou činnost jako provozovatel platformy, aniž se zaregistroval podle tohoto odstavce.“</w:t>
      </w:r>
    </w:p>
    <w:p w14:paraId="2B7AA192" w14:textId="77777777" w:rsidR="000F6324" w:rsidRDefault="000F6324" w:rsidP="000F6324">
      <w:pPr>
        <w:pStyle w:val="Dvodovzprva"/>
      </w:pPr>
      <w:r>
        <w:t>Současně se výslovně stanoví, že tuto činnost vykonává Generální finanční ředitelství jako ústřední kontaktní orgán.</w:t>
      </w:r>
    </w:p>
    <w:p w14:paraId="1A952E4A" w14:textId="77777777" w:rsidR="000F6324" w:rsidRPr="003B098B" w:rsidRDefault="000F6324" w:rsidP="000F6324">
      <w:pPr>
        <w:pStyle w:val="Dvodovzprva"/>
      </w:pPr>
      <w:r>
        <w:t>Ustanovení v duchu zásady spolupráce a loajality směřuje i na případy, kdy se tuzemské orgány dozví, že jinde v Evropské unii působí zahraniční platforma, aniž by se zaregistrovala.</w:t>
      </w:r>
    </w:p>
    <w:p w14:paraId="681D94F6" w14:textId="77777777" w:rsidR="000F6324" w:rsidRDefault="000F6324" w:rsidP="000F6324">
      <w:pPr>
        <w:pStyle w:val="Dvodovzprvakbodu"/>
      </w:pPr>
      <w:r>
        <w:t> (Hlava III díl 4)</w:t>
      </w:r>
    </w:p>
    <w:p w14:paraId="51E89787" w14:textId="77777777" w:rsidR="000F6324" w:rsidRPr="00101231" w:rsidRDefault="000F6324" w:rsidP="000F6324">
      <w:pPr>
        <w:pStyle w:val="Dvodovzprva"/>
      </w:pPr>
      <w:r>
        <w:t>Navrhuje se úprava zrcadlově odpovídající vložení nového dílu 1 do této hlavy, který obsahuje totožnou normu (v § 8b), jak zde rušený § 15. Díl 4 (dosavadní díl 3) se tak fakticky přesouvá na začátek této hlavy.</w:t>
      </w:r>
    </w:p>
    <w:p w14:paraId="630A010A" w14:textId="77777777" w:rsidR="000F6324" w:rsidRDefault="000F6324" w:rsidP="000F6324">
      <w:pPr>
        <w:pStyle w:val="Dvodovzprvaksti"/>
      </w:pPr>
      <w:r>
        <w:t>K části čtvrté</w:t>
      </w:r>
    </w:p>
    <w:p w14:paraId="11D6C529" w14:textId="77777777" w:rsidR="000F6324" w:rsidRDefault="000F6324" w:rsidP="000F6324">
      <w:pPr>
        <w:pStyle w:val="Dvodovzprvaknovlnku"/>
      </w:pPr>
    </w:p>
    <w:p w14:paraId="77567847" w14:textId="77777777" w:rsidR="000F6324" w:rsidRDefault="000F6324" w:rsidP="000F6324">
      <w:pPr>
        <w:pStyle w:val="Dvodovzprva"/>
      </w:pPr>
      <w:r>
        <w:t>Nařízení TFR stanoví jako adaptační lhůtu, od které se Česká republika nemůže odchýlit, den 30. prosince 2024, a transpoziční lhůta pro směrnici DAC 7, jejíž transpozice je tímto zákonem opravována, již dávno uplynula. Z těchto důvodů je dán naléhavý obecný zájem na tom, aby zákon nabyl účinnosti k jinému dni, než k 1. lednu.</w:t>
      </w:r>
    </w:p>
    <w:p w14:paraId="4B513973" w14:textId="77777777" w:rsidR="000F6324" w:rsidRPr="00366010" w:rsidRDefault="000F6324" w:rsidP="000F6324">
      <w:pPr>
        <w:pStyle w:val="Dvodovzprva"/>
      </w:pPr>
      <w:r w:rsidRPr="00366010">
        <w:t>V </w:t>
      </w:r>
      <w:r w:rsidRPr="005E3CDB">
        <w:t>souladu s implementační lhůtou nařízení TFR se navrhuje účinnost 30. prosince 2024</w:t>
      </w:r>
      <w:r>
        <w:t xml:space="preserve">. V případě zpřesnění transpozice směrnice DAC 7 je nutné upravit právní řád v nejkratší možné </w:t>
      </w:r>
      <w:r>
        <w:lastRenderedPageBreak/>
        <w:t>lhůtě, a proto se navrhuje nabytí účinnosti dnem následujícím po dni vyhlášení zákona ve Sbírce zákonů.</w:t>
      </w:r>
    </w:p>
    <w:p w14:paraId="21543DFE" w14:textId="6A99085D" w:rsidR="006F504E" w:rsidRPr="004C3050" w:rsidRDefault="006F504E" w:rsidP="000F6324">
      <w:pPr>
        <w:pStyle w:val="Dvodovzprvaksti"/>
      </w:pPr>
    </w:p>
    <w:sectPr w:rsidR="006F504E" w:rsidRPr="004C3050" w:rsidSect="00195BC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NumType w:start="18"/>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0AE7E" w14:textId="77777777" w:rsidR="00291932" w:rsidRDefault="00291932">
      <w:r>
        <w:separator/>
      </w:r>
    </w:p>
  </w:endnote>
  <w:endnote w:type="continuationSeparator" w:id="0">
    <w:p w14:paraId="56D3EDFC" w14:textId="77777777" w:rsidR="00291932" w:rsidRDefault="00291932">
      <w:r>
        <w:continuationSeparator/>
      </w:r>
    </w:p>
  </w:endnote>
  <w:endnote w:type="continuationNotice" w:id="1">
    <w:p w14:paraId="74618EB0" w14:textId="77777777" w:rsidR="00291932" w:rsidRDefault="00291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2C" w14:textId="77777777" w:rsidR="00291932" w:rsidRDefault="0029193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2102E" w14:textId="77777777" w:rsidR="00291932" w:rsidRDefault="00291932">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D7D83" w14:textId="77777777" w:rsidR="00291932" w:rsidRDefault="0029193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38C23" w14:textId="77777777" w:rsidR="00291932" w:rsidRDefault="00291932">
      <w:r>
        <w:separator/>
      </w:r>
    </w:p>
  </w:footnote>
  <w:footnote w:type="continuationSeparator" w:id="0">
    <w:p w14:paraId="49C3BB4D" w14:textId="77777777" w:rsidR="00291932" w:rsidRDefault="00291932">
      <w:r>
        <w:continuationSeparator/>
      </w:r>
    </w:p>
  </w:footnote>
  <w:footnote w:type="continuationNotice" w:id="1">
    <w:p w14:paraId="03A1B9CA" w14:textId="77777777" w:rsidR="00291932" w:rsidRDefault="00291932"/>
  </w:footnote>
  <w:footnote w:id="2">
    <w:p w14:paraId="6CE7969D" w14:textId="255E3DBD" w:rsidR="00291932" w:rsidRDefault="00291932" w:rsidP="00A16F31">
      <w:pPr>
        <w:pStyle w:val="Textpoznpodarou"/>
        <w:jc w:val="left"/>
      </w:pPr>
      <w:r>
        <w:rPr>
          <w:rStyle w:val="Znakapoznpodarou"/>
        </w:rPr>
        <w:footnoteRef/>
      </w:r>
      <w:r>
        <w:t xml:space="preserve"> Srov. </w:t>
      </w:r>
      <w:hyperlink r:id="rId1" w:history="1">
        <w:r w:rsidRPr="00FB0836">
          <w:rPr>
            <w:rStyle w:val="Hypertextovodkaz"/>
          </w:rPr>
          <w:t>https://www.fatf-gafi.org/en/publications/High-risk-and-other-monitored-jurisdictions/Increased-monitoring-june-2023.html</w:t>
        </w:r>
      </w:hyperlink>
      <w:r>
        <w:t xml:space="preserve"> </w:t>
      </w:r>
    </w:p>
  </w:footnote>
  <w:footnote w:id="3">
    <w:p w14:paraId="221A12AB" w14:textId="097D4DEF" w:rsidR="00291932" w:rsidRPr="00A16F31" w:rsidRDefault="00291932" w:rsidP="00A16F31">
      <w:pPr>
        <w:pStyle w:val="Textpoznpodarou"/>
        <w:jc w:val="left"/>
      </w:pPr>
      <w:r w:rsidRPr="00A16F31">
        <w:rPr>
          <w:vertAlign w:val="superscript"/>
        </w:rPr>
        <w:footnoteRef/>
      </w:r>
      <w:r>
        <w:t xml:space="preserve"> </w:t>
      </w:r>
      <w:r w:rsidRPr="00A16F31">
        <w:t xml:space="preserve">OECD (2020), Model Rules for Reporting by Platform Operators with respect to Sellers in the Sharing and Gig Economy, OECD, Paris. K dispozici online na adrese: </w:t>
      </w:r>
      <w:hyperlink r:id="rId2" w:history="1">
        <w:r w:rsidRPr="00FB0836">
          <w:rPr>
            <w:rStyle w:val="Hypertextovodkaz"/>
          </w:rPr>
          <w:t>https://www.oecd.org/tax/exchange-of-tax-information/model-rules-for-reporting-by-platform-operators-with-respect-to-sellers-in-the-sharing-and-gig-economy.pdf</w:t>
        </w:r>
      </w:hyperlink>
      <w:r>
        <w:t xml:space="preserve"> </w:t>
      </w:r>
    </w:p>
  </w:footnote>
  <w:footnote w:id="4">
    <w:p w14:paraId="5D4ADF65" w14:textId="357856D5" w:rsidR="00291932" w:rsidRPr="00152E1D" w:rsidRDefault="00291932" w:rsidP="00A16F31">
      <w:pPr>
        <w:pStyle w:val="Textpoznpodarou"/>
        <w:jc w:val="left"/>
        <w:rPr>
          <w:rFonts w:ascii="Arial" w:hAnsi="Arial" w:cs="Arial"/>
          <w:lang w:val="de-DE"/>
        </w:rPr>
      </w:pPr>
      <w:r w:rsidRPr="00A16F31">
        <w:rPr>
          <w:vertAlign w:val="superscript"/>
        </w:rPr>
        <w:footnoteRef/>
      </w:r>
      <w:r w:rsidRPr="00A16F31">
        <w:t xml:space="preserve"> OECD (2021), Model Reporting Rules for Digital Platforms: International Exchange Framework and Optional Module for Sale of Goods, OECD, Paris. K dispozici online na adrese: </w:t>
      </w:r>
      <w:hyperlink r:id="rId3" w:history="1">
        <w:r w:rsidRPr="00FB0836">
          <w:rPr>
            <w:rStyle w:val="Hypertextovodkaz"/>
          </w:rPr>
          <w:t>https://www.oecd.org/tax/exchange-of-tax-information/model-reporting-rules-for-digital-platforms-international-exchange-framework-and-optional-module-for-sale-of-goods.pdf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BAB5D" w14:textId="77777777" w:rsidR="00291932" w:rsidRDefault="00291932">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39E9D2" w14:textId="77777777" w:rsidR="00291932" w:rsidRDefault="0029193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0F0E6" w14:textId="17662C76" w:rsidR="00291932" w:rsidRDefault="00291932">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E8164E">
      <w:rPr>
        <w:rStyle w:val="slostrnky"/>
        <w:noProof/>
      </w:rPr>
      <w:t>60</w:t>
    </w:r>
    <w:r>
      <w:rPr>
        <w:rStyle w:val="slostrnky"/>
      </w:rPr>
      <w:fldChar w:fldCharType="end"/>
    </w:r>
    <w:r>
      <w:rPr>
        <w:rStyle w:val="slostrnky"/>
      </w:rPr>
      <w:t xml:space="preserve"> -</w:t>
    </w:r>
  </w:p>
  <w:p w14:paraId="26B689B6" w14:textId="77777777" w:rsidR="00291932" w:rsidRDefault="0029193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7C1BB" w14:textId="40F2EC5F" w:rsidR="00291932" w:rsidRPr="00014827" w:rsidRDefault="00291932" w:rsidP="00014827">
    <w:pPr>
      <w:pStyle w:val="Zhlav"/>
      <w:jc w:val="right"/>
      <w:rPr>
        <w:b/>
      </w:rPr>
    </w:pPr>
    <w:r w:rsidRPr="00014827">
      <w:rPr>
        <w:b/>
      </w:rPr>
      <w:t>IV.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12646C2"/>
    <w:multiLevelType w:val="hybridMultilevel"/>
    <w:tmpl w:val="77E03D30"/>
    <w:lvl w:ilvl="0" w:tplc="08CCC47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31C7DDF"/>
    <w:multiLevelType w:val="hybridMultilevel"/>
    <w:tmpl w:val="351248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3" w15:restartNumberingAfterBreak="0">
    <w:nsid w:val="0503678E"/>
    <w:multiLevelType w:val="hybridMultilevel"/>
    <w:tmpl w:val="18DC157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5" w15:restartNumberingAfterBreak="0">
    <w:nsid w:val="0E3527E1"/>
    <w:multiLevelType w:val="hybridMultilevel"/>
    <w:tmpl w:val="24227232"/>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42F771F"/>
    <w:multiLevelType w:val="hybridMultilevel"/>
    <w:tmpl w:val="5ABC7B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4E9551A"/>
    <w:multiLevelType w:val="hybridMultilevel"/>
    <w:tmpl w:val="3B92D264"/>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20" w15:restartNumberingAfterBreak="0">
    <w:nsid w:val="194176F7"/>
    <w:multiLevelType w:val="hybridMultilevel"/>
    <w:tmpl w:val="4E1C13E4"/>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1952081E"/>
    <w:multiLevelType w:val="hybridMultilevel"/>
    <w:tmpl w:val="9DD2EA64"/>
    <w:lvl w:ilvl="0" w:tplc="6900938A">
      <w:start w:val="1"/>
      <w:numFmt w:val="upperRoman"/>
      <w:pStyle w:val="stDZ"/>
      <w:suff w:val="space"/>
      <w:lvlText w:val="%1."/>
      <w:lvlJc w:val="left"/>
      <w:pPr>
        <w:ind w:left="0" w:firstLine="0"/>
      </w:pPr>
      <w:rPr>
        <w:rFonts w:hint="default"/>
        <w:b/>
        <w:i w:val="0"/>
      </w:rPr>
    </w:lvl>
    <w:lvl w:ilvl="1" w:tplc="88A0070E" w:tentative="1">
      <w:start w:val="1"/>
      <w:numFmt w:val="lowerLetter"/>
      <w:lvlText w:val="%2."/>
      <w:lvlJc w:val="left"/>
      <w:pPr>
        <w:ind w:left="1800" w:hanging="360"/>
      </w:pPr>
    </w:lvl>
    <w:lvl w:ilvl="2" w:tplc="F40C316E" w:tentative="1">
      <w:start w:val="1"/>
      <w:numFmt w:val="lowerRoman"/>
      <w:lvlText w:val="%3."/>
      <w:lvlJc w:val="right"/>
      <w:pPr>
        <w:ind w:left="2520" w:hanging="180"/>
      </w:pPr>
    </w:lvl>
    <w:lvl w:ilvl="3" w:tplc="BDBEDA6A" w:tentative="1">
      <w:start w:val="1"/>
      <w:numFmt w:val="decimal"/>
      <w:lvlText w:val="%4."/>
      <w:lvlJc w:val="left"/>
      <w:pPr>
        <w:ind w:left="3240" w:hanging="360"/>
      </w:pPr>
    </w:lvl>
    <w:lvl w:ilvl="4" w:tplc="98F8E8D4" w:tentative="1">
      <w:start w:val="1"/>
      <w:numFmt w:val="lowerLetter"/>
      <w:lvlText w:val="%5."/>
      <w:lvlJc w:val="left"/>
      <w:pPr>
        <w:ind w:left="3960" w:hanging="360"/>
      </w:pPr>
    </w:lvl>
    <w:lvl w:ilvl="5" w:tplc="CE705996" w:tentative="1">
      <w:start w:val="1"/>
      <w:numFmt w:val="lowerRoman"/>
      <w:lvlText w:val="%6."/>
      <w:lvlJc w:val="right"/>
      <w:pPr>
        <w:ind w:left="4680" w:hanging="180"/>
      </w:pPr>
    </w:lvl>
    <w:lvl w:ilvl="6" w:tplc="44F6FE9E" w:tentative="1">
      <w:start w:val="1"/>
      <w:numFmt w:val="decimal"/>
      <w:lvlText w:val="%7."/>
      <w:lvlJc w:val="left"/>
      <w:pPr>
        <w:ind w:left="5400" w:hanging="360"/>
      </w:pPr>
    </w:lvl>
    <w:lvl w:ilvl="7" w:tplc="98AC85FA" w:tentative="1">
      <w:start w:val="1"/>
      <w:numFmt w:val="lowerLetter"/>
      <w:lvlText w:val="%8."/>
      <w:lvlJc w:val="left"/>
      <w:pPr>
        <w:ind w:left="6120" w:hanging="360"/>
      </w:pPr>
    </w:lvl>
    <w:lvl w:ilvl="8" w:tplc="5D5272E6" w:tentative="1">
      <w:start w:val="1"/>
      <w:numFmt w:val="lowerRoman"/>
      <w:lvlText w:val="%9."/>
      <w:lvlJc w:val="right"/>
      <w:pPr>
        <w:ind w:left="6840" w:hanging="180"/>
      </w:pPr>
    </w:lvl>
  </w:abstractNum>
  <w:abstractNum w:abstractNumId="22"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24"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2F255056"/>
    <w:multiLevelType w:val="multilevel"/>
    <w:tmpl w:val="662065FA"/>
    <w:lvl w:ilvl="0">
      <w:start w:val="1"/>
      <w:numFmt w:val="upperRoman"/>
      <w:suff w:val="space"/>
      <w:lvlText w:val="%1."/>
      <w:lvlJc w:val="left"/>
      <w:pPr>
        <w:ind w:left="0" w:firstLine="0"/>
      </w:pPr>
      <w:rPr>
        <w:rFonts w:hint="default"/>
      </w:rPr>
    </w:lvl>
    <w:lvl w:ilvl="1">
      <w:start w:val="1"/>
      <w:numFmt w:val="lowerLetter"/>
      <w:isLgl/>
      <w:suff w:val="space"/>
      <w:lvlText w:val="%2."/>
      <w:lvlJc w:val="left"/>
      <w:pPr>
        <w:ind w:left="0" w:firstLine="0"/>
      </w:pPr>
      <w:rPr>
        <w:rFonts w:hint="default"/>
      </w:rPr>
    </w:lvl>
    <w:lvl w:ilvl="2">
      <w:start w:val="1"/>
      <w:numFmt w:val="lowerRoman"/>
      <w:isLgl/>
      <w:suff w:val="space"/>
      <w:lvlText w:val="%2.%3."/>
      <w:lvlJc w:val="left"/>
      <w:pPr>
        <w:ind w:left="142" w:firstLine="0"/>
      </w:pPr>
      <w:rPr>
        <w:rFonts w:hint="default"/>
        <w:sz w:val="28"/>
      </w:rPr>
    </w:lvl>
    <w:lvl w:ilvl="3">
      <w:start w:val="1"/>
      <w:numFmt w:val="decimal"/>
      <w:isLgl/>
      <w:suff w:val="space"/>
      <w:lvlText w:val="%2.%3.%4."/>
      <w:lvlJc w:val="left"/>
      <w:pPr>
        <w:ind w:left="0" w:firstLine="0"/>
      </w:pPr>
      <w:rPr>
        <w:rFonts w:hint="default"/>
        <w:i/>
        <w:sz w:val="24"/>
      </w:rPr>
    </w:lvl>
    <w:lvl w:ilvl="4">
      <w:start w:val="1"/>
      <w:numFmt w:val="lowerLetter"/>
      <w:lvlText w:val="%5)"/>
      <w:lvlJc w:val="left"/>
      <w:pPr>
        <w:ind w:left="0" w:firstLine="0"/>
      </w:pPr>
      <w:rPr>
        <w:rFonts w:hint="default"/>
        <w:b w:val="0"/>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15:restartNumberingAfterBreak="0">
    <w:nsid w:val="30381F47"/>
    <w:multiLevelType w:val="hybridMultilevel"/>
    <w:tmpl w:val="17E2B4DA"/>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32FA4CEF"/>
    <w:multiLevelType w:val="hybridMultilevel"/>
    <w:tmpl w:val="6ABAC160"/>
    <w:lvl w:ilvl="0" w:tplc="147ACAE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34DA3EA1"/>
    <w:multiLevelType w:val="hybridMultilevel"/>
    <w:tmpl w:val="CD2EDCD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30" w15:restartNumberingAfterBreak="0">
    <w:nsid w:val="35F8255E"/>
    <w:multiLevelType w:val="hybridMultilevel"/>
    <w:tmpl w:val="7B920896"/>
    <w:lvl w:ilvl="0" w:tplc="976687BA">
      <w:start w:val="1"/>
      <w:numFmt w:val="lowerRoman"/>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372D7CF4"/>
    <w:multiLevelType w:val="hybridMultilevel"/>
    <w:tmpl w:val="BF000F1E"/>
    <w:lvl w:ilvl="0" w:tplc="976687BA">
      <w:start w:val="1"/>
      <w:numFmt w:val="lowerRoman"/>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455F7E04"/>
    <w:multiLevelType w:val="hybridMultilevel"/>
    <w:tmpl w:val="66D80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5952B63"/>
    <w:multiLevelType w:val="hybridMultilevel"/>
    <w:tmpl w:val="99DAF078"/>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48CA32E8"/>
    <w:multiLevelType w:val="hybridMultilevel"/>
    <w:tmpl w:val="69E851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4B4E3177"/>
    <w:multiLevelType w:val="hybridMultilevel"/>
    <w:tmpl w:val="D97E72C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7"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4446104"/>
    <w:multiLevelType w:val="hybridMultilevel"/>
    <w:tmpl w:val="13784192"/>
    <w:lvl w:ilvl="0" w:tplc="04050001">
      <w:start w:val="1"/>
      <w:numFmt w:val="lowerRoman"/>
      <w:pStyle w:val="Dslovnpsmenatun"/>
      <w:lvlText w:val="(%1)"/>
      <w:lvlJc w:val="left"/>
      <w:pPr>
        <w:tabs>
          <w:tab w:val="num" w:pos="1743"/>
        </w:tabs>
        <w:ind w:left="1743" w:hanging="975"/>
      </w:pPr>
      <w:rPr>
        <w:rFonts w:cs="Times New Roman" w:hint="default"/>
      </w:rPr>
    </w:lvl>
    <w:lvl w:ilvl="1" w:tplc="04050003">
      <w:start w:val="3"/>
      <w:numFmt w:val="decimal"/>
      <w:lvlText w:val="%2."/>
      <w:lvlJc w:val="left"/>
      <w:pPr>
        <w:tabs>
          <w:tab w:val="num" w:pos="1848"/>
        </w:tabs>
        <w:ind w:left="1848" w:hanging="360"/>
      </w:pPr>
      <w:rPr>
        <w:rFonts w:cs="Times New Roman" w:hint="default"/>
      </w:rPr>
    </w:lvl>
    <w:lvl w:ilvl="2" w:tplc="04050005" w:tentative="1">
      <w:start w:val="1"/>
      <w:numFmt w:val="lowerRoman"/>
      <w:lvlText w:val="%3."/>
      <w:lvlJc w:val="right"/>
      <w:pPr>
        <w:tabs>
          <w:tab w:val="num" w:pos="2568"/>
        </w:tabs>
        <w:ind w:left="2568" w:hanging="180"/>
      </w:pPr>
      <w:rPr>
        <w:rFonts w:cs="Times New Roman"/>
      </w:rPr>
    </w:lvl>
    <w:lvl w:ilvl="3" w:tplc="04050001" w:tentative="1">
      <w:start w:val="1"/>
      <w:numFmt w:val="decimal"/>
      <w:lvlText w:val="%4."/>
      <w:lvlJc w:val="left"/>
      <w:pPr>
        <w:tabs>
          <w:tab w:val="num" w:pos="3288"/>
        </w:tabs>
        <w:ind w:left="3288" w:hanging="360"/>
      </w:pPr>
      <w:rPr>
        <w:rFonts w:cs="Times New Roman"/>
      </w:rPr>
    </w:lvl>
    <w:lvl w:ilvl="4" w:tplc="04050003" w:tentative="1">
      <w:start w:val="1"/>
      <w:numFmt w:val="lowerLetter"/>
      <w:lvlText w:val="%5."/>
      <w:lvlJc w:val="left"/>
      <w:pPr>
        <w:tabs>
          <w:tab w:val="num" w:pos="4008"/>
        </w:tabs>
        <w:ind w:left="4008" w:hanging="360"/>
      </w:pPr>
      <w:rPr>
        <w:rFonts w:cs="Times New Roman"/>
      </w:rPr>
    </w:lvl>
    <w:lvl w:ilvl="5" w:tplc="04050005" w:tentative="1">
      <w:start w:val="1"/>
      <w:numFmt w:val="lowerRoman"/>
      <w:lvlText w:val="%6."/>
      <w:lvlJc w:val="right"/>
      <w:pPr>
        <w:tabs>
          <w:tab w:val="num" w:pos="4728"/>
        </w:tabs>
        <w:ind w:left="4728" w:hanging="180"/>
      </w:pPr>
      <w:rPr>
        <w:rFonts w:cs="Times New Roman"/>
      </w:rPr>
    </w:lvl>
    <w:lvl w:ilvl="6" w:tplc="04050001" w:tentative="1">
      <w:start w:val="1"/>
      <w:numFmt w:val="decimal"/>
      <w:lvlText w:val="%7."/>
      <w:lvlJc w:val="left"/>
      <w:pPr>
        <w:tabs>
          <w:tab w:val="num" w:pos="5448"/>
        </w:tabs>
        <w:ind w:left="5448" w:hanging="360"/>
      </w:pPr>
      <w:rPr>
        <w:rFonts w:cs="Times New Roman"/>
      </w:rPr>
    </w:lvl>
    <w:lvl w:ilvl="7" w:tplc="04050003" w:tentative="1">
      <w:start w:val="1"/>
      <w:numFmt w:val="lowerLetter"/>
      <w:lvlText w:val="%8."/>
      <w:lvlJc w:val="left"/>
      <w:pPr>
        <w:tabs>
          <w:tab w:val="num" w:pos="6168"/>
        </w:tabs>
        <w:ind w:left="6168" w:hanging="360"/>
      </w:pPr>
      <w:rPr>
        <w:rFonts w:cs="Times New Roman"/>
      </w:rPr>
    </w:lvl>
    <w:lvl w:ilvl="8" w:tplc="04050005" w:tentative="1">
      <w:start w:val="1"/>
      <w:numFmt w:val="lowerRoman"/>
      <w:lvlText w:val="%9."/>
      <w:lvlJc w:val="right"/>
      <w:pPr>
        <w:tabs>
          <w:tab w:val="num" w:pos="6888"/>
        </w:tabs>
        <w:ind w:left="6888" w:hanging="180"/>
      </w:pPr>
      <w:rPr>
        <w:rFonts w:cs="Times New Roman"/>
      </w:rPr>
    </w:lvl>
  </w:abstractNum>
  <w:abstractNum w:abstractNumId="39" w15:restartNumberingAfterBreak="0">
    <w:nsid w:val="66D24D84"/>
    <w:multiLevelType w:val="hybridMultilevel"/>
    <w:tmpl w:val="F29E3802"/>
    <w:lvl w:ilvl="0" w:tplc="92C0628E">
      <w:start w:val="1"/>
      <w:numFmt w:val="bullet"/>
      <w:lvlText w:val="o"/>
      <w:lvlJc w:val="left"/>
      <w:pPr>
        <w:ind w:left="1069" w:hanging="360"/>
      </w:pPr>
      <w:rPr>
        <w:rFonts w:ascii="&quot;Courier New&quot;" w:hAnsi="&quot;Courier New&quot;" w:hint="default"/>
      </w:rPr>
    </w:lvl>
    <w:lvl w:ilvl="1" w:tplc="837475C0">
      <w:start w:val="1"/>
      <w:numFmt w:val="bullet"/>
      <w:lvlText w:val="o"/>
      <w:lvlJc w:val="left"/>
      <w:pPr>
        <w:ind w:left="1789" w:hanging="360"/>
      </w:pPr>
      <w:rPr>
        <w:rFonts w:ascii="Courier New" w:hAnsi="Courier New" w:hint="default"/>
      </w:rPr>
    </w:lvl>
    <w:lvl w:ilvl="2" w:tplc="E8FC9D84">
      <w:start w:val="1"/>
      <w:numFmt w:val="bullet"/>
      <w:lvlText w:val=""/>
      <w:lvlJc w:val="left"/>
      <w:pPr>
        <w:ind w:left="2509" w:hanging="360"/>
      </w:pPr>
      <w:rPr>
        <w:rFonts w:ascii="Wingdings" w:hAnsi="Wingdings" w:hint="default"/>
      </w:rPr>
    </w:lvl>
    <w:lvl w:ilvl="3" w:tplc="6A6662E6">
      <w:start w:val="1"/>
      <w:numFmt w:val="bullet"/>
      <w:lvlText w:val=""/>
      <w:lvlJc w:val="left"/>
      <w:pPr>
        <w:ind w:left="3229" w:hanging="360"/>
      </w:pPr>
      <w:rPr>
        <w:rFonts w:ascii="Symbol" w:hAnsi="Symbol" w:hint="default"/>
      </w:rPr>
    </w:lvl>
    <w:lvl w:ilvl="4" w:tplc="7A1AC7BA">
      <w:start w:val="1"/>
      <w:numFmt w:val="bullet"/>
      <w:lvlText w:val="o"/>
      <w:lvlJc w:val="left"/>
      <w:pPr>
        <w:ind w:left="3949" w:hanging="360"/>
      </w:pPr>
      <w:rPr>
        <w:rFonts w:ascii="Courier New" w:hAnsi="Courier New" w:hint="default"/>
      </w:rPr>
    </w:lvl>
    <w:lvl w:ilvl="5" w:tplc="DA1021C6">
      <w:start w:val="1"/>
      <w:numFmt w:val="bullet"/>
      <w:lvlText w:val=""/>
      <w:lvlJc w:val="left"/>
      <w:pPr>
        <w:ind w:left="4669" w:hanging="360"/>
      </w:pPr>
      <w:rPr>
        <w:rFonts w:ascii="Wingdings" w:hAnsi="Wingdings" w:hint="default"/>
      </w:rPr>
    </w:lvl>
    <w:lvl w:ilvl="6" w:tplc="15968590">
      <w:start w:val="1"/>
      <w:numFmt w:val="bullet"/>
      <w:lvlText w:val=""/>
      <w:lvlJc w:val="left"/>
      <w:pPr>
        <w:ind w:left="5389" w:hanging="360"/>
      </w:pPr>
      <w:rPr>
        <w:rFonts w:ascii="Symbol" w:hAnsi="Symbol" w:hint="default"/>
      </w:rPr>
    </w:lvl>
    <w:lvl w:ilvl="7" w:tplc="5A34D9B0">
      <w:start w:val="1"/>
      <w:numFmt w:val="bullet"/>
      <w:lvlText w:val="o"/>
      <w:lvlJc w:val="left"/>
      <w:pPr>
        <w:ind w:left="6109" w:hanging="360"/>
      </w:pPr>
      <w:rPr>
        <w:rFonts w:ascii="Courier New" w:hAnsi="Courier New" w:hint="default"/>
      </w:rPr>
    </w:lvl>
    <w:lvl w:ilvl="8" w:tplc="EAFEA89E">
      <w:start w:val="1"/>
      <w:numFmt w:val="bullet"/>
      <w:lvlText w:val=""/>
      <w:lvlJc w:val="left"/>
      <w:pPr>
        <w:ind w:left="6829" w:hanging="360"/>
      </w:pPr>
      <w:rPr>
        <w:rFonts w:ascii="Wingdings" w:hAnsi="Wingdings" w:hint="default"/>
      </w:rPr>
    </w:lvl>
  </w:abstractNum>
  <w:abstractNum w:abstractNumId="40"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7BB1753"/>
    <w:multiLevelType w:val="hybridMultilevel"/>
    <w:tmpl w:val="FD86BCF2"/>
    <w:lvl w:ilvl="0" w:tplc="92C0628E">
      <w:start w:val="1"/>
      <w:numFmt w:val="bullet"/>
      <w:lvlText w:val="o"/>
      <w:lvlJc w:val="left"/>
      <w:pPr>
        <w:ind w:left="1069" w:hanging="360"/>
      </w:pPr>
      <w:rPr>
        <w:rFonts w:ascii="&quot;Courier New&quot;" w:hAnsi="&quot;Courier New&quot;" w:hint="default"/>
      </w:rPr>
    </w:lvl>
    <w:lvl w:ilvl="1" w:tplc="04050005">
      <w:start w:val="1"/>
      <w:numFmt w:val="bullet"/>
      <w:lvlText w:val=""/>
      <w:lvlJc w:val="left"/>
      <w:pPr>
        <w:ind w:left="1789" w:hanging="360"/>
      </w:pPr>
      <w:rPr>
        <w:rFonts w:ascii="Wingdings" w:hAnsi="Wingdings" w:hint="default"/>
      </w:rPr>
    </w:lvl>
    <w:lvl w:ilvl="2" w:tplc="E8FC9D84">
      <w:start w:val="1"/>
      <w:numFmt w:val="bullet"/>
      <w:lvlText w:val=""/>
      <w:lvlJc w:val="left"/>
      <w:pPr>
        <w:ind w:left="2509" w:hanging="360"/>
      </w:pPr>
      <w:rPr>
        <w:rFonts w:ascii="Wingdings" w:hAnsi="Wingdings" w:hint="default"/>
      </w:rPr>
    </w:lvl>
    <w:lvl w:ilvl="3" w:tplc="6A6662E6">
      <w:start w:val="1"/>
      <w:numFmt w:val="bullet"/>
      <w:lvlText w:val=""/>
      <w:lvlJc w:val="left"/>
      <w:pPr>
        <w:ind w:left="3229" w:hanging="360"/>
      </w:pPr>
      <w:rPr>
        <w:rFonts w:ascii="Symbol" w:hAnsi="Symbol" w:hint="default"/>
      </w:rPr>
    </w:lvl>
    <w:lvl w:ilvl="4" w:tplc="7A1AC7BA">
      <w:start w:val="1"/>
      <w:numFmt w:val="bullet"/>
      <w:lvlText w:val="o"/>
      <w:lvlJc w:val="left"/>
      <w:pPr>
        <w:ind w:left="3949" w:hanging="360"/>
      </w:pPr>
      <w:rPr>
        <w:rFonts w:ascii="Courier New" w:hAnsi="Courier New" w:hint="default"/>
      </w:rPr>
    </w:lvl>
    <w:lvl w:ilvl="5" w:tplc="DA1021C6">
      <w:start w:val="1"/>
      <w:numFmt w:val="bullet"/>
      <w:lvlText w:val=""/>
      <w:lvlJc w:val="left"/>
      <w:pPr>
        <w:ind w:left="4669" w:hanging="360"/>
      </w:pPr>
      <w:rPr>
        <w:rFonts w:ascii="Wingdings" w:hAnsi="Wingdings" w:hint="default"/>
      </w:rPr>
    </w:lvl>
    <w:lvl w:ilvl="6" w:tplc="15968590">
      <w:start w:val="1"/>
      <w:numFmt w:val="bullet"/>
      <w:lvlText w:val=""/>
      <w:lvlJc w:val="left"/>
      <w:pPr>
        <w:ind w:left="5389" w:hanging="360"/>
      </w:pPr>
      <w:rPr>
        <w:rFonts w:ascii="Symbol" w:hAnsi="Symbol" w:hint="default"/>
      </w:rPr>
    </w:lvl>
    <w:lvl w:ilvl="7" w:tplc="5A34D9B0">
      <w:start w:val="1"/>
      <w:numFmt w:val="bullet"/>
      <w:lvlText w:val="o"/>
      <w:lvlJc w:val="left"/>
      <w:pPr>
        <w:ind w:left="6109" w:hanging="360"/>
      </w:pPr>
      <w:rPr>
        <w:rFonts w:ascii="Courier New" w:hAnsi="Courier New" w:hint="default"/>
      </w:rPr>
    </w:lvl>
    <w:lvl w:ilvl="8" w:tplc="EAFEA89E">
      <w:start w:val="1"/>
      <w:numFmt w:val="bullet"/>
      <w:lvlText w:val=""/>
      <w:lvlJc w:val="left"/>
      <w:pPr>
        <w:ind w:left="6829" w:hanging="360"/>
      </w:pPr>
      <w:rPr>
        <w:rFonts w:ascii="Wingdings" w:hAnsi="Wingdings" w:hint="default"/>
      </w:rPr>
    </w:lvl>
  </w:abstractNum>
  <w:abstractNum w:abstractNumId="44" w15:restartNumberingAfterBreak="0">
    <w:nsid w:val="78604A35"/>
    <w:multiLevelType w:val="hybridMultilevel"/>
    <w:tmpl w:val="2D2C538A"/>
    <w:lvl w:ilvl="0" w:tplc="04050017">
      <w:start w:val="1"/>
      <w:numFmt w:val="decimal"/>
      <w:pStyle w:val="StylDvodovzprva16bTun"/>
      <w:lvlText w:val="K bodu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9AB6F2F"/>
    <w:multiLevelType w:val="hybridMultilevel"/>
    <w:tmpl w:val="FE18A004"/>
    <w:lvl w:ilvl="0" w:tplc="3760B5A6">
      <w:start w:val="1"/>
      <w:numFmt w:val="decimal"/>
      <w:pStyle w:val="Dvodovzprvakbodu0"/>
      <w:suff w:val="space"/>
      <w:lvlText w:val="K bodu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9"/>
  </w:num>
  <w:num w:numId="2">
    <w:abstractNumId w:val="14"/>
  </w:num>
  <w:num w:numId="3">
    <w:abstractNumId w:val="12"/>
  </w:num>
  <w:num w:numId="4">
    <w:abstractNumId w:val="16"/>
  </w:num>
  <w:num w:numId="5">
    <w:abstractNumId w:val="46"/>
  </w:num>
  <w:num w:numId="6">
    <w:abstractNumId w:val="37"/>
  </w:num>
  <w:num w:numId="7">
    <w:abstractNumId w:val="41"/>
  </w:num>
  <w:num w:numId="8">
    <w:abstractNumId w:val="40"/>
  </w:num>
  <w:num w:numId="9">
    <w:abstractNumId w:val="8"/>
  </w:num>
  <w:num w:numId="10">
    <w:abstractNumId w:val="3"/>
  </w:num>
  <w:num w:numId="11">
    <w:abstractNumId w:val="2"/>
  </w:num>
  <w:num w:numId="12">
    <w:abstractNumId w:val="1"/>
  </w:num>
  <w:num w:numId="13">
    <w:abstractNumId w:val="0"/>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22"/>
  </w:num>
  <w:num w:numId="21">
    <w:abstractNumId w:val="23"/>
  </w:num>
  <w:num w:numId="22">
    <w:abstractNumId w:val="45"/>
    <w:lvlOverride w:ilvl="0">
      <w:startOverride w:val="1"/>
    </w:lvlOverride>
  </w:num>
  <w:num w:numId="23">
    <w:abstractNumId w:val="24"/>
  </w:num>
  <w:num w:numId="24">
    <w:abstractNumId w:val="19"/>
  </w:num>
  <w:num w:numId="25">
    <w:abstractNumId w:val="44"/>
  </w:num>
  <w:num w:numId="26">
    <w:abstractNumId w:val="38"/>
  </w:num>
  <w:num w:numId="27">
    <w:abstractNumId w:val="21"/>
  </w:num>
  <w:num w:numId="28">
    <w:abstractNumId w:val="25"/>
  </w:num>
  <w:num w:numId="29">
    <w:abstractNumId w:val="42"/>
  </w:num>
  <w:num w:numId="30">
    <w:abstractNumId w:val="17"/>
  </w:num>
  <w:num w:numId="31">
    <w:abstractNumId w:val="20"/>
  </w:num>
  <w:num w:numId="32">
    <w:abstractNumId w:val="33"/>
  </w:num>
  <w:num w:numId="33">
    <w:abstractNumId w:val="10"/>
  </w:num>
  <w:num w:numId="34">
    <w:abstractNumId w:val="34"/>
  </w:num>
  <w:num w:numId="35">
    <w:abstractNumId w:val="32"/>
  </w:num>
  <w:num w:numId="36">
    <w:abstractNumId w:val="11"/>
  </w:num>
  <w:num w:numId="37">
    <w:abstractNumId w:val="27"/>
  </w:num>
  <w:num w:numId="38">
    <w:abstractNumId w:val="39"/>
  </w:num>
  <w:num w:numId="39">
    <w:abstractNumId w:val="43"/>
  </w:num>
  <w:num w:numId="40">
    <w:abstractNumId w:val="26"/>
  </w:num>
  <w:num w:numId="41">
    <w:abstractNumId w:val="13"/>
  </w:num>
  <w:num w:numId="42">
    <w:abstractNumId w:val="42"/>
    <w:lvlOverride w:ilvl="0">
      <w:startOverride w:val="1"/>
    </w:lvlOverride>
  </w:num>
  <w:num w:numId="43">
    <w:abstractNumId w:val="42"/>
    <w:lvlOverride w:ilvl="0">
      <w:startOverride w:val="1"/>
    </w:lvlOverride>
  </w:num>
  <w:num w:numId="44">
    <w:abstractNumId w:val="15"/>
  </w:num>
  <w:num w:numId="45">
    <w:abstractNumId w:val="30"/>
  </w:num>
  <w:num w:numId="46">
    <w:abstractNumId w:val="35"/>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31"/>
  </w:num>
  <w:num w:numId="50">
    <w:abstractNumId w:val="18"/>
  </w:num>
  <w:num w:numId="51">
    <w:abstractNumId w:val="36"/>
  </w:num>
  <w:num w:numId="52">
    <w:abstractNumId w:val="42"/>
    <w:lvlOverride w:ilvl="0">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F155E3"/>
    <w:rsid w:val="00000517"/>
    <w:rsid w:val="00000B3D"/>
    <w:rsid w:val="00000EE7"/>
    <w:rsid w:val="00001CDA"/>
    <w:rsid w:val="00001FC4"/>
    <w:rsid w:val="00003551"/>
    <w:rsid w:val="00006126"/>
    <w:rsid w:val="00006511"/>
    <w:rsid w:val="00007419"/>
    <w:rsid w:val="00007767"/>
    <w:rsid w:val="00007BB3"/>
    <w:rsid w:val="0001089A"/>
    <w:rsid w:val="00012E1A"/>
    <w:rsid w:val="00014827"/>
    <w:rsid w:val="00015281"/>
    <w:rsid w:val="00016975"/>
    <w:rsid w:val="00017C43"/>
    <w:rsid w:val="000236AC"/>
    <w:rsid w:val="000255E8"/>
    <w:rsid w:val="0003045D"/>
    <w:rsid w:val="000309BC"/>
    <w:rsid w:val="00034232"/>
    <w:rsid w:val="0003478B"/>
    <w:rsid w:val="00043735"/>
    <w:rsid w:val="00044791"/>
    <w:rsid w:val="00044A17"/>
    <w:rsid w:val="000454FC"/>
    <w:rsid w:val="00045A18"/>
    <w:rsid w:val="00051435"/>
    <w:rsid w:val="000536BE"/>
    <w:rsid w:val="00054A1A"/>
    <w:rsid w:val="00055257"/>
    <w:rsid w:val="00061526"/>
    <w:rsid w:val="0006180E"/>
    <w:rsid w:val="00061D23"/>
    <w:rsid w:val="00062714"/>
    <w:rsid w:val="000628A2"/>
    <w:rsid w:val="00062951"/>
    <w:rsid w:val="000633E8"/>
    <w:rsid w:val="0006508B"/>
    <w:rsid w:val="000679BB"/>
    <w:rsid w:val="00073389"/>
    <w:rsid w:val="00075E3B"/>
    <w:rsid w:val="00080B72"/>
    <w:rsid w:val="000826E9"/>
    <w:rsid w:val="00082966"/>
    <w:rsid w:val="00083067"/>
    <w:rsid w:val="00083D0A"/>
    <w:rsid w:val="00085029"/>
    <w:rsid w:val="0008510D"/>
    <w:rsid w:val="0009017A"/>
    <w:rsid w:val="00094A77"/>
    <w:rsid w:val="000954FA"/>
    <w:rsid w:val="0009651E"/>
    <w:rsid w:val="0009796B"/>
    <w:rsid w:val="000A77E2"/>
    <w:rsid w:val="000B0FE2"/>
    <w:rsid w:val="000B19BE"/>
    <w:rsid w:val="000B310A"/>
    <w:rsid w:val="000B34E0"/>
    <w:rsid w:val="000C07E6"/>
    <w:rsid w:val="000C0CB9"/>
    <w:rsid w:val="000C17B5"/>
    <w:rsid w:val="000C4D20"/>
    <w:rsid w:val="000C5367"/>
    <w:rsid w:val="000D140D"/>
    <w:rsid w:val="000D2584"/>
    <w:rsid w:val="000D2C40"/>
    <w:rsid w:val="000D3220"/>
    <w:rsid w:val="000D5789"/>
    <w:rsid w:val="000D5DA3"/>
    <w:rsid w:val="000D67D8"/>
    <w:rsid w:val="000E03D2"/>
    <w:rsid w:val="000E7679"/>
    <w:rsid w:val="000E7A0F"/>
    <w:rsid w:val="000F03EC"/>
    <w:rsid w:val="000F09D3"/>
    <w:rsid w:val="000F0D2C"/>
    <w:rsid w:val="000F35D0"/>
    <w:rsid w:val="000F4B3B"/>
    <w:rsid w:val="000F5235"/>
    <w:rsid w:val="000F6324"/>
    <w:rsid w:val="0010099C"/>
    <w:rsid w:val="00100DD2"/>
    <w:rsid w:val="001011AA"/>
    <w:rsid w:val="001021E6"/>
    <w:rsid w:val="00104DD9"/>
    <w:rsid w:val="00105EBC"/>
    <w:rsid w:val="00107C8D"/>
    <w:rsid w:val="001104BC"/>
    <w:rsid w:val="00111412"/>
    <w:rsid w:val="00111E8A"/>
    <w:rsid w:val="00112A50"/>
    <w:rsid w:val="00112BFA"/>
    <w:rsid w:val="001151C4"/>
    <w:rsid w:val="00115EBC"/>
    <w:rsid w:val="001171D6"/>
    <w:rsid w:val="0012081A"/>
    <w:rsid w:val="00120A42"/>
    <w:rsid w:val="00121A39"/>
    <w:rsid w:val="0013077C"/>
    <w:rsid w:val="001338D2"/>
    <w:rsid w:val="00133C3C"/>
    <w:rsid w:val="00134DA6"/>
    <w:rsid w:val="00134DB8"/>
    <w:rsid w:val="001355A9"/>
    <w:rsid w:val="001356F0"/>
    <w:rsid w:val="0014446B"/>
    <w:rsid w:val="001445B7"/>
    <w:rsid w:val="00144FA3"/>
    <w:rsid w:val="001508AD"/>
    <w:rsid w:val="00151BE2"/>
    <w:rsid w:val="00156094"/>
    <w:rsid w:val="001611EF"/>
    <w:rsid w:val="00161287"/>
    <w:rsid w:val="0016664C"/>
    <w:rsid w:val="00170142"/>
    <w:rsid w:val="001707C9"/>
    <w:rsid w:val="00173A01"/>
    <w:rsid w:val="0017499B"/>
    <w:rsid w:val="00175219"/>
    <w:rsid w:val="001777C7"/>
    <w:rsid w:val="001826DA"/>
    <w:rsid w:val="001845FC"/>
    <w:rsid w:val="001854F7"/>
    <w:rsid w:val="0018605F"/>
    <w:rsid w:val="00190372"/>
    <w:rsid w:val="00190CFB"/>
    <w:rsid w:val="00195BCD"/>
    <w:rsid w:val="001A1534"/>
    <w:rsid w:val="001A1A4C"/>
    <w:rsid w:val="001A219F"/>
    <w:rsid w:val="001A42A7"/>
    <w:rsid w:val="001A4798"/>
    <w:rsid w:val="001A7602"/>
    <w:rsid w:val="001A7676"/>
    <w:rsid w:val="001B0FBF"/>
    <w:rsid w:val="001B1F20"/>
    <w:rsid w:val="001B2C55"/>
    <w:rsid w:val="001B3EE9"/>
    <w:rsid w:val="001B5767"/>
    <w:rsid w:val="001B63F9"/>
    <w:rsid w:val="001C6AAD"/>
    <w:rsid w:val="001D034F"/>
    <w:rsid w:val="001D04BE"/>
    <w:rsid w:val="001D0790"/>
    <w:rsid w:val="001D1106"/>
    <w:rsid w:val="001D18E3"/>
    <w:rsid w:val="001D1ECA"/>
    <w:rsid w:val="001D35C4"/>
    <w:rsid w:val="001D7B0D"/>
    <w:rsid w:val="001E237F"/>
    <w:rsid w:val="001E25C2"/>
    <w:rsid w:val="001E320A"/>
    <w:rsid w:val="001E4421"/>
    <w:rsid w:val="001F2E0A"/>
    <w:rsid w:val="001F35D0"/>
    <w:rsid w:val="001F408E"/>
    <w:rsid w:val="001F4A02"/>
    <w:rsid w:val="001F652C"/>
    <w:rsid w:val="001F77CD"/>
    <w:rsid w:val="002016FB"/>
    <w:rsid w:val="002030CD"/>
    <w:rsid w:val="002035B5"/>
    <w:rsid w:val="00204962"/>
    <w:rsid w:val="002053F4"/>
    <w:rsid w:val="00211CFF"/>
    <w:rsid w:val="00213DA4"/>
    <w:rsid w:val="002207EF"/>
    <w:rsid w:val="0022218B"/>
    <w:rsid w:val="002229EF"/>
    <w:rsid w:val="00224710"/>
    <w:rsid w:val="00225A14"/>
    <w:rsid w:val="00234F34"/>
    <w:rsid w:val="00242478"/>
    <w:rsid w:val="0024590C"/>
    <w:rsid w:val="002464EA"/>
    <w:rsid w:val="00246EFA"/>
    <w:rsid w:val="00251FED"/>
    <w:rsid w:val="002546A2"/>
    <w:rsid w:val="0025516E"/>
    <w:rsid w:val="00260AAD"/>
    <w:rsid w:val="00266A0C"/>
    <w:rsid w:val="00272B36"/>
    <w:rsid w:val="00276053"/>
    <w:rsid w:val="002830D2"/>
    <w:rsid w:val="0028418C"/>
    <w:rsid w:val="0028774D"/>
    <w:rsid w:val="002908E8"/>
    <w:rsid w:val="00291454"/>
    <w:rsid w:val="00291932"/>
    <w:rsid w:val="00292C55"/>
    <w:rsid w:val="00292FD9"/>
    <w:rsid w:val="002941DD"/>
    <w:rsid w:val="00295E44"/>
    <w:rsid w:val="0029743D"/>
    <w:rsid w:val="002A177E"/>
    <w:rsid w:val="002A356D"/>
    <w:rsid w:val="002A394C"/>
    <w:rsid w:val="002A5C9A"/>
    <w:rsid w:val="002A5EE6"/>
    <w:rsid w:val="002A786B"/>
    <w:rsid w:val="002B27DE"/>
    <w:rsid w:val="002B68BC"/>
    <w:rsid w:val="002C01C3"/>
    <w:rsid w:val="002C7360"/>
    <w:rsid w:val="002D06D7"/>
    <w:rsid w:val="002D120D"/>
    <w:rsid w:val="002D3D35"/>
    <w:rsid w:val="002D4228"/>
    <w:rsid w:val="002D5563"/>
    <w:rsid w:val="002D5C54"/>
    <w:rsid w:val="002D61B4"/>
    <w:rsid w:val="002D7F0D"/>
    <w:rsid w:val="002E0474"/>
    <w:rsid w:val="002E0A88"/>
    <w:rsid w:val="002E31EE"/>
    <w:rsid w:val="002E4675"/>
    <w:rsid w:val="002E602B"/>
    <w:rsid w:val="002E6C27"/>
    <w:rsid w:val="002E6E80"/>
    <w:rsid w:val="002F14DF"/>
    <w:rsid w:val="002F30D5"/>
    <w:rsid w:val="002F4F76"/>
    <w:rsid w:val="0030172C"/>
    <w:rsid w:val="00303BE0"/>
    <w:rsid w:val="00304C76"/>
    <w:rsid w:val="00306F1F"/>
    <w:rsid w:val="00310181"/>
    <w:rsid w:val="00310960"/>
    <w:rsid w:val="0031713D"/>
    <w:rsid w:val="00317159"/>
    <w:rsid w:val="00317A3D"/>
    <w:rsid w:val="003224FE"/>
    <w:rsid w:val="0032328A"/>
    <w:rsid w:val="00325A54"/>
    <w:rsid w:val="00325B22"/>
    <w:rsid w:val="00325F5C"/>
    <w:rsid w:val="00327AB3"/>
    <w:rsid w:val="003333B0"/>
    <w:rsid w:val="003359D5"/>
    <w:rsid w:val="00336AA2"/>
    <w:rsid w:val="0034135A"/>
    <w:rsid w:val="0034475B"/>
    <w:rsid w:val="00344D39"/>
    <w:rsid w:val="00346165"/>
    <w:rsid w:val="00346EE6"/>
    <w:rsid w:val="00351787"/>
    <w:rsid w:val="00351BA0"/>
    <w:rsid w:val="00352C61"/>
    <w:rsid w:val="0035431C"/>
    <w:rsid w:val="00356681"/>
    <w:rsid w:val="00362D7F"/>
    <w:rsid w:val="003632D9"/>
    <w:rsid w:val="00364DC1"/>
    <w:rsid w:val="0036754F"/>
    <w:rsid w:val="00371697"/>
    <w:rsid w:val="00371849"/>
    <w:rsid w:val="00373185"/>
    <w:rsid w:val="003803D3"/>
    <w:rsid w:val="0038087F"/>
    <w:rsid w:val="003810BC"/>
    <w:rsid w:val="003823CD"/>
    <w:rsid w:val="00383825"/>
    <w:rsid w:val="00386276"/>
    <w:rsid w:val="00386865"/>
    <w:rsid w:val="00392323"/>
    <w:rsid w:val="00393FB0"/>
    <w:rsid w:val="003958E4"/>
    <w:rsid w:val="00395B3A"/>
    <w:rsid w:val="00397F34"/>
    <w:rsid w:val="003A09C7"/>
    <w:rsid w:val="003A0F82"/>
    <w:rsid w:val="003A1CDA"/>
    <w:rsid w:val="003A2393"/>
    <w:rsid w:val="003A6162"/>
    <w:rsid w:val="003A737E"/>
    <w:rsid w:val="003A7AD8"/>
    <w:rsid w:val="003B13E0"/>
    <w:rsid w:val="003C155A"/>
    <w:rsid w:val="003C1921"/>
    <w:rsid w:val="003C2C81"/>
    <w:rsid w:val="003C3CE8"/>
    <w:rsid w:val="003C4583"/>
    <w:rsid w:val="003C546C"/>
    <w:rsid w:val="003D00CD"/>
    <w:rsid w:val="003D0701"/>
    <w:rsid w:val="003D0F3B"/>
    <w:rsid w:val="003D1C1E"/>
    <w:rsid w:val="003D260A"/>
    <w:rsid w:val="003D32E9"/>
    <w:rsid w:val="003D402D"/>
    <w:rsid w:val="003D665E"/>
    <w:rsid w:val="003E09B3"/>
    <w:rsid w:val="003E0D86"/>
    <w:rsid w:val="003E1250"/>
    <w:rsid w:val="003E3ABD"/>
    <w:rsid w:val="003E6118"/>
    <w:rsid w:val="003E62F3"/>
    <w:rsid w:val="003E7AAC"/>
    <w:rsid w:val="003F0AAD"/>
    <w:rsid w:val="003F0E37"/>
    <w:rsid w:val="003F22E2"/>
    <w:rsid w:val="003F4CFF"/>
    <w:rsid w:val="00405AC4"/>
    <w:rsid w:val="00406755"/>
    <w:rsid w:val="00410127"/>
    <w:rsid w:val="004125E1"/>
    <w:rsid w:val="00415C18"/>
    <w:rsid w:val="00415E9C"/>
    <w:rsid w:val="0041776B"/>
    <w:rsid w:val="004220CA"/>
    <w:rsid w:val="004315FE"/>
    <w:rsid w:val="004335B0"/>
    <w:rsid w:val="004343FA"/>
    <w:rsid w:val="0043685D"/>
    <w:rsid w:val="004375B8"/>
    <w:rsid w:val="004520BF"/>
    <w:rsid w:val="004528EA"/>
    <w:rsid w:val="004529E4"/>
    <w:rsid w:val="00462525"/>
    <w:rsid w:val="004648C2"/>
    <w:rsid w:val="00465B29"/>
    <w:rsid w:val="004747B6"/>
    <w:rsid w:val="004766FD"/>
    <w:rsid w:val="00480419"/>
    <w:rsid w:val="00481C48"/>
    <w:rsid w:val="0048201B"/>
    <w:rsid w:val="00482497"/>
    <w:rsid w:val="00482599"/>
    <w:rsid w:val="00483675"/>
    <w:rsid w:val="0048428C"/>
    <w:rsid w:val="00486A36"/>
    <w:rsid w:val="00486E13"/>
    <w:rsid w:val="004915B9"/>
    <w:rsid w:val="0049236B"/>
    <w:rsid w:val="004A1E9F"/>
    <w:rsid w:val="004A650E"/>
    <w:rsid w:val="004A6B0F"/>
    <w:rsid w:val="004C2C98"/>
    <w:rsid w:val="004C3050"/>
    <w:rsid w:val="004C44F1"/>
    <w:rsid w:val="004C5A7D"/>
    <w:rsid w:val="004C6F2A"/>
    <w:rsid w:val="004C7A7A"/>
    <w:rsid w:val="004D2154"/>
    <w:rsid w:val="004E0410"/>
    <w:rsid w:val="004E057A"/>
    <w:rsid w:val="004E17C8"/>
    <w:rsid w:val="004E201A"/>
    <w:rsid w:val="004E296A"/>
    <w:rsid w:val="004E3065"/>
    <w:rsid w:val="004E5097"/>
    <w:rsid w:val="004E5C52"/>
    <w:rsid w:val="004E6782"/>
    <w:rsid w:val="004E687E"/>
    <w:rsid w:val="004F03BE"/>
    <w:rsid w:val="004F3CF5"/>
    <w:rsid w:val="004F67A8"/>
    <w:rsid w:val="004F69DA"/>
    <w:rsid w:val="0050156B"/>
    <w:rsid w:val="00502584"/>
    <w:rsid w:val="005034BC"/>
    <w:rsid w:val="005037D7"/>
    <w:rsid w:val="005046A1"/>
    <w:rsid w:val="0051368F"/>
    <w:rsid w:val="00514176"/>
    <w:rsid w:val="00517480"/>
    <w:rsid w:val="00522DC8"/>
    <w:rsid w:val="00526BD3"/>
    <w:rsid w:val="005300C6"/>
    <w:rsid w:val="00530EBC"/>
    <w:rsid w:val="00531249"/>
    <w:rsid w:val="00532993"/>
    <w:rsid w:val="005331F9"/>
    <w:rsid w:val="005436E9"/>
    <w:rsid w:val="005449EE"/>
    <w:rsid w:val="00552FDF"/>
    <w:rsid w:val="00553011"/>
    <w:rsid w:val="005532B5"/>
    <w:rsid w:val="005570E0"/>
    <w:rsid w:val="0055726C"/>
    <w:rsid w:val="00566283"/>
    <w:rsid w:val="005719D2"/>
    <w:rsid w:val="00571E64"/>
    <w:rsid w:val="00574EFE"/>
    <w:rsid w:val="0057710E"/>
    <w:rsid w:val="00582C7E"/>
    <w:rsid w:val="00584D8D"/>
    <w:rsid w:val="00585FB2"/>
    <w:rsid w:val="00587541"/>
    <w:rsid w:val="00591EE2"/>
    <w:rsid w:val="00592D19"/>
    <w:rsid w:val="00593E7D"/>
    <w:rsid w:val="0059600A"/>
    <w:rsid w:val="00596676"/>
    <w:rsid w:val="00597283"/>
    <w:rsid w:val="005A245F"/>
    <w:rsid w:val="005A26EF"/>
    <w:rsid w:val="005A2743"/>
    <w:rsid w:val="005A2C88"/>
    <w:rsid w:val="005A54D1"/>
    <w:rsid w:val="005A6834"/>
    <w:rsid w:val="005A6F04"/>
    <w:rsid w:val="005A7C53"/>
    <w:rsid w:val="005B24B6"/>
    <w:rsid w:val="005B40AF"/>
    <w:rsid w:val="005B5079"/>
    <w:rsid w:val="005B599E"/>
    <w:rsid w:val="005B5D56"/>
    <w:rsid w:val="005B68BE"/>
    <w:rsid w:val="005C0EBB"/>
    <w:rsid w:val="005C2748"/>
    <w:rsid w:val="005C2CDE"/>
    <w:rsid w:val="005C43BC"/>
    <w:rsid w:val="005C5ECA"/>
    <w:rsid w:val="005C6372"/>
    <w:rsid w:val="005C6E0B"/>
    <w:rsid w:val="005C734D"/>
    <w:rsid w:val="005D0D30"/>
    <w:rsid w:val="005D326C"/>
    <w:rsid w:val="005D4DFD"/>
    <w:rsid w:val="005D5E8D"/>
    <w:rsid w:val="005D655E"/>
    <w:rsid w:val="005E162F"/>
    <w:rsid w:val="005E2D1C"/>
    <w:rsid w:val="005E415E"/>
    <w:rsid w:val="005E5999"/>
    <w:rsid w:val="005E6177"/>
    <w:rsid w:val="005E6F98"/>
    <w:rsid w:val="005F03E3"/>
    <w:rsid w:val="005F0997"/>
    <w:rsid w:val="005F23A5"/>
    <w:rsid w:val="005F4532"/>
    <w:rsid w:val="005F5FDA"/>
    <w:rsid w:val="005F65F8"/>
    <w:rsid w:val="005F66AA"/>
    <w:rsid w:val="005F6B33"/>
    <w:rsid w:val="005F72A8"/>
    <w:rsid w:val="0060087E"/>
    <w:rsid w:val="006107F2"/>
    <w:rsid w:val="0061459A"/>
    <w:rsid w:val="00614E85"/>
    <w:rsid w:val="0061608F"/>
    <w:rsid w:val="006168C6"/>
    <w:rsid w:val="0061706A"/>
    <w:rsid w:val="00620FAB"/>
    <w:rsid w:val="006217D3"/>
    <w:rsid w:val="00624AE9"/>
    <w:rsid w:val="006253C1"/>
    <w:rsid w:val="00627751"/>
    <w:rsid w:val="006277E6"/>
    <w:rsid w:val="00637107"/>
    <w:rsid w:val="00637FCC"/>
    <w:rsid w:val="00640668"/>
    <w:rsid w:val="00643A3B"/>
    <w:rsid w:val="00644468"/>
    <w:rsid w:val="00647530"/>
    <w:rsid w:val="00647800"/>
    <w:rsid w:val="006478EB"/>
    <w:rsid w:val="006479E4"/>
    <w:rsid w:val="00652E91"/>
    <w:rsid w:val="00654709"/>
    <w:rsid w:val="00654894"/>
    <w:rsid w:val="006571FA"/>
    <w:rsid w:val="00657C80"/>
    <w:rsid w:val="0066011E"/>
    <w:rsid w:val="00662BB7"/>
    <w:rsid w:val="00664872"/>
    <w:rsid w:val="006656DD"/>
    <w:rsid w:val="00665B73"/>
    <w:rsid w:val="00667EC9"/>
    <w:rsid w:val="00670F34"/>
    <w:rsid w:val="00672F10"/>
    <w:rsid w:val="006734C7"/>
    <w:rsid w:val="006803FA"/>
    <w:rsid w:val="00683FE9"/>
    <w:rsid w:val="00690BF3"/>
    <w:rsid w:val="00696B6D"/>
    <w:rsid w:val="00696C9F"/>
    <w:rsid w:val="006A575D"/>
    <w:rsid w:val="006B18D5"/>
    <w:rsid w:val="006B1DA9"/>
    <w:rsid w:val="006B3746"/>
    <w:rsid w:val="006B685F"/>
    <w:rsid w:val="006B6A68"/>
    <w:rsid w:val="006C5BCD"/>
    <w:rsid w:val="006D088B"/>
    <w:rsid w:val="006D0D68"/>
    <w:rsid w:val="006D1546"/>
    <w:rsid w:val="006D1FF6"/>
    <w:rsid w:val="006D236B"/>
    <w:rsid w:val="006D5A40"/>
    <w:rsid w:val="006D7BF5"/>
    <w:rsid w:val="006E010F"/>
    <w:rsid w:val="006E124D"/>
    <w:rsid w:val="006E3D41"/>
    <w:rsid w:val="006E5359"/>
    <w:rsid w:val="006F0F9F"/>
    <w:rsid w:val="006F3F7D"/>
    <w:rsid w:val="006F504E"/>
    <w:rsid w:val="006F67BD"/>
    <w:rsid w:val="006F7A3F"/>
    <w:rsid w:val="00700E20"/>
    <w:rsid w:val="00705601"/>
    <w:rsid w:val="00705D14"/>
    <w:rsid w:val="00707625"/>
    <w:rsid w:val="00712268"/>
    <w:rsid w:val="00715142"/>
    <w:rsid w:val="00715B57"/>
    <w:rsid w:val="00720360"/>
    <w:rsid w:val="007209F5"/>
    <w:rsid w:val="00720D6E"/>
    <w:rsid w:val="007213AA"/>
    <w:rsid w:val="007255EB"/>
    <w:rsid w:val="00731CBA"/>
    <w:rsid w:val="00736304"/>
    <w:rsid w:val="00737613"/>
    <w:rsid w:val="00741DDF"/>
    <w:rsid w:val="0074562D"/>
    <w:rsid w:val="0074654C"/>
    <w:rsid w:val="00747CE0"/>
    <w:rsid w:val="00747D36"/>
    <w:rsid w:val="00750B66"/>
    <w:rsid w:val="00750D6A"/>
    <w:rsid w:val="00750D7F"/>
    <w:rsid w:val="00752497"/>
    <w:rsid w:val="00753548"/>
    <w:rsid w:val="0075550E"/>
    <w:rsid w:val="00757C9F"/>
    <w:rsid w:val="00761DB4"/>
    <w:rsid w:val="00765926"/>
    <w:rsid w:val="00765F25"/>
    <w:rsid w:val="00767E2C"/>
    <w:rsid w:val="007716A0"/>
    <w:rsid w:val="007775AB"/>
    <w:rsid w:val="0077782A"/>
    <w:rsid w:val="0078301D"/>
    <w:rsid w:val="00785095"/>
    <w:rsid w:val="00787494"/>
    <w:rsid w:val="007938FD"/>
    <w:rsid w:val="007943C3"/>
    <w:rsid w:val="007945EB"/>
    <w:rsid w:val="00796356"/>
    <w:rsid w:val="007A3BD1"/>
    <w:rsid w:val="007A4A53"/>
    <w:rsid w:val="007A5D6F"/>
    <w:rsid w:val="007B2CE5"/>
    <w:rsid w:val="007B4266"/>
    <w:rsid w:val="007B4FB9"/>
    <w:rsid w:val="007B51F1"/>
    <w:rsid w:val="007B7A15"/>
    <w:rsid w:val="007C2C99"/>
    <w:rsid w:val="007C3F05"/>
    <w:rsid w:val="007C4D72"/>
    <w:rsid w:val="007C6D93"/>
    <w:rsid w:val="007C6DEA"/>
    <w:rsid w:val="007D0F8C"/>
    <w:rsid w:val="007D2009"/>
    <w:rsid w:val="007D52CC"/>
    <w:rsid w:val="007D6BA1"/>
    <w:rsid w:val="007D707D"/>
    <w:rsid w:val="007E1554"/>
    <w:rsid w:val="007E166C"/>
    <w:rsid w:val="007E2163"/>
    <w:rsid w:val="007E29B6"/>
    <w:rsid w:val="007E2A6D"/>
    <w:rsid w:val="007E4935"/>
    <w:rsid w:val="007E50E0"/>
    <w:rsid w:val="007E5E45"/>
    <w:rsid w:val="007F11A6"/>
    <w:rsid w:val="007F3575"/>
    <w:rsid w:val="007F78C7"/>
    <w:rsid w:val="007F7CDE"/>
    <w:rsid w:val="0080408D"/>
    <w:rsid w:val="008068C8"/>
    <w:rsid w:val="00813663"/>
    <w:rsid w:val="0082120E"/>
    <w:rsid w:val="00822155"/>
    <w:rsid w:val="00822B53"/>
    <w:rsid w:val="00822ECD"/>
    <w:rsid w:val="0082579C"/>
    <w:rsid w:val="008313C8"/>
    <w:rsid w:val="00831C2E"/>
    <w:rsid w:val="00832BD7"/>
    <w:rsid w:val="008402A7"/>
    <w:rsid w:val="008428FD"/>
    <w:rsid w:val="00847086"/>
    <w:rsid w:val="00847427"/>
    <w:rsid w:val="00847E51"/>
    <w:rsid w:val="00851FAA"/>
    <w:rsid w:val="00855A87"/>
    <w:rsid w:val="0085637B"/>
    <w:rsid w:val="00856698"/>
    <w:rsid w:val="0086633A"/>
    <w:rsid w:val="008666A8"/>
    <w:rsid w:val="00870E3B"/>
    <w:rsid w:val="00872F89"/>
    <w:rsid w:val="008730AD"/>
    <w:rsid w:val="00873EFF"/>
    <w:rsid w:val="00873FC2"/>
    <w:rsid w:val="00874BDA"/>
    <w:rsid w:val="00874ED2"/>
    <w:rsid w:val="008752B2"/>
    <w:rsid w:val="00876574"/>
    <w:rsid w:val="008772C9"/>
    <w:rsid w:val="00880F33"/>
    <w:rsid w:val="008816E3"/>
    <w:rsid w:val="00881D88"/>
    <w:rsid w:val="00885F1A"/>
    <w:rsid w:val="00886DF4"/>
    <w:rsid w:val="0089122E"/>
    <w:rsid w:val="00894763"/>
    <w:rsid w:val="00894839"/>
    <w:rsid w:val="00894DF5"/>
    <w:rsid w:val="00894F3F"/>
    <w:rsid w:val="008A02B9"/>
    <w:rsid w:val="008A096F"/>
    <w:rsid w:val="008A25A3"/>
    <w:rsid w:val="008A2F3F"/>
    <w:rsid w:val="008A4AC6"/>
    <w:rsid w:val="008A4BD6"/>
    <w:rsid w:val="008A7C31"/>
    <w:rsid w:val="008B0C6E"/>
    <w:rsid w:val="008B57E4"/>
    <w:rsid w:val="008C1624"/>
    <w:rsid w:val="008C279A"/>
    <w:rsid w:val="008C3D29"/>
    <w:rsid w:val="008C4623"/>
    <w:rsid w:val="008C487F"/>
    <w:rsid w:val="008C6414"/>
    <w:rsid w:val="008D3DE1"/>
    <w:rsid w:val="008D5516"/>
    <w:rsid w:val="008D5E63"/>
    <w:rsid w:val="008D7527"/>
    <w:rsid w:val="008D7C25"/>
    <w:rsid w:val="008E009A"/>
    <w:rsid w:val="008E0602"/>
    <w:rsid w:val="008E141A"/>
    <w:rsid w:val="008E2C85"/>
    <w:rsid w:val="008E41EC"/>
    <w:rsid w:val="008F02D8"/>
    <w:rsid w:val="008F1075"/>
    <w:rsid w:val="008F1383"/>
    <w:rsid w:val="008F2906"/>
    <w:rsid w:val="008F3BC4"/>
    <w:rsid w:val="00900533"/>
    <w:rsid w:val="00902B5E"/>
    <w:rsid w:val="00902CC0"/>
    <w:rsid w:val="00902D59"/>
    <w:rsid w:val="009048CA"/>
    <w:rsid w:val="00904B11"/>
    <w:rsid w:val="009112ED"/>
    <w:rsid w:val="00911FF5"/>
    <w:rsid w:val="00912062"/>
    <w:rsid w:val="00912750"/>
    <w:rsid w:val="00914E1E"/>
    <w:rsid w:val="00916B72"/>
    <w:rsid w:val="00922401"/>
    <w:rsid w:val="00923195"/>
    <w:rsid w:val="009267EF"/>
    <w:rsid w:val="00927892"/>
    <w:rsid w:val="00930038"/>
    <w:rsid w:val="00930367"/>
    <w:rsid w:val="00930D70"/>
    <w:rsid w:val="0093381D"/>
    <w:rsid w:val="00933E1A"/>
    <w:rsid w:val="0093628E"/>
    <w:rsid w:val="00940C08"/>
    <w:rsid w:val="009440D2"/>
    <w:rsid w:val="00946A15"/>
    <w:rsid w:val="00951E64"/>
    <w:rsid w:val="0095593F"/>
    <w:rsid w:val="00957567"/>
    <w:rsid w:val="00962A3E"/>
    <w:rsid w:val="00967A4F"/>
    <w:rsid w:val="0097044E"/>
    <w:rsid w:val="00972568"/>
    <w:rsid w:val="00972ECB"/>
    <w:rsid w:val="00976462"/>
    <w:rsid w:val="00981265"/>
    <w:rsid w:val="00981546"/>
    <w:rsid w:val="009818A3"/>
    <w:rsid w:val="00981FA7"/>
    <w:rsid w:val="0098362D"/>
    <w:rsid w:val="00983E3A"/>
    <w:rsid w:val="00984687"/>
    <w:rsid w:val="009847A1"/>
    <w:rsid w:val="0098578B"/>
    <w:rsid w:val="0098771D"/>
    <w:rsid w:val="009906AC"/>
    <w:rsid w:val="009922DC"/>
    <w:rsid w:val="00993927"/>
    <w:rsid w:val="0099476C"/>
    <w:rsid w:val="009957F9"/>
    <w:rsid w:val="0099689D"/>
    <w:rsid w:val="009969CE"/>
    <w:rsid w:val="00996D3C"/>
    <w:rsid w:val="009A4AAD"/>
    <w:rsid w:val="009A4E6D"/>
    <w:rsid w:val="009A6629"/>
    <w:rsid w:val="009A7995"/>
    <w:rsid w:val="009B0AA1"/>
    <w:rsid w:val="009B1C38"/>
    <w:rsid w:val="009B22A7"/>
    <w:rsid w:val="009B2ECB"/>
    <w:rsid w:val="009B3F89"/>
    <w:rsid w:val="009B5E90"/>
    <w:rsid w:val="009C0767"/>
    <w:rsid w:val="009C0FA0"/>
    <w:rsid w:val="009C2F17"/>
    <w:rsid w:val="009C5615"/>
    <w:rsid w:val="009D48A6"/>
    <w:rsid w:val="009D5E1A"/>
    <w:rsid w:val="009D63A6"/>
    <w:rsid w:val="009D7472"/>
    <w:rsid w:val="009E0CA5"/>
    <w:rsid w:val="009E1540"/>
    <w:rsid w:val="009E4CB7"/>
    <w:rsid w:val="009E6B22"/>
    <w:rsid w:val="009F0189"/>
    <w:rsid w:val="00A00D58"/>
    <w:rsid w:val="00A012DF"/>
    <w:rsid w:val="00A0176A"/>
    <w:rsid w:val="00A01929"/>
    <w:rsid w:val="00A03C31"/>
    <w:rsid w:val="00A07014"/>
    <w:rsid w:val="00A10AC7"/>
    <w:rsid w:val="00A1129A"/>
    <w:rsid w:val="00A121B3"/>
    <w:rsid w:val="00A132D9"/>
    <w:rsid w:val="00A1482F"/>
    <w:rsid w:val="00A15109"/>
    <w:rsid w:val="00A16F31"/>
    <w:rsid w:val="00A204EA"/>
    <w:rsid w:val="00A209AB"/>
    <w:rsid w:val="00A23526"/>
    <w:rsid w:val="00A24738"/>
    <w:rsid w:val="00A30051"/>
    <w:rsid w:val="00A3072A"/>
    <w:rsid w:val="00A30A55"/>
    <w:rsid w:val="00A32AAA"/>
    <w:rsid w:val="00A34A80"/>
    <w:rsid w:val="00A37521"/>
    <w:rsid w:val="00A42FBA"/>
    <w:rsid w:val="00A446D5"/>
    <w:rsid w:val="00A44BFD"/>
    <w:rsid w:val="00A479F7"/>
    <w:rsid w:val="00A52416"/>
    <w:rsid w:val="00A524D2"/>
    <w:rsid w:val="00A55600"/>
    <w:rsid w:val="00A60D39"/>
    <w:rsid w:val="00A63E96"/>
    <w:rsid w:val="00A65FF7"/>
    <w:rsid w:val="00A678D3"/>
    <w:rsid w:val="00A730F9"/>
    <w:rsid w:val="00A73768"/>
    <w:rsid w:val="00A74B9F"/>
    <w:rsid w:val="00A74ECF"/>
    <w:rsid w:val="00A81DD3"/>
    <w:rsid w:val="00A85542"/>
    <w:rsid w:val="00A8774F"/>
    <w:rsid w:val="00A90ED7"/>
    <w:rsid w:val="00A91C40"/>
    <w:rsid w:val="00A9335C"/>
    <w:rsid w:val="00A946FF"/>
    <w:rsid w:val="00A94757"/>
    <w:rsid w:val="00AA0298"/>
    <w:rsid w:val="00AA0F8A"/>
    <w:rsid w:val="00AA1800"/>
    <w:rsid w:val="00AA291A"/>
    <w:rsid w:val="00AA312D"/>
    <w:rsid w:val="00AA39F2"/>
    <w:rsid w:val="00AA4363"/>
    <w:rsid w:val="00AA4723"/>
    <w:rsid w:val="00AA4A62"/>
    <w:rsid w:val="00AA5BC0"/>
    <w:rsid w:val="00AA63C8"/>
    <w:rsid w:val="00AB39A1"/>
    <w:rsid w:val="00AB58F5"/>
    <w:rsid w:val="00AC224B"/>
    <w:rsid w:val="00AC2C35"/>
    <w:rsid w:val="00AD0239"/>
    <w:rsid w:val="00AD2BB1"/>
    <w:rsid w:val="00AD524A"/>
    <w:rsid w:val="00AD686B"/>
    <w:rsid w:val="00AD6BB6"/>
    <w:rsid w:val="00AE1CFC"/>
    <w:rsid w:val="00AE2A56"/>
    <w:rsid w:val="00AE2A62"/>
    <w:rsid w:val="00AE6BD7"/>
    <w:rsid w:val="00AE7114"/>
    <w:rsid w:val="00AF05B3"/>
    <w:rsid w:val="00AF2D22"/>
    <w:rsid w:val="00AF345C"/>
    <w:rsid w:val="00AF575F"/>
    <w:rsid w:val="00AF5BD5"/>
    <w:rsid w:val="00AF7052"/>
    <w:rsid w:val="00AF742A"/>
    <w:rsid w:val="00AF747C"/>
    <w:rsid w:val="00B009DA"/>
    <w:rsid w:val="00B00BF6"/>
    <w:rsid w:val="00B03372"/>
    <w:rsid w:val="00B0393E"/>
    <w:rsid w:val="00B059B8"/>
    <w:rsid w:val="00B12D28"/>
    <w:rsid w:val="00B1763C"/>
    <w:rsid w:val="00B2021F"/>
    <w:rsid w:val="00B25D4E"/>
    <w:rsid w:val="00B279D7"/>
    <w:rsid w:val="00B310F5"/>
    <w:rsid w:val="00B353F9"/>
    <w:rsid w:val="00B36ADC"/>
    <w:rsid w:val="00B377C9"/>
    <w:rsid w:val="00B41E18"/>
    <w:rsid w:val="00B443C3"/>
    <w:rsid w:val="00B51C48"/>
    <w:rsid w:val="00B5275A"/>
    <w:rsid w:val="00B52A8F"/>
    <w:rsid w:val="00B56764"/>
    <w:rsid w:val="00B56C0C"/>
    <w:rsid w:val="00B5791E"/>
    <w:rsid w:val="00B603BD"/>
    <w:rsid w:val="00B613E5"/>
    <w:rsid w:val="00B66482"/>
    <w:rsid w:val="00B74A55"/>
    <w:rsid w:val="00B77BE5"/>
    <w:rsid w:val="00B8212D"/>
    <w:rsid w:val="00B83030"/>
    <w:rsid w:val="00B85AAB"/>
    <w:rsid w:val="00B90309"/>
    <w:rsid w:val="00B90858"/>
    <w:rsid w:val="00B921BF"/>
    <w:rsid w:val="00B93D13"/>
    <w:rsid w:val="00B957E1"/>
    <w:rsid w:val="00B9686C"/>
    <w:rsid w:val="00B97BC8"/>
    <w:rsid w:val="00BA1745"/>
    <w:rsid w:val="00BA22D8"/>
    <w:rsid w:val="00BA46B1"/>
    <w:rsid w:val="00BB141F"/>
    <w:rsid w:val="00BB19FB"/>
    <w:rsid w:val="00BB1F8E"/>
    <w:rsid w:val="00BB35DF"/>
    <w:rsid w:val="00BB364C"/>
    <w:rsid w:val="00BB5779"/>
    <w:rsid w:val="00BB6292"/>
    <w:rsid w:val="00BB6639"/>
    <w:rsid w:val="00BB72B7"/>
    <w:rsid w:val="00BC193B"/>
    <w:rsid w:val="00BC1C36"/>
    <w:rsid w:val="00BC6F09"/>
    <w:rsid w:val="00BC6F5F"/>
    <w:rsid w:val="00BD0062"/>
    <w:rsid w:val="00BD2946"/>
    <w:rsid w:val="00BD37EF"/>
    <w:rsid w:val="00BD3F9C"/>
    <w:rsid w:val="00BD4E0F"/>
    <w:rsid w:val="00BD5E28"/>
    <w:rsid w:val="00BD6075"/>
    <w:rsid w:val="00BD74E5"/>
    <w:rsid w:val="00BE0E7F"/>
    <w:rsid w:val="00BE15E1"/>
    <w:rsid w:val="00BE18CE"/>
    <w:rsid w:val="00BE48D6"/>
    <w:rsid w:val="00BF0E7A"/>
    <w:rsid w:val="00BF3571"/>
    <w:rsid w:val="00BF3DAA"/>
    <w:rsid w:val="00BF5AE9"/>
    <w:rsid w:val="00BF77BA"/>
    <w:rsid w:val="00C03A47"/>
    <w:rsid w:val="00C04A52"/>
    <w:rsid w:val="00C10B16"/>
    <w:rsid w:val="00C110CF"/>
    <w:rsid w:val="00C122CF"/>
    <w:rsid w:val="00C15D00"/>
    <w:rsid w:val="00C17D0E"/>
    <w:rsid w:val="00C20D9D"/>
    <w:rsid w:val="00C3005F"/>
    <w:rsid w:val="00C332E6"/>
    <w:rsid w:val="00C345BF"/>
    <w:rsid w:val="00C424BE"/>
    <w:rsid w:val="00C42CAE"/>
    <w:rsid w:val="00C50648"/>
    <w:rsid w:val="00C51680"/>
    <w:rsid w:val="00C518FC"/>
    <w:rsid w:val="00C531E6"/>
    <w:rsid w:val="00C537FE"/>
    <w:rsid w:val="00C53AD9"/>
    <w:rsid w:val="00C55409"/>
    <w:rsid w:val="00C56E91"/>
    <w:rsid w:val="00C63EF8"/>
    <w:rsid w:val="00C67662"/>
    <w:rsid w:val="00C75D4F"/>
    <w:rsid w:val="00C804A9"/>
    <w:rsid w:val="00C822E8"/>
    <w:rsid w:val="00C92CB3"/>
    <w:rsid w:val="00C94F22"/>
    <w:rsid w:val="00C950DC"/>
    <w:rsid w:val="00C97081"/>
    <w:rsid w:val="00CA0BCB"/>
    <w:rsid w:val="00CA15E0"/>
    <w:rsid w:val="00CA68EC"/>
    <w:rsid w:val="00CB15CD"/>
    <w:rsid w:val="00CB186F"/>
    <w:rsid w:val="00CB3A66"/>
    <w:rsid w:val="00CC1F3E"/>
    <w:rsid w:val="00CC2EF2"/>
    <w:rsid w:val="00CC4AC4"/>
    <w:rsid w:val="00CC6060"/>
    <w:rsid w:val="00CC6161"/>
    <w:rsid w:val="00CC6237"/>
    <w:rsid w:val="00CD044B"/>
    <w:rsid w:val="00CD3E44"/>
    <w:rsid w:val="00CD6AE0"/>
    <w:rsid w:val="00CD724F"/>
    <w:rsid w:val="00CE0F3B"/>
    <w:rsid w:val="00CE1D0B"/>
    <w:rsid w:val="00CE2FEF"/>
    <w:rsid w:val="00CE77FB"/>
    <w:rsid w:val="00CF0023"/>
    <w:rsid w:val="00CF0903"/>
    <w:rsid w:val="00CF111D"/>
    <w:rsid w:val="00D005E8"/>
    <w:rsid w:val="00D0091A"/>
    <w:rsid w:val="00D02F0A"/>
    <w:rsid w:val="00D02F1E"/>
    <w:rsid w:val="00D0576B"/>
    <w:rsid w:val="00D0750C"/>
    <w:rsid w:val="00D07592"/>
    <w:rsid w:val="00D1404E"/>
    <w:rsid w:val="00D16931"/>
    <w:rsid w:val="00D179B7"/>
    <w:rsid w:val="00D21874"/>
    <w:rsid w:val="00D24854"/>
    <w:rsid w:val="00D24C53"/>
    <w:rsid w:val="00D269B9"/>
    <w:rsid w:val="00D321AF"/>
    <w:rsid w:val="00D32BE6"/>
    <w:rsid w:val="00D33864"/>
    <w:rsid w:val="00D35655"/>
    <w:rsid w:val="00D357DB"/>
    <w:rsid w:val="00D37A9C"/>
    <w:rsid w:val="00D40244"/>
    <w:rsid w:val="00D40290"/>
    <w:rsid w:val="00D43ABE"/>
    <w:rsid w:val="00D44702"/>
    <w:rsid w:val="00D447F8"/>
    <w:rsid w:val="00D46038"/>
    <w:rsid w:val="00D50A87"/>
    <w:rsid w:val="00D50D3B"/>
    <w:rsid w:val="00D5160D"/>
    <w:rsid w:val="00D52659"/>
    <w:rsid w:val="00D5484C"/>
    <w:rsid w:val="00D54C80"/>
    <w:rsid w:val="00D60660"/>
    <w:rsid w:val="00D626E9"/>
    <w:rsid w:val="00D62958"/>
    <w:rsid w:val="00D702DF"/>
    <w:rsid w:val="00D71638"/>
    <w:rsid w:val="00D7497C"/>
    <w:rsid w:val="00D76E2B"/>
    <w:rsid w:val="00D800B0"/>
    <w:rsid w:val="00D81696"/>
    <w:rsid w:val="00D83734"/>
    <w:rsid w:val="00D86F49"/>
    <w:rsid w:val="00D91758"/>
    <w:rsid w:val="00D95720"/>
    <w:rsid w:val="00D96AED"/>
    <w:rsid w:val="00D97F39"/>
    <w:rsid w:val="00DA01CA"/>
    <w:rsid w:val="00DA06B4"/>
    <w:rsid w:val="00DA5FE5"/>
    <w:rsid w:val="00DA7930"/>
    <w:rsid w:val="00DB05A5"/>
    <w:rsid w:val="00DB10B1"/>
    <w:rsid w:val="00DB1E0A"/>
    <w:rsid w:val="00DB335D"/>
    <w:rsid w:val="00DC04BA"/>
    <w:rsid w:val="00DC0B23"/>
    <w:rsid w:val="00DC1D9A"/>
    <w:rsid w:val="00DC3062"/>
    <w:rsid w:val="00DD02AB"/>
    <w:rsid w:val="00DD103D"/>
    <w:rsid w:val="00DD3365"/>
    <w:rsid w:val="00DD3F59"/>
    <w:rsid w:val="00DD4F22"/>
    <w:rsid w:val="00DD5970"/>
    <w:rsid w:val="00DD5D88"/>
    <w:rsid w:val="00DD6612"/>
    <w:rsid w:val="00DD665D"/>
    <w:rsid w:val="00DE07CA"/>
    <w:rsid w:val="00DE3C09"/>
    <w:rsid w:val="00DE61B3"/>
    <w:rsid w:val="00DE6290"/>
    <w:rsid w:val="00DE7693"/>
    <w:rsid w:val="00DF38EA"/>
    <w:rsid w:val="00DF5749"/>
    <w:rsid w:val="00DF6595"/>
    <w:rsid w:val="00DF729A"/>
    <w:rsid w:val="00E02141"/>
    <w:rsid w:val="00E03228"/>
    <w:rsid w:val="00E03708"/>
    <w:rsid w:val="00E06083"/>
    <w:rsid w:val="00E06966"/>
    <w:rsid w:val="00E14C17"/>
    <w:rsid w:val="00E21711"/>
    <w:rsid w:val="00E237D9"/>
    <w:rsid w:val="00E237EA"/>
    <w:rsid w:val="00E30A44"/>
    <w:rsid w:val="00E319BF"/>
    <w:rsid w:val="00E32F60"/>
    <w:rsid w:val="00E34861"/>
    <w:rsid w:val="00E370D2"/>
    <w:rsid w:val="00E37489"/>
    <w:rsid w:val="00E37D08"/>
    <w:rsid w:val="00E4190C"/>
    <w:rsid w:val="00E44236"/>
    <w:rsid w:val="00E443C4"/>
    <w:rsid w:val="00E51A48"/>
    <w:rsid w:val="00E5242F"/>
    <w:rsid w:val="00E614D6"/>
    <w:rsid w:val="00E61BE8"/>
    <w:rsid w:val="00E67DA8"/>
    <w:rsid w:val="00E7218F"/>
    <w:rsid w:val="00E75201"/>
    <w:rsid w:val="00E75D9A"/>
    <w:rsid w:val="00E8164E"/>
    <w:rsid w:val="00E84355"/>
    <w:rsid w:val="00E8792E"/>
    <w:rsid w:val="00E90CCE"/>
    <w:rsid w:val="00E952A8"/>
    <w:rsid w:val="00E9592A"/>
    <w:rsid w:val="00E97239"/>
    <w:rsid w:val="00EA0748"/>
    <w:rsid w:val="00EA2269"/>
    <w:rsid w:val="00EA45EB"/>
    <w:rsid w:val="00EA4D6F"/>
    <w:rsid w:val="00EA6AD0"/>
    <w:rsid w:val="00EA6BA7"/>
    <w:rsid w:val="00EA7196"/>
    <w:rsid w:val="00EB0470"/>
    <w:rsid w:val="00EB055A"/>
    <w:rsid w:val="00EC3132"/>
    <w:rsid w:val="00EC4F94"/>
    <w:rsid w:val="00EC65BC"/>
    <w:rsid w:val="00ED14F8"/>
    <w:rsid w:val="00ED333E"/>
    <w:rsid w:val="00ED5FCF"/>
    <w:rsid w:val="00ED70BA"/>
    <w:rsid w:val="00ED76F8"/>
    <w:rsid w:val="00EE2C07"/>
    <w:rsid w:val="00EE5A74"/>
    <w:rsid w:val="00EE6C12"/>
    <w:rsid w:val="00EE7119"/>
    <w:rsid w:val="00EF2FCE"/>
    <w:rsid w:val="00EF496C"/>
    <w:rsid w:val="00EF4B44"/>
    <w:rsid w:val="00EF782D"/>
    <w:rsid w:val="00EF7E74"/>
    <w:rsid w:val="00F00316"/>
    <w:rsid w:val="00F04867"/>
    <w:rsid w:val="00F06B84"/>
    <w:rsid w:val="00F10FC0"/>
    <w:rsid w:val="00F13862"/>
    <w:rsid w:val="00F13AB1"/>
    <w:rsid w:val="00F155E3"/>
    <w:rsid w:val="00F16767"/>
    <w:rsid w:val="00F22C3B"/>
    <w:rsid w:val="00F22CAE"/>
    <w:rsid w:val="00F25099"/>
    <w:rsid w:val="00F315A1"/>
    <w:rsid w:val="00F3513D"/>
    <w:rsid w:val="00F35827"/>
    <w:rsid w:val="00F4041E"/>
    <w:rsid w:val="00F40C8F"/>
    <w:rsid w:val="00F42E90"/>
    <w:rsid w:val="00F4409F"/>
    <w:rsid w:val="00F44E88"/>
    <w:rsid w:val="00F464B8"/>
    <w:rsid w:val="00F47239"/>
    <w:rsid w:val="00F472A2"/>
    <w:rsid w:val="00F50BAD"/>
    <w:rsid w:val="00F526CA"/>
    <w:rsid w:val="00F52992"/>
    <w:rsid w:val="00F552DB"/>
    <w:rsid w:val="00F617AE"/>
    <w:rsid w:val="00F62167"/>
    <w:rsid w:val="00F637B3"/>
    <w:rsid w:val="00F6420A"/>
    <w:rsid w:val="00F644FB"/>
    <w:rsid w:val="00F70038"/>
    <w:rsid w:val="00F706C0"/>
    <w:rsid w:val="00F70F7B"/>
    <w:rsid w:val="00F720EF"/>
    <w:rsid w:val="00F72E79"/>
    <w:rsid w:val="00F73797"/>
    <w:rsid w:val="00F74800"/>
    <w:rsid w:val="00F749E1"/>
    <w:rsid w:val="00F75610"/>
    <w:rsid w:val="00F80B71"/>
    <w:rsid w:val="00F8101D"/>
    <w:rsid w:val="00F81BCC"/>
    <w:rsid w:val="00F81FD6"/>
    <w:rsid w:val="00F8398F"/>
    <w:rsid w:val="00F84032"/>
    <w:rsid w:val="00F86080"/>
    <w:rsid w:val="00F87680"/>
    <w:rsid w:val="00F87A50"/>
    <w:rsid w:val="00F91F28"/>
    <w:rsid w:val="00F92041"/>
    <w:rsid w:val="00F92E68"/>
    <w:rsid w:val="00F951D0"/>
    <w:rsid w:val="00F9548E"/>
    <w:rsid w:val="00F9689E"/>
    <w:rsid w:val="00F970FB"/>
    <w:rsid w:val="00F97D99"/>
    <w:rsid w:val="00FA1FF6"/>
    <w:rsid w:val="00FA627E"/>
    <w:rsid w:val="00FB07B5"/>
    <w:rsid w:val="00FB0F11"/>
    <w:rsid w:val="00FB154C"/>
    <w:rsid w:val="00FB1567"/>
    <w:rsid w:val="00FB4584"/>
    <w:rsid w:val="00FB5AA3"/>
    <w:rsid w:val="00FB67D3"/>
    <w:rsid w:val="00FB7F8E"/>
    <w:rsid w:val="00FC204D"/>
    <w:rsid w:val="00FC3B64"/>
    <w:rsid w:val="00FC4CE6"/>
    <w:rsid w:val="00FC7329"/>
    <w:rsid w:val="00FD03E1"/>
    <w:rsid w:val="00FD0E76"/>
    <w:rsid w:val="00FD5D33"/>
    <w:rsid w:val="00FE0057"/>
    <w:rsid w:val="00FE140E"/>
    <w:rsid w:val="00FE3367"/>
    <w:rsid w:val="00FE454D"/>
    <w:rsid w:val="00FE6B67"/>
    <w:rsid w:val="00FE72EF"/>
    <w:rsid w:val="00FF1177"/>
    <w:rsid w:val="01550DA8"/>
    <w:rsid w:val="019D1E90"/>
    <w:rsid w:val="01DC4F4A"/>
    <w:rsid w:val="046870B5"/>
    <w:rsid w:val="050311CD"/>
    <w:rsid w:val="05619038"/>
    <w:rsid w:val="07010FA7"/>
    <w:rsid w:val="073A9CD3"/>
    <w:rsid w:val="09415156"/>
    <w:rsid w:val="09872D9C"/>
    <w:rsid w:val="09D11C76"/>
    <w:rsid w:val="09F27FCA"/>
    <w:rsid w:val="0A8AFC76"/>
    <w:rsid w:val="0C0089B5"/>
    <w:rsid w:val="0C411D1B"/>
    <w:rsid w:val="0D4D2C4B"/>
    <w:rsid w:val="0D761E65"/>
    <w:rsid w:val="0D853CB6"/>
    <w:rsid w:val="0F199AEB"/>
    <w:rsid w:val="0F2D6497"/>
    <w:rsid w:val="0F7168A0"/>
    <w:rsid w:val="0F92FE4F"/>
    <w:rsid w:val="0FF7D528"/>
    <w:rsid w:val="10084A35"/>
    <w:rsid w:val="121C78A1"/>
    <w:rsid w:val="1371D7E1"/>
    <w:rsid w:val="143473B4"/>
    <w:rsid w:val="143C0E9C"/>
    <w:rsid w:val="14B447E6"/>
    <w:rsid w:val="14D2AE3E"/>
    <w:rsid w:val="164F1CFC"/>
    <w:rsid w:val="171801BF"/>
    <w:rsid w:val="17EAED5D"/>
    <w:rsid w:val="18A3E442"/>
    <w:rsid w:val="19251EC9"/>
    <w:rsid w:val="1989EF5A"/>
    <w:rsid w:val="1CA56482"/>
    <w:rsid w:val="1DD12AB5"/>
    <w:rsid w:val="1DD21374"/>
    <w:rsid w:val="1DF057FE"/>
    <w:rsid w:val="1F15A667"/>
    <w:rsid w:val="1F9A8B7D"/>
    <w:rsid w:val="1FCBA2E1"/>
    <w:rsid w:val="211185D9"/>
    <w:rsid w:val="231848A0"/>
    <w:rsid w:val="25928CA7"/>
    <w:rsid w:val="26204D17"/>
    <w:rsid w:val="27566F04"/>
    <w:rsid w:val="27823F48"/>
    <w:rsid w:val="296438AB"/>
    <w:rsid w:val="29AC9D29"/>
    <w:rsid w:val="2A9F403C"/>
    <w:rsid w:val="2C37D588"/>
    <w:rsid w:val="2C93BA21"/>
    <w:rsid w:val="2D17BF3B"/>
    <w:rsid w:val="2D6130E6"/>
    <w:rsid w:val="2E14A486"/>
    <w:rsid w:val="2E3431FF"/>
    <w:rsid w:val="314C4548"/>
    <w:rsid w:val="31F04EC9"/>
    <w:rsid w:val="341AB0D6"/>
    <w:rsid w:val="355E4432"/>
    <w:rsid w:val="35B08622"/>
    <w:rsid w:val="35DB44A8"/>
    <w:rsid w:val="38E08A37"/>
    <w:rsid w:val="3957572D"/>
    <w:rsid w:val="39F71F68"/>
    <w:rsid w:val="3A3C2F38"/>
    <w:rsid w:val="3AF3278E"/>
    <w:rsid w:val="3C8D258C"/>
    <w:rsid w:val="3CBF4DE7"/>
    <w:rsid w:val="3D48CFCE"/>
    <w:rsid w:val="3D73CFFA"/>
    <w:rsid w:val="3E16E8D9"/>
    <w:rsid w:val="3E8F2D8C"/>
    <w:rsid w:val="3F1300AE"/>
    <w:rsid w:val="3F9859F3"/>
    <w:rsid w:val="40184282"/>
    <w:rsid w:val="404818E4"/>
    <w:rsid w:val="41B6D3EE"/>
    <w:rsid w:val="42239EDD"/>
    <w:rsid w:val="4253BE1E"/>
    <w:rsid w:val="4276C942"/>
    <w:rsid w:val="43C531B5"/>
    <w:rsid w:val="43F76538"/>
    <w:rsid w:val="44405C07"/>
    <w:rsid w:val="4590A483"/>
    <w:rsid w:val="45A5B23A"/>
    <w:rsid w:val="465E0FFC"/>
    <w:rsid w:val="478D8794"/>
    <w:rsid w:val="47B4B472"/>
    <w:rsid w:val="499E007C"/>
    <w:rsid w:val="49BFDBCB"/>
    <w:rsid w:val="49DADDED"/>
    <w:rsid w:val="4BCAEBA0"/>
    <w:rsid w:val="4C76BD5B"/>
    <w:rsid w:val="4CAD093F"/>
    <w:rsid w:val="4CBE4416"/>
    <w:rsid w:val="4D8D80D7"/>
    <w:rsid w:val="4ED0699E"/>
    <w:rsid w:val="4F0ED967"/>
    <w:rsid w:val="4F480840"/>
    <w:rsid w:val="503E201C"/>
    <w:rsid w:val="520C8629"/>
    <w:rsid w:val="531C4AC3"/>
    <w:rsid w:val="54309D7A"/>
    <w:rsid w:val="54526F7B"/>
    <w:rsid w:val="55900DBE"/>
    <w:rsid w:val="55A97030"/>
    <w:rsid w:val="56FA2082"/>
    <w:rsid w:val="58774BE4"/>
    <w:rsid w:val="5895F0E3"/>
    <w:rsid w:val="59689DF3"/>
    <w:rsid w:val="59F3E962"/>
    <w:rsid w:val="5AD8C276"/>
    <w:rsid w:val="5AE309CD"/>
    <w:rsid w:val="5B5535FA"/>
    <w:rsid w:val="5BE38DDC"/>
    <w:rsid w:val="5D0E69E8"/>
    <w:rsid w:val="5D7C2959"/>
    <w:rsid w:val="5D8679FD"/>
    <w:rsid w:val="5D9DC79F"/>
    <w:rsid w:val="5DB52969"/>
    <w:rsid w:val="5DFB03CE"/>
    <w:rsid w:val="5E3F70AE"/>
    <w:rsid w:val="5EB65D4F"/>
    <w:rsid w:val="5EEC0A0A"/>
    <w:rsid w:val="5FE8CBBC"/>
    <w:rsid w:val="60973183"/>
    <w:rsid w:val="617B6BE4"/>
    <w:rsid w:val="62773CBF"/>
    <w:rsid w:val="638335E4"/>
    <w:rsid w:val="6421D4F0"/>
    <w:rsid w:val="64263180"/>
    <w:rsid w:val="644061EC"/>
    <w:rsid w:val="654ED18A"/>
    <w:rsid w:val="656C4C8B"/>
    <w:rsid w:val="65E2DB8C"/>
    <w:rsid w:val="665409C9"/>
    <w:rsid w:val="66B0CE28"/>
    <w:rsid w:val="67B0986F"/>
    <w:rsid w:val="67CF8B09"/>
    <w:rsid w:val="696B5B6A"/>
    <w:rsid w:val="6A7C4AA7"/>
    <w:rsid w:val="6A9772B9"/>
    <w:rsid w:val="6B6D9FB3"/>
    <w:rsid w:val="6B820DA2"/>
    <w:rsid w:val="6BC337FF"/>
    <w:rsid w:val="6BDD2F00"/>
    <w:rsid w:val="6C819D95"/>
    <w:rsid w:val="6CA2FC2C"/>
    <w:rsid w:val="6CFCAB29"/>
    <w:rsid w:val="6CFCF313"/>
    <w:rsid w:val="6D9B3A42"/>
    <w:rsid w:val="6DB3EB69"/>
    <w:rsid w:val="70F2AAEA"/>
    <w:rsid w:val="71024D40"/>
    <w:rsid w:val="7365442B"/>
    <w:rsid w:val="74039EA6"/>
    <w:rsid w:val="744001DB"/>
    <w:rsid w:val="74556B53"/>
    <w:rsid w:val="75603481"/>
    <w:rsid w:val="758067BC"/>
    <w:rsid w:val="7584E048"/>
    <w:rsid w:val="7662D0C0"/>
    <w:rsid w:val="769F41BE"/>
    <w:rsid w:val="77644FD9"/>
    <w:rsid w:val="77C9BA7C"/>
    <w:rsid w:val="78C173AD"/>
    <w:rsid w:val="79D138A6"/>
    <w:rsid w:val="7B6D0907"/>
    <w:rsid w:val="7BAE672B"/>
    <w:rsid w:val="7C3D4C3C"/>
    <w:rsid w:val="7CB6E90F"/>
    <w:rsid w:val="7D1F93DE"/>
    <w:rsid w:val="7DD91C9D"/>
    <w:rsid w:val="7F7AA4DD"/>
    <w:rsid w:val="7FD5212E"/>
    <w:rsid w:val="7FF973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C9211"/>
  <w15:docId w15:val="{4D3C124A-AE3B-4482-A8AF-522C58FC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F05B3"/>
    <w:pPr>
      <w:jc w:val="both"/>
    </w:pPr>
    <w:rPr>
      <w:sz w:val="24"/>
    </w:rPr>
  </w:style>
  <w:style w:type="paragraph" w:styleId="Nadpis1">
    <w:name w:val="heading 1"/>
    <w:basedOn w:val="Normln"/>
    <w:next w:val="Normln"/>
    <w:link w:val="Nadpis1Char"/>
    <w:qFormat/>
    <w:rsid w:val="00AF05B3"/>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AF05B3"/>
    <w:pPr>
      <w:keepNext/>
      <w:numPr>
        <w:numId w:val="14"/>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E75201"/>
    <w:pPr>
      <w:keepNext/>
      <w:keepLines/>
      <w:numPr>
        <w:ilvl w:val="1"/>
        <w:numId w:val="14"/>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E75201"/>
    <w:pPr>
      <w:keepNext/>
      <w:numPr>
        <w:ilvl w:val="2"/>
        <w:numId w:val="14"/>
      </w:numPr>
      <w:spacing w:before="240" w:after="120"/>
      <w:jc w:val="left"/>
      <w:outlineLvl w:val="3"/>
    </w:pPr>
    <w:rPr>
      <w:rFonts w:eastAsiaTheme="majorEastAsia" w:cs="Arial"/>
      <w:b/>
      <w:bCs/>
      <w:iCs/>
      <w:szCs w:val="24"/>
    </w:rPr>
  </w:style>
  <w:style w:type="paragraph" w:styleId="Nadpis5">
    <w:name w:val="heading 5"/>
    <w:basedOn w:val="Normln"/>
    <w:next w:val="Normln"/>
    <w:link w:val="Nadpis5Char"/>
    <w:uiPriority w:val="9"/>
    <w:unhideWhenUsed/>
    <w:qFormat/>
    <w:rsid w:val="00E75201"/>
    <w:pPr>
      <w:keepNext/>
      <w:keepLines/>
      <w:numPr>
        <w:ilvl w:val="3"/>
        <w:numId w:val="14"/>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E75201"/>
    <w:pPr>
      <w:keepNext/>
      <w:keepLines/>
      <w:spacing w:before="40"/>
      <w:outlineLvl w:val="5"/>
    </w:pPr>
    <w:rPr>
      <w:rFonts w:eastAsiaTheme="majorEastAsia" w:cstheme="majorBidi"/>
      <w:b/>
      <w:i/>
    </w:rPr>
  </w:style>
  <w:style w:type="paragraph" w:styleId="Nadpis7">
    <w:name w:val="heading 7"/>
    <w:basedOn w:val="Normln"/>
    <w:next w:val="Normln"/>
    <w:link w:val="Nadpis7Char"/>
    <w:uiPriority w:val="9"/>
    <w:unhideWhenUsed/>
    <w:qFormat/>
    <w:rsid w:val="00AF05B3"/>
    <w:pPr>
      <w:keepNext/>
      <w:keepLines/>
      <w:numPr>
        <w:ilvl w:val="6"/>
        <w:numId w:val="2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F05B3"/>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F05B3"/>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05B3"/>
    <w:pPr>
      <w:tabs>
        <w:tab w:val="center" w:pos="4536"/>
        <w:tab w:val="right" w:pos="9072"/>
      </w:tabs>
    </w:pPr>
  </w:style>
  <w:style w:type="paragraph" w:customStyle="1" w:styleId="Textparagrafu">
    <w:name w:val="Text paragrafu"/>
    <w:basedOn w:val="Normln"/>
    <w:rsid w:val="00AF05B3"/>
    <w:pPr>
      <w:spacing w:before="240"/>
      <w:ind w:firstLine="425"/>
      <w:outlineLvl w:val="5"/>
    </w:pPr>
  </w:style>
  <w:style w:type="paragraph" w:customStyle="1" w:styleId="Paragraf">
    <w:name w:val="Paragraf"/>
    <w:basedOn w:val="Normln"/>
    <w:next w:val="Textodstavce"/>
    <w:link w:val="ParagrafChar"/>
    <w:rsid w:val="00AF05B3"/>
    <w:pPr>
      <w:keepNext/>
      <w:keepLines/>
      <w:numPr>
        <w:numId w:val="21"/>
      </w:numPr>
      <w:spacing w:before="240"/>
      <w:jc w:val="center"/>
      <w:outlineLvl w:val="5"/>
    </w:pPr>
  </w:style>
  <w:style w:type="paragraph" w:customStyle="1" w:styleId="Oddl">
    <w:name w:val="Oddíl"/>
    <w:basedOn w:val="Normln"/>
    <w:next w:val="Nadpisoddlu"/>
    <w:rsid w:val="00AF05B3"/>
    <w:pPr>
      <w:keepNext/>
      <w:keepLines/>
      <w:spacing w:before="240"/>
      <w:jc w:val="center"/>
      <w:outlineLvl w:val="4"/>
    </w:pPr>
  </w:style>
  <w:style w:type="paragraph" w:customStyle="1" w:styleId="Nadpisoddlu">
    <w:name w:val="Nadpis oddílu"/>
    <w:basedOn w:val="Normln"/>
    <w:next w:val="Paragraf"/>
    <w:rsid w:val="00AF05B3"/>
    <w:pPr>
      <w:keepNext/>
      <w:keepLines/>
      <w:jc w:val="center"/>
      <w:outlineLvl w:val="4"/>
    </w:pPr>
    <w:rPr>
      <w:b/>
    </w:rPr>
  </w:style>
  <w:style w:type="paragraph" w:customStyle="1" w:styleId="Dl">
    <w:name w:val="Díl"/>
    <w:basedOn w:val="Normln"/>
    <w:next w:val="Nadpisdlu"/>
    <w:rsid w:val="00AF05B3"/>
    <w:pPr>
      <w:keepNext/>
      <w:keepLines/>
      <w:spacing w:before="240"/>
      <w:jc w:val="center"/>
      <w:outlineLvl w:val="3"/>
    </w:pPr>
  </w:style>
  <w:style w:type="paragraph" w:customStyle="1" w:styleId="Nadpisdlu">
    <w:name w:val="Nadpis dílu"/>
    <w:basedOn w:val="Normln"/>
    <w:next w:val="Oddl"/>
    <w:rsid w:val="00AF05B3"/>
    <w:pPr>
      <w:keepNext/>
      <w:keepLines/>
      <w:jc w:val="center"/>
      <w:outlineLvl w:val="3"/>
    </w:pPr>
    <w:rPr>
      <w:b/>
    </w:rPr>
  </w:style>
  <w:style w:type="paragraph" w:customStyle="1" w:styleId="Hlava">
    <w:name w:val="Hlava"/>
    <w:basedOn w:val="Normln"/>
    <w:next w:val="Nadpishlavy"/>
    <w:rsid w:val="00AF05B3"/>
    <w:pPr>
      <w:keepNext/>
      <w:keepLines/>
      <w:spacing w:before="240"/>
      <w:jc w:val="center"/>
      <w:outlineLvl w:val="2"/>
    </w:pPr>
  </w:style>
  <w:style w:type="paragraph" w:customStyle="1" w:styleId="Nadpishlavy">
    <w:name w:val="Nadpis hlavy"/>
    <w:basedOn w:val="Normln"/>
    <w:next w:val="Dl"/>
    <w:rsid w:val="00AF05B3"/>
    <w:pPr>
      <w:keepNext/>
      <w:keepLines/>
      <w:jc w:val="center"/>
      <w:outlineLvl w:val="2"/>
    </w:pPr>
    <w:rPr>
      <w:b/>
    </w:rPr>
  </w:style>
  <w:style w:type="paragraph" w:customStyle="1" w:styleId="ST">
    <w:name w:val="ČÁST"/>
    <w:basedOn w:val="Normln"/>
    <w:next w:val="NADPISSTI"/>
    <w:rsid w:val="00AF05B3"/>
    <w:pPr>
      <w:keepNext/>
      <w:keepLines/>
      <w:spacing w:before="240" w:after="120"/>
      <w:jc w:val="center"/>
      <w:outlineLvl w:val="1"/>
    </w:pPr>
    <w:rPr>
      <w:caps/>
    </w:rPr>
  </w:style>
  <w:style w:type="paragraph" w:customStyle="1" w:styleId="NADPISSTI">
    <w:name w:val="NADPIS ČÁSTI"/>
    <w:basedOn w:val="Normln"/>
    <w:next w:val="Hlava"/>
    <w:link w:val="NADPISSTIChar"/>
    <w:rsid w:val="00AF05B3"/>
    <w:pPr>
      <w:keepNext/>
      <w:keepLines/>
      <w:jc w:val="center"/>
      <w:outlineLvl w:val="1"/>
    </w:pPr>
    <w:rPr>
      <w:b/>
    </w:rPr>
  </w:style>
  <w:style w:type="paragraph" w:customStyle="1" w:styleId="ZKON">
    <w:name w:val="ZÁKON"/>
    <w:basedOn w:val="Normln"/>
    <w:next w:val="nadpiszkona"/>
    <w:rsid w:val="00AF05B3"/>
    <w:pPr>
      <w:keepNext/>
      <w:keepLines/>
      <w:jc w:val="center"/>
      <w:outlineLvl w:val="0"/>
    </w:pPr>
    <w:rPr>
      <w:b/>
      <w:caps/>
    </w:rPr>
  </w:style>
  <w:style w:type="paragraph" w:customStyle="1" w:styleId="nadpiszkona">
    <w:name w:val="nadpis zákona"/>
    <w:basedOn w:val="Normln"/>
    <w:next w:val="Parlament"/>
    <w:rsid w:val="00AF05B3"/>
    <w:pPr>
      <w:keepNext/>
      <w:keepLines/>
      <w:spacing w:before="120"/>
      <w:jc w:val="center"/>
      <w:outlineLvl w:val="0"/>
    </w:pPr>
    <w:rPr>
      <w:b/>
    </w:rPr>
  </w:style>
  <w:style w:type="paragraph" w:customStyle="1" w:styleId="Parlament">
    <w:name w:val="Parlament"/>
    <w:basedOn w:val="Normln"/>
    <w:next w:val="ST"/>
    <w:rsid w:val="00AF05B3"/>
    <w:pPr>
      <w:keepNext/>
      <w:keepLines/>
      <w:spacing w:before="360" w:after="240"/>
    </w:pPr>
  </w:style>
  <w:style w:type="paragraph" w:customStyle="1" w:styleId="Textlnku">
    <w:name w:val="Text článku"/>
    <w:basedOn w:val="Normln"/>
    <w:link w:val="TextlnkuChar"/>
    <w:rsid w:val="00AF05B3"/>
    <w:pPr>
      <w:spacing w:before="240"/>
      <w:ind w:firstLine="425"/>
      <w:outlineLvl w:val="5"/>
    </w:pPr>
  </w:style>
  <w:style w:type="paragraph" w:customStyle="1" w:styleId="lnek">
    <w:name w:val="Článek"/>
    <w:basedOn w:val="Normln"/>
    <w:next w:val="Textodstavce"/>
    <w:link w:val="lnekChar"/>
    <w:rsid w:val="00AF05B3"/>
    <w:pPr>
      <w:keepNext/>
      <w:keepLines/>
      <w:numPr>
        <w:ilvl w:val="1"/>
        <w:numId w:val="21"/>
      </w:numPr>
      <w:spacing w:before="240"/>
      <w:jc w:val="center"/>
      <w:outlineLvl w:val="5"/>
    </w:pPr>
  </w:style>
  <w:style w:type="paragraph" w:customStyle="1" w:styleId="CELEX">
    <w:name w:val="CELEX"/>
    <w:basedOn w:val="Normln"/>
    <w:next w:val="Normln"/>
    <w:rsid w:val="00AF05B3"/>
    <w:pPr>
      <w:spacing w:before="60"/>
    </w:pPr>
    <w:rPr>
      <w:i/>
      <w:sz w:val="20"/>
    </w:rPr>
  </w:style>
  <w:style w:type="paragraph" w:customStyle="1" w:styleId="funkce">
    <w:name w:val="funkce"/>
    <w:basedOn w:val="Normln"/>
    <w:rsid w:val="00AF05B3"/>
    <w:pPr>
      <w:keepLines/>
      <w:jc w:val="center"/>
    </w:pPr>
  </w:style>
  <w:style w:type="paragraph" w:customStyle="1" w:styleId="Psmeno">
    <w:name w:val="&quot;Písmeno&quot;"/>
    <w:basedOn w:val="Normln"/>
    <w:next w:val="Normln"/>
    <w:rsid w:val="00AF05B3"/>
    <w:pPr>
      <w:keepNext/>
      <w:keepLines/>
      <w:ind w:left="425" w:hanging="425"/>
    </w:pPr>
  </w:style>
  <w:style w:type="paragraph" w:customStyle="1" w:styleId="Oznaenpozmn">
    <w:name w:val="Označení pozm.n."/>
    <w:basedOn w:val="Normln"/>
    <w:next w:val="Normln"/>
    <w:rsid w:val="00AF05B3"/>
    <w:pPr>
      <w:numPr>
        <w:numId w:val="2"/>
      </w:numPr>
      <w:spacing w:after="120"/>
    </w:pPr>
    <w:rPr>
      <w:b/>
    </w:rPr>
  </w:style>
  <w:style w:type="paragraph" w:customStyle="1" w:styleId="Textpozmn">
    <w:name w:val="Text pozm.n."/>
    <w:basedOn w:val="Normln"/>
    <w:next w:val="Normln"/>
    <w:rsid w:val="00AF05B3"/>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AF05B3"/>
    <w:pPr>
      <w:keepNext/>
      <w:keepLines/>
      <w:numPr>
        <w:numId w:val="24"/>
      </w:numPr>
      <w:tabs>
        <w:tab w:val="left" w:pos="851"/>
      </w:tabs>
      <w:spacing w:before="480" w:after="120"/>
    </w:pPr>
  </w:style>
  <w:style w:type="paragraph" w:customStyle="1" w:styleId="Novelizanbodvpozmn">
    <w:name w:val="Novelizační bod v pozm.n."/>
    <w:basedOn w:val="Normln"/>
    <w:next w:val="Normln"/>
    <w:rsid w:val="00AF05B3"/>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rsid w:val="00AF05B3"/>
    <w:pPr>
      <w:keepNext/>
      <w:keepLines/>
      <w:spacing w:after="120"/>
      <w:jc w:val="center"/>
    </w:pPr>
    <w:rPr>
      <w:b/>
      <w:sz w:val="32"/>
    </w:rPr>
  </w:style>
  <w:style w:type="paragraph" w:customStyle="1" w:styleId="Textbodu">
    <w:name w:val="Text bodu"/>
    <w:basedOn w:val="Normln"/>
    <w:rsid w:val="00AF05B3"/>
    <w:pPr>
      <w:numPr>
        <w:ilvl w:val="4"/>
        <w:numId w:val="21"/>
      </w:numPr>
      <w:outlineLvl w:val="8"/>
    </w:pPr>
  </w:style>
  <w:style w:type="paragraph" w:customStyle="1" w:styleId="Textpsmene">
    <w:name w:val="Text písmene"/>
    <w:basedOn w:val="Normln"/>
    <w:link w:val="TextpsmeneChar1"/>
    <w:rsid w:val="00AF05B3"/>
    <w:pPr>
      <w:numPr>
        <w:ilvl w:val="3"/>
        <w:numId w:val="21"/>
      </w:numPr>
      <w:outlineLvl w:val="7"/>
    </w:pPr>
  </w:style>
  <w:style w:type="character" w:customStyle="1" w:styleId="Odkaznapoznpodarou">
    <w:name w:val="Odkaz na pozn. pod čarou"/>
    <w:rsid w:val="00AF05B3"/>
    <w:rPr>
      <w:vertAlign w:val="superscript"/>
    </w:rPr>
  </w:style>
  <w:style w:type="paragraph" w:customStyle="1" w:styleId="Dvodovzprva">
    <w:name w:val="Důvodová zpráva"/>
    <w:basedOn w:val="Normln"/>
    <w:link w:val="DvodovzprvaChar"/>
    <w:uiPriority w:val="99"/>
    <w:qFormat/>
    <w:rsid w:val="00E75201"/>
    <w:pPr>
      <w:spacing w:before="120"/>
    </w:pPr>
  </w:style>
  <w:style w:type="paragraph" w:customStyle="1" w:styleId="Textodstavce">
    <w:name w:val="Text odstavce"/>
    <w:basedOn w:val="Normln"/>
    <w:link w:val="TextodstavceChar"/>
    <w:rsid w:val="00AF05B3"/>
    <w:pPr>
      <w:numPr>
        <w:ilvl w:val="2"/>
        <w:numId w:val="21"/>
      </w:numPr>
      <w:tabs>
        <w:tab w:val="left" w:pos="851"/>
      </w:tabs>
      <w:spacing w:before="120" w:after="120"/>
      <w:outlineLvl w:val="6"/>
    </w:pPr>
  </w:style>
  <w:style w:type="paragraph" w:customStyle="1" w:styleId="Textbodunovely">
    <w:name w:val="Text bodu novely"/>
    <w:basedOn w:val="Normln"/>
    <w:next w:val="Normln"/>
    <w:rsid w:val="00AF05B3"/>
    <w:pPr>
      <w:ind w:left="567" w:hanging="567"/>
    </w:pPr>
  </w:style>
  <w:style w:type="character" w:styleId="slostrnky">
    <w:name w:val="page number"/>
    <w:basedOn w:val="Standardnpsmoodstavce"/>
    <w:rsid w:val="00AF05B3"/>
  </w:style>
  <w:style w:type="paragraph" w:styleId="Zpat">
    <w:name w:val="footer"/>
    <w:basedOn w:val="Normln"/>
    <w:link w:val="ZpatChar"/>
    <w:rsid w:val="00AF05B3"/>
    <w:pPr>
      <w:tabs>
        <w:tab w:val="center" w:pos="4536"/>
        <w:tab w:val="right" w:pos="9072"/>
      </w:tabs>
    </w:pPr>
  </w:style>
  <w:style w:type="paragraph" w:styleId="Textpoznpodarou">
    <w:name w:val="footnote text"/>
    <w:basedOn w:val="Normln"/>
    <w:link w:val="TextpoznpodarouChar"/>
    <w:uiPriority w:val="99"/>
    <w:semiHidden/>
    <w:rsid w:val="00A16F31"/>
    <w:rPr>
      <w:sz w:val="20"/>
    </w:rPr>
  </w:style>
  <w:style w:type="character" w:styleId="Znakapoznpodarou">
    <w:name w:val="footnote reference"/>
    <w:uiPriority w:val="99"/>
    <w:semiHidden/>
    <w:rsid w:val="00AF05B3"/>
    <w:rPr>
      <w:vertAlign w:val="superscript"/>
    </w:rPr>
  </w:style>
  <w:style w:type="paragraph" w:styleId="Titulek">
    <w:name w:val="caption"/>
    <w:basedOn w:val="Dvodovzprva"/>
    <w:next w:val="Normln"/>
    <w:link w:val="TitulekChar"/>
    <w:qFormat/>
    <w:rsid w:val="00AF05B3"/>
    <w:pPr>
      <w:spacing w:after="120"/>
    </w:pPr>
    <w:rPr>
      <w:b/>
    </w:rPr>
  </w:style>
  <w:style w:type="paragraph" w:customStyle="1" w:styleId="Nvrh">
    <w:name w:val="Návrh"/>
    <w:basedOn w:val="Normln"/>
    <w:next w:val="ZKON"/>
    <w:rsid w:val="00AF05B3"/>
    <w:pPr>
      <w:keepNext/>
      <w:keepLines/>
      <w:spacing w:after="240"/>
      <w:jc w:val="center"/>
      <w:outlineLvl w:val="0"/>
    </w:pPr>
    <w:rPr>
      <w:spacing w:val="40"/>
    </w:rPr>
  </w:style>
  <w:style w:type="paragraph" w:customStyle="1" w:styleId="Podpis">
    <w:name w:val="Podpis_"/>
    <w:basedOn w:val="Normln"/>
    <w:next w:val="funkce"/>
    <w:rsid w:val="00AF05B3"/>
    <w:pPr>
      <w:keepNext/>
      <w:keepLines/>
      <w:spacing w:before="720"/>
      <w:jc w:val="center"/>
    </w:pPr>
  </w:style>
  <w:style w:type="paragraph" w:customStyle="1" w:styleId="Dvodovzprvakbodu">
    <w:name w:val="Důvodová zpráva (k bodu)"/>
    <w:basedOn w:val="Dvodovzprva"/>
    <w:next w:val="Dvodovzprva"/>
    <w:qFormat/>
    <w:rsid w:val="00AF05B3"/>
    <w:pPr>
      <w:keepNext/>
      <w:numPr>
        <w:numId w:val="29"/>
      </w:numPr>
    </w:pPr>
    <w:rPr>
      <w:b/>
    </w:rPr>
  </w:style>
  <w:style w:type="paragraph" w:customStyle="1" w:styleId="VARIANTA">
    <w:name w:val="VARIANTA"/>
    <w:basedOn w:val="Normln"/>
    <w:next w:val="Normln"/>
    <w:rsid w:val="00AF05B3"/>
    <w:pPr>
      <w:keepNext/>
      <w:spacing w:before="120" w:after="120"/>
    </w:pPr>
    <w:rPr>
      <w:caps/>
      <w:spacing w:val="60"/>
    </w:rPr>
  </w:style>
  <w:style w:type="paragraph" w:customStyle="1" w:styleId="VARIANTA-konec">
    <w:name w:val="VARIANTA - konec"/>
    <w:basedOn w:val="Normln"/>
    <w:next w:val="Normln"/>
    <w:rsid w:val="00AF05B3"/>
    <w:rPr>
      <w:caps/>
      <w:spacing w:val="60"/>
    </w:rPr>
  </w:style>
  <w:style w:type="paragraph" w:customStyle="1" w:styleId="Nadpisparagrafu">
    <w:name w:val="Nadpis paragrafu"/>
    <w:basedOn w:val="Paragraf"/>
    <w:next w:val="Textodstavce"/>
    <w:link w:val="NadpisparagrafuChar2"/>
    <w:rsid w:val="00AF05B3"/>
    <w:rPr>
      <w:b/>
    </w:rPr>
  </w:style>
  <w:style w:type="paragraph" w:customStyle="1" w:styleId="Nadpislnku">
    <w:name w:val="Nadpis článku"/>
    <w:basedOn w:val="lnek"/>
    <w:next w:val="Textodstavce"/>
    <w:rsid w:val="00AF05B3"/>
    <w:rPr>
      <w:b/>
    </w:rPr>
  </w:style>
  <w:style w:type="character" w:customStyle="1" w:styleId="DvodovzprvaChar">
    <w:name w:val="Důvodová zpráva Char"/>
    <w:link w:val="Dvodovzprva"/>
    <w:uiPriority w:val="99"/>
    <w:locked/>
    <w:rsid w:val="00E75201"/>
    <w:rPr>
      <w:sz w:val="24"/>
    </w:rPr>
  </w:style>
  <w:style w:type="paragraph" w:customStyle="1" w:styleId="Dvodovzprvaknovlnku">
    <w:name w:val="Důvodová zpráva (k nov. článku)"/>
    <w:basedOn w:val="Dvodovzprvakbodu"/>
    <w:next w:val="Dvodovzprva"/>
    <w:qFormat/>
    <w:rsid w:val="00AF05B3"/>
    <w:pPr>
      <w:numPr>
        <w:numId w:val="4"/>
      </w:numPr>
    </w:pPr>
  </w:style>
  <w:style w:type="paragraph" w:customStyle="1" w:styleId="Dvodovzprvaksti">
    <w:name w:val="Důvodová zpráva (k části)"/>
    <w:basedOn w:val="Dvodovzprva"/>
    <w:next w:val="Dvodovzprva"/>
    <w:qFormat/>
    <w:rsid w:val="00AF05B3"/>
    <w:pPr>
      <w:keepNext/>
    </w:pPr>
    <w:rPr>
      <w:b/>
      <w:sz w:val="28"/>
    </w:rPr>
  </w:style>
  <w:style w:type="paragraph" w:customStyle="1" w:styleId="Nadpispododdlu">
    <w:name w:val="Nadpis pododdílu"/>
    <w:basedOn w:val="Nadpisoddlu"/>
    <w:qFormat/>
    <w:rsid w:val="00AF05B3"/>
  </w:style>
  <w:style w:type="paragraph" w:customStyle="1" w:styleId="Pododdl">
    <w:name w:val="Pododdíl"/>
    <w:basedOn w:val="Oddl"/>
    <w:qFormat/>
    <w:rsid w:val="00AF05B3"/>
  </w:style>
  <w:style w:type="paragraph" w:customStyle="1" w:styleId="Nadpisskupinyparagraf">
    <w:name w:val="Nadpis skupiny paragrafů"/>
    <w:basedOn w:val="Nadpisparagrafu"/>
    <w:qFormat/>
    <w:rsid w:val="00AF05B3"/>
  </w:style>
  <w:style w:type="paragraph" w:customStyle="1" w:styleId="Dvodovzprvakhlav">
    <w:name w:val="Důvodová zpráva (k hlavě)"/>
    <w:basedOn w:val="Dvodovzprva"/>
    <w:next w:val="Dvodovzprva"/>
    <w:qFormat/>
    <w:rsid w:val="00AF05B3"/>
    <w:pPr>
      <w:keepNext/>
      <w:numPr>
        <w:numId w:val="5"/>
      </w:numPr>
    </w:pPr>
    <w:rPr>
      <w:b/>
      <w:sz w:val="28"/>
    </w:rPr>
  </w:style>
  <w:style w:type="paragraph" w:customStyle="1" w:styleId="Dvodovzprvakdlu">
    <w:name w:val="Důvodová zpráva (k dílu)"/>
    <w:basedOn w:val="Dvodovzprva"/>
    <w:next w:val="Dvodovzprva"/>
    <w:qFormat/>
    <w:rsid w:val="00AF05B3"/>
    <w:pPr>
      <w:keepNext/>
      <w:numPr>
        <w:numId w:val="6"/>
      </w:numPr>
    </w:pPr>
    <w:rPr>
      <w:b/>
    </w:rPr>
  </w:style>
  <w:style w:type="paragraph" w:customStyle="1" w:styleId="Dvodovzprvakoddlu">
    <w:name w:val="Důvodová zpráva (k oddílu)"/>
    <w:basedOn w:val="Dvodovzprva"/>
    <w:next w:val="Dvodovzprva"/>
    <w:qFormat/>
    <w:rsid w:val="00AF05B3"/>
    <w:pPr>
      <w:keepNext/>
      <w:numPr>
        <w:numId w:val="7"/>
      </w:numPr>
    </w:pPr>
    <w:rPr>
      <w:b/>
    </w:rPr>
  </w:style>
  <w:style w:type="paragraph" w:customStyle="1" w:styleId="Dvodovzprvakpododdlu">
    <w:name w:val="Důvodová zpráva (k pododdílu)"/>
    <w:basedOn w:val="Dvodovzprva"/>
    <w:next w:val="Dvodovzprva"/>
    <w:qFormat/>
    <w:rsid w:val="00AF05B3"/>
    <w:pPr>
      <w:keepNext/>
      <w:numPr>
        <w:numId w:val="8"/>
      </w:numPr>
    </w:pPr>
    <w:rPr>
      <w:b/>
    </w:rPr>
  </w:style>
  <w:style w:type="paragraph" w:customStyle="1" w:styleId="Dvodovzprvaklnku">
    <w:name w:val="Důvodová zpráva (k článku)"/>
    <w:basedOn w:val="Dvodovzprva"/>
    <w:next w:val="Dvodovzprva"/>
    <w:qFormat/>
    <w:rsid w:val="00AF05B3"/>
    <w:pPr>
      <w:keepNext/>
    </w:pPr>
    <w:rPr>
      <w:b/>
    </w:rPr>
  </w:style>
  <w:style w:type="paragraph" w:customStyle="1" w:styleId="Dvodovzprvakparagrafu">
    <w:name w:val="Důvodová zpráva (k paragrafu)"/>
    <w:basedOn w:val="Dvodovzprva"/>
    <w:next w:val="Dvodovzprva"/>
    <w:qFormat/>
    <w:rsid w:val="00AF05B3"/>
    <w:pPr>
      <w:keepNext/>
    </w:pPr>
    <w:rPr>
      <w:b/>
    </w:rPr>
  </w:style>
  <w:style w:type="table" w:styleId="Mkatabulky">
    <w:name w:val="Table Grid"/>
    <w:basedOn w:val="Normlntabulka"/>
    <w:uiPriority w:val="59"/>
    <w:rsid w:val="00AF0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E75201"/>
    <w:rPr>
      <w:rFonts w:eastAsiaTheme="majorEastAsia" w:cs="Arial"/>
      <w:b/>
      <w:bCs/>
      <w:iCs/>
      <w:sz w:val="24"/>
      <w:szCs w:val="24"/>
    </w:rPr>
  </w:style>
  <w:style w:type="character" w:customStyle="1" w:styleId="Nadpis5Char">
    <w:name w:val="Nadpis 5 Char"/>
    <w:basedOn w:val="Standardnpsmoodstavce"/>
    <w:link w:val="Nadpis5"/>
    <w:uiPriority w:val="9"/>
    <w:rsid w:val="00E75201"/>
    <w:rPr>
      <w:rFonts w:eastAsia="Calibri" w:cstheme="majorBidi"/>
      <w:b/>
      <w:sz w:val="24"/>
      <w:lang w:eastAsia="en-US"/>
    </w:rPr>
  </w:style>
  <w:style w:type="character" w:customStyle="1" w:styleId="Nadpis6Char">
    <w:name w:val="Nadpis 6 Char"/>
    <w:basedOn w:val="Standardnpsmoodstavce"/>
    <w:link w:val="Nadpis6"/>
    <w:uiPriority w:val="9"/>
    <w:rsid w:val="00E75201"/>
    <w:rPr>
      <w:rFonts w:eastAsiaTheme="majorEastAsia" w:cstheme="majorBidi"/>
      <w:b/>
      <w:i/>
      <w:sz w:val="24"/>
    </w:rPr>
  </w:style>
  <w:style w:type="character" w:customStyle="1" w:styleId="Nadpis7Char">
    <w:name w:val="Nadpis 7 Char"/>
    <w:basedOn w:val="Standardnpsmoodstavce"/>
    <w:link w:val="Nadpis7"/>
    <w:uiPriority w:val="9"/>
    <w:rsid w:val="00AF05B3"/>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F05B3"/>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F05B3"/>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AF05B3"/>
    <w:rPr>
      <w:rFonts w:ascii="Tahoma" w:hAnsi="Tahoma" w:cs="Tahoma"/>
      <w:sz w:val="16"/>
      <w:szCs w:val="16"/>
    </w:rPr>
  </w:style>
  <w:style w:type="character" w:customStyle="1" w:styleId="TextbublinyChar">
    <w:name w:val="Text bubliny Char"/>
    <w:basedOn w:val="Standardnpsmoodstavce"/>
    <w:link w:val="Textbubliny"/>
    <w:uiPriority w:val="99"/>
    <w:semiHidden/>
    <w:rsid w:val="00AF05B3"/>
    <w:rPr>
      <w:rFonts w:ascii="Tahoma" w:hAnsi="Tahoma" w:cs="Tahoma"/>
      <w:sz w:val="16"/>
      <w:szCs w:val="16"/>
    </w:rPr>
  </w:style>
  <w:style w:type="character" w:styleId="Odkaznakoment">
    <w:name w:val="annotation reference"/>
    <w:basedOn w:val="Standardnpsmoodstavce"/>
    <w:uiPriority w:val="99"/>
    <w:unhideWhenUsed/>
    <w:rsid w:val="00AF05B3"/>
    <w:rPr>
      <w:sz w:val="16"/>
      <w:szCs w:val="16"/>
    </w:rPr>
  </w:style>
  <w:style w:type="paragraph" w:styleId="Textkomente">
    <w:name w:val="annotation text"/>
    <w:basedOn w:val="Normln"/>
    <w:link w:val="TextkomenteChar"/>
    <w:uiPriority w:val="99"/>
    <w:unhideWhenUsed/>
    <w:rsid w:val="00AF05B3"/>
    <w:rPr>
      <w:sz w:val="20"/>
    </w:rPr>
  </w:style>
  <w:style w:type="character" w:customStyle="1" w:styleId="TextkomenteChar">
    <w:name w:val="Text komentáře Char"/>
    <w:basedOn w:val="Standardnpsmoodstavce"/>
    <w:link w:val="Textkomente"/>
    <w:uiPriority w:val="99"/>
    <w:rsid w:val="00AF05B3"/>
  </w:style>
  <w:style w:type="paragraph" w:styleId="Pedmtkomente">
    <w:name w:val="annotation subject"/>
    <w:basedOn w:val="Textkomente"/>
    <w:next w:val="Textkomente"/>
    <w:link w:val="PedmtkomenteChar"/>
    <w:uiPriority w:val="99"/>
    <w:unhideWhenUsed/>
    <w:rsid w:val="00AF05B3"/>
    <w:rPr>
      <w:b/>
      <w:bCs/>
    </w:rPr>
  </w:style>
  <w:style w:type="character" w:customStyle="1" w:styleId="PedmtkomenteChar">
    <w:name w:val="Předmět komentáře Char"/>
    <w:basedOn w:val="TextkomenteChar"/>
    <w:link w:val="Pedmtkomente"/>
    <w:uiPriority w:val="99"/>
    <w:rsid w:val="00AF05B3"/>
    <w:rPr>
      <w:b/>
      <w:bCs/>
    </w:rPr>
  </w:style>
  <w:style w:type="character" w:customStyle="1" w:styleId="Nadpis2Char">
    <w:name w:val="Nadpis 2 Char"/>
    <w:basedOn w:val="Standardnpsmoodstavce"/>
    <w:link w:val="Nadpis2"/>
    <w:rsid w:val="00AF05B3"/>
    <w:rPr>
      <w:rFonts w:cs="Arial"/>
      <w:b/>
      <w:bCs/>
      <w:iCs/>
      <w:sz w:val="32"/>
      <w:szCs w:val="28"/>
    </w:rPr>
  </w:style>
  <w:style w:type="character" w:customStyle="1" w:styleId="Nadpis3Char">
    <w:name w:val="Nadpis 3 Char"/>
    <w:basedOn w:val="Standardnpsmoodstavce"/>
    <w:link w:val="Nadpis3"/>
    <w:uiPriority w:val="9"/>
    <w:rsid w:val="00E75201"/>
    <w:rPr>
      <w:rFonts w:eastAsiaTheme="majorEastAsia" w:cs="Arial"/>
      <w:b/>
      <w:bCs/>
      <w:iCs/>
      <w:sz w:val="28"/>
      <w:szCs w:val="28"/>
    </w:rPr>
  </w:style>
  <w:style w:type="paragraph" w:styleId="Odstavecseseznamem">
    <w:name w:val="List Paragraph"/>
    <w:aliases w:val="Nad"/>
    <w:basedOn w:val="Normln"/>
    <w:link w:val="OdstavecseseznamemChar"/>
    <w:uiPriority w:val="34"/>
    <w:qFormat/>
    <w:rsid w:val="00AF05B3"/>
    <w:pPr>
      <w:ind w:left="720"/>
      <w:contextualSpacing/>
    </w:pPr>
  </w:style>
  <w:style w:type="character" w:customStyle="1" w:styleId="Nadpis1Char">
    <w:name w:val="Nadpis 1 Char"/>
    <w:basedOn w:val="Standardnpsmoodstavce"/>
    <w:link w:val="Nadpis1"/>
    <w:rsid w:val="00AF05B3"/>
    <w:rPr>
      <w:rFonts w:eastAsiaTheme="majorEastAsia" w:cs="Arial"/>
      <w:b/>
      <w:bCs/>
      <w:kern w:val="32"/>
      <w:sz w:val="36"/>
      <w:szCs w:val="32"/>
    </w:rPr>
  </w:style>
  <w:style w:type="paragraph" w:styleId="AdresaHTML">
    <w:name w:val="HTML Address"/>
    <w:basedOn w:val="Normln"/>
    <w:link w:val="AdresaHTMLChar"/>
    <w:uiPriority w:val="99"/>
    <w:semiHidden/>
    <w:unhideWhenUsed/>
    <w:rsid w:val="00AF05B3"/>
    <w:rPr>
      <w:i/>
      <w:iCs/>
    </w:rPr>
  </w:style>
  <w:style w:type="character" w:customStyle="1" w:styleId="AdresaHTMLChar">
    <w:name w:val="Adresa HTML Char"/>
    <w:basedOn w:val="Standardnpsmoodstavce"/>
    <w:link w:val="AdresaHTML"/>
    <w:uiPriority w:val="99"/>
    <w:semiHidden/>
    <w:rsid w:val="00AF05B3"/>
    <w:rPr>
      <w:i/>
      <w:iCs/>
      <w:sz w:val="24"/>
    </w:rPr>
  </w:style>
  <w:style w:type="paragraph" w:styleId="Adresanaoblku">
    <w:name w:val="envelope address"/>
    <w:basedOn w:val="Normln"/>
    <w:uiPriority w:val="99"/>
    <w:semiHidden/>
    <w:unhideWhenUsed/>
    <w:rsid w:val="00AF05B3"/>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AF05B3"/>
    <w:pPr>
      <w:jc w:val="both"/>
    </w:pPr>
    <w:rPr>
      <w:rFonts w:ascii="Arial" w:hAnsi="Arial"/>
      <w:sz w:val="22"/>
    </w:rPr>
  </w:style>
  <w:style w:type="paragraph" w:styleId="Bibliografie">
    <w:name w:val="Bibliography"/>
    <w:basedOn w:val="Normln"/>
    <w:next w:val="Normln"/>
    <w:uiPriority w:val="37"/>
    <w:semiHidden/>
    <w:unhideWhenUsed/>
    <w:rsid w:val="00AF05B3"/>
  </w:style>
  <w:style w:type="paragraph" w:styleId="Citt">
    <w:name w:val="Quote"/>
    <w:basedOn w:val="Normln"/>
    <w:next w:val="Normln"/>
    <w:link w:val="CittChar"/>
    <w:uiPriority w:val="29"/>
    <w:qFormat/>
    <w:rsid w:val="00AF05B3"/>
    <w:rPr>
      <w:i/>
      <w:iCs/>
      <w:color w:val="000000" w:themeColor="text1"/>
    </w:rPr>
  </w:style>
  <w:style w:type="character" w:customStyle="1" w:styleId="CittChar">
    <w:name w:val="Citát Char"/>
    <w:basedOn w:val="Standardnpsmoodstavce"/>
    <w:link w:val="Citt"/>
    <w:uiPriority w:val="29"/>
    <w:rsid w:val="00AF05B3"/>
    <w:rPr>
      <w:i/>
      <w:iCs/>
      <w:color w:val="000000" w:themeColor="text1"/>
      <w:sz w:val="24"/>
    </w:rPr>
  </w:style>
  <w:style w:type="paragraph" w:styleId="slovanseznam">
    <w:name w:val="List Number"/>
    <w:basedOn w:val="Normln"/>
    <w:uiPriority w:val="99"/>
    <w:semiHidden/>
    <w:unhideWhenUsed/>
    <w:rsid w:val="00AF05B3"/>
    <w:pPr>
      <w:numPr>
        <w:numId w:val="9"/>
      </w:numPr>
      <w:contextualSpacing/>
    </w:pPr>
  </w:style>
  <w:style w:type="paragraph" w:styleId="slovanseznam2">
    <w:name w:val="List Number 2"/>
    <w:basedOn w:val="Normln"/>
    <w:uiPriority w:val="99"/>
    <w:semiHidden/>
    <w:unhideWhenUsed/>
    <w:rsid w:val="00AF05B3"/>
    <w:pPr>
      <w:numPr>
        <w:numId w:val="10"/>
      </w:numPr>
      <w:contextualSpacing/>
    </w:pPr>
  </w:style>
  <w:style w:type="paragraph" w:styleId="slovanseznam3">
    <w:name w:val="List Number 3"/>
    <w:basedOn w:val="Normln"/>
    <w:uiPriority w:val="99"/>
    <w:semiHidden/>
    <w:unhideWhenUsed/>
    <w:rsid w:val="00AF05B3"/>
    <w:pPr>
      <w:numPr>
        <w:numId w:val="11"/>
      </w:numPr>
      <w:contextualSpacing/>
    </w:pPr>
  </w:style>
  <w:style w:type="paragraph" w:styleId="slovanseznam4">
    <w:name w:val="List Number 4"/>
    <w:basedOn w:val="Normln"/>
    <w:uiPriority w:val="99"/>
    <w:semiHidden/>
    <w:unhideWhenUsed/>
    <w:rsid w:val="00AF05B3"/>
    <w:pPr>
      <w:numPr>
        <w:numId w:val="12"/>
      </w:numPr>
      <w:contextualSpacing/>
    </w:pPr>
  </w:style>
  <w:style w:type="paragraph" w:styleId="slovanseznam5">
    <w:name w:val="List Number 5"/>
    <w:basedOn w:val="Normln"/>
    <w:uiPriority w:val="99"/>
    <w:semiHidden/>
    <w:unhideWhenUsed/>
    <w:rsid w:val="00AF05B3"/>
    <w:pPr>
      <w:numPr>
        <w:numId w:val="13"/>
      </w:numPr>
      <w:contextualSpacing/>
    </w:pPr>
  </w:style>
  <w:style w:type="paragraph" w:styleId="Datum">
    <w:name w:val="Date"/>
    <w:basedOn w:val="Normln"/>
    <w:next w:val="Normln"/>
    <w:link w:val="DatumChar"/>
    <w:uiPriority w:val="99"/>
    <w:semiHidden/>
    <w:unhideWhenUsed/>
    <w:rsid w:val="00AF05B3"/>
  </w:style>
  <w:style w:type="character" w:customStyle="1" w:styleId="DatumChar">
    <w:name w:val="Datum Char"/>
    <w:basedOn w:val="Standardnpsmoodstavce"/>
    <w:link w:val="Datum"/>
    <w:uiPriority w:val="99"/>
    <w:semiHidden/>
    <w:rsid w:val="00AF05B3"/>
    <w:rPr>
      <w:sz w:val="24"/>
    </w:rPr>
  </w:style>
  <w:style w:type="paragraph" w:styleId="FormtovanvHTML">
    <w:name w:val="HTML Preformatted"/>
    <w:basedOn w:val="Normln"/>
    <w:link w:val="FormtovanvHTMLChar"/>
    <w:uiPriority w:val="99"/>
    <w:semiHidden/>
    <w:unhideWhenUsed/>
    <w:rsid w:val="00AF05B3"/>
    <w:rPr>
      <w:rFonts w:ascii="Consolas" w:hAnsi="Consolas"/>
      <w:sz w:val="20"/>
    </w:rPr>
  </w:style>
  <w:style w:type="character" w:customStyle="1" w:styleId="FormtovanvHTMLChar">
    <w:name w:val="Formátovaný v HTML Char"/>
    <w:basedOn w:val="Standardnpsmoodstavce"/>
    <w:link w:val="FormtovanvHTML"/>
    <w:uiPriority w:val="99"/>
    <w:semiHidden/>
    <w:rsid w:val="00AF05B3"/>
    <w:rPr>
      <w:rFonts w:ascii="Consolas" w:hAnsi="Consolas"/>
    </w:rPr>
  </w:style>
  <w:style w:type="paragraph" w:styleId="Hlavikaobsahu">
    <w:name w:val="toa heading"/>
    <w:basedOn w:val="Normln"/>
    <w:next w:val="Normln"/>
    <w:uiPriority w:val="99"/>
    <w:semiHidden/>
    <w:unhideWhenUsed/>
    <w:rsid w:val="00AF05B3"/>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AF05B3"/>
    <w:pPr>
      <w:ind w:left="220" w:hanging="220"/>
    </w:pPr>
  </w:style>
  <w:style w:type="paragraph" w:styleId="Hlavikarejstku">
    <w:name w:val="index heading"/>
    <w:basedOn w:val="Normln"/>
    <w:next w:val="Rejstk1"/>
    <w:uiPriority w:val="99"/>
    <w:semiHidden/>
    <w:unhideWhenUsed/>
    <w:rsid w:val="00AF05B3"/>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AF05B3"/>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AF05B3"/>
  </w:style>
  <w:style w:type="character" w:customStyle="1" w:styleId="NadpispoznmkyChar">
    <w:name w:val="Nadpis poznámky Char"/>
    <w:basedOn w:val="Standardnpsmoodstavce"/>
    <w:link w:val="Nadpispoznmky"/>
    <w:uiPriority w:val="99"/>
    <w:semiHidden/>
    <w:rsid w:val="00AF05B3"/>
    <w:rPr>
      <w:sz w:val="24"/>
    </w:rPr>
  </w:style>
  <w:style w:type="paragraph" w:styleId="Nzev">
    <w:name w:val="Title"/>
    <w:basedOn w:val="Normln"/>
    <w:next w:val="Normln"/>
    <w:link w:val="NzevChar"/>
    <w:uiPriority w:val="10"/>
    <w:qFormat/>
    <w:rsid w:val="00AF05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AF05B3"/>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unhideWhenUsed/>
    <w:rsid w:val="00AF05B3"/>
    <w:rPr>
      <w:szCs w:val="24"/>
    </w:rPr>
  </w:style>
  <w:style w:type="paragraph" w:styleId="Normlnodsazen">
    <w:name w:val="Normal Indent"/>
    <w:basedOn w:val="Normln"/>
    <w:uiPriority w:val="99"/>
    <w:semiHidden/>
    <w:unhideWhenUsed/>
    <w:rsid w:val="00AF05B3"/>
    <w:pPr>
      <w:ind w:left="708"/>
    </w:pPr>
  </w:style>
  <w:style w:type="paragraph" w:styleId="Obsah1">
    <w:name w:val="toc 1"/>
    <w:basedOn w:val="Normln"/>
    <w:next w:val="Normln"/>
    <w:uiPriority w:val="39"/>
    <w:semiHidden/>
    <w:unhideWhenUsed/>
    <w:rsid w:val="00AF05B3"/>
    <w:pPr>
      <w:spacing w:after="100"/>
    </w:pPr>
  </w:style>
  <w:style w:type="paragraph" w:styleId="Obsah2">
    <w:name w:val="toc 2"/>
    <w:basedOn w:val="Normln"/>
    <w:next w:val="Normln"/>
    <w:uiPriority w:val="39"/>
    <w:semiHidden/>
    <w:unhideWhenUsed/>
    <w:rsid w:val="00AF05B3"/>
    <w:pPr>
      <w:spacing w:after="100"/>
      <w:ind w:left="220"/>
    </w:pPr>
  </w:style>
  <w:style w:type="paragraph" w:styleId="Obsah3">
    <w:name w:val="toc 3"/>
    <w:basedOn w:val="Normln"/>
    <w:next w:val="Normln"/>
    <w:uiPriority w:val="39"/>
    <w:semiHidden/>
    <w:unhideWhenUsed/>
    <w:rsid w:val="00AF05B3"/>
    <w:pPr>
      <w:spacing w:after="100"/>
      <w:ind w:left="440"/>
    </w:pPr>
  </w:style>
  <w:style w:type="paragraph" w:styleId="Obsah4">
    <w:name w:val="toc 4"/>
    <w:basedOn w:val="Normln"/>
    <w:next w:val="Normln"/>
    <w:uiPriority w:val="39"/>
    <w:semiHidden/>
    <w:unhideWhenUsed/>
    <w:rsid w:val="00AF05B3"/>
    <w:pPr>
      <w:spacing w:after="100"/>
      <w:ind w:left="660"/>
    </w:pPr>
  </w:style>
  <w:style w:type="paragraph" w:styleId="Obsah5">
    <w:name w:val="toc 5"/>
    <w:basedOn w:val="Normln"/>
    <w:next w:val="Normln"/>
    <w:uiPriority w:val="39"/>
    <w:semiHidden/>
    <w:unhideWhenUsed/>
    <w:rsid w:val="00AF05B3"/>
    <w:pPr>
      <w:spacing w:after="100"/>
      <w:ind w:left="880"/>
    </w:pPr>
  </w:style>
  <w:style w:type="paragraph" w:styleId="Obsah6">
    <w:name w:val="toc 6"/>
    <w:basedOn w:val="Normln"/>
    <w:next w:val="Normln"/>
    <w:uiPriority w:val="39"/>
    <w:semiHidden/>
    <w:unhideWhenUsed/>
    <w:rsid w:val="00AF05B3"/>
    <w:pPr>
      <w:spacing w:after="100"/>
      <w:ind w:left="1100"/>
    </w:pPr>
  </w:style>
  <w:style w:type="paragraph" w:styleId="Obsah7">
    <w:name w:val="toc 7"/>
    <w:basedOn w:val="Normln"/>
    <w:next w:val="Normln"/>
    <w:uiPriority w:val="39"/>
    <w:semiHidden/>
    <w:unhideWhenUsed/>
    <w:rsid w:val="00AF05B3"/>
    <w:pPr>
      <w:spacing w:after="100"/>
      <w:ind w:left="1320"/>
    </w:pPr>
  </w:style>
  <w:style w:type="paragraph" w:styleId="Obsah8">
    <w:name w:val="toc 8"/>
    <w:basedOn w:val="Normln"/>
    <w:next w:val="Normln"/>
    <w:uiPriority w:val="39"/>
    <w:semiHidden/>
    <w:unhideWhenUsed/>
    <w:rsid w:val="00AF05B3"/>
    <w:pPr>
      <w:spacing w:after="100"/>
      <w:ind w:left="1540"/>
    </w:pPr>
  </w:style>
  <w:style w:type="paragraph" w:styleId="Obsah9">
    <w:name w:val="toc 9"/>
    <w:basedOn w:val="Normln"/>
    <w:next w:val="Normln"/>
    <w:uiPriority w:val="39"/>
    <w:semiHidden/>
    <w:unhideWhenUsed/>
    <w:rsid w:val="00AF05B3"/>
    <w:pPr>
      <w:spacing w:after="100"/>
      <w:ind w:left="1760"/>
    </w:pPr>
  </w:style>
  <w:style w:type="paragraph" w:styleId="Osloven">
    <w:name w:val="Salutation"/>
    <w:basedOn w:val="Normln"/>
    <w:next w:val="Normln"/>
    <w:link w:val="OslovenChar"/>
    <w:uiPriority w:val="99"/>
    <w:semiHidden/>
    <w:unhideWhenUsed/>
    <w:rsid w:val="00AF05B3"/>
  </w:style>
  <w:style w:type="character" w:customStyle="1" w:styleId="OslovenChar">
    <w:name w:val="Oslovení Char"/>
    <w:basedOn w:val="Standardnpsmoodstavce"/>
    <w:link w:val="Osloven"/>
    <w:uiPriority w:val="99"/>
    <w:semiHidden/>
    <w:rsid w:val="00AF05B3"/>
    <w:rPr>
      <w:sz w:val="24"/>
    </w:rPr>
  </w:style>
  <w:style w:type="paragraph" w:styleId="Podpis0">
    <w:name w:val="Signature"/>
    <w:basedOn w:val="Normln"/>
    <w:link w:val="PodpisChar"/>
    <w:uiPriority w:val="99"/>
    <w:semiHidden/>
    <w:unhideWhenUsed/>
    <w:rsid w:val="00AF05B3"/>
    <w:pPr>
      <w:ind w:left="4252"/>
    </w:pPr>
  </w:style>
  <w:style w:type="character" w:customStyle="1" w:styleId="PodpisChar">
    <w:name w:val="Podpis Char"/>
    <w:basedOn w:val="Standardnpsmoodstavce"/>
    <w:link w:val="Podpis0"/>
    <w:uiPriority w:val="99"/>
    <w:semiHidden/>
    <w:rsid w:val="00AF05B3"/>
    <w:rPr>
      <w:sz w:val="24"/>
    </w:rPr>
  </w:style>
  <w:style w:type="paragraph" w:styleId="Podpise-mailu">
    <w:name w:val="E-mail Signature"/>
    <w:basedOn w:val="Normln"/>
    <w:link w:val="Podpise-mailuChar"/>
    <w:uiPriority w:val="99"/>
    <w:semiHidden/>
    <w:unhideWhenUsed/>
    <w:rsid w:val="00AF05B3"/>
  </w:style>
  <w:style w:type="character" w:customStyle="1" w:styleId="Podpise-mailuChar">
    <w:name w:val="Podpis e-mailu Char"/>
    <w:basedOn w:val="Standardnpsmoodstavce"/>
    <w:link w:val="Podpise-mailu"/>
    <w:uiPriority w:val="99"/>
    <w:semiHidden/>
    <w:rsid w:val="00AF05B3"/>
    <w:rPr>
      <w:sz w:val="24"/>
    </w:rPr>
  </w:style>
  <w:style w:type="paragraph" w:styleId="Podnadpis">
    <w:name w:val="Subtitle"/>
    <w:basedOn w:val="Normln"/>
    <w:next w:val="Normln"/>
    <w:link w:val="PodnadpisChar"/>
    <w:uiPriority w:val="11"/>
    <w:qFormat/>
    <w:rsid w:val="00AF05B3"/>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AF05B3"/>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AF05B3"/>
    <w:pPr>
      <w:spacing w:after="120"/>
      <w:ind w:left="283"/>
      <w:contextualSpacing/>
    </w:pPr>
  </w:style>
  <w:style w:type="paragraph" w:styleId="Pokraovnseznamu2">
    <w:name w:val="List Continue 2"/>
    <w:basedOn w:val="Normln"/>
    <w:uiPriority w:val="99"/>
    <w:semiHidden/>
    <w:unhideWhenUsed/>
    <w:rsid w:val="00AF05B3"/>
    <w:pPr>
      <w:spacing w:after="120"/>
      <w:ind w:left="566"/>
      <w:contextualSpacing/>
    </w:pPr>
  </w:style>
  <w:style w:type="paragraph" w:styleId="Pokraovnseznamu3">
    <w:name w:val="List Continue 3"/>
    <w:basedOn w:val="Normln"/>
    <w:uiPriority w:val="99"/>
    <w:semiHidden/>
    <w:unhideWhenUsed/>
    <w:rsid w:val="00AF05B3"/>
    <w:pPr>
      <w:spacing w:after="120"/>
      <w:ind w:left="849"/>
      <w:contextualSpacing/>
    </w:pPr>
  </w:style>
  <w:style w:type="paragraph" w:styleId="Pokraovnseznamu4">
    <w:name w:val="List Continue 4"/>
    <w:basedOn w:val="Normln"/>
    <w:uiPriority w:val="99"/>
    <w:semiHidden/>
    <w:unhideWhenUsed/>
    <w:rsid w:val="00AF05B3"/>
    <w:pPr>
      <w:spacing w:after="120"/>
      <w:ind w:left="1132"/>
      <w:contextualSpacing/>
    </w:pPr>
  </w:style>
  <w:style w:type="paragraph" w:styleId="Pokraovnseznamu5">
    <w:name w:val="List Continue 5"/>
    <w:basedOn w:val="Normln"/>
    <w:uiPriority w:val="99"/>
    <w:semiHidden/>
    <w:unhideWhenUsed/>
    <w:rsid w:val="00AF05B3"/>
    <w:pPr>
      <w:spacing w:after="120"/>
      <w:ind w:left="1415"/>
      <w:contextualSpacing/>
    </w:pPr>
  </w:style>
  <w:style w:type="paragraph" w:styleId="Prosttext">
    <w:name w:val="Plain Text"/>
    <w:basedOn w:val="Normln"/>
    <w:link w:val="ProsttextChar"/>
    <w:uiPriority w:val="99"/>
    <w:semiHidden/>
    <w:unhideWhenUsed/>
    <w:rsid w:val="00AF05B3"/>
    <w:rPr>
      <w:rFonts w:ascii="Consolas" w:hAnsi="Consolas"/>
      <w:sz w:val="21"/>
      <w:szCs w:val="21"/>
    </w:rPr>
  </w:style>
  <w:style w:type="character" w:customStyle="1" w:styleId="ProsttextChar">
    <w:name w:val="Prostý text Char"/>
    <w:basedOn w:val="Standardnpsmoodstavce"/>
    <w:link w:val="Prosttext"/>
    <w:uiPriority w:val="99"/>
    <w:semiHidden/>
    <w:rsid w:val="00AF05B3"/>
    <w:rPr>
      <w:rFonts w:ascii="Consolas" w:hAnsi="Consolas"/>
      <w:sz w:val="21"/>
      <w:szCs w:val="21"/>
    </w:rPr>
  </w:style>
  <w:style w:type="paragraph" w:styleId="Rejstk2">
    <w:name w:val="index 2"/>
    <w:basedOn w:val="Normln"/>
    <w:next w:val="Normln"/>
    <w:uiPriority w:val="99"/>
    <w:semiHidden/>
    <w:unhideWhenUsed/>
    <w:rsid w:val="00AF05B3"/>
    <w:pPr>
      <w:ind w:left="440" w:hanging="220"/>
    </w:pPr>
  </w:style>
  <w:style w:type="paragraph" w:styleId="Rejstk3">
    <w:name w:val="index 3"/>
    <w:basedOn w:val="Normln"/>
    <w:next w:val="Normln"/>
    <w:uiPriority w:val="99"/>
    <w:semiHidden/>
    <w:unhideWhenUsed/>
    <w:rsid w:val="00AF05B3"/>
    <w:pPr>
      <w:ind w:left="660" w:hanging="220"/>
    </w:pPr>
  </w:style>
  <w:style w:type="paragraph" w:styleId="Rejstk4">
    <w:name w:val="index 4"/>
    <w:basedOn w:val="Normln"/>
    <w:next w:val="Normln"/>
    <w:uiPriority w:val="99"/>
    <w:semiHidden/>
    <w:unhideWhenUsed/>
    <w:rsid w:val="00AF05B3"/>
    <w:pPr>
      <w:ind w:left="880" w:hanging="220"/>
    </w:pPr>
  </w:style>
  <w:style w:type="paragraph" w:styleId="Rejstk5">
    <w:name w:val="index 5"/>
    <w:basedOn w:val="Normln"/>
    <w:next w:val="Normln"/>
    <w:uiPriority w:val="99"/>
    <w:semiHidden/>
    <w:unhideWhenUsed/>
    <w:rsid w:val="00AF05B3"/>
    <w:pPr>
      <w:ind w:left="1100" w:hanging="220"/>
    </w:pPr>
  </w:style>
  <w:style w:type="paragraph" w:styleId="Rejstk6">
    <w:name w:val="index 6"/>
    <w:basedOn w:val="Normln"/>
    <w:next w:val="Normln"/>
    <w:uiPriority w:val="99"/>
    <w:semiHidden/>
    <w:unhideWhenUsed/>
    <w:rsid w:val="00AF05B3"/>
    <w:pPr>
      <w:ind w:left="1320" w:hanging="220"/>
    </w:pPr>
  </w:style>
  <w:style w:type="paragraph" w:styleId="Rejstk7">
    <w:name w:val="index 7"/>
    <w:basedOn w:val="Normln"/>
    <w:next w:val="Normln"/>
    <w:uiPriority w:val="99"/>
    <w:semiHidden/>
    <w:unhideWhenUsed/>
    <w:rsid w:val="00AF05B3"/>
    <w:pPr>
      <w:ind w:left="1540" w:hanging="220"/>
    </w:pPr>
  </w:style>
  <w:style w:type="paragraph" w:styleId="Rejstk8">
    <w:name w:val="index 8"/>
    <w:basedOn w:val="Normln"/>
    <w:next w:val="Normln"/>
    <w:uiPriority w:val="99"/>
    <w:semiHidden/>
    <w:unhideWhenUsed/>
    <w:rsid w:val="00AF05B3"/>
    <w:pPr>
      <w:ind w:left="1760" w:hanging="220"/>
    </w:pPr>
  </w:style>
  <w:style w:type="paragraph" w:styleId="Rejstk9">
    <w:name w:val="index 9"/>
    <w:basedOn w:val="Normln"/>
    <w:next w:val="Normln"/>
    <w:uiPriority w:val="99"/>
    <w:semiHidden/>
    <w:unhideWhenUsed/>
    <w:rsid w:val="00AF05B3"/>
    <w:pPr>
      <w:ind w:left="1980" w:hanging="220"/>
    </w:pPr>
  </w:style>
  <w:style w:type="paragraph" w:styleId="Rozloendokumentu">
    <w:name w:val="Document Map"/>
    <w:basedOn w:val="Normln"/>
    <w:link w:val="RozloendokumentuChar"/>
    <w:uiPriority w:val="99"/>
    <w:semiHidden/>
    <w:unhideWhenUsed/>
    <w:rsid w:val="00AF05B3"/>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AF05B3"/>
    <w:rPr>
      <w:rFonts w:ascii="Tahoma" w:hAnsi="Tahoma" w:cs="Tahoma"/>
      <w:sz w:val="16"/>
      <w:szCs w:val="16"/>
    </w:rPr>
  </w:style>
  <w:style w:type="paragraph" w:styleId="Seznam">
    <w:name w:val="List"/>
    <w:basedOn w:val="Normln"/>
    <w:uiPriority w:val="99"/>
    <w:semiHidden/>
    <w:unhideWhenUsed/>
    <w:rsid w:val="00AF05B3"/>
    <w:pPr>
      <w:ind w:left="283" w:hanging="283"/>
      <w:contextualSpacing/>
    </w:pPr>
  </w:style>
  <w:style w:type="paragraph" w:styleId="Seznam2">
    <w:name w:val="List 2"/>
    <w:basedOn w:val="Normln"/>
    <w:uiPriority w:val="99"/>
    <w:semiHidden/>
    <w:unhideWhenUsed/>
    <w:rsid w:val="00AF05B3"/>
    <w:pPr>
      <w:ind w:left="566" w:hanging="283"/>
      <w:contextualSpacing/>
    </w:pPr>
  </w:style>
  <w:style w:type="paragraph" w:styleId="Seznam3">
    <w:name w:val="List 3"/>
    <w:basedOn w:val="Normln"/>
    <w:uiPriority w:val="99"/>
    <w:semiHidden/>
    <w:unhideWhenUsed/>
    <w:rsid w:val="00AF05B3"/>
    <w:pPr>
      <w:ind w:left="849" w:hanging="283"/>
      <w:contextualSpacing/>
    </w:pPr>
  </w:style>
  <w:style w:type="paragraph" w:styleId="Seznam4">
    <w:name w:val="List 4"/>
    <w:basedOn w:val="Normln"/>
    <w:uiPriority w:val="99"/>
    <w:semiHidden/>
    <w:unhideWhenUsed/>
    <w:rsid w:val="00AF05B3"/>
    <w:pPr>
      <w:ind w:left="1132" w:hanging="283"/>
      <w:contextualSpacing/>
    </w:pPr>
  </w:style>
  <w:style w:type="paragraph" w:styleId="Seznam5">
    <w:name w:val="List 5"/>
    <w:basedOn w:val="Normln"/>
    <w:uiPriority w:val="99"/>
    <w:semiHidden/>
    <w:unhideWhenUsed/>
    <w:rsid w:val="00AF05B3"/>
    <w:pPr>
      <w:ind w:left="1415" w:hanging="283"/>
      <w:contextualSpacing/>
    </w:pPr>
  </w:style>
  <w:style w:type="paragraph" w:styleId="Seznamcitac">
    <w:name w:val="table of authorities"/>
    <w:basedOn w:val="Normln"/>
    <w:next w:val="Normln"/>
    <w:uiPriority w:val="99"/>
    <w:semiHidden/>
    <w:unhideWhenUsed/>
    <w:rsid w:val="00AF05B3"/>
    <w:pPr>
      <w:ind w:left="220" w:hanging="220"/>
    </w:pPr>
  </w:style>
  <w:style w:type="paragraph" w:styleId="Seznamobrzk">
    <w:name w:val="table of figures"/>
    <w:basedOn w:val="Normln"/>
    <w:next w:val="Normln"/>
    <w:uiPriority w:val="99"/>
    <w:semiHidden/>
    <w:unhideWhenUsed/>
    <w:rsid w:val="00AF05B3"/>
  </w:style>
  <w:style w:type="paragraph" w:styleId="Seznamsodrkami">
    <w:name w:val="List Bullet"/>
    <w:basedOn w:val="Normln"/>
    <w:uiPriority w:val="99"/>
    <w:semiHidden/>
    <w:unhideWhenUsed/>
    <w:rsid w:val="00AF05B3"/>
    <w:pPr>
      <w:numPr>
        <w:numId w:val="15"/>
      </w:numPr>
      <w:contextualSpacing/>
    </w:pPr>
  </w:style>
  <w:style w:type="paragraph" w:styleId="Seznamsodrkami2">
    <w:name w:val="List Bullet 2"/>
    <w:basedOn w:val="Normln"/>
    <w:uiPriority w:val="99"/>
    <w:semiHidden/>
    <w:unhideWhenUsed/>
    <w:rsid w:val="00AF05B3"/>
    <w:pPr>
      <w:numPr>
        <w:numId w:val="16"/>
      </w:numPr>
      <w:contextualSpacing/>
    </w:pPr>
  </w:style>
  <w:style w:type="paragraph" w:styleId="Seznamsodrkami3">
    <w:name w:val="List Bullet 3"/>
    <w:basedOn w:val="Normln"/>
    <w:uiPriority w:val="99"/>
    <w:semiHidden/>
    <w:unhideWhenUsed/>
    <w:rsid w:val="00AF05B3"/>
    <w:pPr>
      <w:numPr>
        <w:numId w:val="17"/>
      </w:numPr>
      <w:contextualSpacing/>
    </w:pPr>
  </w:style>
  <w:style w:type="paragraph" w:styleId="Seznamsodrkami4">
    <w:name w:val="List Bullet 4"/>
    <w:basedOn w:val="Normln"/>
    <w:uiPriority w:val="99"/>
    <w:semiHidden/>
    <w:unhideWhenUsed/>
    <w:rsid w:val="00AF05B3"/>
    <w:pPr>
      <w:numPr>
        <w:numId w:val="18"/>
      </w:numPr>
      <w:contextualSpacing/>
    </w:pPr>
  </w:style>
  <w:style w:type="paragraph" w:styleId="Seznamsodrkami5">
    <w:name w:val="List Bullet 5"/>
    <w:basedOn w:val="Normln"/>
    <w:uiPriority w:val="99"/>
    <w:semiHidden/>
    <w:unhideWhenUsed/>
    <w:rsid w:val="00AF05B3"/>
    <w:pPr>
      <w:numPr>
        <w:numId w:val="19"/>
      </w:numPr>
      <w:contextualSpacing/>
    </w:pPr>
  </w:style>
  <w:style w:type="paragraph" w:styleId="Textmakra">
    <w:name w:val="macro"/>
    <w:link w:val="TextmakraChar"/>
    <w:uiPriority w:val="99"/>
    <w:semiHidden/>
    <w:unhideWhenUsed/>
    <w:rsid w:val="00AF05B3"/>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AF05B3"/>
    <w:rPr>
      <w:rFonts w:ascii="Consolas" w:hAnsi="Consolas"/>
    </w:rPr>
  </w:style>
  <w:style w:type="paragraph" w:styleId="Textvbloku">
    <w:name w:val="Block Text"/>
    <w:basedOn w:val="Normln"/>
    <w:uiPriority w:val="99"/>
    <w:semiHidden/>
    <w:unhideWhenUsed/>
    <w:rsid w:val="00AF05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unhideWhenUsed/>
    <w:rsid w:val="00AF05B3"/>
    <w:rPr>
      <w:sz w:val="20"/>
    </w:rPr>
  </w:style>
  <w:style w:type="character" w:customStyle="1" w:styleId="TextvysvtlivekChar">
    <w:name w:val="Text vysvětlivek Char"/>
    <w:basedOn w:val="Standardnpsmoodstavce"/>
    <w:link w:val="Textvysvtlivek"/>
    <w:uiPriority w:val="99"/>
    <w:rsid w:val="00AF05B3"/>
  </w:style>
  <w:style w:type="paragraph" w:styleId="Vrazncitt">
    <w:name w:val="Intense Quote"/>
    <w:basedOn w:val="Normln"/>
    <w:next w:val="Normln"/>
    <w:link w:val="VrazncittChar"/>
    <w:uiPriority w:val="30"/>
    <w:qFormat/>
    <w:rsid w:val="00AF05B3"/>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AF05B3"/>
    <w:rPr>
      <w:b/>
      <w:bCs/>
      <w:i/>
      <w:iCs/>
      <w:color w:val="4F81BD" w:themeColor="accent1"/>
      <w:sz w:val="24"/>
    </w:rPr>
  </w:style>
  <w:style w:type="paragraph" w:styleId="Zhlavzprvy">
    <w:name w:val="Message Header"/>
    <w:basedOn w:val="Normln"/>
    <w:link w:val="ZhlavzprvyChar"/>
    <w:uiPriority w:val="99"/>
    <w:semiHidden/>
    <w:unhideWhenUsed/>
    <w:rsid w:val="00AF05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AF05B3"/>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unhideWhenUsed/>
    <w:rsid w:val="00AF05B3"/>
    <w:pPr>
      <w:spacing w:after="120"/>
    </w:pPr>
  </w:style>
  <w:style w:type="character" w:customStyle="1" w:styleId="ZkladntextChar">
    <w:name w:val="Základní text Char"/>
    <w:basedOn w:val="Standardnpsmoodstavce"/>
    <w:link w:val="Zkladntext"/>
    <w:uiPriority w:val="99"/>
    <w:rsid w:val="00AF05B3"/>
    <w:rPr>
      <w:sz w:val="24"/>
    </w:rPr>
  </w:style>
  <w:style w:type="paragraph" w:styleId="Zkladntext-prvnodsazen">
    <w:name w:val="Body Text First Indent"/>
    <w:basedOn w:val="Zkladntext"/>
    <w:link w:val="Zkladntext-prvnodsazenChar"/>
    <w:uiPriority w:val="99"/>
    <w:semiHidden/>
    <w:unhideWhenUsed/>
    <w:rsid w:val="00AF05B3"/>
    <w:pPr>
      <w:spacing w:after="0"/>
      <w:ind w:firstLine="360"/>
    </w:pPr>
  </w:style>
  <w:style w:type="character" w:customStyle="1" w:styleId="Zkladntext-prvnodsazenChar">
    <w:name w:val="Základní text - první odsazený Char"/>
    <w:basedOn w:val="ZkladntextChar"/>
    <w:link w:val="Zkladntext-prvnodsazen"/>
    <w:uiPriority w:val="99"/>
    <w:semiHidden/>
    <w:rsid w:val="00AF05B3"/>
    <w:rPr>
      <w:sz w:val="24"/>
    </w:rPr>
  </w:style>
  <w:style w:type="paragraph" w:styleId="Zkladntextodsazen">
    <w:name w:val="Body Text Indent"/>
    <w:basedOn w:val="Normln"/>
    <w:link w:val="ZkladntextodsazenChar"/>
    <w:uiPriority w:val="99"/>
    <w:unhideWhenUsed/>
    <w:rsid w:val="00AF05B3"/>
    <w:pPr>
      <w:spacing w:after="120"/>
      <w:ind w:left="283"/>
    </w:pPr>
  </w:style>
  <w:style w:type="character" w:customStyle="1" w:styleId="ZkladntextodsazenChar">
    <w:name w:val="Základní text odsazený Char"/>
    <w:basedOn w:val="Standardnpsmoodstavce"/>
    <w:link w:val="Zkladntextodsazen"/>
    <w:uiPriority w:val="99"/>
    <w:rsid w:val="00AF05B3"/>
    <w:rPr>
      <w:sz w:val="24"/>
    </w:rPr>
  </w:style>
  <w:style w:type="paragraph" w:styleId="Zkladntext-prvnodsazen2">
    <w:name w:val="Body Text First Indent 2"/>
    <w:basedOn w:val="Zkladntextodsazen"/>
    <w:link w:val="Zkladntext-prvnodsazen2Char"/>
    <w:uiPriority w:val="99"/>
    <w:semiHidden/>
    <w:unhideWhenUsed/>
    <w:rsid w:val="00AF05B3"/>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AF05B3"/>
    <w:rPr>
      <w:sz w:val="24"/>
    </w:rPr>
  </w:style>
  <w:style w:type="paragraph" w:styleId="Zkladntext2">
    <w:name w:val="Body Text 2"/>
    <w:basedOn w:val="Normln"/>
    <w:link w:val="Zkladntext2Char"/>
    <w:uiPriority w:val="99"/>
    <w:unhideWhenUsed/>
    <w:rsid w:val="00AF05B3"/>
    <w:pPr>
      <w:spacing w:after="120" w:line="480" w:lineRule="auto"/>
    </w:pPr>
  </w:style>
  <w:style w:type="character" w:customStyle="1" w:styleId="Zkladntext2Char">
    <w:name w:val="Základní text 2 Char"/>
    <w:basedOn w:val="Standardnpsmoodstavce"/>
    <w:link w:val="Zkladntext2"/>
    <w:uiPriority w:val="99"/>
    <w:rsid w:val="00AF05B3"/>
    <w:rPr>
      <w:sz w:val="24"/>
    </w:rPr>
  </w:style>
  <w:style w:type="paragraph" w:styleId="Zkladntext3">
    <w:name w:val="Body Text 3"/>
    <w:basedOn w:val="Normln"/>
    <w:link w:val="Zkladntext3Char"/>
    <w:uiPriority w:val="99"/>
    <w:unhideWhenUsed/>
    <w:rsid w:val="00AF05B3"/>
    <w:pPr>
      <w:spacing w:after="120"/>
    </w:pPr>
    <w:rPr>
      <w:sz w:val="16"/>
      <w:szCs w:val="16"/>
    </w:rPr>
  </w:style>
  <w:style w:type="character" w:customStyle="1" w:styleId="Zkladntext3Char">
    <w:name w:val="Základní text 3 Char"/>
    <w:basedOn w:val="Standardnpsmoodstavce"/>
    <w:link w:val="Zkladntext3"/>
    <w:uiPriority w:val="99"/>
    <w:rsid w:val="00AF05B3"/>
    <w:rPr>
      <w:sz w:val="16"/>
      <w:szCs w:val="16"/>
    </w:rPr>
  </w:style>
  <w:style w:type="paragraph" w:styleId="Zkladntextodsazen2">
    <w:name w:val="Body Text Indent 2"/>
    <w:basedOn w:val="Normln"/>
    <w:link w:val="Zkladntextodsazen2Char"/>
    <w:uiPriority w:val="99"/>
    <w:semiHidden/>
    <w:unhideWhenUsed/>
    <w:rsid w:val="00AF05B3"/>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AF05B3"/>
    <w:rPr>
      <w:sz w:val="24"/>
    </w:rPr>
  </w:style>
  <w:style w:type="paragraph" w:styleId="Zkladntextodsazen3">
    <w:name w:val="Body Text Indent 3"/>
    <w:basedOn w:val="Normln"/>
    <w:link w:val="Zkladntextodsazen3Char"/>
    <w:uiPriority w:val="99"/>
    <w:semiHidden/>
    <w:unhideWhenUsed/>
    <w:rsid w:val="00AF05B3"/>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F05B3"/>
    <w:rPr>
      <w:sz w:val="16"/>
      <w:szCs w:val="16"/>
    </w:rPr>
  </w:style>
  <w:style w:type="paragraph" w:styleId="Zvr">
    <w:name w:val="Closing"/>
    <w:basedOn w:val="Normln"/>
    <w:link w:val="ZvrChar"/>
    <w:uiPriority w:val="99"/>
    <w:semiHidden/>
    <w:unhideWhenUsed/>
    <w:rsid w:val="00AF05B3"/>
    <w:pPr>
      <w:ind w:left="4252"/>
    </w:pPr>
  </w:style>
  <w:style w:type="character" w:customStyle="1" w:styleId="ZvrChar">
    <w:name w:val="Závěr Char"/>
    <w:basedOn w:val="Standardnpsmoodstavce"/>
    <w:link w:val="Zvr"/>
    <w:uiPriority w:val="99"/>
    <w:semiHidden/>
    <w:rsid w:val="00AF05B3"/>
    <w:rPr>
      <w:sz w:val="24"/>
    </w:rPr>
  </w:style>
  <w:style w:type="paragraph" w:styleId="Zptenadresanaoblku">
    <w:name w:val="envelope return"/>
    <w:basedOn w:val="Normln"/>
    <w:uiPriority w:val="99"/>
    <w:semiHidden/>
    <w:unhideWhenUsed/>
    <w:rsid w:val="00AF05B3"/>
    <w:rPr>
      <w:rFonts w:asciiTheme="majorHAnsi" w:eastAsiaTheme="majorEastAsia" w:hAnsiTheme="majorHAnsi" w:cstheme="majorBidi"/>
      <w:sz w:val="20"/>
    </w:rPr>
  </w:style>
  <w:style w:type="numbering" w:styleId="111111">
    <w:name w:val="Outline List 2"/>
    <w:basedOn w:val="Bezseznamu"/>
    <w:uiPriority w:val="99"/>
    <w:semiHidden/>
    <w:unhideWhenUsed/>
    <w:rsid w:val="00AF05B3"/>
    <w:pPr>
      <w:numPr>
        <w:numId w:val="20"/>
      </w:numPr>
    </w:pPr>
  </w:style>
  <w:style w:type="paragraph" w:customStyle="1" w:styleId="Textpechodka">
    <w:name w:val="Text přechodka"/>
    <w:basedOn w:val="Normln"/>
    <w:qFormat/>
    <w:rsid w:val="00AF05B3"/>
    <w:pPr>
      <w:numPr>
        <w:ilvl w:val="2"/>
        <w:numId w:val="23"/>
      </w:numPr>
    </w:pPr>
  </w:style>
  <w:style w:type="paragraph" w:customStyle="1" w:styleId="Textpechodkapsmene">
    <w:name w:val="Text přechodka písmene"/>
    <w:basedOn w:val="Normln"/>
    <w:qFormat/>
    <w:rsid w:val="00AF05B3"/>
    <w:pPr>
      <w:numPr>
        <w:ilvl w:val="3"/>
        <w:numId w:val="23"/>
      </w:numPr>
    </w:pPr>
  </w:style>
  <w:style w:type="paragraph" w:customStyle="1" w:styleId="PZTextodstavce">
    <w:name w:val="PZ Text odstavce"/>
    <w:basedOn w:val="Textodstavce"/>
    <w:qFormat/>
    <w:rsid w:val="00AF05B3"/>
    <w:pPr>
      <w:numPr>
        <w:ilvl w:val="0"/>
        <w:numId w:val="0"/>
      </w:numPr>
      <w:tabs>
        <w:tab w:val="left" w:pos="782"/>
      </w:tabs>
      <w:ind w:firstLine="425"/>
    </w:pPr>
  </w:style>
  <w:style w:type="paragraph" w:customStyle="1" w:styleId="PZTextpsmene">
    <w:name w:val="PZ Text písmene"/>
    <w:basedOn w:val="Textpsmene"/>
    <w:qFormat/>
    <w:rsid w:val="00AF05B3"/>
    <w:pPr>
      <w:numPr>
        <w:ilvl w:val="0"/>
        <w:numId w:val="0"/>
      </w:numPr>
      <w:ind w:left="425" w:hanging="425"/>
    </w:pPr>
  </w:style>
  <w:style w:type="paragraph" w:customStyle="1" w:styleId="PZTextbodu">
    <w:name w:val="PZ Text bodu"/>
    <w:basedOn w:val="Textbodu"/>
    <w:qFormat/>
    <w:rsid w:val="00AF05B3"/>
    <w:pPr>
      <w:numPr>
        <w:ilvl w:val="0"/>
        <w:numId w:val="0"/>
      </w:numPr>
      <w:tabs>
        <w:tab w:val="left" w:pos="851"/>
      </w:tabs>
      <w:ind w:left="850" w:hanging="425"/>
    </w:pPr>
  </w:style>
  <w:style w:type="character" w:customStyle="1" w:styleId="TextlnkuChar">
    <w:name w:val="Text článku Char"/>
    <w:link w:val="Textlnku"/>
    <w:rsid w:val="00553011"/>
    <w:rPr>
      <w:sz w:val="24"/>
    </w:rPr>
  </w:style>
  <w:style w:type="numbering" w:customStyle="1" w:styleId="Bezseznamu1">
    <w:name w:val="Bez seznamu1"/>
    <w:next w:val="Bezseznamu"/>
    <w:uiPriority w:val="99"/>
    <w:semiHidden/>
    <w:unhideWhenUsed/>
    <w:rsid w:val="007A3BD1"/>
  </w:style>
  <w:style w:type="paragraph" w:customStyle="1" w:styleId="Default">
    <w:name w:val="Default"/>
    <w:rsid w:val="007A3BD1"/>
    <w:pPr>
      <w:autoSpaceDE w:val="0"/>
      <w:autoSpaceDN w:val="0"/>
      <w:adjustRightInd w:val="0"/>
    </w:pPr>
    <w:rPr>
      <w:rFonts w:eastAsia="Calibri"/>
      <w:color w:val="000000"/>
      <w:sz w:val="24"/>
      <w:szCs w:val="24"/>
      <w:lang w:eastAsia="en-US"/>
    </w:rPr>
  </w:style>
  <w:style w:type="character" w:customStyle="1" w:styleId="lnekChar">
    <w:name w:val="Článek Char"/>
    <w:link w:val="lnek"/>
    <w:rsid w:val="007A3BD1"/>
    <w:rPr>
      <w:sz w:val="24"/>
    </w:rPr>
  </w:style>
  <w:style w:type="character" w:customStyle="1" w:styleId="ParagrafChar">
    <w:name w:val="Paragraf Char"/>
    <w:link w:val="Paragraf"/>
    <w:rsid w:val="007A3BD1"/>
    <w:rPr>
      <w:sz w:val="24"/>
    </w:rPr>
  </w:style>
  <w:style w:type="character" w:customStyle="1" w:styleId="NovelizanbodChar">
    <w:name w:val="Novelizační bod Char"/>
    <w:link w:val="Novelizanbod"/>
    <w:locked/>
    <w:rsid w:val="007A3BD1"/>
    <w:rPr>
      <w:sz w:val="24"/>
    </w:rPr>
  </w:style>
  <w:style w:type="character" w:customStyle="1" w:styleId="TextodstavceChar">
    <w:name w:val="Text odstavce Char"/>
    <w:link w:val="Textodstavce"/>
    <w:locked/>
    <w:rsid w:val="007A3BD1"/>
    <w:rPr>
      <w:sz w:val="24"/>
    </w:rPr>
  </w:style>
  <w:style w:type="character" w:customStyle="1" w:styleId="TextpsmeneChar1">
    <w:name w:val="Text písmene Char1"/>
    <w:link w:val="Textpsmene"/>
    <w:locked/>
    <w:rsid w:val="007A3BD1"/>
    <w:rPr>
      <w:sz w:val="24"/>
    </w:rPr>
  </w:style>
  <w:style w:type="character" w:customStyle="1" w:styleId="ZhlavChar">
    <w:name w:val="Záhlaví Char"/>
    <w:link w:val="Zhlav"/>
    <w:rsid w:val="007A3BD1"/>
    <w:rPr>
      <w:sz w:val="24"/>
    </w:rPr>
  </w:style>
  <w:style w:type="character" w:customStyle="1" w:styleId="ZpatChar">
    <w:name w:val="Zápatí Char"/>
    <w:link w:val="Zpat"/>
    <w:rsid w:val="007A3BD1"/>
    <w:rPr>
      <w:sz w:val="24"/>
    </w:rPr>
  </w:style>
  <w:style w:type="character" w:customStyle="1" w:styleId="TextpsmeneChar">
    <w:name w:val="Text písmene Char"/>
    <w:locked/>
    <w:rsid w:val="007A3BD1"/>
    <w:rPr>
      <w:sz w:val="24"/>
    </w:rPr>
  </w:style>
  <w:style w:type="paragraph" w:styleId="Revize">
    <w:name w:val="Revision"/>
    <w:hidden/>
    <w:uiPriority w:val="99"/>
    <w:semiHidden/>
    <w:rsid w:val="007A3BD1"/>
    <w:rPr>
      <w:rFonts w:ascii="Calibri" w:eastAsia="Calibri" w:hAnsi="Calibri"/>
      <w:sz w:val="22"/>
      <w:szCs w:val="22"/>
      <w:lang w:eastAsia="en-US"/>
    </w:rPr>
  </w:style>
  <w:style w:type="character" w:customStyle="1" w:styleId="NADPISSTIChar">
    <w:name w:val="NADPIS ČÁSTI Char"/>
    <w:link w:val="NADPISSTI"/>
    <w:rsid w:val="007A3BD1"/>
    <w:rPr>
      <w:b/>
      <w:sz w:val="24"/>
    </w:rPr>
  </w:style>
  <w:style w:type="paragraph" w:customStyle="1" w:styleId="Aodstavec">
    <w:name w:val="A_odstavec"/>
    <w:basedOn w:val="Normln"/>
    <w:link w:val="AodstavecChar"/>
    <w:uiPriority w:val="99"/>
    <w:rsid w:val="007A3BD1"/>
    <w:pPr>
      <w:widowControl w:val="0"/>
      <w:tabs>
        <w:tab w:val="left" w:pos="851"/>
        <w:tab w:val="left" w:pos="993"/>
      </w:tabs>
      <w:spacing w:before="120" w:after="120"/>
      <w:ind w:left="142" w:firstLine="425"/>
      <w:outlineLvl w:val="2"/>
    </w:pPr>
  </w:style>
  <w:style w:type="character" w:customStyle="1" w:styleId="AodstavecChar">
    <w:name w:val="A_odstavec Char"/>
    <w:link w:val="Aodstavec"/>
    <w:uiPriority w:val="99"/>
    <w:locked/>
    <w:rsid w:val="007A3BD1"/>
    <w:rPr>
      <w:sz w:val="24"/>
    </w:rPr>
  </w:style>
  <w:style w:type="character" w:customStyle="1" w:styleId="TextpoznpodarouChar">
    <w:name w:val="Text pozn. pod čarou Char"/>
    <w:link w:val="Textpoznpodarou"/>
    <w:uiPriority w:val="99"/>
    <w:semiHidden/>
    <w:rsid w:val="00A16F31"/>
  </w:style>
  <w:style w:type="character" w:customStyle="1" w:styleId="NadpisparagrafuChar2">
    <w:name w:val="Nadpis paragrafu Char2"/>
    <w:link w:val="Nadpisparagrafu"/>
    <w:rsid w:val="007A3BD1"/>
    <w:rPr>
      <w:b/>
      <w:sz w:val="24"/>
    </w:rPr>
  </w:style>
  <w:style w:type="paragraph" w:customStyle="1" w:styleId="Dvodovzprvakbodu0">
    <w:name w:val="Důvodová zpráva k bodu"/>
    <w:basedOn w:val="Normln"/>
    <w:next w:val="Dvodovzprva"/>
    <w:qFormat/>
    <w:rsid w:val="007A3BD1"/>
    <w:pPr>
      <w:keepNext/>
      <w:numPr>
        <w:numId w:val="22"/>
      </w:numPr>
      <w:tabs>
        <w:tab w:val="left" w:pos="1134"/>
      </w:tabs>
      <w:spacing w:before="120"/>
      <w:outlineLvl w:val="0"/>
    </w:pPr>
    <w:rPr>
      <w:rFonts w:ascii="Arial" w:hAnsi="Arial"/>
      <w:b/>
      <w:bCs/>
      <w:color w:val="0000FF"/>
      <w:sz w:val="22"/>
      <w:szCs w:val="24"/>
    </w:rPr>
  </w:style>
  <w:style w:type="character" w:customStyle="1" w:styleId="normln0">
    <w:name w:val="normln"/>
    <w:basedOn w:val="Standardnpsmoodstavce"/>
    <w:rsid w:val="00A90ED7"/>
    <w:rPr>
      <w:sz w:val="24"/>
      <w:szCs w:val="24"/>
    </w:rPr>
  </w:style>
  <w:style w:type="paragraph" w:customStyle="1" w:styleId="normln1">
    <w:name w:val="normln1"/>
    <w:basedOn w:val="Normln"/>
    <w:rsid w:val="00A90ED7"/>
    <w:pPr>
      <w:spacing w:after="20"/>
      <w:jc w:val="left"/>
    </w:pPr>
    <w:rPr>
      <w:szCs w:val="24"/>
    </w:rPr>
  </w:style>
  <w:style w:type="numbering" w:customStyle="1" w:styleId="Bezseznamu2">
    <w:name w:val="Bez seznamu2"/>
    <w:next w:val="Bezseznamu"/>
    <w:uiPriority w:val="99"/>
    <w:semiHidden/>
    <w:unhideWhenUsed/>
    <w:rsid w:val="00A90ED7"/>
  </w:style>
  <w:style w:type="paragraph" w:customStyle="1" w:styleId="1">
    <w:name w:val="1"/>
    <w:link w:val="PodtitulChar"/>
    <w:uiPriority w:val="11"/>
    <w:rsid w:val="00A90ED7"/>
    <w:pPr>
      <w:numPr>
        <w:ilvl w:val="1"/>
      </w:numPr>
      <w:spacing w:after="120"/>
      <w:jc w:val="both"/>
    </w:pPr>
    <w:rPr>
      <w:rFonts w:ascii="Cambria" w:hAnsi="Cambria"/>
      <w:i/>
      <w:iCs/>
      <w:color w:val="4F81BD"/>
      <w:spacing w:val="15"/>
      <w:sz w:val="24"/>
      <w:szCs w:val="24"/>
    </w:rPr>
  </w:style>
  <w:style w:type="character" w:customStyle="1" w:styleId="PodtitulChar">
    <w:name w:val="Podtitul Char"/>
    <w:link w:val="1"/>
    <w:uiPriority w:val="11"/>
    <w:rsid w:val="00A90ED7"/>
    <w:rPr>
      <w:rFonts w:ascii="Cambria" w:hAnsi="Cambria"/>
      <w:i/>
      <w:iCs/>
      <w:color w:val="4F81BD"/>
      <w:spacing w:val="15"/>
      <w:sz w:val="24"/>
      <w:szCs w:val="24"/>
    </w:rPr>
  </w:style>
  <w:style w:type="numbering" w:customStyle="1" w:styleId="1111111">
    <w:name w:val="1 / 1.1 / 1.1.11"/>
    <w:basedOn w:val="Bezseznamu"/>
    <w:next w:val="111111"/>
    <w:uiPriority w:val="99"/>
    <w:semiHidden/>
    <w:unhideWhenUsed/>
    <w:rsid w:val="00A90ED7"/>
  </w:style>
  <w:style w:type="paragraph" w:customStyle="1" w:styleId="StylDvodovzprva16bTun">
    <w:name w:val="Styl Důvodová zpráva + 16 b. Tučné"/>
    <w:basedOn w:val="Dvodovzprva"/>
    <w:rsid w:val="00A90ED7"/>
    <w:pPr>
      <w:numPr>
        <w:numId w:val="25"/>
      </w:numPr>
      <w:tabs>
        <w:tab w:val="num" w:pos="425"/>
        <w:tab w:val="num" w:pos="567"/>
      </w:tabs>
      <w:spacing w:after="120"/>
      <w:ind w:left="425" w:hanging="425"/>
    </w:pPr>
    <w:rPr>
      <w:b/>
      <w:bCs/>
      <w:sz w:val="32"/>
    </w:rPr>
  </w:style>
  <w:style w:type="character" w:styleId="Hypertextovodkaz">
    <w:name w:val="Hyperlink"/>
    <w:uiPriority w:val="99"/>
    <w:unhideWhenUsed/>
    <w:rsid w:val="00A90ED7"/>
    <w:rPr>
      <w:color w:val="0000FF"/>
      <w:u w:val="single"/>
    </w:rPr>
  </w:style>
  <w:style w:type="character" w:styleId="Zdraznnintenzivn">
    <w:name w:val="Intense Emphasis"/>
    <w:aliases w:val="Pracovní poznámka"/>
    <w:uiPriority w:val="21"/>
    <w:qFormat/>
    <w:rsid w:val="00A90ED7"/>
    <w:rPr>
      <w:rFonts w:ascii="Arial" w:hAnsi="Arial" w:cs="Arial"/>
      <w:color w:val="0000FF"/>
      <w:sz w:val="20"/>
      <w:szCs w:val="24"/>
    </w:rPr>
  </w:style>
  <w:style w:type="paragraph" w:customStyle="1" w:styleId="Dvodovzprvanadpissti">
    <w:name w:val="Důvodová zpráva nadpis části"/>
    <w:basedOn w:val="Dvodovzprva"/>
    <w:next w:val="Dvodovzprva"/>
    <w:qFormat/>
    <w:rsid w:val="00A90ED7"/>
    <w:pPr>
      <w:keepNext/>
      <w:spacing w:after="120"/>
    </w:pPr>
    <w:rPr>
      <w:b/>
      <w:bCs/>
      <w:sz w:val="28"/>
      <w:szCs w:val="24"/>
    </w:rPr>
  </w:style>
  <w:style w:type="paragraph" w:customStyle="1" w:styleId="Point0">
    <w:name w:val="Point 0"/>
    <w:basedOn w:val="Normln"/>
    <w:uiPriority w:val="99"/>
    <w:rsid w:val="00A90ED7"/>
    <w:pPr>
      <w:spacing w:before="120" w:after="120"/>
      <w:ind w:left="850" w:hanging="850"/>
    </w:pPr>
    <w:rPr>
      <w:rFonts w:eastAsia="Calibri"/>
      <w:szCs w:val="24"/>
      <w:lang w:eastAsia="en-US"/>
    </w:rPr>
  </w:style>
  <w:style w:type="paragraph" w:customStyle="1" w:styleId="odstavec">
    <w:name w:val="odstavec"/>
    <w:basedOn w:val="Normln"/>
    <w:rsid w:val="00A90ED7"/>
    <w:pPr>
      <w:tabs>
        <w:tab w:val="left" w:pos="851"/>
      </w:tabs>
      <w:spacing w:before="120" w:after="120"/>
      <w:ind w:firstLine="482"/>
    </w:pPr>
    <w:rPr>
      <w:noProof/>
      <w:szCs w:val="24"/>
    </w:rPr>
  </w:style>
  <w:style w:type="character" w:styleId="Odkaznavysvtlivky">
    <w:name w:val="endnote reference"/>
    <w:unhideWhenUsed/>
    <w:rsid w:val="00A90ED7"/>
    <w:rPr>
      <w:vertAlign w:val="superscript"/>
    </w:rPr>
  </w:style>
  <w:style w:type="numbering" w:customStyle="1" w:styleId="Bezseznamu11">
    <w:name w:val="Bez seznamu11"/>
    <w:next w:val="Bezseznamu"/>
    <w:uiPriority w:val="99"/>
    <w:semiHidden/>
    <w:unhideWhenUsed/>
    <w:rsid w:val="00A90ED7"/>
  </w:style>
  <w:style w:type="numbering" w:customStyle="1" w:styleId="11111111">
    <w:name w:val="1 / 1.1 / 1.1.111"/>
    <w:basedOn w:val="Bezseznamu"/>
    <w:next w:val="111111"/>
    <w:uiPriority w:val="99"/>
    <w:semiHidden/>
    <w:unhideWhenUsed/>
    <w:rsid w:val="00A90ED7"/>
  </w:style>
  <w:style w:type="character" w:customStyle="1" w:styleId="OdstavecseseznamemChar">
    <w:name w:val="Odstavec se seznamem Char"/>
    <w:aliases w:val="Nad Char"/>
    <w:link w:val="Odstavecseseznamem"/>
    <w:uiPriority w:val="34"/>
    <w:locked/>
    <w:rsid w:val="00A90ED7"/>
    <w:rPr>
      <w:sz w:val="24"/>
    </w:rPr>
  </w:style>
  <w:style w:type="paragraph" w:customStyle="1" w:styleId="Dslovnpsmenatun">
    <w:name w:val="D Číslování písmena + tučné"/>
    <w:basedOn w:val="Normln"/>
    <w:uiPriority w:val="99"/>
    <w:rsid w:val="00A90ED7"/>
    <w:pPr>
      <w:numPr>
        <w:numId w:val="26"/>
      </w:numPr>
      <w:spacing w:before="120" w:after="120"/>
    </w:pPr>
    <w:rPr>
      <w:b/>
      <w:szCs w:val="24"/>
    </w:rPr>
  </w:style>
  <w:style w:type="paragraph" w:customStyle="1" w:styleId="DTlotextu1">
    <w:name w:val="D Tělo textu 1"/>
    <w:basedOn w:val="Normln"/>
    <w:uiPriority w:val="99"/>
    <w:qFormat/>
    <w:rsid w:val="00E75201"/>
    <w:pPr>
      <w:spacing w:before="120" w:after="120"/>
    </w:pPr>
    <w:rPr>
      <w:szCs w:val="24"/>
    </w:rPr>
  </w:style>
  <w:style w:type="paragraph" w:customStyle="1" w:styleId="DTlotextu2">
    <w:name w:val="D Tělo textu 2"/>
    <w:basedOn w:val="Normln"/>
    <w:uiPriority w:val="99"/>
    <w:rsid w:val="00E75201"/>
    <w:pPr>
      <w:spacing w:before="120" w:after="120"/>
      <w:ind w:left="567"/>
    </w:pPr>
    <w:rPr>
      <w:szCs w:val="24"/>
    </w:rPr>
  </w:style>
  <w:style w:type="table" w:styleId="Svtlstnovn">
    <w:name w:val="Light Shading"/>
    <w:basedOn w:val="Normlntabulka"/>
    <w:uiPriority w:val="60"/>
    <w:rsid w:val="00A90E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Hlavnnadpis">
    <w:name w:val="Hlavní nadpis"/>
    <w:basedOn w:val="Normln"/>
    <w:link w:val="HlavnnadpisChar"/>
    <w:qFormat/>
    <w:rsid w:val="00A90ED7"/>
    <w:pPr>
      <w:spacing w:before="240" w:after="120"/>
      <w:jc w:val="center"/>
    </w:pPr>
    <w:rPr>
      <w:rFonts w:ascii="Arial" w:hAnsi="Arial" w:cs="Arial"/>
      <w:b/>
      <w:kern w:val="32"/>
      <w:sz w:val="36"/>
      <w:szCs w:val="32"/>
    </w:rPr>
  </w:style>
  <w:style w:type="paragraph" w:customStyle="1" w:styleId="Malnadpis">
    <w:name w:val="Malý nadpis"/>
    <w:basedOn w:val="Normln"/>
    <w:link w:val="MalnadpisChar"/>
    <w:qFormat/>
    <w:rsid w:val="00A90ED7"/>
    <w:pPr>
      <w:keepNext/>
      <w:spacing w:before="240" w:after="120"/>
    </w:pPr>
    <w:rPr>
      <w:u w:val="single"/>
    </w:rPr>
  </w:style>
  <w:style w:type="character" w:customStyle="1" w:styleId="HlavnnadpisChar">
    <w:name w:val="Hlavní nadpis Char"/>
    <w:link w:val="Hlavnnadpis"/>
    <w:rsid w:val="00A90ED7"/>
    <w:rPr>
      <w:rFonts w:ascii="Arial" w:hAnsi="Arial" w:cs="Arial"/>
      <w:b/>
      <w:kern w:val="32"/>
      <w:sz w:val="36"/>
      <w:szCs w:val="32"/>
    </w:rPr>
  </w:style>
  <w:style w:type="character" w:customStyle="1" w:styleId="TitulekChar">
    <w:name w:val="Titulek Char"/>
    <w:link w:val="Titulek"/>
    <w:rsid w:val="00A90ED7"/>
    <w:rPr>
      <w:rFonts w:ascii="Arial" w:hAnsi="Arial"/>
      <w:b/>
      <w:color w:val="0000FF"/>
      <w:sz w:val="22"/>
    </w:rPr>
  </w:style>
  <w:style w:type="character" w:customStyle="1" w:styleId="MalnadpisChar">
    <w:name w:val="Malý nadpis Char"/>
    <w:link w:val="Malnadpis"/>
    <w:rsid w:val="00A90ED7"/>
    <w:rPr>
      <w:sz w:val="24"/>
      <w:u w:val="single"/>
    </w:rPr>
  </w:style>
  <w:style w:type="character" w:customStyle="1" w:styleId="PracovnpoznmkaChar">
    <w:name w:val="Pracovní poznámka Char"/>
    <w:rsid w:val="00A90ED7"/>
    <w:rPr>
      <w:rFonts w:ascii="Arial" w:hAnsi="Arial" w:cs="Arial"/>
      <w:color w:val="0000FF"/>
    </w:rPr>
  </w:style>
  <w:style w:type="paragraph" w:customStyle="1" w:styleId="Obecnnadpis">
    <w:name w:val="Obecný nadpis"/>
    <w:basedOn w:val="Normln"/>
    <w:link w:val="ObecnnadpisChar"/>
    <w:qFormat/>
    <w:rsid w:val="00A90ED7"/>
    <w:pPr>
      <w:tabs>
        <w:tab w:val="left" w:pos="709"/>
      </w:tabs>
      <w:spacing w:before="240" w:after="40" w:line="288" w:lineRule="auto"/>
      <w:jc w:val="left"/>
    </w:pPr>
    <w:rPr>
      <w:rFonts w:eastAsia="Calibri"/>
      <w:b/>
      <w:color w:val="000000"/>
      <w:szCs w:val="24"/>
    </w:rPr>
  </w:style>
  <w:style w:type="character" w:customStyle="1" w:styleId="ObecnnadpisChar">
    <w:name w:val="Obecný nadpis Char"/>
    <w:link w:val="Obecnnadpis"/>
    <w:rsid w:val="00A90ED7"/>
    <w:rPr>
      <w:rFonts w:eastAsia="Calibri"/>
      <w:b/>
      <w:color w:val="000000"/>
      <w:sz w:val="24"/>
      <w:szCs w:val="24"/>
    </w:rPr>
  </w:style>
  <w:style w:type="paragraph" w:customStyle="1" w:styleId="Poznmka">
    <w:name w:val="Poznámka"/>
    <w:basedOn w:val="Textodstavce"/>
    <w:rsid w:val="00A90ED7"/>
    <w:pPr>
      <w:keepNext/>
      <w:numPr>
        <w:ilvl w:val="0"/>
        <w:numId w:val="0"/>
      </w:numPr>
    </w:pPr>
    <w:rPr>
      <w:rFonts w:ascii="Arial" w:hAnsi="Arial" w:cs="Arial"/>
      <w:iCs/>
      <w:color w:val="0000FF"/>
      <w:sz w:val="18"/>
    </w:rPr>
  </w:style>
  <w:style w:type="paragraph" w:customStyle="1" w:styleId="Textelnku">
    <w:name w:val="Text elánku"/>
    <w:basedOn w:val="Normln"/>
    <w:rsid w:val="00A90ED7"/>
    <w:pPr>
      <w:overflowPunct w:val="0"/>
      <w:autoSpaceDE w:val="0"/>
      <w:autoSpaceDN w:val="0"/>
      <w:adjustRightInd w:val="0"/>
      <w:spacing w:before="240" w:after="120"/>
      <w:ind w:firstLine="425"/>
      <w:textAlignment w:val="baseline"/>
    </w:pPr>
  </w:style>
  <w:style w:type="paragraph" w:customStyle="1" w:styleId="Elnek">
    <w:name w:val="Elánek"/>
    <w:basedOn w:val="Normln"/>
    <w:next w:val="Normln"/>
    <w:rsid w:val="00A90ED7"/>
    <w:pPr>
      <w:keepNext/>
      <w:keepLines/>
      <w:spacing w:before="240" w:after="120"/>
      <w:jc w:val="center"/>
    </w:pPr>
  </w:style>
  <w:style w:type="paragraph" w:customStyle="1" w:styleId="BodyText22">
    <w:name w:val="Body Text 22"/>
    <w:basedOn w:val="Normln"/>
    <w:rsid w:val="00A90ED7"/>
    <w:pPr>
      <w:widowControl w:val="0"/>
      <w:spacing w:after="120"/>
    </w:pPr>
    <w:rPr>
      <w:sz w:val="20"/>
    </w:rPr>
  </w:style>
  <w:style w:type="character" w:styleId="Sledovanodkaz">
    <w:name w:val="FollowedHyperlink"/>
    <w:uiPriority w:val="99"/>
    <w:semiHidden/>
    <w:unhideWhenUsed/>
    <w:rsid w:val="00A90ED7"/>
    <w:rPr>
      <w:color w:val="954F72"/>
      <w:u w:val="single"/>
    </w:rPr>
  </w:style>
  <w:style w:type="paragraph" w:customStyle="1" w:styleId="stDZ">
    <w:name w:val="Část DZ"/>
    <w:basedOn w:val="Hlavnnadpis"/>
    <w:qFormat/>
    <w:rsid w:val="00A90ED7"/>
    <w:pPr>
      <w:keepNext/>
      <w:keepLines/>
      <w:numPr>
        <w:numId w:val="27"/>
      </w:numPr>
      <w:tabs>
        <w:tab w:val="num" w:pos="567"/>
      </w:tabs>
      <w:ind w:left="567" w:hanging="567"/>
    </w:pPr>
    <w:rPr>
      <w:rFonts w:ascii="Times New Roman" w:hAnsi="Times New Roman" w:cs="Times New Roman"/>
      <w:kern w:val="0"/>
      <w:szCs w:val="20"/>
    </w:rPr>
  </w:style>
  <w:style w:type="character" w:styleId="Siln">
    <w:name w:val="Strong"/>
    <w:qFormat/>
    <w:rsid w:val="00A90ED7"/>
    <w:rPr>
      <w:b/>
      <w:bCs/>
    </w:rPr>
  </w:style>
  <w:style w:type="paragraph" w:customStyle="1" w:styleId="Nadpisyvtextu">
    <w:name w:val="Nadpisy v textu"/>
    <w:basedOn w:val="Normln"/>
    <w:next w:val="Normln"/>
    <w:uiPriority w:val="1"/>
    <w:qFormat/>
    <w:rsid w:val="00A90ED7"/>
    <w:pPr>
      <w:keepNext/>
      <w:spacing w:before="240" w:after="120"/>
    </w:pPr>
    <w:rPr>
      <w:szCs w:val="22"/>
      <w:u w:val="single"/>
      <w:lang w:eastAsia="en-US"/>
    </w:rPr>
  </w:style>
  <w:style w:type="table" w:customStyle="1" w:styleId="Svtlstnovn1">
    <w:name w:val="Světlé stínování1"/>
    <w:basedOn w:val="Normlntabulka"/>
    <w:next w:val="Svtlstnovn"/>
    <w:uiPriority w:val="60"/>
    <w:rsid w:val="00A90ED7"/>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Zdraznn">
    <w:name w:val="Emphasis"/>
    <w:basedOn w:val="Standardnpsmoodstavce"/>
    <w:uiPriority w:val="20"/>
    <w:qFormat/>
    <w:rsid w:val="00A90E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94854">
      <w:bodyDiv w:val="1"/>
      <w:marLeft w:val="0"/>
      <w:marRight w:val="0"/>
      <w:marTop w:val="0"/>
      <w:marBottom w:val="0"/>
      <w:divBdr>
        <w:top w:val="none" w:sz="0" w:space="0" w:color="auto"/>
        <w:left w:val="none" w:sz="0" w:space="0" w:color="auto"/>
        <w:bottom w:val="none" w:sz="0" w:space="0" w:color="auto"/>
        <w:right w:val="none" w:sz="0" w:space="0" w:color="auto"/>
      </w:divBdr>
    </w:div>
    <w:div w:id="274602171">
      <w:bodyDiv w:val="1"/>
      <w:marLeft w:val="0"/>
      <w:marRight w:val="0"/>
      <w:marTop w:val="0"/>
      <w:marBottom w:val="0"/>
      <w:divBdr>
        <w:top w:val="none" w:sz="0" w:space="0" w:color="auto"/>
        <w:left w:val="none" w:sz="0" w:space="0" w:color="auto"/>
        <w:bottom w:val="none" w:sz="0" w:space="0" w:color="auto"/>
        <w:right w:val="none" w:sz="0" w:space="0" w:color="auto"/>
      </w:divBdr>
    </w:div>
    <w:div w:id="408429831">
      <w:bodyDiv w:val="1"/>
      <w:marLeft w:val="0"/>
      <w:marRight w:val="0"/>
      <w:marTop w:val="0"/>
      <w:marBottom w:val="0"/>
      <w:divBdr>
        <w:top w:val="none" w:sz="0" w:space="0" w:color="auto"/>
        <w:left w:val="none" w:sz="0" w:space="0" w:color="auto"/>
        <w:bottom w:val="none" w:sz="0" w:space="0" w:color="auto"/>
        <w:right w:val="none" w:sz="0" w:space="0" w:color="auto"/>
      </w:divBdr>
    </w:div>
    <w:div w:id="414135542">
      <w:bodyDiv w:val="1"/>
      <w:marLeft w:val="0"/>
      <w:marRight w:val="0"/>
      <w:marTop w:val="0"/>
      <w:marBottom w:val="0"/>
      <w:divBdr>
        <w:top w:val="none" w:sz="0" w:space="0" w:color="auto"/>
        <w:left w:val="none" w:sz="0" w:space="0" w:color="auto"/>
        <w:bottom w:val="none" w:sz="0" w:space="0" w:color="auto"/>
        <w:right w:val="none" w:sz="0" w:space="0" w:color="auto"/>
      </w:divBdr>
      <w:divsChild>
        <w:div w:id="1866672448">
          <w:marLeft w:val="0"/>
          <w:marRight w:val="0"/>
          <w:marTop w:val="0"/>
          <w:marBottom w:val="0"/>
          <w:divBdr>
            <w:top w:val="none" w:sz="0" w:space="0" w:color="auto"/>
            <w:left w:val="none" w:sz="0" w:space="0" w:color="auto"/>
            <w:bottom w:val="none" w:sz="0" w:space="0" w:color="auto"/>
            <w:right w:val="none" w:sz="0" w:space="0" w:color="auto"/>
          </w:divBdr>
          <w:divsChild>
            <w:div w:id="165217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99366">
      <w:bodyDiv w:val="1"/>
      <w:marLeft w:val="0"/>
      <w:marRight w:val="0"/>
      <w:marTop w:val="0"/>
      <w:marBottom w:val="0"/>
      <w:divBdr>
        <w:top w:val="none" w:sz="0" w:space="0" w:color="auto"/>
        <w:left w:val="none" w:sz="0" w:space="0" w:color="auto"/>
        <w:bottom w:val="none" w:sz="0" w:space="0" w:color="auto"/>
        <w:right w:val="none" w:sz="0" w:space="0" w:color="auto"/>
      </w:divBdr>
    </w:div>
    <w:div w:id="703553214">
      <w:bodyDiv w:val="1"/>
      <w:marLeft w:val="0"/>
      <w:marRight w:val="0"/>
      <w:marTop w:val="0"/>
      <w:marBottom w:val="0"/>
      <w:divBdr>
        <w:top w:val="none" w:sz="0" w:space="0" w:color="auto"/>
        <w:left w:val="none" w:sz="0" w:space="0" w:color="auto"/>
        <w:bottom w:val="none" w:sz="0" w:space="0" w:color="auto"/>
        <w:right w:val="none" w:sz="0" w:space="0" w:color="auto"/>
      </w:divBdr>
    </w:div>
    <w:div w:id="732461754">
      <w:bodyDiv w:val="1"/>
      <w:marLeft w:val="0"/>
      <w:marRight w:val="0"/>
      <w:marTop w:val="0"/>
      <w:marBottom w:val="0"/>
      <w:divBdr>
        <w:top w:val="none" w:sz="0" w:space="0" w:color="auto"/>
        <w:left w:val="none" w:sz="0" w:space="0" w:color="auto"/>
        <w:bottom w:val="none" w:sz="0" w:space="0" w:color="auto"/>
        <w:right w:val="none" w:sz="0" w:space="0" w:color="auto"/>
      </w:divBdr>
    </w:div>
    <w:div w:id="860625511">
      <w:bodyDiv w:val="1"/>
      <w:marLeft w:val="0"/>
      <w:marRight w:val="0"/>
      <w:marTop w:val="0"/>
      <w:marBottom w:val="0"/>
      <w:divBdr>
        <w:top w:val="none" w:sz="0" w:space="0" w:color="auto"/>
        <w:left w:val="none" w:sz="0" w:space="0" w:color="auto"/>
        <w:bottom w:val="none" w:sz="0" w:space="0" w:color="auto"/>
        <w:right w:val="none" w:sz="0" w:space="0" w:color="auto"/>
      </w:divBdr>
    </w:div>
    <w:div w:id="920798989">
      <w:bodyDiv w:val="1"/>
      <w:marLeft w:val="0"/>
      <w:marRight w:val="0"/>
      <w:marTop w:val="0"/>
      <w:marBottom w:val="0"/>
      <w:divBdr>
        <w:top w:val="none" w:sz="0" w:space="0" w:color="auto"/>
        <w:left w:val="none" w:sz="0" w:space="0" w:color="auto"/>
        <w:bottom w:val="none" w:sz="0" w:space="0" w:color="auto"/>
        <w:right w:val="none" w:sz="0" w:space="0" w:color="auto"/>
      </w:divBdr>
    </w:div>
    <w:div w:id="990597082">
      <w:bodyDiv w:val="1"/>
      <w:marLeft w:val="0"/>
      <w:marRight w:val="0"/>
      <w:marTop w:val="0"/>
      <w:marBottom w:val="0"/>
      <w:divBdr>
        <w:top w:val="none" w:sz="0" w:space="0" w:color="auto"/>
        <w:left w:val="none" w:sz="0" w:space="0" w:color="auto"/>
        <w:bottom w:val="none" w:sz="0" w:space="0" w:color="auto"/>
        <w:right w:val="none" w:sz="0" w:space="0" w:color="auto"/>
      </w:divBdr>
      <w:divsChild>
        <w:div w:id="1097218667">
          <w:marLeft w:val="0"/>
          <w:marRight w:val="0"/>
          <w:marTop w:val="0"/>
          <w:marBottom w:val="0"/>
          <w:divBdr>
            <w:top w:val="none" w:sz="0" w:space="0" w:color="auto"/>
            <w:left w:val="none" w:sz="0" w:space="0" w:color="auto"/>
            <w:bottom w:val="none" w:sz="0" w:space="0" w:color="auto"/>
            <w:right w:val="none" w:sz="0" w:space="0" w:color="auto"/>
          </w:divBdr>
          <w:divsChild>
            <w:div w:id="53150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6788">
      <w:bodyDiv w:val="1"/>
      <w:marLeft w:val="0"/>
      <w:marRight w:val="0"/>
      <w:marTop w:val="0"/>
      <w:marBottom w:val="0"/>
      <w:divBdr>
        <w:top w:val="none" w:sz="0" w:space="0" w:color="auto"/>
        <w:left w:val="none" w:sz="0" w:space="0" w:color="auto"/>
        <w:bottom w:val="none" w:sz="0" w:space="0" w:color="auto"/>
        <w:right w:val="none" w:sz="0" w:space="0" w:color="auto"/>
      </w:divBdr>
    </w:div>
    <w:div w:id="1258368011">
      <w:bodyDiv w:val="1"/>
      <w:marLeft w:val="0"/>
      <w:marRight w:val="0"/>
      <w:marTop w:val="0"/>
      <w:marBottom w:val="0"/>
      <w:divBdr>
        <w:top w:val="none" w:sz="0" w:space="0" w:color="auto"/>
        <w:left w:val="none" w:sz="0" w:space="0" w:color="auto"/>
        <w:bottom w:val="none" w:sz="0" w:space="0" w:color="auto"/>
        <w:right w:val="none" w:sz="0" w:space="0" w:color="auto"/>
      </w:divBdr>
    </w:div>
    <w:div w:id="1354654330">
      <w:bodyDiv w:val="1"/>
      <w:marLeft w:val="0"/>
      <w:marRight w:val="0"/>
      <w:marTop w:val="0"/>
      <w:marBottom w:val="0"/>
      <w:divBdr>
        <w:top w:val="none" w:sz="0" w:space="0" w:color="auto"/>
        <w:left w:val="none" w:sz="0" w:space="0" w:color="auto"/>
        <w:bottom w:val="none" w:sz="0" w:space="0" w:color="auto"/>
        <w:right w:val="none" w:sz="0" w:space="0" w:color="auto"/>
      </w:divBdr>
    </w:div>
    <w:div w:id="1505970507">
      <w:bodyDiv w:val="1"/>
      <w:marLeft w:val="0"/>
      <w:marRight w:val="0"/>
      <w:marTop w:val="0"/>
      <w:marBottom w:val="0"/>
      <w:divBdr>
        <w:top w:val="none" w:sz="0" w:space="0" w:color="auto"/>
        <w:left w:val="none" w:sz="0" w:space="0" w:color="auto"/>
        <w:bottom w:val="none" w:sz="0" w:space="0" w:color="auto"/>
        <w:right w:val="none" w:sz="0" w:space="0" w:color="auto"/>
      </w:divBdr>
    </w:div>
    <w:div w:id="1593318835">
      <w:bodyDiv w:val="1"/>
      <w:marLeft w:val="0"/>
      <w:marRight w:val="0"/>
      <w:marTop w:val="0"/>
      <w:marBottom w:val="0"/>
      <w:divBdr>
        <w:top w:val="none" w:sz="0" w:space="0" w:color="auto"/>
        <w:left w:val="none" w:sz="0" w:space="0" w:color="auto"/>
        <w:bottom w:val="none" w:sz="0" w:space="0" w:color="auto"/>
        <w:right w:val="none" w:sz="0" w:space="0" w:color="auto"/>
      </w:divBdr>
    </w:div>
    <w:div w:id="1659844567">
      <w:bodyDiv w:val="1"/>
      <w:marLeft w:val="0"/>
      <w:marRight w:val="0"/>
      <w:marTop w:val="0"/>
      <w:marBottom w:val="0"/>
      <w:divBdr>
        <w:top w:val="none" w:sz="0" w:space="0" w:color="auto"/>
        <w:left w:val="none" w:sz="0" w:space="0" w:color="auto"/>
        <w:bottom w:val="none" w:sz="0" w:space="0" w:color="auto"/>
        <w:right w:val="none" w:sz="0" w:space="0" w:color="auto"/>
      </w:divBdr>
    </w:div>
    <w:div w:id="1730105619">
      <w:bodyDiv w:val="1"/>
      <w:marLeft w:val="0"/>
      <w:marRight w:val="0"/>
      <w:marTop w:val="0"/>
      <w:marBottom w:val="0"/>
      <w:divBdr>
        <w:top w:val="none" w:sz="0" w:space="0" w:color="auto"/>
        <w:left w:val="none" w:sz="0" w:space="0" w:color="auto"/>
        <w:bottom w:val="none" w:sz="0" w:space="0" w:color="auto"/>
        <w:right w:val="none" w:sz="0" w:space="0" w:color="auto"/>
      </w:divBdr>
    </w:div>
    <w:div w:id="1919287642">
      <w:bodyDiv w:val="1"/>
      <w:marLeft w:val="0"/>
      <w:marRight w:val="0"/>
      <w:marTop w:val="0"/>
      <w:marBottom w:val="0"/>
      <w:divBdr>
        <w:top w:val="none" w:sz="0" w:space="0" w:color="auto"/>
        <w:left w:val="none" w:sz="0" w:space="0" w:color="auto"/>
        <w:bottom w:val="none" w:sz="0" w:space="0" w:color="auto"/>
        <w:right w:val="none" w:sz="0" w:space="0" w:color="auto"/>
      </w:divBdr>
    </w:div>
    <w:div w:id="1977681906">
      <w:bodyDiv w:val="1"/>
      <w:marLeft w:val="0"/>
      <w:marRight w:val="0"/>
      <w:marTop w:val="0"/>
      <w:marBottom w:val="0"/>
      <w:divBdr>
        <w:top w:val="none" w:sz="0" w:space="0" w:color="auto"/>
        <w:left w:val="none" w:sz="0" w:space="0" w:color="auto"/>
        <w:bottom w:val="none" w:sz="0" w:space="0" w:color="auto"/>
        <w:right w:val="none" w:sz="0" w:space="0" w:color="auto"/>
      </w:divBdr>
    </w:div>
    <w:div w:id="2024670061">
      <w:bodyDiv w:val="1"/>
      <w:marLeft w:val="0"/>
      <w:marRight w:val="0"/>
      <w:marTop w:val="0"/>
      <w:marBottom w:val="0"/>
      <w:divBdr>
        <w:top w:val="none" w:sz="0" w:space="0" w:color="auto"/>
        <w:left w:val="none" w:sz="0" w:space="0" w:color="auto"/>
        <w:bottom w:val="none" w:sz="0" w:space="0" w:color="auto"/>
        <w:right w:val="none" w:sz="0" w:space="0" w:color="auto"/>
      </w:divBdr>
    </w:div>
    <w:div w:id="209659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oecd.org/tax/exchange-of-tax-information/model-reporting-rules-for-digital-platforms-international-exchange-framework-and-optional-module-for-sale-of-goods.pdf" TargetMode="External"/><Relationship Id="rId2" Type="http://schemas.openxmlformats.org/officeDocument/2006/relationships/hyperlink" Target="https://www.oecd.org/tax/exchange-of-tax-information/model-rules-for-reporting-by-platform-operators-with-respect-to-sellers-in-the-sharing-and-gig-economy.pdf" TargetMode="External"/><Relationship Id="rId1" Type="http://schemas.openxmlformats.org/officeDocument/2006/relationships/hyperlink" Target="https://www.fatf-gafi.org/en/publications/High-risk-and-other-monitored-jurisdictions/Increased-monitoring-june-2023.html"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74E98F9F91128479FBC166D9118EEC5" ma:contentTypeVersion="5" ma:contentTypeDescription="Vytvoří nový dokument" ma:contentTypeScope="" ma:versionID="47b66ec22410dd18c4de12907d727477">
  <xsd:schema xmlns:xsd="http://www.w3.org/2001/XMLSchema" xmlns:xs="http://www.w3.org/2001/XMLSchema" xmlns:p="http://schemas.microsoft.com/office/2006/metadata/properties" xmlns:ns2="3a26805a-6b16-41b4-a7a7-c077abbec8bc" xmlns:ns3="e70d7055-bc08-4199-81af-b79e7f55e92f" targetNamespace="http://schemas.microsoft.com/office/2006/metadata/properties" ma:root="true" ma:fieldsID="e4ac714bae73552d247dc6346274f37d" ns2:_="" ns3:_="">
    <xsd:import namespace="3a26805a-6b16-41b4-a7a7-c077abbec8bc"/>
    <xsd:import namespace="e70d7055-bc08-4199-81af-b79e7f55e9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805a-6b16-41b4-a7a7-c077abbe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d7055-bc08-4199-81af-b79e7f55e92f"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696CD19-57FC-4D89-9B4D-268B04DBCE39}">
  <ds:schemaRefs>
    <ds:schemaRef ds:uri="http://schemas.microsoft.com/sharepoint/v3/contenttype/forms"/>
  </ds:schemaRefs>
</ds:datastoreItem>
</file>

<file path=customXml/itemProps2.xml><?xml version="1.0" encoding="utf-8"?>
<ds:datastoreItem xmlns:ds="http://schemas.openxmlformats.org/officeDocument/2006/customXml" ds:itemID="{C223056E-161B-423E-A746-4899E175E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805a-6b16-41b4-a7a7-c077abbec8bc"/>
    <ds:schemaRef ds:uri="e70d7055-bc08-4199-81af-b79e7f55e9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B3D48-9D9B-4EDB-86A7-519767538263}">
  <ds:schemaRefs>
    <ds:schemaRef ds:uri="3a26805a-6b16-41b4-a7a7-c077abbec8bc"/>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70d7055-bc08-4199-81af-b79e7f55e92f"/>
    <ds:schemaRef ds:uri="http://www.w3.org/XML/1998/namespace"/>
    <ds:schemaRef ds:uri="http://purl.org/dc/dcmitype/"/>
  </ds:schemaRefs>
</ds:datastoreItem>
</file>

<file path=customXml/itemProps4.xml><?xml version="1.0" encoding="utf-8"?>
<ds:datastoreItem xmlns:ds="http://schemas.openxmlformats.org/officeDocument/2006/customXml" ds:itemID="{0872B4C6-25E7-4916-8103-54BD9377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44</Pages>
  <Words>18990</Words>
  <Characters>112043</Characters>
  <Application>Microsoft Office Word</Application>
  <DocSecurity>0</DocSecurity>
  <Lines>933</Lines>
  <Paragraphs>261</Paragraphs>
  <ScaleCrop>false</ScaleCrop>
  <HeadingPairs>
    <vt:vector size="2" baseType="variant">
      <vt:variant>
        <vt:lpstr>Název</vt:lpstr>
      </vt:variant>
      <vt:variant>
        <vt:i4>1</vt:i4>
      </vt:variant>
    </vt:vector>
  </HeadingPairs>
  <TitlesOfParts>
    <vt:vector size="1" baseType="lpstr">
      <vt:lpstr/>
    </vt:vector>
  </TitlesOfParts>
  <Company>MFCR</Company>
  <LinksUpToDate>false</LinksUpToDate>
  <CharactersWithSpaces>130772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 Kačer JUDr.</dc:creator>
  <cp:keywords/>
  <dc:description/>
  <cp:lastModifiedBy>Poupě Ondřej Mgr.</cp:lastModifiedBy>
  <cp:revision>9</cp:revision>
  <dcterms:created xsi:type="dcterms:W3CDTF">2023-10-06T12:09:00Z</dcterms:created>
  <dcterms:modified xsi:type="dcterms:W3CDTF">2023-10-09T12:57:00Z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0x010100074E98F9F91128479FBC166D9118EEC5</vt:lpwstr>
  </property>
</Properties>
</file>