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EA95B4" w14:textId="77777777" w:rsidR="00676919" w:rsidRPr="00737E4D" w:rsidRDefault="00676919" w:rsidP="00737E4D">
      <w:pPr>
        <w:spacing w:before="240" w:after="480"/>
        <w:jc w:val="center"/>
        <w:rPr>
          <w:b/>
          <w:szCs w:val="22"/>
        </w:rPr>
      </w:pPr>
      <w:r w:rsidRPr="00737E4D">
        <w:rPr>
          <w:b/>
          <w:szCs w:val="22"/>
        </w:rPr>
        <w:t>PŘEDKLÁDACÍ ZPRÁVA</w:t>
      </w:r>
    </w:p>
    <w:p w14:paraId="7321D854" w14:textId="790259A8" w:rsidR="00F071AA" w:rsidRPr="00325401" w:rsidRDefault="00F071AA" w:rsidP="00F071AA">
      <w:pPr>
        <w:spacing w:after="120"/>
        <w:jc w:val="both"/>
        <w:rPr>
          <w:bCs/>
          <w:szCs w:val="22"/>
        </w:rPr>
      </w:pPr>
      <w:r w:rsidRPr="00C54101">
        <w:rPr>
          <w:bCs/>
          <w:szCs w:val="22"/>
        </w:rPr>
        <w:t>Ministerstv</w:t>
      </w:r>
      <w:r>
        <w:rPr>
          <w:bCs/>
          <w:szCs w:val="22"/>
        </w:rPr>
        <w:t>o</w:t>
      </w:r>
      <w:r w:rsidRPr="00C54101">
        <w:rPr>
          <w:bCs/>
          <w:szCs w:val="22"/>
        </w:rPr>
        <w:t xml:space="preserve"> financí předkládá</w:t>
      </w:r>
      <w:r w:rsidRPr="00737E4D">
        <w:rPr>
          <w:bCs/>
          <w:szCs w:val="22"/>
        </w:rPr>
        <w:t xml:space="preserve"> </w:t>
      </w:r>
      <w:r w:rsidR="00E343B3" w:rsidRPr="00E343B3">
        <w:rPr>
          <w:bCs/>
          <w:i/>
          <w:szCs w:val="22"/>
        </w:rPr>
        <w:t>„Návrh zákona, kterým se mění zákon č. 253/2008 Sb., o některých opatřeních proti legalizaci výnosů z trestné činnosti a financování terorismu, ve znění pozdějších předpisů, zákon č. 69/2006 Sb., o provádění mezinárodních sankcí, ve znění pozdějších předpisů, a zákon č. 164/2013 Sb., o mezinárodní spolupráci při správě daní a o změně dalších souvisejících zákonů, ve znění pozdějších předpisů“</w:t>
      </w:r>
      <w:r>
        <w:rPr>
          <w:bCs/>
          <w:i/>
          <w:szCs w:val="22"/>
        </w:rPr>
        <w:t xml:space="preserve"> </w:t>
      </w:r>
      <w:r w:rsidRPr="00325401">
        <w:rPr>
          <w:bCs/>
          <w:szCs w:val="22"/>
        </w:rPr>
        <w:t>(dále jen „návrh zákona“)</w:t>
      </w:r>
      <w:r w:rsidR="002245DC">
        <w:rPr>
          <w:bCs/>
          <w:szCs w:val="22"/>
        </w:rPr>
        <w:t xml:space="preserve"> do meziresortního připomínkového řízení.</w:t>
      </w:r>
    </w:p>
    <w:p w14:paraId="781B39B8" w14:textId="1768B661" w:rsidR="00E343B3" w:rsidRPr="00990217" w:rsidRDefault="00E343B3" w:rsidP="00E343B3">
      <w:pPr>
        <w:spacing w:after="100"/>
        <w:jc w:val="both"/>
        <w:rPr>
          <w:bCs/>
          <w:szCs w:val="22"/>
        </w:rPr>
      </w:pPr>
      <w:r>
        <w:rPr>
          <w:bCs/>
          <w:szCs w:val="22"/>
        </w:rPr>
        <w:t xml:space="preserve">V návrhu zákona jsou obsaženy změny zákona č. </w:t>
      </w:r>
      <w:r w:rsidRPr="00761235">
        <w:rPr>
          <w:bCs/>
          <w:szCs w:val="22"/>
        </w:rPr>
        <w:t>253/2008 Sb., o některých opatřeních proti legalizaci výnosů z trestné činnosti a financování terorismu, ve znění pozdějších předpisů</w:t>
      </w:r>
      <w:r>
        <w:rPr>
          <w:bCs/>
          <w:szCs w:val="22"/>
        </w:rPr>
        <w:t>,</w:t>
      </w:r>
      <w:r w:rsidRPr="00CA6E80">
        <w:rPr>
          <w:bCs/>
          <w:szCs w:val="22"/>
        </w:rPr>
        <w:t xml:space="preserve"> </w:t>
      </w:r>
      <w:r>
        <w:rPr>
          <w:bCs/>
          <w:szCs w:val="22"/>
        </w:rPr>
        <w:t>(dále jen „AML zákon“)</w:t>
      </w:r>
      <w:r w:rsidRPr="00BE7F84">
        <w:rPr>
          <w:bCs/>
          <w:szCs w:val="22"/>
        </w:rPr>
        <w:t xml:space="preserve">, </w:t>
      </w:r>
      <w:r w:rsidRPr="00C55488">
        <w:rPr>
          <w:bCs/>
          <w:szCs w:val="22"/>
        </w:rPr>
        <w:t>zákon</w:t>
      </w:r>
      <w:r>
        <w:rPr>
          <w:bCs/>
          <w:szCs w:val="22"/>
        </w:rPr>
        <w:t>a</w:t>
      </w:r>
      <w:r w:rsidRPr="00C55488">
        <w:rPr>
          <w:bCs/>
          <w:szCs w:val="22"/>
        </w:rPr>
        <w:t xml:space="preserve"> č. 69/2006 Sb., o provádění mezinárodních sankcí, ve znění pozdějších předpisů</w:t>
      </w:r>
      <w:r>
        <w:rPr>
          <w:bCs/>
          <w:szCs w:val="22"/>
        </w:rPr>
        <w:t xml:space="preserve"> (dále jen zákon „ZPMS“) a </w:t>
      </w:r>
      <w:r w:rsidRPr="00716E8A">
        <w:rPr>
          <w:bCs/>
          <w:szCs w:val="22"/>
        </w:rPr>
        <w:t>zákon</w:t>
      </w:r>
      <w:r>
        <w:rPr>
          <w:bCs/>
          <w:szCs w:val="22"/>
        </w:rPr>
        <w:t>a</w:t>
      </w:r>
      <w:r w:rsidRPr="00716E8A">
        <w:rPr>
          <w:bCs/>
          <w:szCs w:val="22"/>
        </w:rPr>
        <w:t xml:space="preserve"> č. 164/2013 Sb., o mezinárodní spolupráci při správě daní a o změně dalších souvisejících zákonů, ve znění pozdějších předpisů</w:t>
      </w:r>
      <w:r>
        <w:rPr>
          <w:bCs/>
          <w:szCs w:val="22"/>
        </w:rPr>
        <w:t xml:space="preserve"> (dále jen „ZMSSD“)</w:t>
      </w:r>
      <w:r w:rsidRPr="00BE7F84">
        <w:rPr>
          <w:bCs/>
          <w:szCs w:val="22"/>
        </w:rPr>
        <w:t>, ke kterým</w:t>
      </w:r>
      <w:r>
        <w:rPr>
          <w:bCs/>
          <w:szCs w:val="22"/>
        </w:rPr>
        <w:t xml:space="preserve"> má v případě AML zákona a ZMPS dojít v případě s účinností od 30. prosince 2024 a v případě ZMSSD dnem následujícím po dni vyhlášení zákona.</w:t>
      </w:r>
      <w:r w:rsidRPr="00990217">
        <w:rPr>
          <w:bCs/>
          <w:szCs w:val="22"/>
        </w:rPr>
        <w:t xml:space="preserve"> </w:t>
      </w:r>
      <w:r>
        <w:rPr>
          <w:bCs/>
          <w:szCs w:val="22"/>
        </w:rPr>
        <w:t>Veškeré v</w:t>
      </w:r>
      <w:r w:rsidRPr="00990217">
        <w:rPr>
          <w:bCs/>
          <w:szCs w:val="22"/>
        </w:rPr>
        <w:t xml:space="preserve">ýdaje </w:t>
      </w:r>
      <w:r w:rsidR="00BF79DE">
        <w:rPr>
          <w:bCs/>
          <w:szCs w:val="22"/>
        </w:rPr>
        <w:t xml:space="preserve">plynoucí z návrhu zákona </w:t>
      </w:r>
      <w:r w:rsidRPr="00990217">
        <w:rPr>
          <w:bCs/>
          <w:szCs w:val="22"/>
        </w:rPr>
        <w:t>budou hrazeny zejména ze stávající rozpočtové kapitoly Ministerstva financí bez potřeby navyšování</w:t>
      </w:r>
      <w:r>
        <w:rPr>
          <w:bCs/>
          <w:szCs w:val="22"/>
        </w:rPr>
        <w:t>.</w:t>
      </w:r>
    </w:p>
    <w:p w14:paraId="4782396F" w14:textId="77777777" w:rsidR="00E343B3" w:rsidRPr="00C55488" w:rsidRDefault="00E343B3" w:rsidP="00E343B3">
      <w:pPr>
        <w:spacing w:after="100"/>
        <w:jc w:val="both"/>
        <w:rPr>
          <w:bCs/>
          <w:szCs w:val="22"/>
        </w:rPr>
      </w:pPr>
      <w:r>
        <w:rPr>
          <w:bCs/>
          <w:szCs w:val="22"/>
        </w:rPr>
        <w:t xml:space="preserve">Návrh zákona </w:t>
      </w:r>
      <w:r w:rsidRPr="00C55488">
        <w:rPr>
          <w:bCs/>
          <w:szCs w:val="22"/>
        </w:rPr>
        <w:t>má za cíl adaptaci a imple</w:t>
      </w:r>
      <w:r>
        <w:rPr>
          <w:bCs/>
          <w:szCs w:val="22"/>
        </w:rPr>
        <w:t xml:space="preserve">mentaci evropského práva, </w:t>
      </w:r>
      <w:r w:rsidRPr="00C55488">
        <w:rPr>
          <w:bCs/>
          <w:szCs w:val="22"/>
        </w:rPr>
        <w:t xml:space="preserve">odstranění vybraných nedostatků identifikovaných v rámci hodnocení </w:t>
      </w:r>
      <w:r>
        <w:rPr>
          <w:bCs/>
          <w:szCs w:val="22"/>
        </w:rPr>
        <w:t>České republiky V</w:t>
      </w:r>
      <w:r w:rsidRPr="00C55488">
        <w:rPr>
          <w:bCs/>
          <w:szCs w:val="22"/>
        </w:rPr>
        <w:t>ýborem expertů pro hodnocení opatření proti praní špinavých peněz a financování terorismu Rady Evropy (</w:t>
      </w:r>
      <w:r>
        <w:rPr>
          <w:bCs/>
          <w:szCs w:val="22"/>
        </w:rPr>
        <w:t xml:space="preserve">dále jen „výbor </w:t>
      </w:r>
      <w:r w:rsidRPr="00C55488">
        <w:rPr>
          <w:bCs/>
          <w:szCs w:val="22"/>
        </w:rPr>
        <w:t>M</w:t>
      </w:r>
      <w:r>
        <w:rPr>
          <w:bCs/>
          <w:szCs w:val="22"/>
        </w:rPr>
        <w:t>ONEYVAL“</w:t>
      </w:r>
      <w:r w:rsidRPr="00C55488">
        <w:rPr>
          <w:bCs/>
          <w:szCs w:val="22"/>
        </w:rPr>
        <w:t>) a finálně také odstranění nedostatků AML zákona, které se projevily při jeho aplikaci v praxi.</w:t>
      </w:r>
    </w:p>
    <w:p w14:paraId="69E23F3F" w14:textId="77777777" w:rsidR="00E343B3" w:rsidRPr="00C55488" w:rsidRDefault="00E343B3" w:rsidP="00E343B3">
      <w:pPr>
        <w:pStyle w:val="DTlotextu1"/>
        <w:spacing w:after="100"/>
        <w:rPr>
          <w:bCs/>
          <w:szCs w:val="22"/>
        </w:rPr>
      </w:pPr>
      <w:r w:rsidRPr="00C55488">
        <w:rPr>
          <w:bCs/>
          <w:szCs w:val="22"/>
        </w:rPr>
        <w:t xml:space="preserve">Návrh zákona je primárně zákonem </w:t>
      </w:r>
      <w:r>
        <w:rPr>
          <w:bCs/>
          <w:szCs w:val="22"/>
        </w:rPr>
        <w:t>adaptačním</w:t>
      </w:r>
      <w:r w:rsidRPr="00C55488">
        <w:rPr>
          <w:bCs/>
          <w:szCs w:val="22"/>
        </w:rPr>
        <w:t>, který je legislativní reakcí na</w:t>
      </w:r>
      <w:r>
        <w:rPr>
          <w:bCs/>
          <w:szCs w:val="22"/>
        </w:rPr>
        <w:t xml:space="preserve"> tzv.</w:t>
      </w:r>
      <w:r w:rsidRPr="00C55488">
        <w:rPr>
          <w:bCs/>
          <w:szCs w:val="22"/>
        </w:rPr>
        <w:t xml:space="preserve"> nařízení </w:t>
      </w:r>
      <w:r>
        <w:rPr>
          <w:bCs/>
          <w:szCs w:val="22"/>
        </w:rPr>
        <w:t>TFR, které upravuje povinnost</w:t>
      </w:r>
      <w:r w:rsidRPr="00C55488">
        <w:rPr>
          <w:bCs/>
          <w:szCs w:val="22"/>
        </w:rPr>
        <w:t xml:space="preserve"> </w:t>
      </w:r>
      <w:r>
        <w:rPr>
          <w:bCs/>
          <w:szCs w:val="22"/>
        </w:rPr>
        <w:t xml:space="preserve">připojit doprovázející informace k převodům </w:t>
      </w:r>
      <w:r w:rsidRPr="00C55488">
        <w:rPr>
          <w:bCs/>
          <w:szCs w:val="22"/>
        </w:rPr>
        <w:t xml:space="preserve">peněžních prostředků a některých </w:t>
      </w:r>
      <w:proofErr w:type="spellStart"/>
      <w:r w:rsidRPr="00C55488">
        <w:rPr>
          <w:bCs/>
          <w:szCs w:val="22"/>
        </w:rPr>
        <w:t>kryptoaktiv</w:t>
      </w:r>
      <w:proofErr w:type="spellEnd"/>
      <w:r>
        <w:rPr>
          <w:bCs/>
          <w:szCs w:val="22"/>
        </w:rPr>
        <w:t xml:space="preserve"> do AML zákona</w:t>
      </w:r>
      <w:r w:rsidRPr="00C55488">
        <w:rPr>
          <w:bCs/>
          <w:szCs w:val="22"/>
        </w:rPr>
        <w:t>.</w:t>
      </w:r>
      <w:r w:rsidRPr="00F12157">
        <w:t xml:space="preserve"> </w:t>
      </w:r>
      <w:r>
        <w:t>Dále do ZMSSD zapracovává výtky Evropské komise k transpozici tzv. směrnice DAC 7, aby se předešlo zahájení řízení o porušení unijního práva (</w:t>
      </w:r>
      <w:proofErr w:type="spellStart"/>
      <w:r>
        <w:t>infringement</w:t>
      </w:r>
      <w:proofErr w:type="spellEnd"/>
      <w:r>
        <w:t>).</w:t>
      </w:r>
    </w:p>
    <w:p w14:paraId="27A1519E" w14:textId="77777777" w:rsidR="00E343B3" w:rsidRDefault="00E343B3" w:rsidP="00E343B3">
      <w:pPr>
        <w:spacing w:after="100"/>
        <w:jc w:val="both"/>
        <w:rPr>
          <w:bCs/>
          <w:szCs w:val="22"/>
        </w:rPr>
      </w:pPr>
      <w:r>
        <w:rPr>
          <w:bCs/>
          <w:szCs w:val="22"/>
        </w:rPr>
        <w:t>Návrh zákon</w:t>
      </w:r>
      <w:r w:rsidRPr="00C55488">
        <w:rPr>
          <w:bCs/>
          <w:szCs w:val="22"/>
        </w:rPr>
        <w:t xml:space="preserve"> rovněž zapracová</w:t>
      </w:r>
      <w:r>
        <w:rPr>
          <w:bCs/>
          <w:szCs w:val="22"/>
        </w:rPr>
        <w:t>vá</w:t>
      </w:r>
      <w:r w:rsidRPr="00C55488">
        <w:rPr>
          <w:bCs/>
          <w:szCs w:val="22"/>
        </w:rPr>
        <w:t xml:space="preserve"> vybran</w:t>
      </w:r>
      <w:r>
        <w:rPr>
          <w:bCs/>
          <w:szCs w:val="22"/>
        </w:rPr>
        <w:t>á</w:t>
      </w:r>
      <w:r w:rsidRPr="00C55488">
        <w:rPr>
          <w:bCs/>
          <w:szCs w:val="22"/>
        </w:rPr>
        <w:t xml:space="preserve"> doporu</w:t>
      </w:r>
      <w:r>
        <w:rPr>
          <w:bCs/>
          <w:szCs w:val="22"/>
        </w:rPr>
        <w:t xml:space="preserve">čení </w:t>
      </w:r>
      <w:r>
        <w:t>FATF, u nichž byly detekovány závažné implementační nedostatky v rámci</w:t>
      </w:r>
      <w:r>
        <w:rPr>
          <w:bCs/>
          <w:szCs w:val="22"/>
        </w:rPr>
        <w:t xml:space="preserve"> hodnocení České republiky v</w:t>
      </w:r>
      <w:r w:rsidRPr="00C55488">
        <w:rPr>
          <w:bCs/>
          <w:szCs w:val="22"/>
        </w:rPr>
        <w:t>ýborem</w:t>
      </w:r>
      <w:r w:rsidRPr="00D819F1">
        <w:rPr>
          <w:bCs/>
          <w:szCs w:val="22"/>
        </w:rPr>
        <w:t xml:space="preserve"> </w:t>
      </w:r>
      <w:r w:rsidRPr="00C55488">
        <w:rPr>
          <w:bCs/>
          <w:szCs w:val="22"/>
        </w:rPr>
        <w:t>M</w:t>
      </w:r>
      <w:r>
        <w:rPr>
          <w:bCs/>
          <w:szCs w:val="22"/>
        </w:rPr>
        <w:t>ONEYVAL</w:t>
      </w:r>
      <w:r w:rsidRPr="00C55488">
        <w:rPr>
          <w:bCs/>
          <w:szCs w:val="22"/>
        </w:rPr>
        <w:t xml:space="preserve">. </w:t>
      </w:r>
      <w:r>
        <w:rPr>
          <w:bCs/>
          <w:szCs w:val="22"/>
        </w:rPr>
        <w:t>J</w:t>
      </w:r>
      <w:r w:rsidRPr="00C55488">
        <w:rPr>
          <w:bCs/>
          <w:szCs w:val="22"/>
        </w:rPr>
        <w:t>edná</w:t>
      </w:r>
      <w:r>
        <w:rPr>
          <w:bCs/>
          <w:szCs w:val="22"/>
        </w:rPr>
        <w:t xml:space="preserve"> se zejména</w:t>
      </w:r>
      <w:r w:rsidRPr="00C55488">
        <w:rPr>
          <w:bCs/>
          <w:szCs w:val="22"/>
        </w:rPr>
        <w:t xml:space="preserve"> o doporučení </w:t>
      </w:r>
      <w:r>
        <w:rPr>
          <w:bCs/>
          <w:szCs w:val="22"/>
        </w:rPr>
        <w:t xml:space="preserve">FATF </w:t>
      </w:r>
      <w:r w:rsidRPr="00C55488">
        <w:rPr>
          <w:bCs/>
          <w:szCs w:val="22"/>
        </w:rPr>
        <w:t>č. 6, 7</w:t>
      </w:r>
      <w:r>
        <w:t xml:space="preserve">, 29 </w:t>
      </w:r>
      <w:r w:rsidRPr="00C55488">
        <w:rPr>
          <w:bCs/>
          <w:szCs w:val="22"/>
        </w:rPr>
        <w:t>a 32</w:t>
      </w:r>
      <w:r>
        <w:t>.</w:t>
      </w:r>
      <w:r w:rsidRPr="00C55488">
        <w:rPr>
          <w:bCs/>
          <w:szCs w:val="22"/>
        </w:rPr>
        <w:t xml:space="preserve"> </w:t>
      </w:r>
      <w:r>
        <w:rPr>
          <w:bCs/>
          <w:szCs w:val="22"/>
        </w:rPr>
        <w:t xml:space="preserve">V rámci </w:t>
      </w:r>
      <w:r w:rsidRPr="00F81BCC">
        <w:t xml:space="preserve">doporučení </w:t>
      </w:r>
      <w:r>
        <w:t xml:space="preserve">FATF </w:t>
      </w:r>
      <w:r w:rsidRPr="00F81BCC">
        <w:t>č. 32</w:t>
      </w:r>
      <w:r w:rsidRPr="00C55488">
        <w:rPr>
          <w:bCs/>
          <w:szCs w:val="22"/>
        </w:rPr>
        <w:t xml:space="preserve"> </w:t>
      </w:r>
      <w:r>
        <w:rPr>
          <w:bCs/>
          <w:szCs w:val="22"/>
        </w:rPr>
        <w:t xml:space="preserve">jde o </w:t>
      </w:r>
      <w:r w:rsidRPr="00D40463">
        <w:rPr>
          <w:bCs/>
          <w:szCs w:val="22"/>
        </w:rPr>
        <w:t>zaveden</w:t>
      </w:r>
      <w:r>
        <w:rPr>
          <w:bCs/>
          <w:szCs w:val="22"/>
        </w:rPr>
        <w:t>í</w:t>
      </w:r>
      <w:r w:rsidRPr="00D40463">
        <w:rPr>
          <w:bCs/>
          <w:szCs w:val="22"/>
        </w:rPr>
        <w:t xml:space="preserve"> </w:t>
      </w:r>
      <w:r>
        <w:t>opatření k odhalování přeshraničního převozu peněžní hotovosti na vnitřních hranicích EU a to včetně systému prohlášení takového</w:t>
      </w:r>
      <w:r w:rsidRPr="00F81BCC">
        <w:t xml:space="preserve"> </w:t>
      </w:r>
      <w:r>
        <w:t>převozu peněžní hotovosti,</w:t>
      </w:r>
      <w:r>
        <w:rPr>
          <w:bCs/>
          <w:szCs w:val="22"/>
        </w:rPr>
        <w:t xml:space="preserve"> v rámci doporučení FATF č. 6 a 7 zavedení postupu pro bezprostřední uplatňování </w:t>
      </w:r>
      <w:r>
        <w:t>cílených finančních sankcí za účelem dodržení příslušných</w:t>
      </w:r>
      <w:r>
        <w:rPr>
          <w:bCs/>
          <w:szCs w:val="22"/>
        </w:rPr>
        <w:t xml:space="preserve"> rezolucí Rady bezpečnosti OSN). Jestliže nebudou napraveny nedostatky zjištěné výborem</w:t>
      </w:r>
      <w:r w:rsidRPr="00D40463">
        <w:rPr>
          <w:bCs/>
          <w:szCs w:val="22"/>
        </w:rPr>
        <w:t xml:space="preserve"> M</w:t>
      </w:r>
      <w:r>
        <w:rPr>
          <w:bCs/>
          <w:szCs w:val="22"/>
        </w:rPr>
        <w:t>ONEYVAL,</w:t>
      </w:r>
      <w:r w:rsidRPr="00D40463">
        <w:rPr>
          <w:bCs/>
          <w:szCs w:val="22"/>
        </w:rPr>
        <w:t xml:space="preserve"> </w:t>
      </w:r>
      <w:bookmarkStart w:id="0" w:name="_GoBack"/>
      <w:r w:rsidRPr="00BF79DE">
        <w:rPr>
          <w:bCs/>
          <w:szCs w:val="22"/>
        </w:rPr>
        <w:t>hrozí zařazení České republice do zpřísněného režimu</w:t>
      </w:r>
      <w:r w:rsidRPr="00BF79DE">
        <w:t xml:space="preserve"> monitorování</w:t>
      </w:r>
      <w:r w:rsidRPr="00BF79DE">
        <w:rPr>
          <w:bCs/>
          <w:szCs w:val="22"/>
        </w:rPr>
        <w:t>,</w:t>
      </w:r>
      <w:bookmarkEnd w:id="0"/>
      <w:r w:rsidRPr="00F12157">
        <w:rPr>
          <w:b/>
          <w:bCs/>
          <w:szCs w:val="22"/>
        </w:rPr>
        <w:t xml:space="preserve"> </w:t>
      </w:r>
      <w:r w:rsidRPr="00F12157">
        <w:t>který již vyžaduje interakci příslušných ministrů s generálním tajemníkem Rady Evropy</w:t>
      </w:r>
      <w:r>
        <w:t xml:space="preserve"> a zástupci výboru MONEYVAL a může </w:t>
      </w:r>
      <w:r w:rsidRPr="00F81BCC">
        <w:t xml:space="preserve">vést až k zařazení </w:t>
      </w:r>
      <w:r>
        <w:t xml:space="preserve">České republiky </w:t>
      </w:r>
      <w:r w:rsidRPr="00F81BCC">
        <w:t xml:space="preserve">na </w:t>
      </w:r>
      <w:r>
        <w:t xml:space="preserve">tzv. </w:t>
      </w:r>
      <w:r w:rsidRPr="00F81BCC">
        <w:t xml:space="preserve">šedý </w:t>
      </w:r>
      <w:r>
        <w:t>seznam</w:t>
      </w:r>
      <w:r w:rsidRPr="00F81BCC">
        <w:t xml:space="preserve"> FATF</w:t>
      </w:r>
      <w:r>
        <w:t xml:space="preserve">, </w:t>
      </w:r>
      <w:r w:rsidRPr="00F81BCC">
        <w:t>t</w:t>
      </w:r>
      <w:r>
        <w:t>edy</w:t>
      </w:r>
      <w:r w:rsidRPr="00F81BCC">
        <w:t xml:space="preserve"> mezi země s</w:t>
      </w:r>
      <w:r>
        <w:t>e</w:t>
      </w:r>
      <w:r w:rsidRPr="00F81BCC">
        <w:t xml:space="preserve"> </w:t>
      </w:r>
      <w:r>
        <w:t xml:space="preserve">strategickými nedostatky v jejich </w:t>
      </w:r>
      <w:r w:rsidRPr="00F81BCC">
        <w:t>systéme</w:t>
      </w:r>
      <w:r>
        <w:t>ch</w:t>
      </w:r>
      <w:r w:rsidRPr="00F81BCC">
        <w:t xml:space="preserve"> boje proti praní špinavých peněz</w:t>
      </w:r>
      <w:r>
        <w:t>,</w:t>
      </w:r>
      <w:r w:rsidRPr="00F81BCC">
        <w:t xml:space="preserve"> financování terorismu</w:t>
      </w:r>
      <w:r>
        <w:t xml:space="preserve"> a financování proliferace</w:t>
      </w:r>
      <w:r w:rsidRPr="00D40463">
        <w:rPr>
          <w:bCs/>
          <w:szCs w:val="22"/>
        </w:rPr>
        <w:t>, což je závažné reputační riziko.</w:t>
      </w:r>
    </w:p>
    <w:p w14:paraId="10340993" w14:textId="77777777" w:rsidR="009300CB" w:rsidRDefault="009300CB" w:rsidP="009300CB">
      <w:pPr>
        <w:spacing w:after="120"/>
        <w:jc w:val="both"/>
      </w:pPr>
      <w:r>
        <w:t>Materiál se navrhuje zařadit na jednání vlády do části B – s rozpravou.</w:t>
      </w:r>
    </w:p>
    <w:p w14:paraId="376009D8" w14:textId="1C24815C" w:rsidR="009300CB" w:rsidRDefault="009300CB" w:rsidP="009300CB">
      <w:pPr>
        <w:pStyle w:val="Popisky"/>
        <w:widowControl w:val="0"/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Předložený návrh zákona prošel mezirezortním připo</w:t>
      </w:r>
      <w:r w:rsidR="00E343B3">
        <w:rPr>
          <w:rFonts w:ascii="Times New Roman" w:hAnsi="Times New Roman"/>
          <w:sz w:val="24"/>
          <w:szCs w:val="24"/>
        </w:rPr>
        <w:t>mínkovým řízením ve dnech … 2023</w:t>
      </w:r>
      <w:r>
        <w:rPr>
          <w:rFonts w:ascii="Times New Roman" w:hAnsi="Times New Roman"/>
          <w:sz w:val="24"/>
          <w:szCs w:val="24"/>
        </w:rPr>
        <w:t xml:space="preserve">. Celkem bylo uplatněno … připomínek, z toho … zásadních. </w:t>
      </w:r>
    </w:p>
    <w:sectPr w:rsidR="009300CB" w:rsidSect="002A149D">
      <w:headerReference w:type="default" r:id="rId8"/>
      <w:headerReference w:type="first" r:id="rId9"/>
      <w:pgSz w:w="11906" w:h="16838"/>
      <w:pgMar w:top="1417" w:right="1417" w:bottom="1417" w:left="1417" w:header="720" w:footer="720" w:gutter="0"/>
      <w:pgNumType w:fmt="numberInDash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33DDAA" w14:textId="77777777" w:rsidR="0060641F" w:rsidRDefault="0060641F">
      <w:r>
        <w:separator/>
      </w:r>
    </w:p>
  </w:endnote>
  <w:endnote w:type="continuationSeparator" w:id="0">
    <w:p w14:paraId="3C0D7BC0" w14:textId="77777777" w:rsidR="0060641F" w:rsidRDefault="00606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8B4926" w14:textId="77777777" w:rsidR="0060641F" w:rsidRDefault="0060641F">
      <w:r>
        <w:separator/>
      </w:r>
    </w:p>
  </w:footnote>
  <w:footnote w:type="continuationSeparator" w:id="0">
    <w:p w14:paraId="4C7DD5DE" w14:textId="77777777" w:rsidR="0060641F" w:rsidRDefault="006064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571006"/>
      <w:docPartObj>
        <w:docPartGallery w:val="Page Numbers (Top of Page)"/>
        <w:docPartUnique/>
      </w:docPartObj>
    </w:sdtPr>
    <w:sdtEndPr/>
    <w:sdtContent>
      <w:p w14:paraId="515A879A" w14:textId="733E03AD" w:rsidR="002A149D" w:rsidRDefault="002A149D">
        <w:pPr>
          <w:pStyle w:val="Zhlav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44C7">
          <w:rPr>
            <w:noProof/>
          </w:rPr>
          <w:t>- 2 -</w:t>
        </w:r>
        <w:r>
          <w:fldChar w:fldCharType="end"/>
        </w:r>
      </w:p>
    </w:sdtContent>
  </w:sdt>
  <w:p w14:paraId="6DA29198" w14:textId="77777777" w:rsidR="002A149D" w:rsidRDefault="002A149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DEA64" w14:textId="77777777" w:rsidR="00442D4D" w:rsidRPr="00442D4D" w:rsidRDefault="006868AC" w:rsidP="00442D4D">
    <w:pPr>
      <w:pStyle w:val="Zhlav"/>
      <w:jc w:val="right"/>
      <w:rPr>
        <w:b/>
      </w:rPr>
    </w:pPr>
    <w:r w:rsidRPr="00442D4D">
      <w:rPr>
        <w:b/>
      </w:rPr>
      <w:t>II.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72FF8"/>
    <w:multiLevelType w:val="hybridMultilevel"/>
    <w:tmpl w:val="E28813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E54E8B"/>
    <w:multiLevelType w:val="hybridMultilevel"/>
    <w:tmpl w:val="EF8A37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1202CD"/>
    <w:multiLevelType w:val="hybridMultilevel"/>
    <w:tmpl w:val="6CBAA2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4F9"/>
    <w:rsid w:val="00035893"/>
    <w:rsid w:val="00037DBD"/>
    <w:rsid w:val="000B6A79"/>
    <w:rsid w:val="000C3CB2"/>
    <w:rsid w:val="000E0DF0"/>
    <w:rsid w:val="000E4E98"/>
    <w:rsid w:val="000F2502"/>
    <w:rsid w:val="00112E25"/>
    <w:rsid w:val="0011543D"/>
    <w:rsid w:val="001253FE"/>
    <w:rsid w:val="00133E61"/>
    <w:rsid w:val="00142376"/>
    <w:rsid w:val="00143BBB"/>
    <w:rsid w:val="0015261E"/>
    <w:rsid w:val="00152765"/>
    <w:rsid w:val="00156329"/>
    <w:rsid w:val="00177DDE"/>
    <w:rsid w:val="0018659B"/>
    <w:rsid w:val="00187BA3"/>
    <w:rsid w:val="00195394"/>
    <w:rsid w:val="001B052E"/>
    <w:rsid w:val="002066F3"/>
    <w:rsid w:val="002222F0"/>
    <w:rsid w:val="002245DC"/>
    <w:rsid w:val="0023676A"/>
    <w:rsid w:val="00245E2C"/>
    <w:rsid w:val="0025446E"/>
    <w:rsid w:val="00263C53"/>
    <w:rsid w:val="00264A11"/>
    <w:rsid w:val="002A149D"/>
    <w:rsid w:val="002B1AC7"/>
    <w:rsid w:val="002C3270"/>
    <w:rsid w:val="002D1EA5"/>
    <w:rsid w:val="002D4143"/>
    <w:rsid w:val="002E2265"/>
    <w:rsid w:val="002E2871"/>
    <w:rsid w:val="0030155A"/>
    <w:rsid w:val="003120BF"/>
    <w:rsid w:val="00313396"/>
    <w:rsid w:val="00322CC9"/>
    <w:rsid w:val="00325401"/>
    <w:rsid w:val="0037108C"/>
    <w:rsid w:val="00390364"/>
    <w:rsid w:val="003A6AC5"/>
    <w:rsid w:val="003B40CA"/>
    <w:rsid w:val="003E11CF"/>
    <w:rsid w:val="003E6482"/>
    <w:rsid w:val="003E780C"/>
    <w:rsid w:val="0040214B"/>
    <w:rsid w:val="004115D1"/>
    <w:rsid w:val="004311FC"/>
    <w:rsid w:val="00435CFA"/>
    <w:rsid w:val="00443800"/>
    <w:rsid w:val="00446441"/>
    <w:rsid w:val="00454E53"/>
    <w:rsid w:val="0046136A"/>
    <w:rsid w:val="00472962"/>
    <w:rsid w:val="00481639"/>
    <w:rsid w:val="00492152"/>
    <w:rsid w:val="0049404D"/>
    <w:rsid w:val="004A2234"/>
    <w:rsid w:val="004B2BA9"/>
    <w:rsid w:val="004D16C0"/>
    <w:rsid w:val="004D44C7"/>
    <w:rsid w:val="004D48F4"/>
    <w:rsid w:val="004D4E8A"/>
    <w:rsid w:val="004F33FB"/>
    <w:rsid w:val="00504080"/>
    <w:rsid w:val="00524540"/>
    <w:rsid w:val="005248C0"/>
    <w:rsid w:val="00532FCC"/>
    <w:rsid w:val="0055245D"/>
    <w:rsid w:val="00553B0B"/>
    <w:rsid w:val="00567073"/>
    <w:rsid w:val="005B5FC2"/>
    <w:rsid w:val="005C6EFB"/>
    <w:rsid w:val="005D76D7"/>
    <w:rsid w:val="0060641F"/>
    <w:rsid w:val="006120B9"/>
    <w:rsid w:val="00614AAA"/>
    <w:rsid w:val="0062785C"/>
    <w:rsid w:val="006302F7"/>
    <w:rsid w:val="00663C9F"/>
    <w:rsid w:val="00676919"/>
    <w:rsid w:val="006868AC"/>
    <w:rsid w:val="00696F8B"/>
    <w:rsid w:val="006A26E3"/>
    <w:rsid w:val="006A27EF"/>
    <w:rsid w:val="006A5CD6"/>
    <w:rsid w:val="006B1A0B"/>
    <w:rsid w:val="006C60F1"/>
    <w:rsid w:val="006C6F6A"/>
    <w:rsid w:val="00703A8D"/>
    <w:rsid w:val="00704F6C"/>
    <w:rsid w:val="00710A68"/>
    <w:rsid w:val="00712000"/>
    <w:rsid w:val="00722D20"/>
    <w:rsid w:val="00731C54"/>
    <w:rsid w:val="00737E4D"/>
    <w:rsid w:val="00744D85"/>
    <w:rsid w:val="00751C72"/>
    <w:rsid w:val="00753038"/>
    <w:rsid w:val="00757634"/>
    <w:rsid w:val="00785222"/>
    <w:rsid w:val="00794F91"/>
    <w:rsid w:val="007B282A"/>
    <w:rsid w:val="007B627F"/>
    <w:rsid w:val="007B67A7"/>
    <w:rsid w:val="007D14ED"/>
    <w:rsid w:val="007D34FE"/>
    <w:rsid w:val="00822860"/>
    <w:rsid w:val="00835E1E"/>
    <w:rsid w:val="00840CFD"/>
    <w:rsid w:val="00845661"/>
    <w:rsid w:val="00845D0D"/>
    <w:rsid w:val="00885049"/>
    <w:rsid w:val="008C1623"/>
    <w:rsid w:val="008C3484"/>
    <w:rsid w:val="008D4AB2"/>
    <w:rsid w:val="008D5A5D"/>
    <w:rsid w:val="008E6C21"/>
    <w:rsid w:val="00904CD1"/>
    <w:rsid w:val="00913D54"/>
    <w:rsid w:val="00921866"/>
    <w:rsid w:val="00922D77"/>
    <w:rsid w:val="009300CB"/>
    <w:rsid w:val="009425EB"/>
    <w:rsid w:val="0095128B"/>
    <w:rsid w:val="00970587"/>
    <w:rsid w:val="009824B0"/>
    <w:rsid w:val="009876E3"/>
    <w:rsid w:val="009B17DF"/>
    <w:rsid w:val="009C0ACF"/>
    <w:rsid w:val="00A00111"/>
    <w:rsid w:val="00A02DFA"/>
    <w:rsid w:val="00A26A59"/>
    <w:rsid w:val="00A61884"/>
    <w:rsid w:val="00A80D53"/>
    <w:rsid w:val="00A8572E"/>
    <w:rsid w:val="00A85C68"/>
    <w:rsid w:val="00AA177F"/>
    <w:rsid w:val="00AC31BB"/>
    <w:rsid w:val="00AE1BD0"/>
    <w:rsid w:val="00B11555"/>
    <w:rsid w:val="00B337FB"/>
    <w:rsid w:val="00B7255A"/>
    <w:rsid w:val="00B76761"/>
    <w:rsid w:val="00B80ADF"/>
    <w:rsid w:val="00B83CBF"/>
    <w:rsid w:val="00BA03EF"/>
    <w:rsid w:val="00BA3541"/>
    <w:rsid w:val="00BA65A5"/>
    <w:rsid w:val="00BD6880"/>
    <w:rsid w:val="00BE7F84"/>
    <w:rsid w:val="00BF79DE"/>
    <w:rsid w:val="00C06F2E"/>
    <w:rsid w:val="00C2135F"/>
    <w:rsid w:val="00C22E12"/>
    <w:rsid w:val="00C4693D"/>
    <w:rsid w:val="00C476AB"/>
    <w:rsid w:val="00C5676C"/>
    <w:rsid w:val="00C65B01"/>
    <w:rsid w:val="00CB0C87"/>
    <w:rsid w:val="00CC7419"/>
    <w:rsid w:val="00CD689D"/>
    <w:rsid w:val="00CE3D9B"/>
    <w:rsid w:val="00D14268"/>
    <w:rsid w:val="00D40F86"/>
    <w:rsid w:val="00D542AF"/>
    <w:rsid w:val="00D97523"/>
    <w:rsid w:val="00DA4DE8"/>
    <w:rsid w:val="00DA686C"/>
    <w:rsid w:val="00DA6E13"/>
    <w:rsid w:val="00DC7506"/>
    <w:rsid w:val="00DC7C12"/>
    <w:rsid w:val="00DE1856"/>
    <w:rsid w:val="00DF4197"/>
    <w:rsid w:val="00DF48CC"/>
    <w:rsid w:val="00E1598D"/>
    <w:rsid w:val="00E2125C"/>
    <w:rsid w:val="00E2416E"/>
    <w:rsid w:val="00E343B3"/>
    <w:rsid w:val="00E42C80"/>
    <w:rsid w:val="00E45017"/>
    <w:rsid w:val="00E60D18"/>
    <w:rsid w:val="00E71222"/>
    <w:rsid w:val="00E73AFD"/>
    <w:rsid w:val="00E91263"/>
    <w:rsid w:val="00EA4055"/>
    <w:rsid w:val="00EC27DB"/>
    <w:rsid w:val="00EE77CD"/>
    <w:rsid w:val="00F071AA"/>
    <w:rsid w:val="00F173BD"/>
    <w:rsid w:val="00F3132E"/>
    <w:rsid w:val="00F54534"/>
    <w:rsid w:val="00F8521E"/>
    <w:rsid w:val="00F875F9"/>
    <w:rsid w:val="00FB2800"/>
    <w:rsid w:val="00FB7DC2"/>
    <w:rsid w:val="00FC0058"/>
    <w:rsid w:val="00FC1633"/>
    <w:rsid w:val="00FD7616"/>
    <w:rsid w:val="00FE54F9"/>
    <w:rsid w:val="00FF1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B27E8"/>
  <w15:docId w15:val="{63902980-341C-4F74-884A-4CCBDC5F1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769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94F9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7691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7691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76919"/>
    <w:pPr>
      <w:spacing w:after="60"/>
      <w:jc w:val="center"/>
      <w:outlineLvl w:val="1"/>
    </w:pPr>
    <w:rPr>
      <w:rFonts w:ascii="Cambria" w:hAnsi="Cambria"/>
    </w:rPr>
  </w:style>
  <w:style w:type="character" w:customStyle="1" w:styleId="PodnadpisChar">
    <w:name w:val="Podnadpis Char"/>
    <w:basedOn w:val="Standardnpsmoodstavce"/>
    <w:link w:val="Podnadpis"/>
    <w:uiPriority w:val="11"/>
    <w:rsid w:val="00676919"/>
    <w:rPr>
      <w:rFonts w:ascii="Cambria" w:eastAsia="Times New Roman" w:hAnsi="Cambria" w:cs="Times New Roman"/>
      <w:sz w:val="24"/>
      <w:szCs w:val="24"/>
      <w:lang w:eastAsia="cs-CZ"/>
    </w:rPr>
  </w:style>
  <w:style w:type="paragraph" w:customStyle="1" w:styleId="Popisky">
    <w:name w:val="Popisky"/>
    <w:uiPriority w:val="99"/>
    <w:rsid w:val="00C65B0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903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90364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435CF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35CF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35CF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35CF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35CF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94F9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94F9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94F9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AC31BB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E287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E287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2E2871"/>
    <w:rPr>
      <w:vertAlign w:val="superscript"/>
    </w:rPr>
  </w:style>
  <w:style w:type="paragraph" w:customStyle="1" w:styleId="DTlotextu1">
    <w:name w:val="D Tělo textu 1"/>
    <w:basedOn w:val="Normln"/>
    <w:uiPriority w:val="99"/>
    <w:qFormat/>
    <w:rsid w:val="00E343B3"/>
    <w:pPr>
      <w:spacing w:before="120" w:after="12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54B50-AA14-4A16-9E7F-F82BD16B9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481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Janáčková Kateřina Ing. Mgr.</dc:creator>
  <cp:lastModifiedBy>Poupě Ondřej Mgr.</cp:lastModifiedBy>
  <cp:revision>99</cp:revision>
  <cp:lastPrinted>2019-03-07T13:14:00Z</cp:lastPrinted>
  <dcterms:created xsi:type="dcterms:W3CDTF">2019-04-01T08:47:00Z</dcterms:created>
  <dcterms:modified xsi:type="dcterms:W3CDTF">2023-10-05T10:45:00Z</dcterms:modified>
</cp:coreProperties>
</file>